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58" w:rsidRDefault="00811858" w:rsidP="003C7B9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7B98" w:rsidRDefault="003C7B98" w:rsidP="003C7B98">
      <w:pPr>
        <w:jc w:val="center"/>
        <w:rPr>
          <w:rFonts w:ascii="Arial" w:hAnsi="Arial" w:cs="Arial"/>
          <w:sz w:val="24"/>
          <w:szCs w:val="24"/>
        </w:rPr>
      </w:pPr>
      <w:r w:rsidRPr="003C7B98">
        <w:rPr>
          <w:rFonts w:ascii="Arial" w:hAnsi="Arial" w:cs="Arial"/>
          <w:sz w:val="24"/>
          <w:szCs w:val="24"/>
        </w:rPr>
        <w:t>Airborne Toxic Control Measure for Auxiliary Diesel Engines Operated on Ocean-Going Vessels At-Berth in a California Port</w:t>
      </w:r>
      <w:r>
        <w:rPr>
          <w:rFonts w:ascii="Arial" w:hAnsi="Arial" w:cs="Arial"/>
          <w:sz w:val="24"/>
          <w:szCs w:val="24"/>
        </w:rPr>
        <w:t xml:space="preserve"> (At-Berth Regulation)</w:t>
      </w:r>
    </w:p>
    <w:p w:rsidR="003C7B98" w:rsidRDefault="003C7B98" w:rsidP="003C7B98">
      <w:pPr>
        <w:jc w:val="center"/>
        <w:rPr>
          <w:rFonts w:ascii="Arial" w:hAnsi="Arial" w:cs="Arial"/>
          <w:sz w:val="24"/>
          <w:szCs w:val="24"/>
        </w:rPr>
      </w:pPr>
    </w:p>
    <w:p w:rsidR="003C7B98" w:rsidRPr="00466235" w:rsidRDefault="003C7B98" w:rsidP="003C7B98">
      <w:pPr>
        <w:jc w:val="center"/>
        <w:rPr>
          <w:rFonts w:ascii="Arial" w:hAnsi="Arial" w:cs="Arial"/>
          <w:b/>
          <w:sz w:val="24"/>
          <w:szCs w:val="24"/>
        </w:rPr>
      </w:pPr>
      <w:r w:rsidRPr="00466235">
        <w:rPr>
          <w:rFonts w:ascii="Arial" w:hAnsi="Arial" w:cs="Arial"/>
          <w:b/>
          <w:sz w:val="24"/>
          <w:szCs w:val="24"/>
        </w:rPr>
        <w:t xml:space="preserve">December 2013 Regulatory Advisory </w:t>
      </w:r>
      <w:r w:rsidR="00A1732A">
        <w:rPr>
          <w:rFonts w:ascii="Arial" w:hAnsi="Arial" w:cs="Arial"/>
          <w:b/>
          <w:sz w:val="24"/>
          <w:szCs w:val="24"/>
        </w:rPr>
        <w:t>Reporting</w:t>
      </w:r>
      <w:r w:rsidRPr="00466235">
        <w:rPr>
          <w:rFonts w:ascii="Arial" w:hAnsi="Arial" w:cs="Arial"/>
          <w:b/>
          <w:sz w:val="24"/>
          <w:szCs w:val="24"/>
        </w:rPr>
        <w:t xml:space="preserve"> </w:t>
      </w:r>
      <w:r w:rsidR="00716F2E">
        <w:rPr>
          <w:rFonts w:ascii="Arial" w:hAnsi="Arial" w:cs="Arial"/>
          <w:b/>
          <w:sz w:val="24"/>
          <w:szCs w:val="24"/>
        </w:rPr>
        <w:t>Form</w:t>
      </w:r>
    </w:p>
    <w:p w:rsidR="00811858" w:rsidRDefault="00811858">
      <w:pPr>
        <w:rPr>
          <w:rFonts w:ascii="Arial" w:hAnsi="Arial" w:cs="Arial"/>
          <w:b/>
          <w:sz w:val="24"/>
          <w:szCs w:val="24"/>
        </w:rPr>
      </w:pPr>
    </w:p>
    <w:p w:rsidR="009C79A5" w:rsidRDefault="009C79A5" w:rsidP="002F42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qualify for relief from provisions of the At-Berth Regulation</w:t>
      </w:r>
      <w:r w:rsidR="00823CD5">
        <w:rPr>
          <w:rFonts w:ascii="Arial" w:hAnsi="Arial" w:cs="Arial"/>
          <w:sz w:val="24"/>
          <w:szCs w:val="24"/>
        </w:rPr>
        <w:t>, fleets must have notified ARB that they intend</w:t>
      </w:r>
      <w:r>
        <w:rPr>
          <w:rFonts w:ascii="Arial" w:hAnsi="Arial" w:cs="Arial"/>
          <w:sz w:val="24"/>
          <w:szCs w:val="24"/>
        </w:rPr>
        <w:t>ed</w:t>
      </w:r>
      <w:r w:rsidR="00823CD5">
        <w:rPr>
          <w:rFonts w:ascii="Arial" w:hAnsi="Arial" w:cs="Arial"/>
          <w:sz w:val="24"/>
          <w:szCs w:val="24"/>
        </w:rPr>
        <w:t xml:space="preserve"> to qualify for temporary relief</w:t>
      </w:r>
      <w:r w:rsidR="009570A5">
        <w:rPr>
          <w:rFonts w:ascii="Arial" w:hAnsi="Arial" w:cs="Arial"/>
          <w:sz w:val="24"/>
          <w:szCs w:val="24"/>
        </w:rPr>
        <w:t xml:space="preserve"> by submitting the December 2013 Regulatory Advisory Notification Form on or before M</w:t>
      </w:r>
      <w:r w:rsidR="00BC193E">
        <w:rPr>
          <w:rFonts w:ascii="Arial" w:hAnsi="Arial" w:cs="Arial"/>
          <w:sz w:val="24"/>
          <w:szCs w:val="24"/>
        </w:rPr>
        <w:t>arch 2</w:t>
      </w:r>
      <w:r w:rsidR="009570A5">
        <w:rPr>
          <w:rFonts w:ascii="Arial" w:hAnsi="Arial" w:cs="Arial"/>
          <w:sz w:val="24"/>
          <w:szCs w:val="24"/>
        </w:rPr>
        <w:t>1, </w:t>
      </w:r>
      <w:r>
        <w:rPr>
          <w:rFonts w:ascii="Arial" w:hAnsi="Arial" w:cs="Arial"/>
          <w:sz w:val="24"/>
          <w:szCs w:val="24"/>
        </w:rPr>
        <w:t>2014.</w:t>
      </w:r>
    </w:p>
    <w:p w:rsidR="009C79A5" w:rsidRDefault="009C79A5" w:rsidP="002F426A">
      <w:pPr>
        <w:rPr>
          <w:rFonts w:ascii="Arial" w:hAnsi="Arial" w:cs="Arial"/>
          <w:sz w:val="24"/>
          <w:szCs w:val="24"/>
        </w:rPr>
      </w:pPr>
    </w:p>
    <w:p w:rsidR="00DB276A" w:rsidRDefault="009C79A5" w:rsidP="002F42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Pursuant to the December 2013 Regulatory Advisory, </w:t>
      </w:r>
      <w:r w:rsidR="00823CD5">
        <w:rPr>
          <w:rFonts w:ascii="Arial" w:hAnsi="Arial" w:cs="Arial"/>
          <w:sz w:val="24"/>
          <w:szCs w:val="24"/>
        </w:rPr>
        <w:t xml:space="preserve">fleets must submit documentation to </w:t>
      </w:r>
      <w:r>
        <w:rPr>
          <w:rFonts w:ascii="Arial" w:hAnsi="Arial" w:cs="Arial"/>
          <w:sz w:val="24"/>
          <w:szCs w:val="24"/>
        </w:rPr>
        <w:t xml:space="preserve">verify that they </w:t>
      </w:r>
      <w:r w:rsidR="00823CD5">
        <w:rPr>
          <w:rFonts w:ascii="Arial" w:hAnsi="Arial" w:cs="Arial"/>
          <w:sz w:val="24"/>
          <w:szCs w:val="24"/>
        </w:rPr>
        <w:t xml:space="preserve">qualify for temporary relief under each scenario they </w:t>
      </w:r>
      <w:r>
        <w:rPr>
          <w:rFonts w:ascii="Arial" w:hAnsi="Arial" w:cs="Arial"/>
          <w:sz w:val="24"/>
          <w:szCs w:val="24"/>
        </w:rPr>
        <w:t xml:space="preserve">intended to </w:t>
      </w:r>
      <w:r w:rsidR="00823CD5">
        <w:rPr>
          <w:rFonts w:ascii="Arial" w:hAnsi="Arial" w:cs="Arial"/>
          <w:sz w:val="24"/>
          <w:szCs w:val="24"/>
        </w:rPr>
        <w:t xml:space="preserve">use.  To do this, fleets </w:t>
      </w:r>
      <w:r>
        <w:rPr>
          <w:rFonts w:ascii="Arial" w:hAnsi="Arial" w:cs="Arial"/>
          <w:sz w:val="24"/>
          <w:szCs w:val="24"/>
        </w:rPr>
        <w:t>must</w:t>
      </w:r>
      <w:r w:rsidR="00823CD5">
        <w:rPr>
          <w:rFonts w:ascii="Arial" w:hAnsi="Arial" w:cs="Arial"/>
          <w:sz w:val="24"/>
          <w:szCs w:val="24"/>
        </w:rPr>
        <w:t xml:space="preserve"> complete this form and return it to ARB.  </w:t>
      </w:r>
      <w:r w:rsidR="00DB276A">
        <w:rPr>
          <w:rFonts w:ascii="Arial" w:hAnsi="Arial" w:cs="Arial"/>
          <w:sz w:val="24"/>
          <w:szCs w:val="24"/>
        </w:rPr>
        <w:t xml:space="preserve">ARB staff </w:t>
      </w:r>
      <w:r w:rsidR="000673D3">
        <w:rPr>
          <w:rFonts w:ascii="Arial" w:hAnsi="Arial" w:cs="Arial"/>
          <w:sz w:val="24"/>
          <w:szCs w:val="24"/>
        </w:rPr>
        <w:t xml:space="preserve">may ask fleets to provide </w:t>
      </w:r>
      <w:r w:rsidR="00DB276A">
        <w:rPr>
          <w:rFonts w:ascii="Arial" w:hAnsi="Arial" w:cs="Arial"/>
          <w:sz w:val="24"/>
          <w:szCs w:val="24"/>
        </w:rPr>
        <w:t>additional information to support their</w:t>
      </w:r>
      <w:r w:rsidR="00823CD5">
        <w:rPr>
          <w:rFonts w:ascii="Arial" w:hAnsi="Arial" w:cs="Arial"/>
          <w:sz w:val="24"/>
          <w:szCs w:val="24"/>
        </w:rPr>
        <w:t xml:space="preserve"> claim</w:t>
      </w:r>
      <w:r w:rsidR="00FF18B3">
        <w:rPr>
          <w:rFonts w:ascii="Arial" w:hAnsi="Arial" w:cs="Arial"/>
          <w:sz w:val="24"/>
          <w:szCs w:val="24"/>
        </w:rPr>
        <w:t>s</w:t>
      </w:r>
      <w:r w:rsidR="00DB276A">
        <w:rPr>
          <w:rFonts w:ascii="Arial" w:hAnsi="Arial" w:cs="Arial"/>
          <w:sz w:val="24"/>
          <w:szCs w:val="24"/>
        </w:rPr>
        <w:t xml:space="preserve">. </w:t>
      </w:r>
    </w:p>
    <w:p w:rsidR="00DB276A" w:rsidRDefault="00DB276A">
      <w:pPr>
        <w:rPr>
          <w:rFonts w:ascii="Arial" w:hAnsi="Arial" w:cs="Arial"/>
          <w:b/>
          <w:sz w:val="24"/>
          <w:szCs w:val="24"/>
        </w:rPr>
      </w:pPr>
    </w:p>
    <w:p w:rsidR="003C7B98" w:rsidRDefault="003C7B98">
      <w:pPr>
        <w:rPr>
          <w:rFonts w:ascii="Arial" w:hAnsi="Arial" w:cs="Arial"/>
          <w:b/>
          <w:sz w:val="24"/>
          <w:szCs w:val="24"/>
        </w:rPr>
      </w:pPr>
      <w:r w:rsidRPr="00466235">
        <w:rPr>
          <w:rFonts w:ascii="Arial" w:hAnsi="Arial" w:cs="Arial"/>
          <w:b/>
          <w:sz w:val="24"/>
          <w:szCs w:val="24"/>
        </w:rPr>
        <w:t>Instructions:</w:t>
      </w:r>
    </w:p>
    <w:p w:rsidR="003E415F" w:rsidRPr="00466235" w:rsidRDefault="003E415F">
      <w:pPr>
        <w:rPr>
          <w:rFonts w:ascii="Arial" w:hAnsi="Arial" w:cs="Arial"/>
          <w:b/>
          <w:sz w:val="24"/>
          <w:szCs w:val="24"/>
        </w:rPr>
      </w:pPr>
    </w:p>
    <w:p w:rsidR="003E415F" w:rsidRDefault="00392E47" w:rsidP="003E4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complete this form, fleets must fill out the General Information table, </w:t>
      </w:r>
      <w:r w:rsidR="0069323F">
        <w:rPr>
          <w:rFonts w:ascii="Arial" w:hAnsi="Arial" w:cs="Arial"/>
          <w:sz w:val="24"/>
          <w:szCs w:val="24"/>
        </w:rPr>
        <w:t>Scenarios</w:t>
      </w:r>
      <w:r>
        <w:rPr>
          <w:rFonts w:ascii="Arial" w:hAnsi="Arial" w:cs="Arial"/>
          <w:sz w:val="24"/>
          <w:szCs w:val="24"/>
        </w:rPr>
        <w:t xml:space="preserve"> table, and the </w:t>
      </w:r>
      <w:r w:rsidR="0069323F">
        <w:rPr>
          <w:rFonts w:ascii="Arial" w:hAnsi="Arial" w:cs="Arial"/>
          <w:sz w:val="24"/>
          <w:szCs w:val="24"/>
        </w:rPr>
        <w:t xml:space="preserve">Verification </w:t>
      </w:r>
      <w:r>
        <w:rPr>
          <w:rFonts w:ascii="Arial" w:hAnsi="Arial" w:cs="Arial"/>
          <w:sz w:val="24"/>
          <w:szCs w:val="24"/>
        </w:rPr>
        <w:t xml:space="preserve">table for each scenario that the fleet intends to </w:t>
      </w:r>
      <w:r w:rsidR="005759A2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.  </w:t>
      </w:r>
      <w:r w:rsidR="00BC4834">
        <w:rPr>
          <w:rFonts w:ascii="Arial" w:hAnsi="Arial" w:cs="Arial"/>
          <w:sz w:val="24"/>
          <w:szCs w:val="24"/>
        </w:rPr>
        <w:t xml:space="preserve">The table below describes the time frame </w:t>
      </w:r>
      <w:r w:rsidR="006F4271">
        <w:rPr>
          <w:rFonts w:ascii="Arial" w:hAnsi="Arial" w:cs="Arial"/>
          <w:sz w:val="24"/>
          <w:szCs w:val="24"/>
        </w:rPr>
        <w:t xml:space="preserve">and reporting due date </w:t>
      </w:r>
      <w:r w:rsidR="00BC4834">
        <w:rPr>
          <w:rFonts w:ascii="Arial" w:hAnsi="Arial" w:cs="Arial"/>
          <w:sz w:val="24"/>
          <w:szCs w:val="24"/>
        </w:rPr>
        <w:t>for each scenario.</w:t>
      </w:r>
    </w:p>
    <w:tbl>
      <w:tblPr>
        <w:tblW w:w="7544" w:type="dxa"/>
        <w:jc w:val="center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3071"/>
        <w:gridCol w:w="2909"/>
      </w:tblGrid>
      <w:tr w:rsidR="0000461F" w:rsidRPr="00DE29AD" w:rsidTr="009C79A5">
        <w:trPr>
          <w:trHeight w:val="212"/>
          <w:jc w:val="center"/>
        </w:trPr>
        <w:tc>
          <w:tcPr>
            <w:tcW w:w="1564" w:type="dxa"/>
            <w:shd w:val="clear" w:color="auto" w:fill="FFFFFF"/>
            <w:vAlign w:val="center"/>
          </w:tcPr>
          <w:p w:rsidR="0000461F" w:rsidRPr="00DE29AD" w:rsidRDefault="0000461F" w:rsidP="00004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Scenario</w:t>
            </w:r>
          </w:p>
        </w:tc>
        <w:tc>
          <w:tcPr>
            <w:tcW w:w="3071" w:type="dxa"/>
            <w:shd w:val="clear" w:color="auto" w:fill="FFFFF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0461F" w:rsidRPr="00DE29AD" w:rsidRDefault="009C79A5" w:rsidP="009C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Applicable </w:t>
            </w:r>
            <w:r w:rsidR="0000461F"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909" w:type="dxa"/>
            <w:shd w:val="clear" w:color="auto" w:fill="FFFFFF"/>
            <w:vAlign w:val="center"/>
          </w:tcPr>
          <w:p w:rsidR="0000461F" w:rsidRDefault="0000461F" w:rsidP="00004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00461F" w:rsidRPr="00DE29AD" w:rsidTr="009C79A5">
        <w:trPr>
          <w:trHeight w:val="20"/>
          <w:jc w:val="center"/>
        </w:trPr>
        <w:tc>
          <w:tcPr>
            <w:tcW w:w="1564" w:type="dxa"/>
            <w:shd w:val="clear" w:color="auto" w:fill="FFFFFF"/>
            <w:vAlign w:val="center"/>
          </w:tcPr>
          <w:p w:rsidR="0000461F" w:rsidRPr="00DE29AD" w:rsidRDefault="0000461F" w:rsidP="0000461F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Scenario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shd w:val="clear" w:color="auto" w:fill="FFFFF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0461F" w:rsidRPr="00DE29AD" w:rsidRDefault="009C79A5" w:rsidP="009C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="0000461F">
              <w:rPr>
                <w:rFonts w:ascii="Arial" w:hAnsi="Arial" w:cs="Arial"/>
                <w:sz w:val="24"/>
                <w:szCs w:val="24"/>
              </w:rPr>
              <w:t>uarter</w:t>
            </w:r>
            <w:r>
              <w:rPr>
                <w:rFonts w:ascii="Arial" w:hAnsi="Arial" w:cs="Arial"/>
                <w:sz w:val="24"/>
                <w:szCs w:val="24"/>
              </w:rPr>
              <w:t>ly</w:t>
            </w:r>
            <w:r w:rsidR="0000461F">
              <w:rPr>
                <w:rFonts w:ascii="Arial" w:hAnsi="Arial" w:cs="Arial"/>
                <w:sz w:val="24"/>
                <w:szCs w:val="24"/>
              </w:rPr>
              <w:t xml:space="preserve"> in 2014</w:t>
            </w:r>
          </w:p>
        </w:tc>
        <w:tc>
          <w:tcPr>
            <w:tcW w:w="2909" w:type="dxa"/>
            <w:shd w:val="clear" w:color="auto" w:fill="FFFFFF"/>
            <w:vAlign w:val="center"/>
          </w:tcPr>
          <w:p w:rsidR="0000461F" w:rsidRDefault="00326930" w:rsidP="00326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Two months </w:t>
            </w:r>
            <w:r w:rsidR="0000461F">
              <w:rPr>
                <w:rFonts w:ascii="Arial" w:hAnsi="Arial" w:cs="Arial"/>
                <w:sz w:val="24"/>
                <w:szCs w:val="24"/>
              </w:rPr>
              <w:t>after each</w:t>
            </w:r>
            <w:r w:rsidR="009C79A5">
              <w:rPr>
                <w:rFonts w:ascii="Arial" w:hAnsi="Arial" w:cs="Arial"/>
                <w:sz w:val="24"/>
                <w:szCs w:val="24"/>
              </w:rPr>
              <w:t xml:space="preserve"> calendar </w:t>
            </w:r>
            <w:r w:rsidR="0000461F">
              <w:rPr>
                <w:rFonts w:ascii="Arial" w:hAnsi="Arial" w:cs="Arial"/>
                <w:sz w:val="24"/>
                <w:szCs w:val="24"/>
              </w:rPr>
              <w:t>quarter</w:t>
            </w:r>
          </w:p>
        </w:tc>
      </w:tr>
      <w:tr w:rsidR="0000461F" w:rsidRPr="00DE29AD" w:rsidTr="009C79A5">
        <w:trPr>
          <w:trHeight w:val="20"/>
          <w:jc w:val="center"/>
        </w:trPr>
        <w:tc>
          <w:tcPr>
            <w:tcW w:w="1564" w:type="dxa"/>
            <w:shd w:val="clear" w:color="auto" w:fill="FFFFFF"/>
            <w:vAlign w:val="center"/>
          </w:tcPr>
          <w:p w:rsidR="0000461F" w:rsidRPr="00DE29AD" w:rsidRDefault="0000461F" w:rsidP="0000461F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Scenario 2</w:t>
            </w:r>
          </w:p>
        </w:tc>
        <w:tc>
          <w:tcPr>
            <w:tcW w:w="3071" w:type="dxa"/>
            <w:shd w:val="clear" w:color="auto" w:fill="FFFFF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0461F" w:rsidRPr="00DE29AD" w:rsidRDefault="009C79A5" w:rsidP="009C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 in 2014</w:t>
            </w:r>
          </w:p>
        </w:tc>
        <w:tc>
          <w:tcPr>
            <w:tcW w:w="2909" w:type="dxa"/>
            <w:shd w:val="clear" w:color="auto" w:fill="FFFFFF"/>
            <w:vAlign w:val="center"/>
          </w:tcPr>
          <w:p w:rsidR="0000461F" w:rsidRDefault="00326930" w:rsidP="00DA6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Two months </w:t>
            </w:r>
            <w:r w:rsidR="0000461F">
              <w:rPr>
                <w:rFonts w:ascii="Arial" w:hAnsi="Arial" w:cs="Arial"/>
                <w:sz w:val="24"/>
                <w:szCs w:val="24"/>
              </w:rPr>
              <w:t xml:space="preserve">after each </w:t>
            </w:r>
            <w:r w:rsidR="009C79A5">
              <w:rPr>
                <w:rFonts w:ascii="Arial" w:hAnsi="Arial" w:cs="Arial"/>
                <w:sz w:val="24"/>
                <w:szCs w:val="24"/>
              </w:rPr>
              <w:t xml:space="preserve">calendar </w:t>
            </w:r>
            <w:r w:rsidR="0000461F">
              <w:rPr>
                <w:rFonts w:ascii="Arial" w:hAnsi="Arial" w:cs="Arial"/>
                <w:sz w:val="24"/>
                <w:szCs w:val="24"/>
              </w:rPr>
              <w:t>quarter</w:t>
            </w:r>
          </w:p>
        </w:tc>
      </w:tr>
      <w:tr w:rsidR="0000461F" w:rsidRPr="00DE29AD" w:rsidTr="009C79A5">
        <w:trPr>
          <w:trHeight w:val="20"/>
          <w:jc w:val="center"/>
        </w:trPr>
        <w:tc>
          <w:tcPr>
            <w:tcW w:w="1564" w:type="dxa"/>
            <w:shd w:val="clear" w:color="auto" w:fill="FFFFFF"/>
            <w:vAlign w:val="center"/>
          </w:tcPr>
          <w:p w:rsidR="0000461F" w:rsidRPr="00DE29AD" w:rsidRDefault="0000461F" w:rsidP="0000461F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Scenario 3</w:t>
            </w:r>
          </w:p>
        </w:tc>
        <w:tc>
          <w:tcPr>
            <w:tcW w:w="3071" w:type="dxa"/>
            <w:shd w:val="clear" w:color="auto" w:fill="FFFFF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0461F" w:rsidRPr="00DE29AD" w:rsidRDefault="0061181E" w:rsidP="009C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Calendar </w:t>
            </w:r>
            <w:r w:rsidR="009C79A5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ear</w:t>
            </w:r>
            <w:r w:rsidR="0000461F">
              <w:rPr>
                <w:rFonts w:ascii="Arial" w:hAnsi="Arial" w:cs="Arial"/>
                <w:sz w:val="24"/>
                <w:szCs w:val="24"/>
              </w:rPr>
              <w:t xml:space="preserve"> 2014</w:t>
            </w:r>
          </w:p>
        </w:tc>
        <w:tc>
          <w:tcPr>
            <w:tcW w:w="2909" w:type="dxa"/>
            <w:shd w:val="clear" w:color="auto" w:fill="FFFFFF"/>
            <w:vAlign w:val="center"/>
          </w:tcPr>
          <w:p w:rsidR="0000461F" w:rsidRDefault="00DA6B86" w:rsidP="00DA6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</w:t>
            </w:r>
            <w:r w:rsidR="0000461F">
              <w:rPr>
                <w:rFonts w:ascii="Arial" w:hAnsi="Arial" w:cs="Arial"/>
                <w:sz w:val="24"/>
                <w:szCs w:val="24"/>
              </w:rPr>
              <w:t>, 2015</w:t>
            </w:r>
          </w:p>
        </w:tc>
      </w:tr>
      <w:tr w:rsidR="0000461F" w:rsidRPr="00DE29AD" w:rsidTr="009C79A5">
        <w:trPr>
          <w:trHeight w:val="20"/>
          <w:jc w:val="center"/>
        </w:trPr>
        <w:tc>
          <w:tcPr>
            <w:tcW w:w="1564" w:type="dxa"/>
            <w:shd w:val="clear" w:color="auto" w:fill="FFFFFF"/>
            <w:vAlign w:val="center"/>
          </w:tcPr>
          <w:p w:rsidR="0000461F" w:rsidRPr="00DE29AD" w:rsidRDefault="0000461F" w:rsidP="0000461F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Scenario 4</w:t>
            </w:r>
          </w:p>
        </w:tc>
        <w:tc>
          <w:tcPr>
            <w:tcW w:w="3071" w:type="dxa"/>
            <w:shd w:val="clear" w:color="auto" w:fill="FFFFF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0461F" w:rsidRPr="00DE29AD" w:rsidRDefault="00F117AC" w:rsidP="00004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two quarters</w:t>
            </w:r>
            <w:r w:rsidR="009C79A5">
              <w:rPr>
                <w:rFonts w:ascii="Arial" w:hAnsi="Arial" w:cs="Arial"/>
                <w:sz w:val="24"/>
                <w:szCs w:val="24"/>
              </w:rPr>
              <w:t xml:space="preserve"> of 2014</w:t>
            </w:r>
          </w:p>
        </w:tc>
        <w:tc>
          <w:tcPr>
            <w:tcW w:w="2909" w:type="dxa"/>
            <w:shd w:val="clear" w:color="auto" w:fill="FFFFFF"/>
            <w:vAlign w:val="center"/>
          </w:tcPr>
          <w:p w:rsidR="0000461F" w:rsidRPr="00DE29AD" w:rsidRDefault="00DA6B86" w:rsidP="00DA6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  <w:r w:rsidR="00F117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117AC">
              <w:rPr>
                <w:rFonts w:ascii="Arial" w:hAnsi="Arial" w:cs="Arial"/>
                <w:sz w:val="24"/>
                <w:szCs w:val="24"/>
              </w:rPr>
              <w:t>, 2014</w:t>
            </w:r>
          </w:p>
        </w:tc>
      </w:tr>
      <w:tr w:rsidR="00CF44F0" w:rsidRPr="00DE29AD" w:rsidTr="009C79A5">
        <w:trPr>
          <w:trHeight w:val="20"/>
          <w:jc w:val="center"/>
        </w:trPr>
        <w:tc>
          <w:tcPr>
            <w:tcW w:w="1564" w:type="dxa"/>
            <w:shd w:val="clear" w:color="auto" w:fill="FFFFFF"/>
            <w:vAlign w:val="center"/>
          </w:tcPr>
          <w:p w:rsidR="00CF44F0" w:rsidRPr="00DE29AD" w:rsidRDefault="00CF44F0" w:rsidP="0000461F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Scenario 5</w:t>
            </w:r>
          </w:p>
        </w:tc>
        <w:tc>
          <w:tcPr>
            <w:tcW w:w="3071" w:type="dxa"/>
            <w:shd w:val="clear" w:color="auto" w:fill="FFFFF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F44F0" w:rsidRPr="00DE29AD" w:rsidRDefault="009C79A5" w:rsidP="00004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Calendar Year 2014</w:t>
            </w:r>
          </w:p>
        </w:tc>
        <w:tc>
          <w:tcPr>
            <w:tcW w:w="2909" w:type="dxa"/>
            <w:shd w:val="clear" w:color="auto" w:fill="FFFFFF"/>
            <w:vAlign w:val="center"/>
          </w:tcPr>
          <w:p w:rsidR="00CF44F0" w:rsidRDefault="00DA6B86" w:rsidP="00DA6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</w:t>
            </w:r>
            <w:r w:rsidR="003B6B58">
              <w:rPr>
                <w:rFonts w:ascii="Arial" w:hAnsi="Arial" w:cs="Arial"/>
                <w:sz w:val="24"/>
                <w:szCs w:val="24"/>
              </w:rPr>
              <w:t>, 2014</w:t>
            </w:r>
          </w:p>
        </w:tc>
      </w:tr>
    </w:tbl>
    <w:p w:rsidR="00BC4834" w:rsidRDefault="00BC4834" w:rsidP="003E415F">
      <w:pPr>
        <w:rPr>
          <w:rFonts w:ascii="Arial" w:hAnsi="Arial" w:cs="Arial"/>
          <w:sz w:val="24"/>
          <w:szCs w:val="24"/>
        </w:rPr>
      </w:pPr>
    </w:p>
    <w:p w:rsidR="00A0050F" w:rsidRDefault="00392E47" w:rsidP="003E415F">
      <w:pPr>
        <w:rPr>
          <w:rFonts w:ascii="Arial" w:hAnsi="Arial" w:cs="Arial"/>
          <w:sz w:val="24"/>
          <w:szCs w:val="24"/>
        </w:rPr>
      </w:pPr>
      <w:r w:rsidRPr="007A546C">
        <w:rPr>
          <w:rFonts w:ascii="Arial" w:hAnsi="Arial" w:cs="Arial"/>
          <w:sz w:val="24"/>
          <w:szCs w:val="24"/>
        </w:rPr>
        <w:t xml:space="preserve">In the </w:t>
      </w:r>
      <w:r w:rsidR="007A546C" w:rsidRPr="007A546C">
        <w:rPr>
          <w:rFonts w:ascii="Arial" w:hAnsi="Arial" w:cs="Arial"/>
          <w:sz w:val="24"/>
          <w:szCs w:val="24"/>
        </w:rPr>
        <w:t xml:space="preserve">Verification </w:t>
      </w:r>
      <w:r w:rsidRPr="007A546C">
        <w:rPr>
          <w:rFonts w:ascii="Arial" w:hAnsi="Arial" w:cs="Arial"/>
          <w:sz w:val="24"/>
          <w:szCs w:val="24"/>
        </w:rPr>
        <w:t>tables, f</w:t>
      </w:r>
      <w:r w:rsidR="00E27ED3" w:rsidRPr="007A546C">
        <w:rPr>
          <w:rFonts w:ascii="Arial" w:hAnsi="Arial" w:cs="Arial"/>
          <w:sz w:val="24"/>
          <w:szCs w:val="24"/>
        </w:rPr>
        <w:t xml:space="preserve">leets </w:t>
      </w:r>
      <w:r w:rsidR="009C79A5">
        <w:rPr>
          <w:rFonts w:ascii="Arial" w:hAnsi="Arial" w:cs="Arial"/>
          <w:sz w:val="24"/>
          <w:szCs w:val="24"/>
        </w:rPr>
        <w:t xml:space="preserve">are </w:t>
      </w:r>
      <w:r w:rsidR="00E27ED3" w:rsidRPr="007A546C">
        <w:rPr>
          <w:rFonts w:ascii="Arial" w:hAnsi="Arial" w:cs="Arial"/>
          <w:sz w:val="24"/>
          <w:szCs w:val="24"/>
        </w:rPr>
        <w:t xml:space="preserve">to provide evidence </w:t>
      </w:r>
      <w:r w:rsidRPr="007A546C">
        <w:rPr>
          <w:rFonts w:ascii="Arial" w:hAnsi="Arial" w:cs="Arial"/>
          <w:sz w:val="24"/>
          <w:szCs w:val="24"/>
        </w:rPr>
        <w:t xml:space="preserve">they </w:t>
      </w:r>
      <w:r w:rsidR="005B1FA9">
        <w:rPr>
          <w:rFonts w:ascii="Arial" w:hAnsi="Arial" w:cs="Arial"/>
          <w:sz w:val="24"/>
          <w:szCs w:val="24"/>
        </w:rPr>
        <w:t xml:space="preserve">have met the conditions required to qualify for temporary relief from the At-Berth Regulation.  Fleets will need to </w:t>
      </w:r>
      <w:r w:rsidR="009C79A5">
        <w:rPr>
          <w:rFonts w:ascii="Arial" w:hAnsi="Arial" w:cs="Arial"/>
          <w:sz w:val="24"/>
          <w:szCs w:val="24"/>
        </w:rPr>
        <w:t xml:space="preserve">update </w:t>
      </w:r>
      <w:r w:rsidR="007A546C" w:rsidRPr="007A546C">
        <w:rPr>
          <w:rFonts w:ascii="Arial" w:hAnsi="Arial" w:cs="Arial"/>
          <w:sz w:val="24"/>
          <w:szCs w:val="24"/>
        </w:rPr>
        <w:t>the</w:t>
      </w:r>
      <w:r w:rsidR="00A0050F">
        <w:rPr>
          <w:rFonts w:ascii="Arial" w:hAnsi="Arial" w:cs="Arial"/>
          <w:sz w:val="24"/>
          <w:szCs w:val="24"/>
        </w:rPr>
        <w:t xml:space="preserve"> Advisory Visit Information </w:t>
      </w:r>
      <w:r w:rsidR="000737AC">
        <w:rPr>
          <w:rFonts w:ascii="Arial" w:hAnsi="Arial" w:cs="Arial"/>
          <w:sz w:val="24"/>
          <w:szCs w:val="24"/>
        </w:rPr>
        <w:t>spreadsheet, which</w:t>
      </w:r>
      <w:r w:rsidR="00A0050F">
        <w:rPr>
          <w:rFonts w:ascii="Arial" w:hAnsi="Arial" w:cs="Arial"/>
          <w:sz w:val="24"/>
          <w:szCs w:val="24"/>
        </w:rPr>
        <w:t xml:space="preserve"> they provided with their </w:t>
      </w:r>
      <w:r w:rsidR="005B1FA9">
        <w:rPr>
          <w:rFonts w:ascii="Arial" w:hAnsi="Arial" w:cs="Arial"/>
          <w:sz w:val="24"/>
          <w:szCs w:val="24"/>
        </w:rPr>
        <w:t>Notification form</w:t>
      </w:r>
      <w:r w:rsidR="000737AC">
        <w:rPr>
          <w:rFonts w:ascii="Arial" w:hAnsi="Arial" w:cs="Arial"/>
          <w:sz w:val="24"/>
          <w:szCs w:val="24"/>
        </w:rPr>
        <w:t>, showing all actual visits</w:t>
      </w:r>
      <w:r w:rsidR="00A0050F">
        <w:rPr>
          <w:rFonts w:ascii="Arial" w:hAnsi="Arial" w:cs="Arial"/>
          <w:sz w:val="24"/>
          <w:szCs w:val="24"/>
        </w:rPr>
        <w:t xml:space="preserve">.  Fleets complying with the Equivalent Emission Reduction Option </w:t>
      </w:r>
      <w:r w:rsidR="007124AB">
        <w:rPr>
          <w:rFonts w:ascii="Arial" w:hAnsi="Arial" w:cs="Arial"/>
          <w:sz w:val="24"/>
          <w:szCs w:val="24"/>
        </w:rPr>
        <w:t xml:space="preserve">will </w:t>
      </w:r>
      <w:r w:rsidR="00A0050F">
        <w:rPr>
          <w:rFonts w:ascii="Arial" w:hAnsi="Arial" w:cs="Arial"/>
          <w:sz w:val="24"/>
          <w:szCs w:val="24"/>
        </w:rPr>
        <w:t>update the Advisory Visit Information – Equivalent Emission Reduction Option spreadsheet.</w:t>
      </w:r>
    </w:p>
    <w:p w:rsidR="00636C24" w:rsidRDefault="00636C24" w:rsidP="00A0050F">
      <w:pPr>
        <w:rPr>
          <w:rFonts w:ascii="Arial" w:hAnsi="Arial" w:cs="Arial"/>
          <w:sz w:val="24"/>
          <w:szCs w:val="24"/>
        </w:rPr>
      </w:pPr>
    </w:p>
    <w:p w:rsidR="007124AB" w:rsidRDefault="007124AB" w:rsidP="00712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reporting form, and supporting information, </w:t>
      </w:r>
      <w:r w:rsidR="00884BF3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 xml:space="preserve">be sent to ARB via e-mail to </w:t>
      </w:r>
      <w:hyperlink r:id="rId10" w:history="1">
        <w:r w:rsidRPr="00707AD7">
          <w:rPr>
            <w:rStyle w:val="Hyperlink"/>
            <w:rFonts w:ascii="Arial" w:hAnsi="Arial" w:cs="Arial"/>
            <w:sz w:val="24"/>
            <w:szCs w:val="24"/>
          </w:rPr>
          <w:t>shorepower@arb.ca.gov</w:t>
        </w:r>
      </w:hyperlink>
      <w:r>
        <w:rPr>
          <w:rFonts w:ascii="Arial" w:hAnsi="Arial" w:cs="Arial"/>
          <w:sz w:val="24"/>
          <w:szCs w:val="24"/>
        </w:rPr>
        <w:t xml:space="preserve"> or mail to the following address:</w:t>
      </w:r>
    </w:p>
    <w:p w:rsidR="007124AB" w:rsidRPr="003E415F" w:rsidRDefault="007124AB" w:rsidP="007124AB">
      <w:pPr>
        <w:ind w:firstLine="720"/>
        <w:rPr>
          <w:rFonts w:ascii="Arial" w:hAnsi="Arial" w:cs="Arial"/>
          <w:sz w:val="24"/>
          <w:szCs w:val="24"/>
        </w:rPr>
      </w:pPr>
      <w:r w:rsidRPr="003E415F">
        <w:rPr>
          <w:rFonts w:ascii="Arial" w:hAnsi="Arial" w:cs="Arial"/>
          <w:sz w:val="24"/>
          <w:szCs w:val="24"/>
        </w:rPr>
        <w:t>California Air Resources Board</w:t>
      </w:r>
    </w:p>
    <w:p w:rsidR="007124AB" w:rsidRPr="003E415F" w:rsidRDefault="007124AB" w:rsidP="007124AB">
      <w:pPr>
        <w:ind w:firstLine="720"/>
        <w:rPr>
          <w:rFonts w:ascii="Arial" w:hAnsi="Arial" w:cs="Arial"/>
          <w:sz w:val="24"/>
          <w:szCs w:val="24"/>
        </w:rPr>
      </w:pPr>
      <w:r w:rsidRPr="003E415F">
        <w:rPr>
          <w:rFonts w:ascii="Arial" w:hAnsi="Arial" w:cs="Arial"/>
          <w:sz w:val="24"/>
          <w:szCs w:val="24"/>
        </w:rPr>
        <w:t>Stationary Source Division</w:t>
      </w:r>
    </w:p>
    <w:p w:rsidR="007124AB" w:rsidRPr="003E415F" w:rsidRDefault="007124AB" w:rsidP="007124AB">
      <w:pPr>
        <w:ind w:firstLine="720"/>
        <w:rPr>
          <w:rFonts w:ascii="Arial" w:hAnsi="Arial" w:cs="Arial"/>
          <w:sz w:val="24"/>
          <w:szCs w:val="24"/>
        </w:rPr>
      </w:pPr>
      <w:r w:rsidRPr="003E415F">
        <w:rPr>
          <w:rFonts w:ascii="Arial" w:hAnsi="Arial" w:cs="Arial"/>
          <w:sz w:val="24"/>
          <w:szCs w:val="24"/>
        </w:rPr>
        <w:t>Project Assessment Branch,</w:t>
      </w:r>
      <w:r>
        <w:rPr>
          <w:rFonts w:ascii="Arial" w:hAnsi="Arial" w:cs="Arial"/>
          <w:sz w:val="24"/>
          <w:szCs w:val="24"/>
        </w:rPr>
        <w:t xml:space="preserve"> </w:t>
      </w:r>
      <w:r w:rsidRPr="003E415F">
        <w:rPr>
          <w:rFonts w:ascii="Arial" w:hAnsi="Arial" w:cs="Arial"/>
          <w:sz w:val="24"/>
          <w:szCs w:val="24"/>
        </w:rPr>
        <w:t>Energy Section</w:t>
      </w:r>
    </w:p>
    <w:p w:rsidR="007124AB" w:rsidRPr="003E415F" w:rsidRDefault="007124AB" w:rsidP="007124AB">
      <w:pPr>
        <w:ind w:firstLine="720"/>
        <w:rPr>
          <w:rFonts w:ascii="Arial" w:hAnsi="Arial" w:cs="Arial"/>
          <w:sz w:val="24"/>
          <w:szCs w:val="24"/>
        </w:rPr>
      </w:pPr>
      <w:r w:rsidRPr="003E415F">
        <w:rPr>
          <w:rFonts w:ascii="Arial" w:hAnsi="Arial" w:cs="Arial"/>
          <w:sz w:val="24"/>
          <w:szCs w:val="24"/>
        </w:rPr>
        <w:t>P.O Box 2815</w:t>
      </w:r>
    </w:p>
    <w:p w:rsidR="007124AB" w:rsidRDefault="007124AB" w:rsidP="007124AB">
      <w:pPr>
        <w:ind w:firstLine="720"/>
        <w:rPr>
          <w:rFonts w:ascii="Arial" w:hAnsi="Arial" w:cs="Arial"/>
          <w:sz w:val="24"/>
          <w:szCs w:val="24"/>
        </w:rPr>
      </w:pPr>
      <w:r w:rsidRPr="003E415F">
        <w:rPr>
          <w:rFonts w:ascii="Arial" w:hAnsi="Arial" w:cs="Arial"/>
          <w:sz w:val="24"/>
          <w:szCs w:val="24"/>
        </w:rPr>
        <w:t>Sacramento, CA 95812</w:t>
      </w:r>
    </w:p>
    <w:p w:rsidR="00B03AF1" w:rsidRDefault="00B03A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466235" w:rsidRDefault="00B419DE" w:rsidP="00466235">
      <w:pPr>
        <w:rPr>
          <w:rFonts w:ascii="Arial" w:hAnsi="Arial" w:cs="Arial"/>
          <w:b/>
          <w:sz w:val="18"/>
          <w:szCs w:val="18"/>
        </w:rPr>
      </w:pPr>
      <w:r w:rsidRPr="00DE29AD">
        <w:rPr>
          <w:rFonts w:ascii="Arial" w:hAnsi="Arial" w:cs="Arial"/>
          <w:b/>
          <w:bCs/>
          <w:sz w:val="24"/>
          <w:szCs w:val="24"/>
        </w:rPr>
        <w:lastRenderedPageBreak/>
        <w:t>General Information</w:t>
      </w:r>
    </w:p>
    <w:tbl>
      <w:tblPr>
        <w:tblW w:w="997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410"/>
        <w:gridCol w:w="2160"/>
        <w:gridCol w:w="3406"/>
      </w:tblGrid>
      <w:tr w:rsidR="00466235" w:rsidTr="00B419DE">
        <w:trPr>
          <w:trHeight w:val="126"/>
        </w:trPr>
        <w:tc>
          <w:tcPr>
            <w:tcW w:w="9976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  <w:hideMark/>
          </w:tcPr>
          <w:p w:rsidR="00466235" w:rsidRPr="00B419DE" w:rsidRDefault="00FF18B3" w:rsidP="00B419D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Fill in</w:t>
            </w:r>
            <w:r w:rsidR="00B419D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all of the following information</w:t>
            </w:r>
          </w:p>
        </w:tc>
      </w:tr>
      <w:tr w:rsidR="00DE29AD" w:rsidTr="00DE29AD">
        <w:trPr>
          <w:trHeight w:val="450"/>
        </w:trPr>
        <w:tc>
          <w:tcPr>
            <w:tcW w:w="997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E29AD" w:rsidRPr="00DE29AD" w:rsidRDefault="00DE29AD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Port:</w:t>
            </w:r>
            <w:r w:rsidR="00547C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29AD" w:rsidTr="00DE29AD">
        <w:trPr>
          <w:trHeight w:val="450"/>
        </w:trPr>
        <w:tc>
          <w:tcPr>
            <w:tcW w:w="9976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E29AD" w:rsidRPr="00DE29AD" w:rsidRDefault="00DE29AD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Vessel Fleet Operator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466235" w:rsidTr="00DE29AD">
        <w:trPr>
          <w:trHeight w:val="450"/>
        </w:trPr>
        <w:tc>
          <w:tcPr>
            <w:tcW w:w="997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  <w:hideMark/>
          </w:tcPr>
          <w:p w:rsidR="00466235" w:rsidRPr="00DE29AD" w:rsidRDefault="00466235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Address</w:t>
            </w:r>
            <w:r w:rsidR="00D41657" w:rsidRPr="00DE29A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466235" w:rsidTr="000A1E92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66235" w:rsidRPr="00DE29AD" w:rsidRDefault="00466235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City</w:t>
            </w:r>
            <w:r w:rsidR="00D41657" w:rsidRPr="00DE29A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66235" w:rsidRPr="00DE29AD" w:rsidRDefault="00466235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State</w:t>
            </w:r>
            <w:r w:rsidR="00D41657" w:rsidRPr="00DE29A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  <w:hideMark/>
          </w:tcPr>
          <w:p w:rsidR="00466235" w:rsidRPr="00DE29AD" w:rsidRDefault="00466235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Zip</w:t>
            </w:r>
            <w:r w:rsidR="00D41657" w:rsidRPr="00DE29A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466235" w:rsidTr="00392E47">
        <w:trPr>
          <w:trHeight w:val="450"/>
        </w:trPr>
        <w:tc>
          <w:tcPr>
            <w:tcW w:w="657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66235" w:rsidRPr="00DE29AD" w:rsidRDefault="00466235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Contact Person</w:t>
            </w:r>
            <w:r w:rsidR="00D41657" w:rsidRPr="00DE29A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  <w:hideMark/>
          </w:tcPr>
          <w:p w:rsidR="00466235" w:rsidRPr="00DE29AD" w:rsidRDefault="00466235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Title</w:t>
            </w:r>
            <w:r w:rsidR="00D41657" w:rsidRPr="00DE29A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0A1E92" w:rsidTr="00392E47">
        <w:trPr>
          <w:trHeight w:val="450"/>
        </w:trPr>
        <w:tc>
          <w:tcPr>
            <w:tcW w:w="657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E92" w:rsidRPr="00DE29AD" w:rsidRDefault="000A1E92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noWrap/>
            <w:vAlign w:val="center"/>
            <w:hideMark/>
          </w:tcPr>
          <w:p w:rsidR="000A1E92" w:rsidRPr="00DE29AD" w:rsidRDefault="000A1E92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 xml:space="preserve">Phone: </w:t>
            </w:r>
          </w:p>
        </w:tc>
      </w:tr>
    </w:tbl>
    <w:p w:rsidR="00435555" w:rsidRDefault="00435555">
      <w:pPr>
        <w:rPr>
          <w:rFonts w:ascii="Arial" w:hAnsi="Arial" w:cs="Arial"/>
          <w:sz w:val="24"/>
          <w:szCs w:val="24"/>
        </w:rPr>
      </w:pPr>
    </w:p>
    <w:p w:rsidR="00B419DE" w:rsidRDefault="00693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Scenarios</w:t>
      </w:r>
    </w:p>
    <w:tbl>
      <w:tblPr>
        <w:tblW w:w="997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16"/>
        <w:gridCol w:w="1440"/>
        <w:gridCol w:w="7920"/>
      </w:tblGrid>
      <w:tr w:rsidR="00B419DE" w:rsidRPr="00DE29AD" w:rsidTr="00B419DE">
        <w:trPr>
          <w:trHeight w:val="414"/>
        </w:trPr>
        <w:tc>
          <w:tcPr>
            <w:tcW w:w="9976" w:type="dxa"/>
            <w:gridSpan w:val="3"/>
            <w:tcBorders>
              <w:top w:val="double" w:sz="6" w:space="0" w:color="000000"/>
              <w:left w:val="double" w:sz="6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B419DE" w:rsidRPr="00B419DE" w:rsidRDefault="00B419DE" w:rsidP="00D1382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19DE">
              <w:rPr>
                <w:rFonts w:ascii="Arial" w:hAnsi="Arial" w:cs="Arial"/>
                <w:i/>
                <w:sz w:val="24"/>
                <w:szCs w:val="24"/>
              </w:rPr>
              <w:t xml:space="preserve">Check each scenario that </w:t>
            </w:r>
            <w:r w:rsidR="00D13825">
              <w:rPr>
                <w:rFonts w:ascii="Arial" w:hAnsi="Arial" w:cs="Arial"/>
                <w:i/>
                <w:sz w:val="24"/>
                <w:szCs w:val="24"/>
              </w:rPr>
              <w:t>this fleet will be reporting for on this form</w:t>
            </w:r>
          </w:p>
        </w:tc>
      </w:tr>
      <w:tr w:rsidR="00435555" w:rsidTr="00A0173F">
        <w:trPr>
          <w:trHeight w:val="450"/>
        </w:trPr>
        <w:sdt>
          <w:sdtPr>
            <w:rPr>
              <w:rFonts w:ascii="Arial" w:hAnsi="Arial" w:cs="Arial"/>
              <w:sz w:val="40"/>
              <w:szCs w:val="24"/>
            </w:rPr>
            <w:alias w:val="Scenario 1"/>
            <w:tag w:val="Scenario 1"/>
            <w:id w:val="-142634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  <w:p w:rsidR="00435555" w:rsidRPr="00DE29AD" w:rsidRDefault="00B03AF1" w:rsidP="00A017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34" w:rsidRPr="00DE29AD" w:rsidRDefault="00435555" w:rsidP="00BC4834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Scenario 1</w:t>
            </w:r>
            <w:r w:rsidR="00BC48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35555" w:rsidRPr="00DE29AD" w:rsidRDefault="008A1ADA" w:rsidP="008A1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435555" w:rsidRPr="00DE29AD">
              <w:rPr>
                <w:rFonts w:ascii="Arial" w:hAnsi="Arial" w:cs="Arial"/>
                <w:sz w:val="24"/>
                <w:szCs w:val="24"/>
              </w:rPr>
              <w:t>leet is equipped to receive shore power but the terminal’s berth is not ready to provide shore power.</w:t>
            </w:r>
          </w:p>
        </w:tc>
      </w:tr>
      <w:tr w:rsidR="00435555" w:rsidTr="00A0173F">
        <w:trPr>
          <w:trHeight w:val="450"/>
        </w:trPr>
        <w:sdt>
          <w:sdtPr>
            <w:rPr>
              <w:rFonts w:ascii="Arial" w:hAnsi="Arial" w:cs="Arial"/>
              <w:sz w:val="40"/>
              <w:szCs w:val="24"/>
            </w:rPr>
            <w:alias w:val="Scenario 2"/>
            <w:tag w:val="Scenario 2"/>
            <w:id w:val="13464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  <w:p w:rsidR="00435555" w:rsidRPr="00DE29AD" w:rsidRDefault="00435555" w:rsidP="00A017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5" w:rsidRPr="00DE29AD" w:rsidRDefault="00435555" w:rsidP="00A0173F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Scenario 2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35555" w:rsidRPr="00DE29AD" w:rsidRDefault="008A1ADA" w:rsidP="008A1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35555" w:rsidRPr="00DE29AD">
              <w:rPr>
                <w:rFonts w:ascii="Arial" w:hAnsi="Arial" w:cs="Arial"/>
                <w:sz w:val="24"/>
                <w:szCs w:val="24"/>
              </w:rPr>
              <w:t xml:space="preserve">uring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35555" w:rsidRPr="00DE29AD">
              <w:rPr>
                <w:rFonts w:ascii="Arial" w:hAnsi="Arial" w:cs="Arial"/>
                <w:sz w:val="24"/>
                <w:szCs w:val="24"/>
              </w:rPr>
              <w:t>first commissioning visit to a terminal</w:t>
            </w:r>
            <w:r>
              <w:rPr>
                <w:rFonts w:ascii="Arial" w:hAnsi="Arial" w:cs="Arial"/>
                <w:sz w:val="24"/>
                <w:szCs w:val="24"/>
              </w:rPr>
              <w:t xml:space="preserve"> in 2014</w:t>
            </w:r>
            <w:r w:rsidR="00435555" w:rsidRPr="00DE29AD">
              <w:rPr>
                <w:rFonts w:ascii="Arial" w:hAnsi="Arial" w:cs="Arial"/>
                <w:sz w:val="24"/>
                <w:szCs w:val="24"/>
              </w:rPr>
              <w:t>, the auxiliary engines operate longer than three hours.</w:t>
            </w:r>
          </w:p>
        </w:tc>
      </w:tr>
      <w:tr w:rsidR="00435555" w:rsidTr="00A0173F">
        <w:trPr>
          <w:trHeight w:val="450"/>
        </w:trPr>
        <w:sdt>
          <w:sdtPr>
            <w:rPr>
              <w:rFonts w:ascii="Arial" w:hAnsi="Arial" w:cs="Arial"/>
              <w:sz w:val="40"/>
              <w:szCs w:val="24"/>
            </w:rPr>
            <w:alias w:val="Scenario 3"/>
            <w:tag w:val="Scenario 3"/>
            <w:id w:val="-139889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  <w:p w:rsidR="00435555" w:rsidRPr="00DE29AD" w:rsidRDefault="00435555" w:rsidP="00A017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5" w:rsidRPr="00DE29AD" w:rsidRDefault="00435555" w:rsidP="00A0173F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Scenario 3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35555" w:rsidRPr="00DE29AD" w:rsidRDefault="00435555" w:rsidP="008A1ADA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 xml:space="preserve">During the first and second calendar quarter of 2014, </w:t>
            </w:r>
            <w:r w:rsidR="008A1ADA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DE29AD">
              <w:rPr>
                <w:rFonts w:ascii="Arial" w:hAnsi="Arial" w:cs="Arial"/>
                <w:sz w:val="24"/>
                <w:szCs w:val="24"/>
              </w:rPr>
              <w:t>vessel</w:t>
            </w:r>
            <w:r w:rsidR="008A1A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29AD">
              <w:rPr>
                <w:rFonts w:ascii="Arial" w:hAnsi="Arial" w:cs="Arial"/>
                <w:sz w:val="24"/>
                <w:szCs w:val="24"/>
              </w:rPr>
              <w:t>uses shore power but fails to meet the three/five-hour time limit</w:t>
            </w:r>
            <w:r w:rsidR="008A1ADA">
              <w:rPr>
                <w:rFonts w:ascii="Arial" w:hAnsi="Arial" w:cs="Arial"/>
                <w:sz w:val="24"/>
                <w:szCs w:val="24"/>
              </w:rPr>
              <w:t>s</w:t>
            </w:r>
            <w:r w:rsidRPr="00DE29AD">
              <w:rPr>
                <w:rFonts w:ascii="Arial" w:hAnsi="Arial" w:cs="Arial"/>
                <w:sz w:val="24"/>
                <w:szCs w:val="24"/>
              </w:rPr>
              <w:t xml:space="preserve"> for connecting </w:t>
            </w:r>
            <w:r w:rsidR="008A1ADA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DE29AD">
              <w:rPr>
                <w:rFonts w:ascii="Arial" w:hAnsi="Arial" w:cs="Arial"/>
                <w:sz w:val="24"/>
                <w:szCs w:val="24"/>
              </w:rPr>
              <w:t>disconnecting shore power.</w:t>
            </w:r>
          </w:p>
        </w:tc>
      </w:tr>
      <w:tr w:rsidR="00435555" w:rsidTr="00A0173F">
        <w:trPr>
          <w:trHeight w:val="450"/>
        </w:trPr>
        <w:sdt>
          <w:sdtPr>
            <w:rPr>
              <w:rFonts w:ascii="Arial" w:hAnsi="Arial" w:cs="Arial"/>
              <w:sz w:val="40"/>
              <w:szCs w:val="24"/>
            </w:rPr>
            <w:alias w:val="Scenario 4"/>
            <w:tag w:val="Scenario 4"/>
            <w:id w:val="95189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  <w:p w:rsidR="00435555" w:rsidRPr="00DE29AD" w:rsidRDefault="00435555" w:rsidP="00A017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5" w:rsidRPr="00DE29AD" w:rsidRDefault="00435555" w:rsidP="00A0173F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Scenario 4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35555" w:rsidRPr="00DE29AD" w:rsidRDefault="00435555" w:rsidP="00A0173F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During the first and second calendar quarters of 2014, a vessel is unable to use shore power due to delays in receiving shore power equipment and making retrofits to the vessel to utilize the equipment.</w:t>
            </w:r>
          </w:p>
        </w:tc>
      </w:tr>
      <w:tr w:rsidR="00435555" w:rsidTr="00A0173F">
        <w:trPr>
          <w:trHeight w:val="450"/>
        </w:trPr>
        <w:sdt>
          <w:sdtPr>
            <w:rPr>
              <w:rFonts w:ascii="Arial" w:hAnsi="Arial" w:cs="Arial"/>
              <w:sz w:val="40"/>
              <w:szCs w:val="24"/>
            </w:rPr>
            <w:alias w:val="Scenario 5"/>
            <w:tag w:val="Scenario 5"/>
            <w:id w:val="106414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double" w:sz="6" w:space="0" w:color="auto"/>
                  <w:bottom w:val="double" w:sz="6" w:space="0" w:color="000000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  <w:p w:rsidR="00435555" w:rsidRPr="00DE29AD" w:rsidRDefault="00435555" w:rsidP="00A017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555" w:rsidRPr="00DE29AD" w:rsidRDefault="00435555" w:rsidP="00A0173F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Scenario 5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35555" w:rsidRPr="00DE29AD" w:rsidRDefault="00435555" w:rsidP="00A0173F">
            <w:pPr>
              <w:rPr>
                <w:rFonts w:ascii="Arial" w:hAnsi="Arial" w:cs="Arial"/>
                <w:sz w:val="24"/>
                <w:szCs w:val="24"/>
              </w:rPr>
            </w:pPr>
            <w:r w:rsidRPr="00BC666D">
              <w:rPr>
                <w:rFonts w:ascii="Arial" w:hAnsi="Arial" w:cs="Arial"/>
                <w:sz w:val="24"/>
                <w:szCs w:val="24"/>
              </w:rPr>
              <w:t>During the first and second calendar quarters of 2014, vessels are using an alternative technology (while that technology is undergoing in-use emission testing) to help comply with the At-Berth Regulation.</w:t>
            </w:r>
          </w:p>
        </w:tc>
      </w:tr>
    </w:tbl>
    <w:p w:rsidR="00435555" w:rsidRDefault="00435555" w:rsidP="00435555">
      <w:pPr>
        <w:rPr>
          <w:rFonts w:ascii="Arial" w:hAnsi="Arial" w:cs="Arial"/>
          <w:b/>
        </w:rPr>
      </w:pPr>
    </w:p>
    <w:p w:rsidR="00435555" w:rsidRDefault="00435555" w:rsidP="00435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5555" w:rsidRDefault="00435555">
      <w:pPr>
        <w:rPr>
          <w:rFonts w:ascii="Arial" w:hAnsi="Arial" w:cs="Arial"/>
          <w:sz w:val="24"/>
          <w:szCs w:val="24"/>
        </w:rPr>
      </w:pPr>
    </w:p>
    <w:p w:rsidR="00466235" w:rsidRDefault="00466235">
      <w:pPr>
        <w:rPr>
          <w:rFonts w:ascii="Arial" w:hAnsi="Arial" w:cs="Arial"/>
          <w:sz w:val="24"/>
          <w:szCs w:val="24"/>
        </w:rPr>
      </w:pPr>
    </w:p>
    <w:p w:rsidR="00B07461" w:rsidRDefault="00B0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Scenario 1 – </w:t>
      </w:r>
      <w:r w:rsidR="008A1ADA">
        <w:rPr>
          <w:rFonts w:ascii="Arial" w:hAnsi="Arial" w:cs="Arial"/>
          <w:sz w:val="24"/>
          <w:szCs w:val="24"/>
        </w:rPr>
        <w:t>F</w:t>
      </w:r>
      <w:r w:rsidR="008A1ADA" w:rsidRPr="00DE29AD">
        <w:rPr>
          <w:rFonts w:ascii="Arial" w:hAnsi="Arial" w:cs="Arial"/>
          <w:sz w:val="24"/>
          <w:szCs w:val="24"/>
        </w:rPr>
        <w:t>leet is equipped to receive shore power but the terminal’s berth is not ready to provide shore power.</w:t>
      </w:r>
    </w:p>
    <w:p w:rsidR="00B419DE" w:rsidRDefault="00B419DE">
      <w:pPr>
        <w:rPr>
          <w:rFonts w:ascii="Arial" w:hAnsi="Arial" w:cs="Arial"/>
          <w:b/>
          <w:bCs/>
          <w:sz w:val="24"/>
          <w:szCs w:val="24"/>
        </w:rPr>
      </w:pPr>
    </w:p>
    <w:p w:rsidR="00B419DE" w:rsidRPr="00D13825" w:rsidRDefault="00D138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Quarterly Verification</w:t>
      </w:r>
      <w:r w:rsidR="00B419DE">
        <w:rPr>
          <w:rFonts w:ascii="Arial" w:hAnsi="Arial" w:cs="Arial"/>
          <w:b/>
          <w:bCs/>
          <w:sz w:val="24"/>
          <w:szCs w:val="24"/>
        </w:rPr>
        <w:t xml:space="preserve"> for Scenario 1</w:t>
      </w:r>
    </w:p>
    <w:tbl>
      <w:tblPr>
        <w:tblW w:w="9990" w:type="dxa"/>
        <w:tblInd w:w="-252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B419DE" w:rsidTr="0000461F">
        <w:trPr>
          <w:trHeight w:val="74"/>
        </w:trPr>
        <w:tc>
          <w:tcPr>
            <w:tcW w:w="99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tcMar>
              <w:top w:w="115" w:type="dxa"/>
              <w:bottom w:w="115" w:type="dxa"/>
            </w:tcMar>
            <w:vAlign w:val="center"/>
            <w:hideMark/>
          </w:tcPr>
          <w:p w:rsidR="00B419DE" w:rsidRPr="00DE29AD" w:rsidRDefault="00D13825" w:rsidP="000046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At the end of each quarter, </w:t>
            </w:r>
            <w:r w:rsidR="00FF18B3">
              <w:rPr>
                <w:rFonts w:ascii="Arial" w:hAnsi="Arial" w:cs="Arial"/>
                <w:bCs/>
                <w:i/>
                <w:sz w:val="24"/>
                <w:szCs w:val="24"/>
              </w:rPr>
              <w:t>fill in</w:t>
            </w:r>
            <w:r w:rsidR="00B419D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all of the following information and attach the</w:t>
            </w:r>
            <w:r w:rsidR="008E4F1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vessel visit schedule</w:t>
            </w:r>
            <w:r w:rsidR="00C158AB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</w:tc>
      </w:tr>
      <w:tr w:rsidR="00D13825" w:rsidTr="0000461F">
        <w:trPr>
          <w:trHeight w:val="74"/>
        </w:trPr>
        <w:tc>
          <w:tcPr>
            <w:tcW w:w="9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tcMar>
              <w:top w:w="115" w:type="dxa"/>
              <w:bottom w:w="115" w:type="dxa"/>
            </w:tcMar>
            <w:vAlign w:val="center"/>
          </w:tcPr>
          <w:p w:rsidR="009C0C8F" w:rsidRDefault="009C0C8F" w:rsidP="000046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0C8F">
              <w:rPr>
                <w:rFonts w:ascii="Arial" w:hAnsi="Arial" w:cs="Arial"/>
                <w:bCs/>
                <w:sz w:val="24"/>
                <w:szCs w:val="24"/>
              </w:rPr>
              <w:t xml:space="preserve">1)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Which quarter of 2014 are you submitting verification for?  (Check one)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9"/>
              <w:gridCol w:w="4948"/>
              <w:gridCol w:w="4193"/>
            </w:tblGrid>
            <w:tr w:rsidR="00663667" w:rsidTr="0000461F">
              <w:trPr>
                <w:trHeight w:val="233"/>
              </w:trPr>
              <w:sdt>
                <w:sdtPr>
                  <w:rPr>
                    <w:rFonts w:ascii="Arial" w:hAnsi="Arial" w:cs="Arial"/>
                    <w:sz w:val="32"/>
                    <w:szCs w:val="24"/>
                  </w:rPr>
                  <w:alias w:val="Scenario 1 - Q1"/>
                  <w:tag w:val="Scenario 1 - Q1"/>
                  <w:id w:val="1385911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9" w:type="dxa"/>
                      <w:vAlign w:val="center"/>
                    </w:tcPr>
                    <w:p w:rsidR="00663667" w:rsidRPr="007C4D7A" w:rsidRDefault="00663667" w:rsidP="0000461F">
                      <w:pPr>
                        <w:rPr>
                          <w:rFonts w:ascii="Arial" w:hAnsi="Arial" w:cs="Arial"/>
                          <w:bCs/>
                          <w:sz w:val="32"/>
                          <w:szCs w:val="24"/>
                        </w:rPr>
                      </w:pPr>
                      <w:r w:rsidRPr="007C4D7A">
                        <w:rPr>
                          <w:rFonts w:ascii="MS Gothic" w:eastAsia="MS Gothic" w:hAnsi="MS Gothic" w:cs="Arial" w:hint="eastAsia"/>
                          <w:sz w:val="32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48" w:type="dxa"/>
                  <w:vAlign w:val="center"/>
                </w:tcPr>
                <w:p w:rsidR="00663667" w:rsidRDefault="00663667" w:rsidP="0000461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Q1: January 1, 2014 – March 31, 2014</w:t>
                  </w:r>
                </w:p>
              </w:tc>
              <w:tc>
                <w:tcPr>
                  <w:tcW w:w="4193" w:type="dxa"/>
                  <w:vAlign w:val="center"/>
                </w:tcPr>
                <w:p w:rsidR="00663667" w:rsidRDefault="00663667" w:rsidP="0032693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Submit by </w:t>
                  </w:r>
                  <w:r w:rsidR="0032693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June 1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, 2014</w:t>
                  </w:r>
                </w:p>
              </w:tc>
            </w:tr>
            <w:tr w:rsidR="00663667" w:rsidTr="0000461F">
              <w:sdt>
                <w:sdtPr>
                  <w:rPr>
                    <w:rFonts w:ascii="Arial" w:hAnsi="Arial" w:cs="Arial"/>
                    <w:sz w:val="32"/>
                    <w:szCs w:val="24"/>
                  </w:rPr>
                  <w:alias w:val="Scenario 1 - Q2"/>
                  <w:tag w:val="Scenario 1 - Q2"/>
                  <w:id w:val="-1133554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9" w:type="dxa"/>
                      <w:vAlign w:val="center"/>
                    </w:tcPr>
                    <w:p w:rsidR="00663667" w:rsidRPr="007C4D7A" w:rsidRDefault="00663667" w:rsidP="0000461F">
                      <w:pPr>
                        <w:rPr>
                          <w:rFonts w:ascii="Arial" w:hAnsi="Arial" w:cs="Arial"/>
                          <w:bCs/>
                          <w:sz w:val="32"/>
                          <w:szCs w:val="24"/>
                        </w:rPr>
                      </w:pPr>
                      <w:r w:rsidRPr="007C4D7A">
                        <w:rPr>
                          <w:rFonts w:ascii="MS Gothic" w:eastAsia="MS Gothic" w:hAnsi="MS Gothic" w:cs="Arial" w:hint="eastAsia"/>
                          <w:sz w:val="32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48" w:type="dxa"/>
                  <w:vAlign w:val="center"/>
                </w:tcPr>
                <w:p w:rsidR="00663667" w:rsidRDefault="00663667" w:rsidP="0000461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Q2: April 1, 2014 – June 30, 2014</w:t>
                  </w:r>
                </w:p>
              </w:tc>
              <w:tc>
                <w:tcPr>
                  <w:tcW w:w="4193" w:type="dxa"/>
                  <w:vAlign w:val="center"/>
                </w:tcPr>
                <w:p w:rsidR="00663667" w:rsidRDefault="00663667" w:rsidP="0032693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Submit by </w:t>
                  </w:r>
                  <w:r w:rsidR="0032693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September 1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, 2014</w:t>
                  </w:r>
                </w:p>
              </w:tc>
            </w:tr>
            <w:tr w:rsidR="00663667" w:rsidTr="0000461F">
              <w:sdt>
                <w:sdtPr>
                  <w:rPr>
                    <w:rFonts w:ascii="Arial" w:hAnsi="Arial" w:cs="Arial"/>
                    <w:sz w:val="32"/>
                    <w:szCs w:val="24"/>
                  </w:rPr>
                  <w:alias w:val="Scenario 1 - Q3"/>
                  <w:tag w:val="Scenario 1 - Q3"/>
                  <w:id w:val="407275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9" w:type="dxa"/>
                      <w:vAlign w:val="center"/>
                    </w:tcPr>
                    <w:p w:rsidR="00663667" w:rsidRPr="007C4D7A" w:rsidRDefault="00663667" w:rsidP="0000461F">
                      <w:pPr>
                        <w:rPr>
                          <w:rFonts w:ascii="Arial" w:hAnsi="Arial" w:cs="Arial"/>
                          <w:bCs/>
                          <w:sz w:val="32"/>
                          <w:szCs w:val="24"/>
                        </w:rPr>
                      </w:pPr>
                      <w:r w:rsidRPr="007C4D7A">
                        <w:rPr>
                          <w:rFonts w:ascii="MS Gothic" w:eastAsia="MS Gothic" w:hAnsi="MS Gothic" w:cs="Arial" w:hint="eastAsia"/>
                          <w:sz w:val="32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48" w:type="dxa"/>
                  <w:vAlign w:val="center"/>
                </w:tcPr>
                <w:p w:rsidR="00663667" w:rsidRDefault="00663667" w:rsidP="0000461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Q3: July 1, 2014 – September 30, 2014</w:t>
                  </w:r>
                </w:p>
              </w:tc>
              <w:tc>
                <w:tcPr>
                  <w:tcW w:w="4193" w:type="dxa"/>
                  <w:vAlign w:val="center"/>
                </w:tcPr>
                <w:p w:rsidR="00663667" w:rsidRDefault="00663667" w:rsidP="0032693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Submit by </w:t>
                  </w:r>
                  <w:r w:rsidR="0032693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December 1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, 2014</w:t>
                  </w:r>
                </w:p>
              </w:tc>
            </w:tr>
            <w:tr w:rsidR="00663667" w:rsidTr="0000461F">
              <w:sdt>
                <w:sdtPr>
                  <w:rPr>
                    <w:rFonts w:ascii="Arial" w:hAnsi="Arial" w:cs="Arial"/>
                    <w:sz w:val="32"/>
                    <w:szCs w:val="24"/>
                  </w:rPr>
                  <w:alias w:val="Scenario 1 - Q4"/>
                  <w:tag w:val="Scenario 1 - Q4"/>
                  <w:id w:val="1816299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9" w:type="dxa"/>
                      <w:vAlign w:val="center"/>
                    </w:tcPr>
                    <w:p w:rsidR="00663667" w:rsidRPr="007C4D7A" w:rsidRDefault="00663667" w:rsidP="0000461F">
                      <w:pPr>
                        <w:rPr>
                          <w:rFonts w:ascii="Arial" w:hAnsi="Arial" w:cs="Arial"/>
                          <w:bCs/>
                          <w:sz w:val="32"/>
                          <w:szCs w:val="24"/>
                        </w:rPr>
                      </w:pPr>
                      <w:r w:rsidRPr="007C4D7A">
                        <w:rPr>
                          <w:rFonts w:ascii="MS Gothic" w:eastAsia="MS Gothic" w:hAnsi="MS Gothic" w:cs="Arial" w:hint="eastAsia"/>
                          <w:sz w:val="32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48" w:type="dxa"/>
                  <w:vAlign w:val="center"/>
                </w:tcPr>
                <w:p w:rsidR="00663667" w:rsidRDefault="00663667" w:rsidP="0000461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Q4: October 1, 2014 – December 31, 2014</w:t>
                  </w:r>
                </w:p>
              </w:tc>
              <w:tc>
                <w:tcPr>
                  <w:tcW w:w="4193" w:type="dxa"/>
                  <w:vAlign w:val="center"/>
                </w:tcPr>
                <w:p w:rsidR="00663667" w:rsidRDefault="00663667" w:rsidP="0032693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Submit by </w:t>
                  </w:r>
                  <w:r w:rsidR="0032693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March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32693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, 2015</w:t>
                  </w:r>
                </w:p>
              </w:tc>
            </w:tr>
          </w:tbl>
          <w:p w:rsidR="009C0C8F" w:rsidRPr="009C0C8F" w:rsidRDefault="009C0C8F" w:rsidP="000046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19DE" w:rsidTr="0000461F">
        <w:trPr>
          <w:trHeight w:val="450"/>
        </w:trPr>
        <w:tc>
          <w:tcPr>
            <w:tcW w:w="999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tcMar>
              <w:top w:w="115" w:type="dxa"/>
              <w:bottom w:w="115" w:type="dxa"/>
            </w:tcMar>
            <w:vAlign w:val="center"/>
          </w:tcPr>
          <w:p w:rsidR="00B419DE" w:rsidRDefault="009C0C8F" w:rsidP="00004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419DE">
              <w:rPr>
                <w:rFonts w:ascii="Arial" w:hAnsi="Arial" w:cs="Arial"/>
                <w:sz w:val="24"/>
                <w:szCs w:val="24"/>
              </w:rPr>
              <w:t xml:space="preserve">) List the berths that have completed load bank testing </w:t>
            </w:r>
            <w:r w:rsidR="00D13825">
              <w:rPr>
                <w:rFonts w:ascii="Arial" w:hAnsi="Arial" w:cs="Arial"/>
                <w:sz w:val="24"/>
                <w:szCs w:val="24"/>
              </w:rPr>
              <w:t>in this quarter of 2014</w:t>
            </w:r>
            <w:r w:rsidR="00B419DE">
              <w:rPr>
                <w:rFonts w:ascii="Arial" w:hAnsi="Arial" w:cs="Arial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97"/>
              <w:gridCol w:w="2160"/>
              <w:gridCol w:w="2250"/>
            </w:tblGrid>
            <w:tr w:rsidR="00B419DE" w:rsidTr="00574AB2">
              <w:tc>
                <w:tcPr>
                  <w:tcW w:w="5197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B419DE" w:rsidRDefault="00B419DE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Port / Terminal</w:t>
                  </w:r>
                </w:p>
              </w:tc>
              <w:tc>
                <w:tcPr>
                  <w:tcW w:w="2160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B419DE" w:rsidRDefault="00B419DE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Berth</w:t>
                  </w:r>
                </w:p>
              </w:tc>
              <w:tc>
                <w:tcPr>
                  <w:tcW w:w="2250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B419DE" w:rsidRDefault="00D13825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 w:rsidR="00B419DE">
                    <w:rPr>
                      <w:rFonts w:ascii="Arial" w:hAnsi="Arial" w:cs="Arial"/>
                      <w:sz w:val="24"/>
                      <w:szCs w:val="24"/>
                    </w:rPr>
                    <w:t>ate of load bank test</w:t>
                  </w:r>
                </w:p>
              </w:tc>
            </w:tr>
            <w:tr w:rsidR="00B419DE" w:rsidTr="00574AB2">
              <w:tc>
                <w:tcPr>
                  <w:tcW w:w="5197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B419DE" w:rsidRDefault="00B419DE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B419DE" w:rsidRDefault="00B419DE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B419DE" w:rsidRDefault="00B419DE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419DE" w:rsidTr="00574AB2">
              <w:tc>
                <w:tcPr>
                  <w:tcW w:w="5197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B419DE" w:rsidRDefault="00B419DE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B419DE" w:rsidRDefault="00B419DE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B419DE" w:rsidRDefault="00B419DE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419DE" w:rsidTr="00574AB2">
              <w:tc>
                <w:tcPr>
                  <w:tcW w:w="5197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B419DE" w:rsidRDefault="00B419DE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B419DE" w:rsidRDefault="00B419DE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B419DE" w:rsidRDefault="00B419DE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419DE" w:rsidTr="00574AB2">
              <w:tc>
                <w:tcPr>
                  <w:tcW w:w="5197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B419DE" w:rsidRDefault="00B419DE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B419DE" w:rsidRDefault="00B419DE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Mar>
                    <w:left w:w="115" w:type="dxa"/>
                    <w:right w:w="115" w:type="dxa"/>
                  </w:tcMar>
                  <w:vAlign w:val="center"/>
                </w:tcPr>
                <w:p w:rsidR="00B419DE" w:rsidRDefault="00B419DE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419DE" w:rsidRDefault="00B419DE" w:rsidP="00004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971" w:rsidTr="0000461F">
        <w:trPr>
          <w:trHeight w:val="450"/>
        </w:trPr>
        <w:tc>
          <w:tcPr>
            <w:tcW w:w="999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tcMar>
              <w:top w:w="115" w:type="dxa"/>
              <w:bottom w:w="115" w:type="dxa"/>
            </w:tcMar>
            <w:vAlign w:val="center"/>
          </w:tcPr>
          <w:p w:rsidR="00BC7971" w:rsidRDefault="007A546C" w:rsidP="00004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419DE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BC7971">
              <w:rPr>
                <w:rFonts w:ascii="Arial" w:hAnsi="Arial" w:cs="Arial"/>
                <w:sz w:val="24"/>
                <w:szCs w:val="24"/>
              </w:rPr>
              <w:t xml:space="preserve">List vessels </w:t>
            </w:r>
            <w:r w:rsidR="00B03AF1">
              <w:rPr>
                <w:rFonts w:ascii="Arial" w:hAnsi="Arial" w:cs="Arial"/>
                <w:sz w:val="24"/>
                <w:szCs w:val="24"/>
              </w:rPr>
              <w:t xml:space="preserve">that are ready to commission </w:t>
            </w:r>
            <w:r w:rsidR="00BC7971">
              <w:rPr>
                <w:rFonts w:ascii="Arial" w:hAnsi="Arial" w:cs="Arial"/>
                <w:sz w:val="24"/>
                <w:szCs w:val="24"/>
              </w:rPr>
              <w:t xml:space="preserve">and date each vessel </w:t>
            </w:r>
            <w:r w:rsidR="00B419DE">
              <w:rPr>
                <w:rFonts w:ascii="Arial" w:hAnsi="Arial" w:cs="Arial"/>
                <w:sz w:val="24"/>
                <w:szCs w:val="24"/>
              </w:rPr>
              <w:t>was</w:t>
            </w:r>
            <w:r w:rsidR="00BC7971">
              <w:rPr>
                <w:rFonts w:ascii="Arial" w:hAnsi="Arial" w:cs="Arial"/>
                <w:sz w:val="24"/>
                <w:szCs w:val="24"/>
              </w:rPr>
              <w:t xml:space="preserve"> ready</w:t>
            </w:r>
            <w:r w:rsidR="00B419DE">
              <w:rPr>
                <w:rFonts w:ascii="Arial" w:hAnsi="Arial" w:cs="Arial"/>
                <w:sz w:val="24"/>
                <w:szCs w:val="24"/>
              </w:rPr>
              <w:t xml:space="preserve"> for commissioning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7"/>
              <w:gridCol w:w="2070"/>
              <w:gridCol w:w="2160"/>
              <w:gridCol w:w="2257"/>
            </w:tblGrid>
            <w:tr w:rsidR="00574AB2" w:rsidTr="00574AB2">
              <w:tc>
                <w:tcPr>
                  <w:tcW w:w="312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Vessel</w:t>
                  </w:r>
                </w:p>
              </w:tc>
              <w:tc>
                <w:tcPr>
                  <w:tcW w:w="207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Lloyds number</w:t>
                  </w:r>
                </w:p>
              </w:tc>
              <w:tc>
                <w:tcPr>
                  <w:tcW w:w="216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Date vessel was equipped for shore power</w:t>
                  </w:r>
                </w:p>
              </w:tc>
              <w:tc>
                <w:tcPr>
                  <w:tcW w:w="225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Date vessel will commission</w:t>
                  </w:r>
                </w:p>
              </w:tc>
            </w:tr>
            <w:tr w:rsidR="00574AB2" w:rsidTr="00574AB2">
              <w:tc>
                <w:tcPr>
                  <w:tcW w:w="312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574AB2">
              <w:tc>
                <w:tcPr>
                  <w:tcW w:w="312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574AB2">
              <w:tc>
                <w:tcPr>
                  <w:tcW w:w="312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574AB2">
              <w:tc>
                <w:tcPr>
                  <w:tcW w:w="312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574AB2">
              <w:tc>
                <w:tcPr>
                  <w:tcW w:w="312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AF1" w:rsidRPr="00DE29AD" w:rsidRDefault="00D607FD" w:rsidP="00004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(Additional entries may be listed separately and attached to this form)</w:t>
            </w:r>
          </w:p>
        </w:tc>
      </w:tr>
      <w:tr w:rsidR="00636C24" w:rsidTr="0000461F">
        <w:trPr>
          <w:trHeight w:val="450"/>
        </w:trPr>
        <w:tc>
          <w:tcPr>
            <w:tcW w:w="999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tcMar>
              <w:top w:w="115" w:type="dxa"/>
              <w:bottom w:w="115" w:type="dxa"/>
            </w:tcMar>
            <w:vAlign w:val="center"/>
          </w:tcPr>
          <w:p w:rsidR="00636C24" w:rsidRDefault="00636C24" w:rsidP="00574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4) </w:t>
            </w:r>
            <w:r w:rsidR="00DA1CAE">
              <w:rPr>
                <w:rFonts w:ascii="Arial" w:hAnsi="Arial" w:cs="Arial"/>
                <w:sz w:val="24"/>
                <w:szCs w:val="24"/>
              </w:rPr>
              <w:t>Provide shore power equipment information for each equipped vessel</w:t>
            </w:r>
            <w:r>
              <w:rPr>
                <w:rFonts w:ascii="Arial" w:hAnsi="Arial" w:cs="Arial"/>
                <w:sz w:val="24"/>
                <w:szCs w:val="24"/>
              </w:rPr>
              <w:t>: include photo of equipment including serial number, purchase order / work order for installation, commissioning test results or other e</w:t>
            </w:r>
            <w:r w:rsidRPr="00335D91">
              <w:rPr>
                <w:rFonts w:ascii="Arial" w:hAnsi="Arial" w:cs="Arial"/>
                <w:sz w:val="24"/>
                <w:szCs w:val="24"/>
              </w:rPr>
              <w:t xml:space="preserve">vidence that </w:t>
            </w:r>
            <w:r>
              <w:rPr>
                <w:rFonts w:ascii="Arial" w:hAnsi="Arial" w:cs="Arial"/>
                <w:sz w:val="24"/>
                <w:szCs w:val="24"/>
              </w:rPr>
              <w:t>every vessel</w:t>
            </w:r>
            <w:r w:rsidRPr="00335D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using Scenario 1 is </w:t>
            </w:r>
            <w:r w:rsidRPr="00335D91">
              <w:rPr>
                <w:rFonts w:ascii="Arial" w:hAnsi="Arial" w:cs="Arial"/>
                <w:sz w:val="24"/>
                <w:szCs w:val="24"/>
              </w:rPr>
              <w:t>equipped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ready </w:t>
            </w:r>
            <w:r w:rsidRPr="00335D91">
              <w:rPr>
                <w:rFonts w:ascii="Arial" w:hAnsi="Arial" w:cs="Arial"/>
                <w:sz w:val="24"/>
                <w:szCs w:val="24"/>
              </w:rPr>
              <w:t>to receive shore power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7971" w:rsidTr="0000461F">
        <w:trPr>
          <w:trHeight w:val="450"/>
        </w:trPr>
        <w:tc>
          <w:tcPr>
            <w:tcW w:w="999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15" w:type="dxa"/>
              <w:bottom w:w="115" w:type="dxa"/>
            </w:tcMar>
            <w:vAlign w:val="center"/>
          </w:tcPr>
          <w:p w:rsidR="00BC7971" w:rsidRPr="00E26C67" w:rsidRDefault="00636C24" w:rsidP="00574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419DE">
              <w:rPr>
                <w:rFonts w:ascii="Arial" w:hAnsi="Arial" w:cs="Arial"/>
                <w:sz w:val="24"/>
                <w:szCs w:val="24"/>
              </w:rPr>
              <w:t xml:space="preserve">) Provide </w:t>
            </w:r>
            <w:r w:rsidR="00D13825">
              <w:rPr>
                <w:rFonts w:ascii="Arial" w:hAnsi="Arial" w:cs="Arial"/>
                <w:sz w:val="24"/>
                <w:szCs w:val="24"/>
              </w:rPr>
              <w:t>the schedule of vessels that visited each berth.</w:t>
            </w:r>
            <w:r w:rsidR="00B419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971">
              <w:rPr>
                <w:rFonts w:ascii="Arial" w:hAnsi="Arial" w:cs="Arial"/>
                <w:sz w:val="24"/>
                <w:szCs w:val="24"/>
              </w:rPr>
              <w:t xml:space="preserve">To show this, the fleet </w:t>
            </w:r>
            <w:r w:rsidR="00574AB2">
              <w:rPr>
                <w:rFonts w:ascii="Arial" w:hAnsi="Arial" w:cs="Arial"/>
                <w:sz w:val="24"/>
                <w:szCs w:val="24"/>
              </w:rPr>
              <w:t>will</w:t>
            </w:r>
            <w:r w:rsidR="00BC7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3825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BC7971">
              <w:rPr>
                <w:rFonts w:ascii="Arial" w:hAnsi="Arial" w:cs="Arial"/>
                <w:sz w:val="24"/>
                <w:szCs w:val="24"/>
              </w:rPr>
              <w:t>the Advisory Visit Information</w:t>
            </w:r>
            <w:r w:rsidR="00D13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971">
              <w:rPr>
                <w:rFonts w:ascii="Arial" w:hAnsi="Arial" w:cs="Arial"/>
                <w:sz w:val="24"/>
                <w:szCs w:val="24"/>
              </w:rPr>
              <w:t>spreadsheet</w:t>
            </w:r>
            <w:r w:rsidR="00D13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971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D13825">
              <w:rPr>
                <w:rFonts w:ascii="Arial" w:hAnsi="Arial" w:cs="Arial"/>
                <w:sz w:val="24"/>
                <w:szCs w:val="24"/>
              </w:rPr>
              <w:t xml:space="preserve">the each quarter in </w:t>
            </w:r>
            <w:r w:rsidR="00BC7971">
              <w:rPr>
                <w:rFonts w:ascii="Arial" w:hAnsi="Arial" w:cs="Arial"/>
                <w:sz w:val="24"/>
                <w:szCs w:val="24"/>
              </w:rPr>
              <w:t>2014 where Scenario 1</w:t>
            </w:r>
            <w:r w:rsidR="00B419DE">
              <w:rPr>
                <w:rFonts w:ascii="Arial" w:hAnsi="Arial" w:cs="Arial"/>
                <w:sz w:val="24"/>
                <w:szCs w:val="24"/>
              </w:rPr>
              <w:t xml:space="preserve"> appl</w:t>
            </w:r>
            <w:r w:rsidR="00D13825">
              <w:rPr>
                <w:rFonts w:ascii="Arial" w:hAnsi="Arial" w:cs="Arial"/>
                <w:sz w:val="24"/>
                <w:szCs w:val="24"/>
              </w:rPr>
              <w:t>ies</w:t>
            </w:r>
            <w:r w:rsidR="00BC79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C4D7A" w:rsidRDefault="007C4D7A">
      <w:pPr>
        <w:rPr>
          <w:rFonts w:ascii="Arial" w:hAnsi="Arial" w:cs="Arial"/>
          <w:sz w:val="24"/>
          <w:szCs w:val="24"/>
        </w:rPr>
      </w:pPr>
    </w:p>
    <w:p w:rsidR="00B07461" w:rsidRDefault="00B0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Scenario 2 – </w:t>
      </w:r>
      <w:r w:rsidR="008A1ADA">
        <w:rPr>
          <w:rFonts w:ascii="Arial" w:hAnsi="Arial" w:cs="Arial"/>
          <w:sz w:val="24"/>
          <w:szCs w:val="24"/>
        </w:rPr>
        <w:t>D</w:t>
      </w:r>
      <w:r w:rsidR="008A1ADA" w:rsidRPr="00DE29AD">
        <w:rPr>
          <w:rFonts w:ascii="Arial" w:hAnsi="Arial" w:cs="Arial"/>
          <w:sz w:val="24"/>
          <w:szCs w:val="24"/>
        </w:rPr>
        <w:t xml:space="preserve">uring </w:t>
      </w:r>
      <w:r w:rsidR="008A1ADA">
        <w:rPr>
          <w:rFonts w:ascii="Arial" w:hAnsi="Arial" w:cs="Arial"/>
          <w:sz w:val="24"/>
          <w:szCs w:val="24"/>
        </w:rPr>
        <w:t xml:space="preserve">the </w:t>
      </w:r>
      <w:r w:rsidR="008A1ADA" w:rsidRPr="00DE29AD">
        <w:rPr>
          <w:rFonts w:ascii="Arial" w:hAnsi="Arial" w:cs="Arial"/>
          <w:sz w:val="24"/>
          <w:szCs w:val="24"/>
        </w:rPr>
        <w:t>first commissioning visit to a terminal</w:t>
      </w:r>
      <w:r w:rsidR="008A1ADA">
        <w:rPr>
          <w:rFonts w:ascii="Arial" w:hAnsi="Arial" w:cs="Arial"/>
          <w:sz w:val="24"/>
          <w:szCs w:val="24"/>
        </w:rPr>
        <w:t xml:space="preserve"> in 2014</w:t>
      </w:r>
      <w:r w:rsidR="008A1ADA" w:rsidRPr="00DE29AD">
        <w:rPr>
          <w:rFonts w:ascii="Arial" w:hAnsi="Arial" w:cs="Arial"/>
          <w:sz w:val="24"/>
          <w:szCs w:val="24"/>
        </w:rPr>
        <w:t>, the auxiliary engines operate longer than three hours.</w:t>
      </w:r>
    </w:p>
    <w:p w:rsidR="00B07461" w:rsidRDefault="00B07461">
      <w:pPr>
        <w:rPr>
          <w:rFonts w:ascii="Arial" w:hAnsi="Arial" w:cs="Arial"/>
          <w:sz w:val="24"/>
          <w:szCs w:val="24"/>
        </w:rPr>
      </w:pPr>
    </w:p>
    <w:p w:rsidR="00B419DE" w:rsidRDefault="007A5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Quarterly Verification for </w:t>
      </w:r>
      <w:r w:rsidR="00B419DE">
        <w:rPr>
          <w:rFonts w:ascii="Arial" w:hAnsi="Arial" w:cs="Arial"/>
          <w:b/>
          <w:bCs/>
          <w:sz w:val="24"/>
          <w:szCs w:val="24"/>
        </w:rPr>
        <w:t>Scenario 2</w:t>
      </w:r>
    </w:p>
    <w:tbl>
      <w:tblPr>
        <w:tblW w:w="9990" w:type="dxa"/>
        <w:tblInd w:w="-252" w:type="dxa"/>
        <w:tblBorders>
          <w:top w:val="double" w:sz="6" w:space="0" w:color="auto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7A546C" w:rsidTr="0000461F">
        <w:trPr>
          <w:trHeight w:val="540"/>
        </w:trPr>
        <w:tc>
          <w:tcPr>
            <w:tcW w:w="9990" w:type="dxa"/>
            <w:shd w:val="clear" w:color="auto" w:fill="FFFFFF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A546C" w:rsidRPr="00DE29AD" w:rsidRDefault="007A546C" w:rsidP="00574A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At the end of each quarter, </w:t>
            </w:r>
            <w:r w:rsidR="00FF18B3">
              <w:rPr>
                <w:rFonts w:ascii="Arial" w:hAnsi="Arial" w:cs="Arial"/>
                <w:bCs/>
                <w:i/>
                <w:sz w:val="24"/>
                <w:szCs w:val="24"/>
              </w:rPr>
              <w:t>fill in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all of the following information</w:t>
            </w:r>
            <w:r w:rsidR="00D51FCE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</w:tc>
      </w:tr>
      <w:tr w:rsidR="007A546C" w:rsidTr="0000461F">
        <w:trPr>
          <w:trHeight w:val="540"/>
        </w:trPr>
        <w:tc>
          <w:tcPr>
            <w:tcW w:w="9990" w:type="dxa"/>
            <w:shd w:val="clear" w:color="auto" w:fill="FFFFFF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A546C" w:rsidRDefault="007A546C" w:rsidP="000046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0C8F">
              <w:rPr>
                <w:rFonts w:ascii="Arial" w:hAnsi="Arial" w:cs="Arial"/>
                <w:bCs/>
                <w:sz w:val="24"/>
                <w:szCs w:val="24"/>
              </w:rPr>
              <w:t xml:space="preserve">1)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Which quarter of 2014 are you submitting verification for?  (Check one)</w:t>
            </w:r>
          </w:p>
          <w:tbl>
            <w:tblPr>
              <w:tblStyle w:val="TableGrid"/>
              <w:tblW w:w="13943" w:type="dxa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4948"/>
              <w:gridCol w:w="4193"/>
              <w:gridCol w:w="4193"/>
            </w:tblGrid>
            <w:tr w:rsidR="00326930" w:rsidTr="00E87464">
              <w:trPr>
                <w:trHeight w:val="233"/>
              </w:trPr>
              <w:sdt>
                <w:sdtPr>
                  <w:rPr>
                    <w:rFonts w:ascii="Arial" w:hAnsi="Arial" w:cs="Arial"/>
                    <w:sz w:val="32"/>
                    <w:szCs w:val="24"/>
                  </w:rPr>
                  <w:alias w:val="Scenario 1 - Q1"/>
                  <w:tag w:val="Scenario 1 - Q1"/>
                  <w:id w:val="659968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9" w:type="dxa"/>
                      <w:vAlign w:val="center"/>
                    </w:tcPr>
                    <w:p w:rsidR="00326930" w:rsidRPr="007C4D7A" w:rsidRDefault="00326930" w:rsidP="0000461F">
                      <w:pPr>
                        <w:rPr>
                          <w:rFonts w:ascii="Arial" w:hAnsi="Arial" w:cs="Arial"/>
                          <w:bCs/>
                          <w:sz w:val="32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48" w:type="dxa"/>
                  <w:vAlign w:val="center"/>
                </w:tcPr>
                <w:p w:rsidR="00326930" w:rsidRDefault="00326930" w:rsidP="0000461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Q1: January 1, 2014 – March 31, 2014</w:t>
                  </w:r>
                </w:p>
              </w:tc>
              <w:tc>
                <w:tcPr>
                  <w:tcW w:w="4193" w:type="dxa"/>
                  <w:vAlign w:val="center"/>
                </w:tcPr>
                <w:p w:rsidR="00326930" w:rsidRDefault="00326930" w:rsidP="0020443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Submit by June 1, 2014</w:t>
                  </w:r>
                </w:p>
              </w:tc>
              <w:tc>
                <w:tcPr>
                  <w:tcW w:w="4193" w:type="dxa"/>
                  <w:vAlign w:val="center"/>
                </w:tcPr>
                <w:p w:rsidR="00326930" w:rsidRDefault="00326930" w:rsidP="0000461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Submit by April 30, 2014</w:t>
                  </w:r>
                </w:p>
              </w:tc>
            </w:tr>
            <w:tr w:rsidR="00326930" w:rsidTr="00E87464">
              <w:sdt>
                <w:sdtPr>
                  <w:rPr>
                    <w:rFonts w:ascii="Arial" w:hAnsi="Arial" w:cs="Arial"/>
                    <w:sz w:val="32"/>
                    <w:szCs w:val="24"/>
                  </w:rPr>
                  <w:alias w:val="Scenario 1 - Q2"/>
                  <w:tag w:val="Scenario 1 - Q2"/>
                  <w:id w:val="1960373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9" w:type="dxa"/>
                      <w:vAlign w:val="center"/>
                    </w:tcPr>
                    <w:p w:rsidR="00326930" w:rsidRPr="007C4D7A" w:rsidRDefault="00326930" w:rsidP="0000461F">
                      <w:pPr>
                        <w:rPr>
                          <w:rFonts w:ascii="Arial" w:hAnsi="Arial" w:cs="Arial"/>
                          <w:bCs/>
                          <w:sz w:val="32"/>
                          <w:szCs w:val="24"/>
                        </w:rPr>
                      </w:pPr>
                      <w:r w:rsidRPr="007C4D7A">
                        <w:rPr>
                          <w:rFonts w:ascii="MS Gothic" w:eastAsia="MS Gothic" w:hAnsi="MS Gothic" w:cs="Arial" w:hint="eastAsia"/>
                          <w:sz w:val="32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48" w:type="dxa"/>
                  <w:vAlign w:val="center"/>
                </w:tcPr>
                <w:p w:rsidR="00326930" w:rsidRDefault="00326930" w:rsidP="0000461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Q2: April 1, 2014 – June 30, 2014</w:t>
                  </w:r>
                </w:p>
              </w:tc>
              <w:tc>
                <w:tcPr>
                  <w:tcW w:w="4193" w:type="dxa"/>
                  <w:vAlign w:val="center"/>
                </w:tcPr>
                <w:p w:rsidR="00326930" w:rsidRDefault="00326930" w:rsidP="0020443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Submit by September 1, 2014</w:t>
                  </w:r>
                </w:p>
              </w:tc>
              <w:tc>
                <w:tcPr>
                  <w:tcW w:w="4193" w:type="dxa"/>
                  <w:vAlign w:val="center"/>
                </w:tcPr>
                <w:p w:rsidR="00326930" w:rsidRDefault="00326930" w:rsidP="0000461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Submit by July 30, 2014</w:t>
                  </w:r>
                </w:p>
              </w:tc>
            </w:tr>
            <w:tr w:rsidR="00326930" w:rsidTr="00E87464">
              <w:sdt>
                <w:sdtPr>
                  <w:rPr>
                    <w:rFonts w:ascii="Arial" w:hAnsi="Arial" w:cs="Arial"/>
                    <w:sz w:val="32"/>
                    <w:szCs w:val="24"/>
                  </w:rPr>
                  <w:alias w:val="Scenario 1 - Q3"/>
                  <w:tag w:val="Scenario 1 - Q3"/>
                  <w:id w:val="1133603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9" w:type="dxa"/>
                      <w:vAlign w:val="center"/>
                    </w:tcPr>
                    <w:p w:rsidR="00326930" w:rsidRPr="007C4D7A" w:rsidRDefault="00326930" w:rsidP="0000461F">
                      <w:pPr>
                        <w:rPr>
                          <w:rFonts w:ascii="Arial" w:hAnsi="Arial" w:cs="Arial"/>
                          <w:bCs/>
                          <w:sz w:val="32"/>
                          <w:szCs w:val="24"/>
                        </w:rPr>
                      </w:pPr>
                      <w:r w:rsidRPr="007C4D7A">
                        <w:rPr>
                          <w:rFonts w:ascii="MS Gothic" w:eastAsia="MS Gothic" w:hAnsi="MS Gothic" w:cs="Arial" w:hint="eastAsia"/>
                          <w:sz w:val="32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48" w:type="dxa"/>
                  <w:vAlign w:val="center"/>
                </w:tcPr>
                <w:p w:rsidR="00326930" w:rsidRDefault="00326930" w:rsidP="0000461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Q3: July 1, 2014 – September 30, 2014</w:t>
                  </w:r>
                </w:p>
              </w:tc>
              <w:tc>
                <w:tcPr>
                  <w:tcW w:w="4193" w:type="dxa"/>
                  <w:vAlign w:val="center"/>
                </w:tcPr>
                <w:p w:rsidR="00326930" w:rsidRDefault="00326930" w:rsidP="0020443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Submit by December 1, 2014</w:t>
                  </w:r>
                </w:p>
              </w:tc>
              <w:tc>
                <w:tcPr>
                  <w:tcW w:w="4193" w:type="dxa"/>
                  <w:vAlign w:val="center"/>
                </w:tcPr>
                <w:p w:rsidR="00326930" w:rsidRDefault="00326930" w:rsidP="0000461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Submit by October 30, 2014</w:t>
                  </w:r>
                </w:p>
              </w:tc>
            </w:tr>
            <w:tr w:rsidR="00326930" w:rsidTr="00E87464">
              <w:sdt>
                <w:sdtPr>
                  <w:rPr>
                    <w:rFonts w:ascii="Arial" w:hAnsi="Arial" w:cs="Arial"/>
                    <w:sz w:val="32"/>
                    <w:szCs w:val="24"/>
                  </w:rPr>
                  <w:alias w:val="Scenario 1 - Q4"/>
                  <w:tag w:val="Scenario 1 - Q4"/>
                  <w:id w:val="16504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9" w:type="dxa"/>
                      <w:vAlign w:val="center"/>
                    </w:tcPr>
                    <w:p w:rsidR="00326930" w:rsidRPr="007C4D7A" w:rsidRDefault="00326930" w:rsidP="0000461F">
                      <w:pPr>
                        <w:rPr>
                          <w:rFonts w:ascii="Arial" w:hAnsi="Arial" w:cs="Arial"/>
                          <w:bCs/>
                          <w:sz w:val="32"/>
                          <w:szCs w:val="24"/>
                        </w:rPr>
                      </w:pPr>
                      <w:r w:rsidRPr="007C4D7A">
                        <w:rPr>
                          <w:rFonts w:ascii="MS Gothic" w:eastAsia="MS Gothic" w:hAnsi="MS Gothic" w:cs="Arial" w:hint="eastAsia"/>
                          <w:sz w:val="32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48" w:type="dxa"/>
                  <w:vAlign w:val="center"/>
                </w:tcPr>
                <w:p w:rsidR="00326930" w:rsidRDefault="00326930" w:rsidP="0000461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Q4: October 1, 2014 – December 31, 2014</w:t>
                  </w:r>
                </w:p>
              </w:tc>
              <w:tc>
                <w:tcPr>
                  <w:tcW w:w="4193" w:type="dxa"/>
                  <w:vAlign w:val="center"/>
                </w:tcPr>
                <w:p w:rsidR="00326930" w:rsidRDefault="00326930" w:rsidP="0020443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Submit by March 1, 2015</w:t>
                  </w:r>
                </w:p>
              </w:tc>
              <w:tc>
                <w:tcPr>
                  <w:tcW w:w="4193" w:type="dxa"/>
                  <w:vAlign w:val="center"/>
                </w:tcPr>
                <w:p w:rsidR="00326930" w:rsidRDefault="00326930" w:rsidP="0000461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Submit by January 30, 2015</w:t>
                  </w:r>
                </w:p>
              </w:tc>
            </w:tr>
          </w:tbl>
          <w:p w:rsidR="007A546C" w:rsidRPr="009C0C8F" w:rsidRDefault="007A546C" w:rsidP="000046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546C" w:rsidTr="0000461F">
        <w:trPr>
          <w:trHeight w:val="450"/>
        </w:trPr>
        <w:tc>
          <w:tcPr>
            <w:tcW w:w="999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A546C" w:rsidRDefault="007A546C" w:rsidP="00004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List of vessels that commissioned this quarter.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2070"/>
              <w:gridCol w:w="2610"/>
            </w:tblGrid>
            <w:tr w:rsidR="00574AB2" w:rsidTr="00574AB2">
              <w:tc>
                <w:tcPr>
                  <w:tcW w:w="348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Vessel</w:t>
                  </w:r>
                </w:p>
              </w:tc>
              <w:tc>
                <w:tcPr>
                  <w:tcW w:w="207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Lloyds number</w:t>
                  </w:r>
                </w:p>
              </w:tc>
              <w:tc>
                <w:tcPr>
                  <w:tcW w:w="261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Date of vessel commissioning</w:t>
                  </w:r>
                </w:p>
              </w:tc>
            </w:tr>
            <w:tr w:rsidR="00574AB2" w:rsidTr="00574AB2">
              <w:tc>
                <w:tcPr>
                  <w:tcW w:w="348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574AB2">
              <w:tc>
                <w:tcPr>
                  <w:tcW w:w="348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574AB2">
              <w:tc>
                <w:tcPr>
                  <w:tcW w:w="348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574AB2">
              <w:tc>
                <w:tcPr>
                  <w:tcW w:w="348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574AB2">
              <w:tc>
                <w:tcPr>
                  <w:tcW w:w="348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574AB2">
              <w:tc>
                <w:tcPr>
                  <w:tcW w:w="348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574AB2">
              <w:tc>
                <w:tcPr>
                  <w:tcW w:w="348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A546C" w:rsidRPr="00DE29AD" w:rsidRDefault="007A546C" w:rsidP="00004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(Additional entries may be listed separately and attached to this form)</w:t>
            </w:r>
          </w:p>
        </w:tc>
      </w:tr>
      <w:tr w:rsidR="00636C24" w:rsidTr="0000461F">
        <w:trPr>
          <w:trHeight w:val="450"/>
        </w:trPr>
        <w:tc>
          <w:tcPr>
            <w:tcW w:w="999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36C24" w:rsidRDefault="00636C24" w:rsidP="00574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DA1CAE">
              <w:rPr>
                <w:rFonts w:ascii="Arial" w:hAnsi="Arial" w:cs="Arial"/>
                <w:sz w:val="24"/>
                <w:szCs w:val="24"/>
              </w:rPr>
              <w:t>Provide shore power equipment information for each equipped vessel</w:t>
            </w:r>
            <w:r>
              <w:rPr>
                <w:rFonts w:ascii="Arial" w:hAnsi="Arial" w:cs="Arial"/>
                <w:sz w:val="24"/>
                <w:szCs w:val="24"/>
              </w:rPr>
              <w:t>: include photo of equipment including serial number, purchase order / work order for installation, commissioning test results or other e</w:t>
            </w:r>
            <w:r w:rsidRPr="00335D91">
              <w:rPr>
                <w:rFonts w:ascii="Arial" w:hAnsi="Arial" w:cs="Arial"/>
                <w:sz w:val="24"/>
                <w:szCs w:val="24"/>
              </w:rPr>
              <w:t xml:space="preserve">vidence that </w:t>
            </w:r>
            <w:r>
              <w:rPr>
                <w:rFonts w:ascii="Arial" w:hAnsi="Arial" w:cs="Arial"/>
                <w:sz w:val="24"/>
                <w:szCs w:val="24"/>
              </w:rPr>
              <w:t>every vessel</w:t>
            </w:r>
            <w:r w:rsidRPr="00335D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listed above is </w:t>
            </w:r>
            <w:r w:rsidRPr="00335D91">
              <w:rPr>
                <w:rFonts w:ascii="Arial" w:hAnsi="Arial" w:cs="Arial"/>
                <w:sz w:val="24"/>
                <w:szCs w:val="24"/>
              </w:rPr>
              <w:t>equipped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ready </w:t>
            </w:r>
            <w:r w:rsidRPr="00335D91">
              <w:rPr>
                <w:rFonts w:ascii="Arial" w:hAnsi="Arial" w:cs="Arial"/>
                <w:sz w:val="24"/>
                <w:szCs w:val="24"/>
              </w:rPr>
              <w:t>to receive shore power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A546C" w:rsidTr="0000461F">
        <w:trPr>
          <w:trHeight w:val="622"/>
        </w:trPr>
        <w:tc>
          <w:tcPr>
            <w:tcW w:w="999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A546C" w:rsidRPr="004D13CA" w:rsidRDefault="00636C24" w:rsidP="00574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A546C">
              <w:rPr>
                <w:rFonts w:ascii="Arial" w:hAnsi="Arial" w:cs="Arial"/>
                <w:sz w:val="24"/>
                <w:szCs w:val="24"/>
              </w:rPr>
              <w:t>) Provide the schedule of vessels that visited for this quarter</w:t>
            </w:r>
            <w:r w:rsidR="00574AB2">
              <w:rPr>
                <w:rFonts w:ascii="Arial" w:hAnsi="Arial" w:cs="Arial"/>
                <w:sz w:val="24"/>
                <w:szCs w:val="24"/>
              </w:rPr>
              <w:t xml:space="preserve"> by updating the A</w:t>
            </w:r>
            <w:r w:rsidR="007A546C">
              <w:rPr>
                <w:rFonts w:ascii="Arial" w:hAnsi="Arial" w:cs="Arial"/>
                <w:sz w:val="24"/>
                <w:szCs w:val="24"/>
              </w:rPr>
              <w:t>dvisory Visit Information spreadsheet.</w:t>
            </w:r>
          </w:p>
        </w:tc>
      </w:tr>
    </w:tbl>
    <w:p w:rsidR="0059186C" w:rsidRDefault="0059186C" w:rsidP="00811858">
      <w:pPr>
        <w:rPr>
          <w:rFonts w:ascii="Arial" w:hAnsi="Arial" w:cs="Arial"/>
          <w:sz w:val="24"/>
          <w:szCs w:val="24"/>
        </w:rPr>
      </w:pPr>
    </w:p>
    <w:p w:rsidR="00466235" w:rsidRDefault="00466235">
      <w:pPr>
        <w:rPr>
          <w:rFonts w:ascii="Arial" w:hAnsi="Arial" w:cs="Arial"/>
          <w:sz w:val="24"/>
          <w:szCs w:val="24"/>
        </w:rPr>
      </w:pPr>
    </w:p>
    <w:p w:rsidR="00466235" w:rsidRDefault="00466235">
      <w:pPr>
        <w:rPr>
          <w:rFonts w:ascii="Arial" w:hAnsi="Arial" w:cs="Arial"/>
          <w:sz w:val="24"/>
          <w:szCs w:val="24"/>
        </w:rPr>
      </w:pPr>
    </w:p>
    <w:p w:rsidR="00010480" w:rsidRDefault="00010480" w:rsidP="00010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07461" w:rsidRDefault="00B07461" w:rsidP="00010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Scenario 3 – </w:t>
      </w:r>
      <w:r w:rsidR="008A1ADA" w:rsidRPr="00DE29AD">
        <w:rPr>
          <w:rFonts w:ascii="Arial" w:hAnsi="Arial" w:cs="Arial"/>
          <w:sz w:val="24"/>
          <w:szCs w:val="24"/>
        </w:rPr>
        <w:t xml:space="preserve">During the first and second calendar quarter of 2014, </w:t>
      </w:r>
      <w:r w:rsidR="008A1ADA">
        <w:rPr>
          <w:rFonts w:ascii="Arial" w:hAnsi="Arial" w:cs="Arial"/>
          <w:sz w:val="24"/>
          <w:szCs w:val="24"/>
        </w:rPr>
        <w:t xml:space="preserve">a </w:t>
      </w:r>
      <w:r w:rsidR="008A1ADA" w:rsidRPr="00DE29AD">
        <w:rPr>
          <w:rFonts w:ascii="Arial" w:hAnsi="Arial" w:cs="Arial"/>
          <w:sz w:val="24"/>
          <w:szCs w:val="24"/>
        </w:rPr>
        <w:t>vessel</w:t>
      </w:r>
      <w:r w:rsidR="008A1ADA">
        <w:rPr>
          <w:rFonts w:ascii="Arial" w:hAnsi="Arial" w:cs="Arial"/>
          <w:sz w:val="24"/>
          <w:szCs w:val="24"/>
        </w:rPr>
        <w:t xml:space="preserve"> </w:t>
      </w:r>
      <w:r w:rsidR="008A1ADA" w:rsidRPr="00DE29AD">
        <w:rPr>
          <w:rFonts w:ascii="Arial" w:hAnsi="Arial" w:cs="Arial"/>
          <w:sz w:val="24"/>
          <w:szCs w:val="24"/>
        </w:rPr>
        <w:t>uses shore power but fails to meet the three/five-hour time limit</w:t>
      </w:r>
      <w:r w:rsidR="008A1ADA">
        <w:rPr>
          <w:rFonts w:ascii="Arial" w:hAnsi="Arial" w:cs="Arial"/>
          <w:sz w:val="24"/>
          <w:szCs w:val="24"/>
        </w:rPr>
        <w:t>s</w:t>
      </w:r>
      <w:r w:rsidR="008A1ADA" w:rsidRPr="00DE29AD">
        <w:rPr>
          <w:rFonts w:ascii="Arial" w:hAnsi="Arial" w:cs="Arial"/>
          <w:sz w:val="24"/>
          <w:szCs w:val="24"/>
        </w:rPr>
        <w:t xml:space="preserve"> for connecting </w:t>
      </w:r>
      <w:r w:rsidR="008A1ADA">
        <w:rPr>
          <w:rFonts w:ascii="Arial" w:hAnsi="Arial" w:cs="Arial"/>
          <w:sz w:val="24"/>
          <w:szCs w:val="24"/>
        </w:rPr>
        <w:t xml:space="preserve">and </w:t>
      </w:r>
      <w:r w:rsidR="008A1ADA" w:rsidRPr="00DE29AD">
        <w:rPr>
          <w:rFonts w:ascii="Arial" w:hAnsi="Arial" w:cs="Arial"/>
          <w:sz w:val="24"/>
          <w:szCs w:val="24"/>
        </w:rPr>
        <w:t>disconnecting shore power.</w:t>
      </w:r>
    </w:p>
    <w:p w:rsidR="00A37E50" w:rsidRDefault="00A37E50" w:rsidP="00010480">
      <w:pPr>
        <w:rPr>
          <w:rFonts w:ascii="Arial" w:hAnsi="Arial" w:cs="Arial"/>
          <w:b/>
          <w:bCs/>
          <w:sz w:val="24"/>
          <w:szCs w:val="24"/>
        </w:rPr>
      </w:pPr>
    </w:p>
    <w:p w:rsidR="00B07461" w:rsidRDefault="00636C24" w:rsidP="00010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Verification </w:t>
      </w:r>
      <w:r w:rsidR="00A37E50">
        <w:rPr>
          <w:rFonts w:ascii="Arial" w:hAnsi="Arial" w:cs="Arial"/>
          <w:b/>
          <w:bCs/>
          <w:sz w:val="24"/>
          <w:szCs w:val="24"/>
        </w:rPr>
        <w:t>for Scenario 3</w:t>
      </w:r>
    </w:p>
    <w:tbl>
      <w:tblPr>
        <w:tblW w:w="9976" w:type="dxa"/>
        <w:tblInd w:w="-252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6"/>
      </w:tblGrid>
      <w:tr w:rsidR="00010480" w:rsidTr="0000461F">
        <w:trPr>
          <w:trHeight w:val="540"/>
        </w:trPr>
        <w:tc>
          <w:tcPr>
            <w:tcW w:w="99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  <w:hideMark/>
          </w:tcPr>
          <w:p w:rsidR="00CC0EDC" w:rsidRPr="00CC0EDC" w:rsidRDefault="00FF18B3" w:rsidP="00CC0EDC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Fill in</w:t>
            </w:r>
            <w:r w:rsidR="00C158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all of the following information.  Also, attach </w:t>
            </w:r>
            <w:r w:rsidR="00CC0ED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the Visit Information spreadsheet to verify </w:t>
            </w:r>
            <w:r w:rsidR="00C158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that the fleet </w:t>
            </w:r>
            <w:r w:rsidR="00BC483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has </w:t>
            </w:r>
            <w:r w:rsidR="0000461F">
              <w:rPr>
                <w:rFonts w:ascii="Arial" w:hAnsi="Arial" w:cs="Arial"/>
                <w:bCs/>
                <w:i/>
                <w:sz w:val="24"/>
                <w:szCs w:val="24"/>
              </w:rPr>
              <w:t>an overall 50% emissions reduction</w:t>
            </w:r>
            <w:r w:rsidR="00BC483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in 2014</w:t>
            </w:r>
            <w:r w:rsidR="00C158AB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</w:tc>
      </w:tr>
      <w:tr w:rsidR="00C158AB" w:rsidTr="0000461F">
        <w:trPr>
          <w:trHeight w:val="450"/>
        </w:trPr>
        <w:tc>
          <w:tcPr>
            <w:tcW w:w="99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C158AB" w:rsidRDefault="00C158AB" w:rsidP="00004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List of vessels equipped for shore power and commissioning dates.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1800"/>
              <w:gridCol w:w="2520"/>
            </w:tblGrid>
            <w:tr w:rsidR="00574AB2" w:rsidTr="0000461F">
              <w:tc>
                <w:tcPr>
                  <w:tcW w:w="357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Vessel</w:t>
                  </w:r>
                </w:p>
              </w:tc>
              <w:tc>
                <w:tcPr>
                  <w:tcW w:w="180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Lloyds number</w:t>
                  </w:r>
                </w:p>
              </w:tc>
              <w:tc>
                <w:tcPr>
                  <w:tcW w:w="252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Date vessel was commissioned</w:t>
                  </w:r>
                </w:p>
              </w:tc>
            </w:tr>
            <w:tr w:rsidR="00574AB2" w:rsidTr="0000461F">
              <w:tc>
                <w:tcPr>
                  <w:tcW w:w="357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00461F">
              <w:tc>
                <w:tcPr>
                  <w:tcW w:w="357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00461F">
              <w:tc>
                <w:tcPr>
                  <w:tcW w:w="357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00461F">
              <w:tc>
                <w:tcPr>
                  <w:tcW w:w="357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00461F">
              <w:tc>
                <w:tcPr>
                  <w:tcW w:w="357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00461F">
              <w:tc>
                <w:tcPr>
                  <w:tcW w:w="357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00461F">
              <w:tc>
                <w:tcPr>
                  <w:tcW w:w="357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00461F">
              <w:tc>
                <w:tcPr>
                  <w:tcW w:w="357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00461F">
              <w:tc>
                <w:tcPr>
                  <w:tcW w:w="357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00461F">
              <w:tc>
                <w:tcPr>
                  <w:tcW w:w="357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00461F">
              <w:tc>
                <w:tcPr>
                  <w:tcW w:w="357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00461F">
              <w:tc>
                <w:tcPr>
                  <w:tcW w:w="357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4AB2" w:rsidTr="0000461F">
              <w:tc>
                <w:tcPr>
                  <w:tcW w:w="3577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574AB2" w:rsidRDefault="00574AB2" w:rsidP="000046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158AB" w:rsidRDefault="00BC4834" w:rsidP="000046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8AB">
              <w:rPr>
                <w:rFonts w:ascii="Arial" w:hAnsi="Arial" w:cs="Arial"/>
                <w:sz w:val="24"/>
                <w:szCs w:val="24"/>
              </w:rPr>
              <w:t>(Vessels may be listed separately and attached to this form)</w:t>
            </w:r>
          </w:p>
        </w:tc>
      </w:tr>
      <w:tr w:rsidR="00636C24" w:rsidTr="0000461F">
        <w:trPr>
          <w:trHeight w:val="450"/>
        </w:trPr>
        <w:tc>
          <w:tcPr>
            <w:tcW w:w="99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636C24" w:rsidRDefault="00BC4834" w:rsidP="00574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6C24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A1CAE">
              <w:rPr>
                <w:rFonts w:ascii="Arial" w:hAnsi="Arial" w:cs="Arial"/>
                <w:sz w:val="24"/>
                <w:szCs w:val="24"/>
              </w:rPr>
              <w:t>Provide shore power equipment information for each equipped vessel</w:t>
            </w:r>
            <w:r w:rsidR="00636C24">
              <w:rPr>
                <w:rFonts w:ascii="Arial" w:hAnsi="Arial" w:cs="Arial"/>
                <w:sz w:val="24"/>
                <w:szCs w:val="24"/>
              </w:rPr>
              <w:t>: include photo of equipment including serial number, purchase order / work order for installation, commissioning test results or other e</w:t>
            </w:r>
            <w:r w:rsidR="00636C24" w:rsidRPr="00335D91">
              <w:rPr>
                <w:rFonts w:ascii="Arial" w:hAnsi="Arial" w:cs="Arial"/>
                <w:sz w:val="24"/>
                <w:szCs w:val="24"/>
              </w:rPr>
              <w:t xml:space="preserve">vidence that </w:t>
            </w:r>
            <w:r w:rsidR="00636C24">
              <w:rPr>
                <w:rFonts w:ascii="Arial" w:hAnsi="Arial" w:cs="Arial"/>
                <w:sz w:val="24"/>
                <w:szCs w:val="24"/>
              </w:rPr>
              <w:t>every vessel</w:t>
            </w:r>
            <w:r w:rsidR="00636C24" w:rsidRPr="00335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6C24">
              <w:rPr>
                <w:rFonts w:ascii="Arial" w:hAnsi="Arial" w:cs="Arial"/>
                <w:sz w:val="24"/>
                <w:szCs w:val="24"/>
              </w:rPr>
              <w:t xml:space="preserve">listed above is </w:t>
            </w:r>
            <w:r w:rsidR="00636C24" w:rsidRPr="00335D91">
              <w:rPr>
                <w:rFonts w:ascii="Arial" w:hAnsi="Arial" w:cs="Arial"/>
                <w:sz w:val="24"/>
                <w:szCs w:val="24"/>
              </w:rPr>
              <w:t>equipped</w:t>
            </w:r>
            <w:r w:rsidR="00636C24">
              <w:rPr>
                <w:rFonts w:ascii="Arial" w:hAnsi="Arial" w:cs="Arial"/>
                <w:sz w:val="24"/>
                <w:szCs w:val="24"/>
              </w:rPr>
              <w:t xml:space="preserve"> and ready </w:t>
            </w:r>
            <w:r w:rsidR="00636C24" w:rsidRPr="00335D91">
              <w:rPr>
                <w:rFonts w:ascii="Arial" w:hAnsi="Arial" w:cs="Arial"/>
                <w:sz w:val="24"/>
                <w:szCs w:val="24"/>
              </w:rPr>
              <w:t>to receive shore power</w:t>
            </w:r>
            <w:r w:rsidR="00636C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158AB" w:rsidTr="0000461F">
        <w:trPr>
          <w:trHeight w:val="450"/>
        </w:trPr>
        <w:tc>
          <w:tcPr>
            <w:tcW w:w="9976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C158AB" w:rsidRPr="00C158AB" w:rsidRDefault="00BC4834" w:rsidP="00574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158AB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Provide the schedule of vessels that visited for all of 2014</w:t>
            </w:r>
            <w:r w:rsidR="00574AB2">
              <w:rPr>
                <w:rFonts w:ascii="Arial" w:hAnsi="Arial" w:cs="Arial"/>
                <w:sz w:val="24"/>
                <w:szCs w:val="24"/>
              </w:rPr>
              <w:t xml:space="preserve"> by updating the </w:t>
            </w:r>
            <w:r>
              <w:rPr>
                <w:rFonts w:ascii="Arial" w:hAnsi="Arial" w:cs="Arial"/>
                <w:sz w:val="24"/>
                <w:szCs w:val="24"/>
              </w:rPr>
              <w:t>Advisory Visit Information spreadsheet.</w:t>
            </w:r>
          </w:p>
        </w:tc>
      </w:tr>
    </w:tbl>
    <w:p w:rsidR="00010480" w:rsidRDefault="00010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07461" w:rsidRDefault="00B0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Scenario 4 – </w:t>
      </w:r>
      <w:r w:rsidR="008A1ADA" w:rsidRPr="00DE29AD">
        <w:rPr>
          <w:rFonts w:ascii="Arial" w:hAnsi="Arial" w:cs="Arial"/>
          <w:sz w:val="24"/>
          <w:szCs w:val="24"/>
        </w:rPr>
        <w:t>During the first and second calendar quarters of 2014, a vessel is unable to use shore power due to delays in receiving shore power equipment and making retrofits to the vessel to utilize the equipment.</w:t>
      </w:r>
    </w:p>
    <w:p w:rsidR="00D607FD" w:rsidRDefault="00D607FD" w:rsidP="00D607FD">
      <w:pPr>
        <w:rPr>
          <w:rFonts w:ascii="Arial" w:hAnsi="Arial" w:cs="Arial"/>
          <w:b/>
          <w:bCs/>
          <w:sz w:val="24"/>
          <w:szCs w:val="24"/>
        </w:rPr>
      </w:pPr>
    </w:p>
    <w:p w:rsidR="00D607FD" w:rsidRDefault="00DA1CAE" w:rsidP="00D60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Verification </w:t>
      </w:r>
      <w:r w:rsidR="00F117AC">
        <w:rPr>
          <w:rFonts w:ascii="Arial" w:hAnsi="Arial" w:cs="Arial"/>
          <w:b/>
          <w:bCs/>
          <w:sz w:val="24"/>
          <w:szCs w:val="24"/>
        </w:rPr>
        <w:t>for</w:t>
      </w:r>
      <w:r w:rsidR="00D607FD">
        <w:rPr>
          <w:rFonts w:ascii="Arial" w:hAnsi="Arial" w:cs="Arial"/>
          <w:b/>
          <w:bCs/>
          <w:sz w:val="24"/>
          <w:szCs w:val="24"/>
        </w:rPr>
        <w:t xml:space="preserve"> Scenario 4</w:t>
      </w:r>
    </w:p>
    <w:tbl>
      <w:tblPr>
        <w:tblW w:w="9990" w:type="dxa"/>
        <w:tblInd w:w="-252" w:type="dxa"/>
        <w:tblBorders>
          <w:top w:val="double" w:sz="6" w:space="0" w:color="auto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4933DE" w:rsidTr="00670056">
        <w:trPr>
          <w:trHeight w:val="450"/>
        </w:trPr>
        <w:tc>
          <w:tcPr>
            <w:tcW w:w="9990" w:type="dxa"/>
            <w:shd w:val="clear" w:color="auto" w:fill="FFFFFF"/>
            <w:noWrap/>
            <w:vAlign w:val="center"/>
          </w:tcPr>
          <w:p w:rsidR="004933DE" w:rsidRPr="00DE29AD" w:rsidRDefault="00FF18B3" w:rsidP="00D60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Fill in</w:t>
            </w:r>
            <w:r w:rsidR="00D607F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all of the following information and attach the evidence that the fleet would have complied if given the relief provided by Scenario 4.</w:t>
            </w:r>
          </w:p>
        </w:tc>
      </w:tr>
      <w:tr w:rsidR="00C159A6" w:rsidTr="00670056">
        <w:trPr>
          <w:trHeight w:val="450"/>
        </w:trPr>
        <w:tc>
          <w:tcPr>
            <w:tcW w:w="9990" w:type="dxa"/>
            <w:shd w:val="clear" w:color="auto" w:fill="FFFFFF"/>
            <w:vAlign w:val="center"/>
          </w:tcPr>
          <w:p w:rsidR="00C159A6" w:rsidRDefault="00F117AC" w:rsidP="00C15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70056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C159A6">
              <w:rPr>
                <w:rFonts w:ascii="Arial" w:hAnsi="Arial" w:cs="Arial"/>
                <w:sz w:val="24"/>
                <w:szCs w:val="24"/>
              </w:rPr>
              <w:t xml:space="preserve">List vessels that </w:t>
            </w:r>
            <w:r w:rsidR="00DA1CAE">
              <w:rPr>
                <w:rFonts w:ascii="Arial" w:hAnsi="Arial" w:cs="Arial"/>
                <w:sz w:val="24"/>
                <w:szCs w:val="24"/>
              </w:rPr>
              <w:t>are</w:t>
            </w:r>
            <w:r w:rsidR="009A1ABA">
              <w:rPr>
                <w:rFonts w:ascii="Arial" w:hAnsi="Arial" w:cs="Arial"/>
                <w:sz w:val="24"/>
                <w:szCs w:val="24"/>
              </w:rPr>
              <w:t xml:space="preserve"> shore power ready, but were </w:t>
            </w:r>
            <w:r w:rsidR="00C159A6">
              <w:rPr>
                <w:rFonts w:ascii="Arial" w:hAnsi="Arial" w:cs="Arial"/>
                <w:sz w:val="24"/>
                <w:szCs w:val="24"/>
              </w:rPr>
              <w:t>delayed</w:t>
            </w:r>
            <w:r w:rsidR="009A1ABA">
              <w:rPr>
                <w:rFonts w:ascii="Arial" w:hAnsi="Arial" w:cs="Arial"/>
                <w:sz w:val="24"/>
                <w:szCs w:val="24"/>
              </w:rPr>
              <w:t xml:space="preserve"> due to the equipment orders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7"/>
              <w:gridCol w:w="1530"/>
              <w:gridCol w:w="1530"/>
              <w:gridCol w:w="1890"/>
              <w:gridCol w:w="1890"/>
            </w:tblGrid>
            <w:tr w:rsidR="00C159A6" w:rsidTr="00A0173F">
              <w:tc>
                <w:tcPr>
                  <w:tcW w:w="2857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Vessel</w:t>
                  </w:r>
                </w:p>
              </w:tc>
              <w:tc>
                <w:tcPr>
                  <w:tcW w:w="153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Lloyds number</w:t>
                  </w:r>
                </w:p>
              </w:tc>
              <w:tc>
                <w:tcPr>
                  <w:tcW w:w="153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Size of Vessel (TEU)</w:t>
                  </w:r>
                </w:p>
              </w:tc>
              <w:tc>
                <w:tcPr>
                  <w:tcW w:w="1890" w:type="dxa"/>
                </w:tcPr>
                <w:p w:rsidR="00C159A6" w:rsidRDefault="00C159A6" w:rsidP="00DA1C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Date vessel </w:t>
                  </w:r>
                  <w:r w:rsidR="00DA1CAE">
                    <w:rPr>
                      <w:rFonts w:ascii="Arial" w:hAnsi="Arial" w:cs="Arial"/>
                      <w:sz w:val="24"/>
                      <w:szCs w:val="24"/>
                    </w:rPr>
                    <w:t>was</w:t>
                  </w:r>
                  <w:r w:rsidR="009A1AB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equipped for shore power</w:t>
                  </w:r>
                </w:p>
              </w:tc>
              <w:tc>
                <w:tcPr>
                  <w:tcW w:w="1890" w:type="dxa"/>
                </w:tcPr>
                <w:p w:rsidR="00C159A6" w:rsidRDefault="00C159A6" w:rsidP="00DA1C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Date vessel </w:t>
                  </w:r>
                  <w:r w:rsidR="00DA1CAE">
                    <w:rPr>
                      <w:rFonts w:ascii="Arial" w:hAnsi="Arial" w:cs="Arial"/>
                      <w:sz w:val="24"/>
                      <w:szCs w:val="24"/>
                    </w:rPr>
                    <w:t>was</w:t>
                  </w:r>
                  <w:r w:rsidR="00F117AC">
                    <w:rPr>
                      <w:rFonts w:ascii="Arial" w:hAnsi="Arial" w:cs="Arial"/>
                      <w:sz w:val="24"/>
                      <w:szCs w:val="24"/>
                    </w:rPr>
                    <w:t>/will be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commission</w:t>
                  </w:r>
                  <w:r w:rsidR="00DA1CAE">
                    <w:rPr>
                      <w:rFonts w:ascii="Arial" w:hAnsi="Arial" w:cs="Arial"/>
                      <w:sz w:val="24"/>
                      <w:szCs w:val="24"/>
                    </w:rPr>
                    <w:t>ed</w:t>
                  </w:r>
                </w:p>
              </w:tc>
            </w:tr>
            <w:tr w:rsidR="00C159A6" w:rsidTr="00A0173F">
              <w:tc>
                <w:tcPr>
                  <w:tcW w:w="2857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0056" w:rsidTr="00A0173F">
              <w:tc>
                <w:tcPr>
                  <w:tcW w:w="2857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0056" w:rsidTr="00A0173F">
              <w:tc>
                <w:tcPr>
                  <w:tcW w:w="2857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0056" w:rsidTr="00A0173F">
              <w:tc>
                <w:tcPr>
                  <w:tcW w:w="2857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117AC" w:rsidTr="00A0173F">
              <w:tc>
                <w:tcPr>
                  <w:tcW w:w="2857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117AC" w:rsidTr="00A0173F">
              <w:tc>
                <w:tcPr>
                  <w:tcW w:w="2857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117AC" w:rsidTr="00A0173F">
              <w:tc>
                <w:tcPr>
                  <w:tcW w:w="2857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117AC" w:rsidTr="00A0173F">
              <w:tc>
                <w:tcPr>
                  <w:tcW w:w="2857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117AC" w:rsidRDefault="00F117A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0056" w:rsidTr="00A0173F">
              <w:tc>
                <w:tcPr>
                  <w:tcW w:w="2857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159A6" w:rsidRDefault="00670056" w:rsidP="00D60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(Additional entries may be listed separately and attached to this form)</w:t>
            </w:r>
          </w:p>
        </w:tc>
      </w:tr>
      <w:tr w:rsidR="00DA1CAE" w:rsidTr="00670056">
        <w:trPr>
          <w:trHeight w:val="450"/>
        </w:trPr>
        <w:tc>
          <w:tcPr>
            <w:tcW w:w="9990" w:type="dxa"/>
            <w:shd w:val="clear" w:color="auto" w:fill="FFFFFF"/>
            <w:vAlign w:val="center"/>
          </w:tcPr>
          <w:p w:rsidR="00DA1CAE" w:rsidRDefault="00F117AC" w:rsidP="00574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A1CAE">
              <w:rPr>
                <w:rFonts w:ascii="Arial" w:hAnsi="Arial" w:cs="Arial"/>
                <w:sz w:val="24"/>
                <w:szCs w:val="24"/>
              </w:rPr>
              <w:t>) Provide shore power equipment information for each equipped vessel: include photo of equipment including serial number, purchase order / work order for installation, commissioning test results or other e</w:t>
            </w:r>
            <w:r w:rsidR="00DA1CAE" w:rsidRPr="00335D91">
              <w:rPr>
                <w:rFonts w:ascii="Arial" w:hAnsi="Arial" w:cs="Arial"/>
                <w:sz w:val="24"/>
                <w:szCs w:val="24"/>
              </w:rPr>
              <w:t xml:space="preserve">vidence that </w:t>
            </w:r>
            <w:r w:rsidR="00DA1CAE">
              <w:rPr>
                <w:rFonts w:ascii="Arial" w:hAnsi="Arial" w:cs="Arial"/>
                <w:sz w:val="24"/>
                <w:szCs w:val="24"/>
              </w:rPr>
              <w:t>every vessel</w:t>
            </w:r>
            <w:r w:rsidR="00DA1CAE" w:rsidRPr="00335D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1CAE">
              <w:rPr>
                <w:rFonts w:ascii="Arial" w:hAnsi="Arial" w:cs="Arial"/>
                <w:sz w:val="24"/>
                <w:szCs w:val="24"/>
              </w:rPr>
              <w:t xml:space="preserve">listed above is </w:t>
            </w:r>
            <w:r w:rsidR="00DA1CAE" w:rsidRPr="00335D91">
              <w:rPr>
                <w:rFonts w:ascii="Arial" w:hAnsi="Arial" w:cs="Arial"/>
                <w:sz w:val="24"/>
                <w:szCs w:val="24"/>
              </w:rPr>
              <w:t>equipped</w:t>
            </w:r>
            <w:r w:rsidR="00DA1CAE">
              <w:rPr>
                <w:rFonts w:ascii="Arial" w:hAnsi="Arial" w:cs="Arial"/>
                <w:sz w:val="24"/>
                <w:szCs w:val="24"/>
              </w:rPr>
              <w:t xml:space="preserve"> and ready </w:t>
            </w:r>
            <w:r w:rsidR="00DA1CAE" w:rsidRPr="00335D91">
              <w:rPr>
                <w:rFonts w:ascii="Arial" w:hAnsi="Arial" w:cs="Arial"/>
                <w:sz w:val="24"/>
                <w:szCs w:val="24"/>
              </w:rPr>
              <w:t>to receive shore power</w:t>
            </w:r>
            <w:r w:rsidR="00DA1C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07FD" w:rsidTr="00670056">
        <w:trPr>
          <w:trHeight w:val="450"/>
        </w:trPr>
        <w:tc>
          <w:tcPr>
            <w:tcW w:w="9990" w:type="dxa"/>
            <w:shd w:val="clear" w:color="auto" w:fill="FFFFFF"/>
            <w:vAlign w:val="center"/>
          </w:tcPr>
          <w:p w:rsidR="00D607FD" w:rsidRPr="00C159A6" w:rsidRDefault="00F117AC" w:rsidP="00574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D607FD">
              <w:rPr>
                <w:rFonts w:ascii="Arial" w:hAnsi="Arial" w:cs="Arial"/>
                <w:sz w:val="24"/>
                <w:szCs w:val="24"/>
              </w:rPr>
              <w:t xml:space="preserve">Provide evidence that fleet </w:t>
            </w:r>
            <w:r>
              <w:rPr>
                <w:rFonts w:ascii="Arial" w:hAnsi="Arial" w:cs="Arial"/>
                <w:sz w:val="24"/>
                <w:szCs w:val="24"/>
              </w:rPr>
              <w:t>will be compliant in the third and fourth quarter</w:t>
            </w:r>
            <w:r w:rsidR="00D607FD">
              <w:rPr>
                <w:rFonts w:ascii="Arial" w:hAnsi="Arial" w:cs="Arial"/>
                <w:sz w:val="24"/>
                <w:szCs w:val="24"/>
              </w:rPr>
              <w:t>.</w:t>
            </w:r>
            <w:r w:rsidR="00C159A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159A6" w:rsidRPr="00C159A6">
              <w:rPr>
                <w:rFonts w:ascii="Arial" w:hAnsi="Arial" w:cs="Arial"/>
                <w:sz w:val="24"/>
                <w:szCs w:val="24"/>
              </w:rPr>
              <w:t xml:space="preserve">To show this, the fleet </w:t>
            </w:r>
            <w:r w:rsidR="00574AB2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 xml:space="preserve">use the </w:t>
            </w:r>
            <w:r w:rsidR="00C159A6" w:rsidRPr="00C159A6">
              <w:rPr>
                <w:rFonts w:ascii="Arial" w:hAnsi="Arial" w:cs="Arial"/>
                <w:sz w:val="24"/>
                <w:szCs w:val="24"/>
              </w:rPr>
              <w:t xml:space="preserve">Advisory Visit Information spreadsheet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C159A6" w:rsidRPr="00C159A6">
              <w:rPr>
                <w:rFonts w:ascii="Arial" w:hAnsi="Arial" w:cs="Arial"/>
                <w:sz w:val="24"/>
                <w:szCs w:val="24"/>
              </w:rPr>
              <w:t xml:space="preserve">estimates for </w:t>
            </w:r>
            <w:r w:rsidR="00C159A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third and fourth </w:t>
            </w:r>
            <w:r w:rsidR="00C159A6">
              <w:rPr>
                <w:rFonts w:ascii="Arial" w:hAnsi="Arial" w:cs="Arial"/>
                <w:sz w:val="24"/>
                <w:szCs w:val="24"/>
              </w:rPr>
              <w:t>quarter of 2014</w:t>
            </w:r>
            <w:r w:rsidR="00C159A6" w:rsidRPr="00C159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607FD" w:rsidRDefault="00D607FD">
      <w:pPr>
        <w:rPr>
          <w:rFonts w:ascii="Arial" w:hAnsi="Arial" w:cs="Arial"/>
          <w:sz w:val="24"/>
          <w:szCs w:val="24"/>
        </w:rPr>
      </w:pPr>
    </w:p>
    <w:p w:rsidR="00DA1CAE" w:rsidRDefault="00DA1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42059" w:rsidRDefault="00B42059" w:rsidP="00B42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Scenario 5 – </w:t>
      </w:r>
      <w:r w:rsidR="008A1ADA" w:rsidRPr="00BC666D">
        <w:rPr>
          <w:rFonts w:ascii="Arial" w:hAnsi="Arial" w:cs="Arial"/>
          <w:sz w:val="24"/>
          <w:szCs w:val="24"/>
        </w:rPr>
        <w:t>During the first and second calendar quarters of 2014, vessels are using an alternative technology (while that technology is undergoing in-use emission testing) to help comply with the At-Berth Regulation.</w:t>
      </w:r>
    </w:p>
    <w:p w:rsidR="008A1ADA" w:rsidRDefault="008A1ADA" w:rsidP="00B42059">
      <w:pPr>
        <w:rPr>
          <w:rFonts w:ascii="Arial" w:hAnsi="Arial" w:cs="Arial"/>
          <w:sz w:val="24"/>
          <w:szCs w:val="24"/>
        </w:rPr>
      </w:pPr>
    </w:p>
    <w:p w:rsidR="00D6654D" w:rsidRDefault="00CF44F0" w:rsidP="00D66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Verification</w:t>
      </w:r>
      <w:r w:rsidR="008A1ADA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D6654D">
        <w:rPr>
          <w:rFonts w:ascii="Arial" w:hAnsi="Arial" w:cs="Arial"/>
          <w:b/>
          <w:bCs/>
          <w:sz w:val="24"/>
          <w:szCs w:val="24"/>
        </w:rPr>
        <w:t>Scenario 5</w:t>
      </w:r>
    </w:p>
    <w:tbl>
      <w:tblPr>
        <w:tblW w:w="9990" w:type="dxa"/>
        <w:tblInd w:w="-252" w:type="dxa"/>
        <w:tblBorders>
          <w:top w:val="double" w:sz="6" w:space="0" w:color="auto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CF44F0" w:rsidTr="00524012">
        <w:trPr>
          <w:trHeight w:val="450"/>
        </w:trPr>
        <w:tc>
          <w:tcPr>
            <w:tcW w:w="9990" w:type="dxa"/>
            <w:shd w:val="clear" w:color="auto" w:fill="FFFFFF"/>
            <w:noWrap/>
            <w:vAlign w:val="center"/>
          </w:tcPr>
          <w:p w:rsidR="00CF44F0" w:rsidRPr="00DE29AD" w:rsidRDefault="00FF18B3" w:rsidP="00524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Fill in</w:t>
            </w:r>
            <w:r w:rsidR="00CF44F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all of the following information and attach the evidence that the fleet would have complied if given the relief provided by Scenario 5.</w:t>
            </w:r>
          </w:p>
        </w:tc>
      </w:tr>
      <w:tr w:rsidR="00B000F4" w:rsidTr="00524012">
        <w:trPr>
          <w:trHeight w:val="450"/>
        </w:trPr>
        <w:tc>
          <w:tcPr>
            <w:tcW w:w="9990" w:type="dxa"/>
            <w:shd w:val="clear" w:color="auto" w:fill="FFFFFF"/>
            <w:noWrap/>
            <w:vAlign w:val="center"/>
          </w:tcPr>
          <w:p w:rsidR="00B000F4" w:rsidRDefault="00B000F4" w:rsidP="00B000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1) Provide information on the alternative technology: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7"/>
              <w:gridCol w:w="7068"/>
            </w:tblGrid>
            <w:tr w:rsidR="00B000F4" w:rsidTr="00B000F4">
              <w:tc>
                <w:tcPr>
                  <w:tcW w:w="2677" w:type="dxa"/>
                </w:tcPr>
                <w:p w:rsidR="00B000F4" w:rsidRDefault="00B000F4" w:rsidP="00B000F4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Name </w:t>
                  </w:r>
                </w:p>
              </w:tc>
              <w:tc>
                <w:tcPr>
                  <w:tcW w:w="7068" w:type="dxa"/>
                </w:tcPr>
                <w:p w:rsidR="00B000F4" w:rsidRDefault="00B000F4" w:rsidP="00B000F4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B000F4" w:rsidTr="00B000F4">
              <w:tc>
                <w:tcPr>
                  <w:tcW w:w="2677" w:type="dxa"/>
                </w:tcPr>
                <w:p w:rsidR="00B000F4" w:rsidRDefault="00B000F4" w:rsidP="00B000F4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7068" w:type="dxa"/>
                </w:tcPr>
                <w:p w:rsidR="00B000F4" w:rsidRDefault="00B000F4" w:rsidP="00B000F4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B000F4" w:rsidRDefault="00B000F4" w:rsidP="00B000F4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B000F4" w:rsidRDefault="00B000F4" w:rsidP="00B000F4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B000F4" w:rsidRDefault="00B000F4" w:rsidP="00B000F4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B000F4" w:rsidRDefault="00B000F4" w:rsidP="00B000F4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B000F4" w:rsidRDefault="00B000F4" w:rsidP="00B000F4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B000F4" w:rsidRDefault="00B000F4" w:rsidP="00B000F4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B000F4" w:rsidRDefault="00B000F4" w:rsidP="00B000F4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000F4" w:rsidRPr="00B000F4" w:rsidRDefault="00B000F4" w:rsidP="00B000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(Attach any additional information on technology)</w:t>
            </w:r>
          </w:p>
        </w:tc>
      </w:tr>
      <w:tr w:rsidR="00CF44F0" w:rsidTr="00524012">
        <w:trPr>
          <w:trHeight w:val="450"/>
        </w:trPr>
        <w:tc>
          <w:tcPr>
            <w:tcW w:w="9990" w:type="dxa"/>
            <w:shd w:val="clear" w:color="auto" w:fill="FFFFFF"/>
            <w:vAlign w:val="center"/>
          </w:tcPr>
          <w:p w:rsidR="00CF44F0" w:rsidRDefault="00B000F4" w:rsidP="00B00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Provide the final schedule of milestones that the technology completed ARB’s emission reduction evaluation process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6258"/>
            </w:tblGrid>
            <w:tr w:rsidR="00B000F4" w:rsidTr="00B000F4">
              <w:tc>
                <w:tcPr>
                  <w:tcW w:w="3487" w:type="dxa"/>
                </w:tcPr>
                <w:p w:rsidR="00B000F4" w:rsidRDefault="00B000F4" w:rsidP="0052401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Milestone</w:t>
                  </w:r>
                </w:p>
              </w:tc>
              <w:tc>
                <w:tcPr>
                  <w:tcW w:w="6258" w:type="dxa"/>
                </w:tcPr>
                <w:p w:rsidR="00B000F4" w:rsidRDefault="00B000F4" w:rsidP="0052401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Completion Date</w:t>
                  </w:r>
                </w:p>
              </w:tc>
            </w:tr>
            <w:tr w:rsidR="00B000F4" w:rsidTr="00B000F4">
              <w:tc>
                <w:tcPr>
                  <w:tcW w:w="3487" w:type="dxa"/>
                </w:tcPr>
                <w:p w:rsidR="00B000F4" w:rsidRDefault="00B000F4" w:rsidP="0052401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ARB approved test plan</w:t>
                  </w:r>
                </w:p>
              </w:tc>
              <w:tc>
                <w:tcPr>
                  <w:tcW w:w="6258" w:type="dxa"/>
                </w:tcPr>
                <w:p w:rsidR="00B000F4" w:rsidRDefault="00B000F4" w:rsidP="0052401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B000F4" w:rsidTr="00B000F4">
              <w:tc>
                <w:tcPr>
                  <w:tcW w:w="3487" w:type="dxa"/>
                </w:tcPr>
                <w:p w:rsidR="00B000F4" w:rsidRDefault="00B000F4" w:rsidP="0052401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Initial emissions testing</w:t>
                  </w:r>
                </w:p>
              </w:tc>
              <w:tc>
                <w:tcPr>
                  <w:tcW w:w="6258" w:type="dxa"/>
                </w:tcPr>
                <w:p w:rsidR="00B000F4" w:rsidRDefault="00B000F4" w:rsidP="0052401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B000F4" w:rsidTr="00B000F4">
              <w:tc>
                <w:tcPr>
                  <w:tcW w:w="3487" w:type="dxa"/>
                </w:tcPr>
                <w:p w:rsidR="00B000F4" w:rsidRDefault="00B000F4" w:rsidP="0052401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In-use emission testing</w:t>
                  </w:r>
                </w:p>
              </w:tc>
              <w:tc>
                <w:tcPr>
                  <w:tcW w:w="6258" w:type="dxa"/>
                </w:tcPr>
                <w:p w:rsidR="00B000F4" w:rsidRDefault="00B000F4" w:rsidP="0052401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000F4" w:rsidRPr="00B000F4" w:rsidRDefault="00B000F4" w:rsidP="00B00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0F4" w:rsidTr="00B000F4">
        <w:trPr>
          <w:trHeight w:val="469"/>
        </w:trPr>
        <w:tc>
          <w:tcPr>
            <w:tcW w:w="9990" w:type="dxa"/>
            <w:shd w:val="clear" w:color="auto" w:fill="FFFFFF"/>
            <w:vAlign w:val="center"/>
          </w:tcPr>
          <w:p w:rsidR="00B000F4" w:rsidRDefault="00055209" w:rsidP="00574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000F4">
              <w:rPr>
                <w:rFonts w:ascii="Arial" w:hAnsi="Arial" w:cs="Arial"/>
                <w:sz w:val="24"/>
                <w:szCs w:val="24"/>
              </w:rPr>
              <w:t>) Provide documentation of</w:t>
            </w:r>
            <w:r w:rsidR="00B000F4" w:rsidRPr="00B000F4">
              <w:rPr>
                <w:rFonts w:ascii="Arial" w:hAnsi="Arial" w:cs="Arial"/>
                <w:sz w:val="24"/>
                <w:szCs w:val="24"/>
              </w:rPr>
              <w:t xml:space="preserve"> the fleet’s shortfall in satisfying the requirements of the At-Berth Regulation</w:t>
            </w:r>
            <w:r w:rsidR="00EE31B1">
              <w:rPr>
                <w:rFonts w:ascii="Arial" w:hAnsi="Arial" w:cs="Arial"/>
                <w:sz w:val="24"/>
                <w:szCs w:val="24"/>
              </w:rPr>
              <w:t xml:space="preserve"> for the first 2 quarters of 2014</w:t>
            </w:r>
            <w:r w:rsidR="00B000F4" w:rsidRPr="00B000F4">
              <w:rPr>
                <w:rFonts w:ascii="Arial" w:hAnsi="Arial" w:cs="Arial"/>
                <w:sz w:val="24"/>
                <w:szCs w:val="24"/>
              </w:rPr>
              <w:t xml:space="preserve">.  To do this, the fleet </w:t>
            </w:r>
            <w:r w:rsidR="00574AB2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B000F4" w:rsidRPr="00B000F4">
              <w:rPr>
                <w:rFonts w:ascii="Arial" w:hAnsi="Arial" w:cs="Arial"/>
                <w:sz w:val="24"/>
                <w:szCs w:val="24"/>
              </w:rPr>
              <w:t xml:space="preserve">fill out the </w:t>
            </w:r>
            <w:r w:rsidR="00132051">
              <w:rPr>
                <w:rFonts w:ascii="Arial" w:hAnsi="Arial" w:cs="Arial"/>
                <w:sz w:val="24"/>
                <w:szCs w:val="24"/>
              </w:rPr>
              <w:t xml:space="preserve">Advisory </w:t>
            </w:r>
            <w:r w:rsidR="00B000F4" w:rsidRPr="00B000F4">
              <w:rPr>
                <w:rFonts w:ascii="Arial" w:hAnsi="Arial" w:cs="Arial"/>
                <w:sz w:val="24"/>
                <w:szCs w:val="24"/>
              </w:rPr>
              <w:t xml:space="preserve">Visit Information </w:t>
            </w:r>
            <w:r w:rsidR="00132051">
              <w:rPr>
                <w:rFonts w:ascii="Arial" w:hAnsi="Arial" w:cs="Arial"/>
                <w:sz w:val="24"/>
                <w:szCs w:val="24"/>
              </w:rPr>
              <w:t xml:space="preserve">– Equivalent Emission Reduction Option </w:t>
            </w:r>
            <w:r w:rsidR="00B000F4" w:rsidRPr="00B000F4">
              <w:rPr>
                <w:rFonts w:ascii="Arial" w:hAnsi="Arial" w:cs="Arial"/>
                <w:sz w:val="24"/>
                <w:szCs w:val="24"/>
              </w:rPr>
              <w:t>spreadsheet</w:t>
            </w:r>
            <w:r w:rsidR="00574AB2">
              <w:rPr>
                <w:rFonts w:ascii="Arial" w:hAnsi="Arial" w:cs="Arial"/>
                <w:sz w:val="24"/>
                <w:szCs w:val="24"/>
              </w:rPr>
              <w:t>, assuming no alternative technology</w:t>
            </w:r>
            <w:r w:rsidR="00132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00F4" w:rsidTr="00B000F4">
        <w:trPr>
          <w:trHeight w:val="469"/>
        </w:trPr>
        <w:tc>
          <w:tcPr>
            <w:tcW w:w="9990" w:type="dxa"/>
            <w:shd w:val="clear" w:color="auto" w:fill="FFFFFF"/>
            <w:vAlign w:val="center"/>
          </w:tcPr>
          <w:p w:rsidR="00B000F4" w:rsidRDefault="00055209" w:rsidP="00F64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3E8F">
              <w:rPr>
                <w:rFonts w:ascii="Arial" w:hAnsi="Arial" w:cs="Arial"/>
                <w:sz w:val="24"/>
                <w:szCs w:val="24"/>
              </w:rPr>
              <w:t>) Provide documentation of</w:t>
            </w:r>
            <w:r w:rsidR="00D03E8F" w:rsidRPr="00B000F4">
              <w:rPr>
                <w:rFonts w:ascii="Arial" w:hAnsi="Arial" w:cs="Arial"/>
                <w:sz w:val="24"/>
                <w:szCs w:val="24"/>
              </w:rPr>
              <w:t xml:space="preserve"> the fleet’s </w:t>
            </w:r>
            <w:r w:rsidR="00D03E8F">
              <w:rPr>
                <w:rFonts w:ascii="Arial" w:hAnsi="Arial" w:cs="Arial"/>
                <w:sz w:val="24"/>
                <w:szCs w:val="24"/>
              </w:rPr>
              <w:t xml:space="preserve">effort to </w:t>
            </w:r>
            <w:r w:rsidR="00D03E8F" w:rsidRPr="00B000F4">
              <w:rPr>
                <w:rFonts w:ascii="Arial" w:hAnsi="Arial" w:cs="Arial"/>
                <w:sz w:val="24"/>
                <w:szCs w:val="24"/>
              </w:rPr>
              <w:t>satisfying the requirements of the At-Berth Regulation</w:t>
            </w:r>
            <w:r w:rsidR="00EE31B1">
              <w:rPr>
                <w:rFonts w:ascii="Arial" w:hAnsi="Arial" w:cs="Arial"/>
                <w:sz w:val="24"/>
                <w:szCs w:val="24"/>
              </w:rPr>
              <w:t xml:space="preserve"> for the first 2 quarters of 2014</w:t>
            </w:r>
            <w:r w:rsidR="00D03E8F" w:rsidRPr="00B000F4">
              <w:rPr>
                <w:rFonts w:ascii="Arial" w:hAnsi="Arial" w:cs="Arial"/>
                <w:sz w:val="24"/>
                <w:szCs w:val="24"/>
              </w:rPr>
              <w:t xml:space="preserve">.  To do this, the </w:t>
            </w:r>
            <w:r w:rsidR="00132051" w:rsidRPr="00B000F4">
              <w:rPr>
                <w:rFonts w:ascii="Arial" w:hAnsi="Arial" w:cs="Arial"/>
                <w:sz w:val="24"/>
                <w:szCs w:val="24"/>
              </w:rPr>
              <w:t xml:space="preserve">fleet </w:t>
            </w:r>
            <w:r w:rsidR="00574AB2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132051" w:rsidRPr="00B000F4">
              <w:rPr>
                <w:rFonts w:ascii="Arial" w:hAnsi="Arial" w:cs="Arial"/>
                <w:sz w:val="24"/>
                <w:szCs w:val="24"/>
              </w:rPr>
              <w:t xml:space="preserve">fill out the </w:t>
            </w:r>
            <w:r w:rsidR="00132051">
              <w:rPr>
                <w:rFonts w:ascii="Arial" w:hAnsi="Arial" w:cs="Arial"/>
                <w:sz w:val="24"/>
                <w:szCs w:val="24"/>
              </w:rPr>
              <w:t xml:space="preserve">Advisory </w:t>
            </w:r>
            <w:r w:rsidR="00132051" w:rsidRPr="00B000F4">
              <w:rPr>
                <w:rFonts w:ascii="Arial" w:hAnsi="Arial" w:cs="Arial"/>
                <w:sz w:val="24"/>
                <w:szCs w:val="24"/>
              </w:rPr>
              <w:t xml:space="preserve">Visit Information </w:t>
            </w:r>
            <w:r w:rsidR="00132051">
              <w:rPr>
                <w:rFonts w:ascii="Arial" w:hAnsi="Arial" w:cs="Arial"/>
                <w:sz w:val="24"/>
                <w:szCs w:val="24"/>
              </w:rPr>
              <w:t xml:space="preserve">– Equivalent Emission Reduction Option </w:t>
            </w:r>
            <w:r w:rsidR="00132051" w:rsidRPr="00B000F4">
              <w:rPr>
                <w:rFonts w:ascii="Arial" w:hAnsi="Arial" w:cs="Arial"/>
                <w:sz w:val="24"/>
                <w:szCs w:val="24"/>
              </w:rPr>
              <w:t>spreadsheet</w:t>
            </w:r>
            <w:r w:rsidR="00574AB2">
              <w:rPr>
                <w:rFonts w:ascii="Arial" w:hAnsi="Arial" w:cs="Arial"/>
                <w:sz w:val="24"/>
                <w:szCs w:val="24"/>
              </w:rPr>
              <w:t xml:space="preserve">, and include the </w:t>
            </w:r>
            <w:r w:rsidR="00F64DD0">
              <w:rPr>
                <w:rFonts w:ascii="Arial" w:hAnsi="Arial" w:cs="Arial"/>
                <w:sz w:val="24"/>
                <w:szCs w:val="24"/>
              </w:rPr>
              <w:t xml:space="preserve">estimated reductions from </w:t>
            </w:r>
            <w:r w:rsidR="00574AB2">
              <w:rPr>
                <w:rFonts w:ascii="Arial" w:hAnsi="Arial" w:cs="Arial"/>
                <w:sz w:val="24"/>
                <w:szCs w:val="24"/>
              </w:rPr>
              <w:t>use of the alternative technology</w:t>
            </w:r>
            <w:r w:rsidR="00132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42059" w:rsidRDefault="00B42059" w:rsidP="00B42059">
      <w:pPr>
        <w:rPr>
          <w:rFonts w:ascii="Arial" w:hAnsi="Arial" w:cs="Arial"/>
          <w:sz w:val="24"/>
          <w:szCs w:val="24"/>
        </w:rPr>
      </w:pPr>
    </w:p>
    <w:p w:rsidR="00B42059" w:rsidRDefault="00B42059">
      <w:pPr>
        <w:rPr>
          <w:rFonts w:ascii="Arial" w:hAnsi="Arial" w:cs="Arial"/>
          <w:sz w:val="24"/>
          <w:szCs w:val="24"/>
        </w:rPr>
      </w:pPr>
    </w:p>
    <w:sectPr w:rsidR="00B4205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5F" w:rsidRDefault="0073255F" w:rsidP="009013CD">
      <w:r>
        <w:separator/>
      </w:r>
    </w:p>
  </w:endnote>
  <w:endnote w:type="continuationSeparator" w:id="0">
    <w:p w:rsidR="0073255F" w:rsidRDefault="0073255F" w:rsidP="0090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E2" w:rsidRDefault="006D490C" w:rsidP="006D490C">
    <w:pPr>
      <w:tabs>
        <w:tab w:val="center" w:pos="4680"/>
        <w:tab w:val="right" w:pos="9360"/>
      </w:tabs>
      <w:jc w:val="center"/>
      <w:rPr>
        <w:rFonts w:ascii="Arial" w:hAnsi="Arial" w:cs="Arial"/>
        <w:b/>
        <w:noProof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B2066F" w:rsidRPr="00466235">
      <w:rPr>
        <w:rFonts w:ascii="Arial" w:hAnsi="Arial" w:cs="Arial"/>
        <w:b/>
        <w:sz w:val="24"/>
        <w:szCs w:val="24"/>
      </w:rPr>
      <w:t xml:space="preserve">December 2013 Regulatory Advisory </w:t>
    </w:r>
    <w:r w:rsidR="00390648">
      <w:rPr>
        <w:rFonts w:ascii="Arial" w:hAnsi="Arial" w:cs="Arial"/>
        <w:b/>
        <w:sz w:val="24"/>
        <w:szCs w:val="24"/>
      </w:rPr>
      <w:t>Reporting</w:t>
    </w:r>
    <w:r w:rsidR="00B2066F" w:rsidRPr="00466235">
      <w:rPr>
        <w:rFonts w:ascii="Arial" w:hAnsi="Arial" w:cs="Arial"/>
        <w:b/>
        <w:sz w:val="24"/>
        <w:szCs w:val="24"/>
      </w:rPr>
      <w:t xml:space="preserve"> </w:t>
    </w:r>
    <w:r w:rsidR="00435555">
      <w:rPr>
        <w:rFonts w:ascii="Arial" w:hAnsi="Arial" w:cs="Arial"/>
        <w:b/>
        <w:sz w:val="24"/>
        <w:szCs w:val="24"/>
      </w:rPr>
      <w:t>Form</w:t>
    </w:r>
    <w:r>
      <w:rPr>
        <w:rFonts w:ascii="Arial" w:hAnsi="Arial" w:cs="Arial"/>
        <w:b/>
        <w:sz w:val="24"/>
        <w:szCs w:val="24"/>
      </w:rPr>
      <w:tab/>
    </w:r>
    <w:r w:rsidR="00CE1EE2">
      <w:rPr>
        <w:rFonts w:ascii="Arial" w:hAnsi="Arial" w:cs="Arial"/>
        <w:b/>
        <w:sz w:val="24"/>
        <w:szCs w:val="24"/>
      </w:rPr>
      <w:t xml:space="preserve">Page </w:t>
    </w:r>
    <w:r w:rsidR="00CE1EE2" w:rsidRPr="00CE1EE2">
      <w:rPr>
        <w:rFonts w:ascii="Arial" w:hAnsi="Arial" w:cs="Arial"/>
        <w:b/>
        <w:sz w:val="24"/>
        <w:szCs w:val="24"/>
      </w:rPr>
      <w:fldChar w:fldCharType="begin"/>
    </w:r>
    <w:r w:rsidR="00CE1EE2" w:rsidRPr="00CE1EE2">
      <w:rPr>
        <w:rFonts w:ascii="Arial" w:hAnsi="Arial" w:cs="Arial"/>
        <w:b/>
        <w:sz w:val="24"/>
        <w:szCs w:val="24"/>
      </w:rPr>
      <w:instrText xml:space="preserve"> PAGE   \* MERGEFORMAT </w:instrText>
    </w:r>
    <w:r w:rsidR="00CE1EE2" w:rsidRPr="00CE1EE2">
      <w:rPr>
        <w:rFonts w:ascii="Arial" w:hAnsi="Arial" w:cs="Arial"/>
        <w:b/>
        <w:sz w:val="24"/>
        <w:szCs w:val="24"/>
      </w:rPr>
      <w:fldChar w:fldCharType="separate"/>
    </w:r>
    <w:r w:rsidR="00D5721B">
      <w:rPr>
        <w:rFonts w:ascii="Arial" w:hAnsi="Arial" w:cs="Arial"/>
        <w:b/>
        <w:noProof/>
        <w:sz w:val="24"/>
        <w:szCs w:val="24"/>
      </w:rPr>
      <w:t>1</w:t>
    </w:r>
    <w:r w:rsidR="00CE1EE2" w:rsidRPr="00CE1EE2">
      <w:rPr>
        <w:rFonts w:ascii="Arial" w:hAnsi="Arial" w:cs="Arial"/>
        <w:b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5F" w:rsidRDefault="0073255F" w:rsidP="009013CD">
      <w:r>
        <w:separator/>
      </w:r>
    </w:p>
  </w:footnote>
  <w:footnote w:type="continuationSeparator" w:id="0">
    <w:p w:rsidR="0073255F" w:rsidRDefault="0073255F" w:rsidP="0090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C4" w:rsidRPr="000A1E92" w:rsidRDefault="00073778" w:rsidP="00B2066F">
    <w:pPr>
      <w:pStyle w:val="Header"/>
      <w:rPr>
        <w:u w:val="words"/>
      </w:rPr>
    </w:pPr>
    <w:r>
      <w:rPr>
        <w:rFonts w:ascii="Arial" w:hAnsi="Arial" w:cs="Arial"/>
        <w:b/>
        <w:sz w:val="24"/>
        <w:szCs w:val="24"/>
      </w:rPr>
      <w:t>Port</w:t>
    </w:r>
    <w:r w:rsidR="000A1E92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/</w:t>
    </w:r>
    <w:r w:rsidR="000A1E92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Operator: </w:t>
    </w:r>
    <w:r w:rsidR="000A1E92">
      <w:rPr>
        <w:rFonts w:ascii="Arial" w:hAnsi="Arial" w:cs="Arial"/>
        <w:b/>
        <w:sz w:val="24"/>
        <w:szCs w:val="24"/>
      </w:rPr>
      <w:t>_________________________ /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9E4"/>
    <w:multiLevelType w:val="hybridMultilevel"/>
    <w:tmpl w:val="9C9807C8"/>
    <w:lvl w:ilvl="0" w:tplc="193A28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6D9E"/>
    <w:multiLevelType w:val="hybridMultilevel"/>
    <w:tmpl w:val="1D0249CC"/>
    <w:lvl w:ilvl="0" w:tplc="3E141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02A1A"/>
    <w:multiLevelType w:val="hybridMultilevel"/>
    <w:tmpl w:val="2ACC50A8"/>
    <w:lvl w:ilvl="0" w:tplc="20C6B3E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052F79"/>
    <w:multiLevelType w:val="hybridMultilevel"/>
    <w:tmpl w:val="C40A3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7F"/>
    <w:rsid w:val="0000461F"/>
    <w:rsid w:val="00010480"/>
    <w:rsid w:val="00047421"/>
    <w:rsid w:val="00054FDD"/>
    <w:rsid w:val="00055209"/>
    <w:rsid w:val="000673D3"/>
    <w:rsid w:val="00073778"/>
    <w:rsid w:val="000737AC"/>
    <w:rsid w:val="000A1E92"/>
    <w:rsid w:val="001264FD"/>
    <w:rsid w:val="00132051"/>
    <w:rsid w:val="00170138"/>
    <w:rsid w:val="001823C4"/>
    <w:rsid w:val="00263F75"/>
    <w:rsid w:val="00272864"/>
    <w:rsid w:val="002976DE"/>
    <w:rsid w:val="002C603F"/>
    <w:rsid w:val="002F16F6"/>
    <w:rsid w:val="002F426A"/>
    <w:rsid w:val="00326930"/>
    <w:rsid w:val="00335D91"/>
    <w:rsid w:val="00387793"/>
    <w:rsid w:val="00390648"/>
    <w:rsid w:val="00392E47"/>
    <w:rsid w:val="003B6B58"/>
    <w:rsid w:val="003C7B98"/>
    <w:rsid w:val="003E415F"/>
    <w:rsid w:val="003F3947"/>
    <w:rsid w:val="00426966"/>
    <w:rsid w:val="00435555"/>
    <w:rsid w:val="00461180"/>
    <w:rsid w:val="00461717"/>
    <w:rsid w:val="00466235"/>
    <w:rsid w:val="004933DE"/>
    <w:rsid w:val="004B1B94"/>
    <w:rsid w:val="004B1E3F"/>
    <w:rsid w:val="004D13CA"/>
    <w:rsid w:val="004F5ED6"/>
    <w:rsid w:val="00501CE6"/>
    <w:rsid w:val="00547C32"/>
    <w:rsid w:val="005510D4"/>
    <w:rsid w:val="00574AB2"/>
    <w:rsid w:val="005759A2"/>
    <w:rsid w:val="0059186C"/>
    <w:rsid w:val="005B1FA9"/>
    <w:rsid w:val="00601243"/>
    <w:rsid w:val="00605440"/>
    <w:rsid w:val="0061181E"/>
    <w:rsid w:val="00613BB4"/>
    <w:rsid w:val="00636C24"/>
    <w:rsid w:val="00663667"/>
    <w:rsid w:val="00670056"/>
    <w:rsid w:val="0069323F"/>
    <w:rsid w:val="0069393C"/>
    <w:rsid w:val="006A7498"/>
    <w:rsid w:val="006C0A46"/>
    <w:rsid w:val="006D490C"/>
    <w:rsid w:val="006E06EE"/>
    <w:rsid w:val="006E0C5A"/>
    <w:rsid w:val="006E1435"/>
    <w:rsid w:val="006E6BFC"/>
    <w:rsid w:val="006F4271"/>
    <w:rsid w:val="007124AB"/>
    <w:rsid w:val="00716F2E"/>
    <w:rsid w:val="00717C96"/>
    <w:rsid w:val="0072362F"/>
    <w:rsid w:val="007258FB"/>
    <w:rsid w:val="0073255F"/>
    <w:rsid w:val="00770A46"/>
    <w:rsid w:val="00776D5A"/>
    <w:rsid w:val="0078012D"/>
    <w:rsid w:val="007A0296"/>
    <w:rsid w:val="007A546C"/>
    <w:rsid w:val="007A69D2"/>
    <w:rsid w:val="007C1603"/>
    <w:rsid w:val="007C4D7A"/>
    <w:rsid w:val="007C5B66"/>
    <w:rsid w:val="007D788A"/>
    <w:rsid w:val="007E22C7"/>
    <w:rsid w:val="0081043B"/>
    <w:rsid w:val="00811858"/>
    <w:rsid w:val="0082137F"/>
    <w:rsid w:val="00823CD5"/>
    <w:rsid w:val="0085598D"/>
    <w:rsid w:val="00884BF3"/>
    <w:rsid w:val="008A1ADA"/>
    <w:rsid w:val="008D45B6"/>
    <w:rsid w:val="008E4F1B"/>
    <w:rsid w:val="009013CD"/>
    <w:rsid w:val="00923D81"/>
    <w:rsid w:val="00951FD9"/>
    <w:rsid w:val="009570A5"/>
    <w:rsid w:val="00971D92"/>
    <w:rsid w:val="009828AD"/>
    <w:rsid w:val="009A1ABA"/>
    <w:rsid w:val="009B7D92"/>
    <w:rsid w:val="009C0C8F"/>
    <w:rsid w:val="009C317A"/>
    <w:rsid w:val="009C79A5"/>
    <w:rsid w:val="00A0050F"/>
    <w:rsid w:val="00A1732A"/>
    <w:rsid w:val="00A37E50"/>
    <w:rsid w:val="00A82FC4"/>
    <w:rsid w:val="00AA5F94"/>
    <w:rsid w:val="00B000F4"/>
    <w:rsid w:val="00B03AF1"/>
    <w:rsid w:val="00B0402F"/>
    <w:rsid w:val="00B07461"/>
    <w:rsid w:val="00B15438"/>
    <w:rsid w:val="00B2066F"/>
    <w:rsid w:val="00B36197"/>
    <w:rsid w:val="00B419DE"/>
    <w:rsid w:val="00B42059"/>
    <w:rsid w:val="00B62D69"/>
    <w:rsid w:val="00B925CD"/>
    <w:rsid w:val="00B9597F"/>
    <w:rsid w:val="00BC193E"/>
    <w:rsid w:val="00BC4834"/>
    <w:rsid w:val="00BC666D"/>
    <w:rsid w:val="00BC7971"/>
    <w:rsid w:val="00BD0654"/>
    <w:rsid w:val="00C108CF"/>
    <w:rsid w:val="00C158AB"/>
    <w:rsid w:val="00C159A6"/>
    <w:rsid w:val="00C252CB"/>
    <w:rsid w:val="00C71437"/>
    <w:rsid w:val="00C75402"/>
    <w:rsid w:val="00CC0EDC"/>
    <w:rsid w:val="00CE1EE2"/>
    <w:rsid w:val="00CF44F0"/>
    <w:rsid w:val="00D03E8F"/>
    <w:rsid w:val="00D13825"/>
    <w:rsid w:val="00D20EB1"/>
    <w:rsid w:val="00D41657"/>
    <w:rsid w:val="00D51FCE"/>
    <w:rsid w:val="00D5721B"/>
    <w:rsid w:val="00D607FD"/>
    <w:rsid w:val="00D6654D"/>
    <w:rsid w:val="00D91DA2"/>
    <w:rsid w:val="00DA1CAE"/>
    <w:rsid w:val="00DA6B86"/>
    <w:rsid w:val="00DB276A"/>
    <w:rsid w:val="00DE29AD"/>
    <w:rsid w:val="00E26C67"/>
    <w:rsid w:val="00E27ED3"/>
    <w:rsid w:val="00ED6DE3"/>
    <w:rsid w:val="00EE31B1"/>
    <w:rsid w:val="00F117AC"/>
    <w:rsid w:val="00F12EEF"/>
    <w:rsid w:val="00F64DD0"/>
    <w:rsid w:val="00F82EC7"/>
    <w:rsid w:val="00F830FB"/>
    <w:rsid w:val="00F90493"/>
    <w:rsid w:val="00F958CC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CD"/>
  </w:style>
  <w:style w:type="paragraph" w:styleId="Footer">
    <w:name w:val="footer"/>
    <w:basedOn w:val="Normal"/>
    <w:link w:val="Foot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CD"/>
  </w:style>
  <w:style w:type="character" w:styleId="PlaceholderText">
    <w:name w:val="Placeholder Text"/>
    <w:basedOn w:val="DefaultParagraphFont"/>
    <w:uiPriority w:val="99"/>
    <w:semiHidden/>
    <w:rsid w:val="009013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7F"/>
    <w:pPr>
      <w:ind w:left="720"/>
      <w:contextualSpacing/>
    </w:pPr>
  </w:style>
  <w:style w:type="table" w:styleId="TableGrid">
    <w:name w:val="Table Grid"/>
    <w:basedOn w:val="TableNormal"/>
    <w:uiPriority w:val="59"/>
    <w:rsid w:val="0077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335D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5D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5D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D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D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5D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58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CD"/>
  </w:style>
  <w:style w:type="paragraph" w:styleId="Footer">
    <w:name w:val="footer"/>
    <w:basedOn w:val="Normal"/>
    <w:link w:val="Foot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CD"/>
  </w:style>
  <w:style w:type="character" w:styleId="PlaceholderText">
    <w:name w:val="Placeholder Text"/>
    <w:basedOn w:val="DefaultParagraphFont"/>
    <w:uiPriority w:val="99"/>
    <w:semiHidden/>
    <w:rsid w:val="009013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7F"/>
    <w:pPr>
      <w:ind w:left="720"/>
      <w:contextualSpacing/>
    </w:pPr>
  </w:style>
  <w:style w:type="table" w:styleId="TableGrid">
    <w:name w:val="Table Grid"/>
    <w:basedOn w:val="TableNormal"/>
    <w:uiPriority w:val="59"/>
    <w:rsid w:val="0077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335D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5D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5D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D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D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5D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shorepower@arb.ca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44404F-781D-4DD0-A832-031C366B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Foster</dc:creator>
  <cp:lastModifiedBy>Jonathan Foster</cp:lastModifiedBy>
  <cp:revision>14</cp:revision>
  <cp:lastPrinted>2014-01-09T18:25:00Z</cp:lastPrinted>
  <dcterms:created xsi:type="dcterms:W3CDTF">2014-01-15T00:30:00Z</dcterms:created>
  <dcterms:modified xsi:type="dcterms:W3CDTF">2014-02-20T23:58:00Z</dcterms:modified>
</cp:coreProperties>
</file>