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055" w:rsidRPr="007C4C72" w:rsidRDefault="00EA1943">
      <w:pPr>
        <w:rPr>
          <w:b/>
          <w:bCs/>
        </w:rPr>
      </w:pPr>
      <w:bookmarkStart w:id="0" w:name="_GoBack"/>
      <w:bookmarkEnd w:id="0"/>
      <w:r>
        <w:rPr>
          <w:noProof/>
        </w:rPr>
        <mc:AlternateContent>
          <mc:Choice Requires="wps">
            <w:drawing>
              <wp:anchor distT="0" distB="0" distL="114300" distR="114300" simplePos="0" relativeHeight="2" behindDoc="0" locked="0" layoutInCell="1" allowOverlap="1">
                <wp:simplePos x="0" y="0"/>
                <wp:positionH relativeFrom="column">
                  <wp:posOffset>5162550</wp:posOffset>
                </wp:positionH>
                <wp:positionV relativeFrom="paragraph">
                  <wp:posOffset>0</wp:posOffset>
                </wp:positionV>
                <wp:extent cx="1489710" cy="1371600"/>
                <wp:effectExtent l="3810" t="254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2055" w:rsidRPr="000F3D83" w:rsidRDefault="002F2055">
                            <w:pPr>
                              <w:rPr>
                                <w:rFonts w:ascii="Calibri" w:hAnsi="Calibri"/>
                                <w:b/>
                                <w:color w:val="000080"/>
                                <w:sz w:val="16"/>
                                <w:szCs w:val="16"/>
                              </w:rPr>
                            </w:pPr>
                            <w:r w:rsidRPr="000F3D83">
                              <w:rPr>
                                <w:rFonts w:ascii="Calibri" w:hAnsi="Calibri"/>
                                <w:b/>
                                <w:color w:val="000080"/>
                                <w:sz w:val="16"/>
                                <w:szCs w:val="16"/>
                              </w:rPr>
                              <w:t>Tamara Rasberry</w:t>
                            </w:r>
                          </w:p>
                          <w:p w:rsidR="002F2055" w:rsidRPr="000F3D83" w:rsidRDefault="002F2055">
                            <w:pPr>
                              <w:rPr>
                                <w:rFonts w:ascii="Calibri" w:hAnsi="Calibri"/>
                                <w:b/>
                                <w:color w:val="000080"/>
                                <w:sz w:val="16"/>
                                <w:szCs w:val="16"/>
                              </w:rPr>
                            </w:pPr>
                            <w:r w:rsidRPr="000F3D83">
                              <w:rPr>
                                <w:rFonts w:ascii="Calibri" w:hAnsi="Calibri"/>
                                <w:b/>
                                <w:color w:val="000080"/>
                                <w:sz w:val="16"/>
                                <w:szCs w:val="16"/>
                              </w:rPr>
                              <w:t>Manager</w:t>
                            </w:r>
                            <w:r w:rsidR="000F3D83">
                              <w:rPr>
                                <w:rFonts w:ascii="Calibri" w:hAnsi="Calibri"/>
                                <w:b/>
                                <w:color w:val="000080"/>
                                <w:sz w:val="16"/>
                                <w:szCs w:val="16"/>
                              </w:rPr>
                              <w:t xml:space="preserve">, </w:t>
                            </w:r>
                            <w:r w:rsidRPr="000F3D83">
                              <w:rPr>
                                <w:rFonts w:ascii="Calibri" w:hAnsi="Calibri"/>
                                <w:b/>
                                <w:color w:val="000080"/>
                                <w:sz w:val="16"/>
                                <w:szCs w:val="16"/>
                              </w:rPr>
                              <w:t xml:space="preserve">State Agency </w:t>
                            </w:r>
                            <w:r w:rsidR="000F3D83">
                              <w:rPr>
                                <w:rFonts w:ascii="Calibri" w:hAnsi="Calibri"/>
                                <w:b/>
                                <w:color w:val="000080"/>
                                <w:sz w:val="16"/>
                                <w:szCs w:val="16"/>
                              </w:rPr>
                              <w:t xml:space="preserve">Governmental </w:t>
                            </w:r>
                            <w:r w:rsidRPr="000F3D83">
                              <w:rPr>
                                <w:rFonts w:ascii="Calibri" w:hAnsi="Calibri"/>
                                <w:b/>
                                <w:color w:val="000080"/>
                                <w:sz w:val="16"/>
                                <w:szCs w:val="16"/>
                              </w:rPr>
                              <w:t>Affairs</w:t>
                            </w:r>
                            <w:r w:rsidRPr="000F3D83">
                              <w:rPr>
                                <w:rFonts w:ascii="Calibri" w:hAnsi="Calibri"/>
                                <w:b/>
                                <w:color w:val="000080"/>
                                <w:sz w:val="16"/>
                                <w:szCs w:val="16"/>
                              </w:rPr>
                              <w:br/>
                            </w:r>
                          </w:p>
                          <w:p w:rsidR="002F2055" w:rsidRPr="000F3D83" w:rsidRDefault="002F2055">
                            <w:pPr>
                              <w:rPr>
                                <w:rFonts w:ascii="Calibri" w:hAnsi="Calibri"/>
                                <w:b/>
                                <w:color w:val="000080"/>
                                <w:sz w:val="16"/>
                                <w:szCs w:val="16"/>
                              </w:rPr>
                            </w:pPr>
                            <w:r w:rsidRPr="000F3D83">
                              <w:rPr>
                                <w:rFonts w:ascii="Calibri" w:hAnsi="Calibri"/>
                                <w:b/>
                                <w:color w:val="000080"/>
                                <w:sz w:val="16"/>
                                <w:szCs w:val="16"/>
                              </w:rPr>
                              <w:t>925 L Street, Suite 650</w:t>
                            </w:r>
                          </w:p>
                          <w:p w:rsidR="002F2055" w:rsidRPr="000F3D83" w:rsidRDefault="002F2055">
                            <w:pPr>
                              <w:rPr>
                                <w:rFonts w:ascii="Calibri" w:hAnsi="Calibri"/>
                                <w:b/>
                                <w:color w:val="000080"/>
                                <w:sz w:val="16"/>
                                <w:szCs w:val="16"/>
                              </w:rPr>
                            </w:pPr>
                            <w:r w:rsidRPr="000F3D83">
                              <w:rPr>
                                <w:rFonts w:ascii="Calibri" w:hAnsi="Calibri"/>
                                <w:b/>
                                <w:color w:val="000080"/>
                                <w:sz w:val="16"/>
                                <w:szCs w:val="16"/>
                              </w:rPr>
                              <w:t>Sacramento, CA 95814</w:t>
                            </w:r>
                          </w:p>
                          <w:p w:rsidR="002F2055" w:rsidRPr="000F3D83" w:rsidRDefault="002F2055">
                            <w:pPr>
                              <w:rPr>
                                <w:rFonts w:ascii="Calibri" w:hAnsi="Calibri"/>
                                <w:b/>
                                <w:color w:val="B00000"/>
                                <w:sz w:val="16"/>
                                <w:szCs w:val="16"/>
                              </w:rPr>
                            </w:pPr>
                            <w:r w:rsidRPr="000F3D83">
                              <w:rPr>
                                <w:rFonts w:ascii="Calibri" w:hAnsi="Calibri"/>
                                <w:b/>
                                <w:color w:val="000080"/>
                                <w:sz w:val="16"/>
                                <w:szCs w:val="16"/>
                              </w:rPr>
                              <w:br/>
                            </w:r>
                            <w:r w:rsidR="005D4BA8" w:rsidRPr="000F3D83">
                              <w:rPr>
                                <w:rFonts w:ascii="Calibri" w:hAnsi="Calibri"/>
                                <w:b/>
                                <w:color w:val="B00000"/>
                                <w:sz w:val="16"/>
                                <w:szCs w:val="16"/>
                              </w:rPr>
                              <w:t>(916) 492-</w:t>
                            </w:r>
                            <w:r w:rsidR="00235DAF" w:rsidRPr="000F3D83">
                              <w:rPr>
                                <w:rFonts w:ascii="Calibri" w:hAnsi="Calibri"/>
                                <w:b/>
                                <w:color w:val="B00000"/>
                                <w:sz w:val="16"/>
                                <w:szCs w:val="16"/>
                              </w:rPr>
                              <w:t>4</w:t>
                            </w:r>
                            <w:r w:rsidR="005D4BA8" w:rsidRPr="000F3D83">
                              <w:rPr>
                                <w:rFonts w:ascii="Calibri" w:hAnsi="Calibri"/>
                                <w:b/>
                                <w:color w:val="B00000"/>
                                <w:sz w:val="16"/>
                                <w:szCs w:val="16"/>
                              </w:rPr>
                              <w:t>252</w:t>
                            </w:r>
                          </w:p>
                          <w:p w:rsidR="002F2055" w:rsidRPr="000F3D83" w:rsidRDefault="005D4BA8">
                            <w:pPr>
                              <w:rPr>
                                <w:rFonts w:ascii="Calibri" w:hAnsi="Calibri"/>
                                <w:b/>
                                <w:color w:val="B00000"/>
                                <w:sz w:val="16"/>
                                <w:szCs w:val="16"/>
                              </w:rPr>
                            </w:pPr>
                            <w:r w:rsidRPr="000F3D83">
                              <w:rPr>
                                <w:rFonts w:ascii="Calibri" w:hAnsi="Calibri"/>
                                <w:b/>
                                <w:color w:val="B00000"/>
                                <w:sz w:val="16"/>
                                <w:szCs w:val="16"/>
                              </w:rPr>
                              <w:t>trasberry</w:t>
                            </w:r>
                            <w:r w:rsidR="002F2055" w:rsidRPr="000F3D83">
                              <w:rPr>
                                <w:rFonts w:ascii="Calibri" w:hAnsi="Calibri"/>
                                <w:b/>
                                <w:color w:val="B00000"/>
                                <w:sz w:val="16"/>
                                <w:szCs w:val="16"/>
                              </w:rPr>
                              <w:t>@sempra.com</w:t>
                            </w:r>
                          </w:p>
                          <w:p w:rsidR="002F2055" w:rsidRDefault="002F2055"/>
                          <w:p w:rsidR="002F2055" w:rsidRDefault="002F20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6.5pt;margin-top:0;width:117.3pt;height:108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7Cgw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" stroked="f">
                <v:textbox>
                  <w:txbxContent>
                    <w:p w:rsidR="002F2055" w:rsidRPr="000F3D83" w:rsidRDefault="002F2055">
                      <w:pPr>
                        <w:rPr>
                          <w:rFonts w:ascii="Calibri" w:hAnsi="Calibri"/>
                          <w:b/>
                          <w:color w:val="000080"/>
                          <w:sz w:val="16"/>
                          <w:szCs w:val="16"/>
                        </w:rPr>
                      </w:pPr>
                      <w:r w:rsidRPr="000F3D83">
                        <w:rPr>
                          <w:rFonts w:ascii="Calibri" w:hAnsi="Calibri"/>
                          <w:b/>
                          <w:color w:val="000080"/>
                          <w:sz w:val="16"/>
                          <w:szCs w:val="16"/>
                        </w:rPr>
                        <w:t>Tamara Rasberry</w:t>
                      </w:r>
                    </w:p>
                    <w:p w:rsidR="002F2055" w:rsidRPr="000F3D83" w:rsidRDefault="002F2055">
                      <w:pPr>
                        <w:rPr>
                          <w:rFonts w:ascii="Calibri" w:hAnsi="Calibri"/>
                          <w:b/>
                          <w:color w:val="000080"/>
                          <w:sz w:val="16"/>
                          <w:szCs w:val="16"/>
                        </w:rPr>
                      </w:pPr>
                      <w:r w:rsidRPr="000F3D83">
                        <w:rPr>
                          <w:rFonts w:ascii="Calibri" w:hAnsi="Calibri"/>
                          <w:b/>
                          <w:color w:val="000080"/>
                          <w:sz w:val="16"/>
                          <w:szCs w:val="16"/>
                        </w:rPr>
                        <w:t>Manager</w:t>
                      </w:r>
                      <w:r w:rsidR="000F3D83">
                        <w:rPr>
                          <w:rFonts w:ascii="Calibri" w:hAnsi="Calibri"/>
                          <w:b/>
                          <w:color w:val="000080"/>
                          <w:sz w:val="16"/>
                          <w:szCs w:val="16"/>
                        </w:rPr>
                        <w:t xml:space="preserve">, </w:t>
                      </w:r>
                      <w:r w:rsidRPr="000F3D83">
                        <w:rPr>
                          <w:rFonts w:ascii="Calibri" w:hAnsi="Calibri"/>
                          <w:b/>
                          <w:color w:val="000080"/>
                          <w:sz w:val="16"/>
                          <w:szCs w:val="16"/>
                        </w:rPr>
                        <w:t xml:space="preserve">State Agency </w:t>
                      </w:r>
                      <w:r w:rsidR="000F3D83">
                        <w:rPr>
                          <w:rFonts w:ascii="Calibri" w:hAnsi="Calibri"/>
                          <w:b/>
                          <w:color w:val="000080"/>
                          <w:sz w:val="16"/>
                          <w:szCs w:val="16"/>
                        </w:rPr>
                        <w:t xml:space="preserve">Governmental </w:t>
                      </w:r>
                      <w:r w:rsidRPr="000F3D83">
                        <w:rPr>
                          <w:rFonts w:ascii="Calibri" w:hAnsi="Calibri"/>
                          <w:b/>
                          <w:color w:val="000080"/>
                          <w:sz w:val="16"/>
                          <w:szCs w:val="16"/>
                        </w:rPr>
                        <w:t>Affairs</w:t>
                      </w:r>
                      <w:r w:rsidRPr="000F3D83">
                        <w:rPr>
                          <w:rFonts w:ascii="Calibri" w:hAnsi="Calibri"/>
                          <w:b/>
                          <w:color w:val="000080"/>
                          <w:sz w:val="16"/>
                          <w:szCs w:val="16"/>
                        </w:rPr>
                        <w:br/>
                      </w:r>
                    </w:p>
                    <w:p w:rsidR="002F2055" w:rsidRPr="000F3D83" w:rsidRDefault="002F2055">
                      <w:pPr>
                        <w:rPr>
                          <w:rFonts w:ascii="Calibri" w:hAnsi="Calibri"/>
                          <w:b/>
                          <w:color w:val="000080"/>
                          <w:sz w:val="16"/>
                          <w:szCs w:val="16"/>
                        </w:rPr>
                      </w:pPr>
                      <w:r w:rsidRPr="000F3D83">
                        <w:rPr>
                          <w:rFonts w:ascii="Calibri" w:hAnsi="Calibri"/>
                          <w:b/>
                          <w:color w:val="000080"/>
                          <w:sz w:val="16"/>
                          <w:szCs w:val="16"/>
                        </w:rPr>
                        <w:t>925 L Street, Suite 650</w:t>
                      </w:r>
                    </w:p>
                    <w:p w:rsidR="002F2055" w:rsidRPr="000F3D83" w:rsidRDefault="002F2055">
                      <w:pPr>
                        <w:rPr>
                          <w:rFonts w:ascii="Calibri" w:hAnsi="Calibri"/>
                          <w:b/>
                          <w:color w:val="000080"/>
                          <w:sz w:val="16"/>
                          <w:szCs w:val="16"/>
                        </w:rPr>
                      </w:pPr>
                      <w:r w:rsidRPr="000F3D83">
                        <w:rPr>
                          <w:rFonts w:ascii="Calibri" w:hAnsi="Calibri"/>
                          <w:b/>
                          <w:color w:val="000080"/>
                          <w:sz w:val="16"/>
                          <w:szCs w:val="16"/>
                        </w:rPr>
                        <w:t>Sacramento, CA 95814</w:t>
                      </w:r>
                    </w:p>
                    <w:p w:rsidR="002F2055" w:rsidRPr="000F3D83" w:rsidRDefault="002F2055">
                      <w:pPr>
                        <w:rPr>
                          <w:rFonts w:ascii="Calibri" w:hAnsi="Calibri"/>
                          <w:b/>
                          <w:color w:val="B00000"/>
                          <w:sz w:val="16"/>
                          <w:szCs w:val="16"/>
                        </w:rPr>
                      </w:pPr>
                      <w:r w:rsidRPr="000F3D83">
                        <w:rPr>
                          <w:rFonts w:ascii="Calibri" w:hAnsi="Calibri"/>
                          <w:b/>
                          <w:color w:val="000080"/>
                          <w:sz w:val="16"/>
                          <w:szCs w:val="16"/>
                        </w:rPr>
                        <w:br/>
                      </w:r>
                      <w:r w:rsidR="005D4BA8" w:rsidRPr="000F3D83">
                        <w:rPr>
                          <w:rFonts w:ascii="Calibri" w:hAnsi="Calibri"/>
                          <w:b/>
                          <w:color w:val="B00000"/>
                          <w:sz w:val="16"/>
                          <w:szCs w:val="16"/>
                        </w:rPr>
                        <w:t>(916) 492-</w:t>
                      </w:r>
                      <w:r w:rsidR="00235DAF" w:rsidRPr="000F3D83">
                        <w:rPr>
                          <w:rFonts w:ascii="Calibri" w:hAnsi="Calibri"/>
                          <w:b/>
                          <w:color w:val="B00000"/>
                          <w:sz w:val="16"/>
                          <w:szCs w:val="16"/>
                        </w:rPr>
                        <w:t>4</w:t>
                      </w:r>
                      <w:r w:rsidR="005D4BA8" w:rsidRPr="000F3D83">
                        <w:rPr>
                          <w:rFonts w:ascii="Calibri" w:hAnsi="Calibri"/>
                          <w:b/>
                          <w:color w:val="B00000"/>
                          <w:sz w:val="16"/>
                          <w:szCs w:val="16"/>
                        </w:rPr>
                        <w:t>252</w:t>
                      </w:r>
                    </w:p>
                    <w:p w:rsidR="002F2055" w:rsidRPr="000F3D83" w:rsidRDefault="005D4BA8">
                      <w:pPr>
                        <w:rPr>
                          <w:rFonts w:ascii="Calibri" w:hAnsi="Calibri"/>
                          <w:b/>
                          <w:color w:val="B00000"/>
                          <w:sz w:val="16"/>
                          <w:szCs w:val="16"/>
                        </w:rPr>
                      </w:pPr>
                      <w:r w:rsidRPr="000F3D83">
                        <w:rPr>
                          <w:rFonts w:ascii="Calibri" w:hAnsi="Calibri"/>
                          <w:b/>
                          <w:color w:val="B00000"/>
                          <w:sz w:val="16"/>
                          <w:szCs w:val="16"/>
                        </w:rPr>
                        <w:t>trasberry</w:t>
                      </w:r>
                      <w:r w:rsidR="002F2055" w:rsidRPr="000F3D83">
                        <w:rPr>
                          <w:rFonts w:ascii="Calibri" w:hAnsi="Calibri"/>
                          <w:b/>
                          <w:color w:val="B00000"/>
                          <w:sz w:val="16"/>
                          <w:szCs w:val="16"/>
                        </w:rPr>
                        <w:t>@sempra.com</w:t>
                      </w:r>
                    </w:p>
                    <w:p w:rsidR="002F2055" w:rsidRDefault="002F2055"/>
                    <w:p w:rsidR="002F2055" w:rsidRDefault="002F2055"/>
                  </w:txbxContent>
                </v:textbox>
              </v:shape>
            </w:pict>
          </mc:Fallback>
        </mc:AlternateContent>
      </w:r>
      <w:r w:rsidR="0022147E">
        <w:rPr>
          <w:noProof/>
        </w:rPr>
        <w:drawing>
          <wp:inline distT="0" distB="0" distL="0" distR="0">
            <wp:extent cx="1955800" cy="973455"/>
            <wp:effectExtent l="19050" t="0" r="6350" b="0"/>
            <wp:docPr id="1" name="Picture 1" descr="cid:image001.jpg@01CAABF9.6DAB9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AABF9.6DAB9C10"/>
                    <pic:cNvPicPr>
                      <a:picLocks noChangeAspect="1" noChangeArrowheads="1"/>
                    </pic:cNvPicPr>
                  </pic:nvPicPr>
                  <pic:blipFill>
                    <a:blip r:embed="rId8" cstate="print"/>
                    <a:srcRect/>
                    <a:stretch>
                      <a:fillRect/>
                    </a:stretch>
                  </pic:blipFill>
                  <pic:spPr bwMode="auto">
                    <a:xfrm>
                      <a:off x="0" y="0"/>
                      <a:ext cx="1955800" cy="973455"/>
                    </a:xfrm>
                    <a:prstGeom prst="rect">
                      <a:avLst/>
                    </a:prstGeom>
                    <a:noFill/>
                    <a:ln w="9525">
                      <a:noFill/>
                      <a:miter lim="800000"/>
                      <a:headEnd/>
                      <a:tailEnd/>
                    </a:ln>
                  </pic:spPr>
                </pic:pic>
              </a:graphicData>
            </a:graphic>
          </wp:inline>
        </w:drawing>
      </w:r>
    </w:p>
    <w:p w:rsidR="000F3D83" w:rsidRPr="007C4C72" w:rsidRDefault="000F3D83" w:rsidP="000F3D83">
      <w:pPr>
        <w:spacing w:line="480" w:lineRule="auto"/>
        <w:ind w:firstLine="720"/>
      </w:pPr>
    </w:p>
    <w:p w:rsidR="006775D9" w:rsidRPr="007C4C72" w:rsidRDefault="001B3AD4" w:rsidP="00EA1943">
      <w:pPr>
        <w:jc w:val="center"/>
        <w:rPr>
          <w:bCs/>
        </w:rPr>
      </w:pPr>
      <w:r>
        <w:rPr>
          <w:bCs/>
        </w:rPr>
        <w:t>May 11, 2012</w:t>
      </w:r>
    </w:p>
    <w:p w:rsidR="001B3AD4" w:rsidRDefault="001B3AD4" w:rsidP="00370D8F"/>
    <w:p w:rsidR="00370D8F" w:rsidRPr="00326C0E" w:rsidRDefault="00370D8F" w:rsidP="00370D8F">
      <w:r w:rsidRPr="00326C0E">
        <w:t>California Air Resources Board</w:t>
      </w:r>
      <w:r w:rsidR="00C130F7">
        <w:tab/>
      </w:r>
      <w:r w:rsidR="00C130F7">
        <w:tab/>
      </w:r>
      <w:r w:rsidR="00C130F7">
        <w:tab/>
      </w:r>
    </w:p>
    <w:p w:rsidR="00370D8F" w:rsidRPr="00326C0E" w:rsidRDefault="00370D8F" w:rsidP="00370D8F">
      <w:r w:rsidRPr="00326C0E">
        <w:t>1001 I Street</w:t>
      </w:r>
    </w:p>
    <w:p w:rsidR="00370D8F" w:rsidRDefault="00370D8F" w:rsidP="00370D8F">
      <w:r w:rsidRPr="00326C0E">
        <w:t>Sacramento</w:t>
      </w:r>
      <w:r>
        <w:t>,</w:t>
      </w:r>
      <w:r w:rsidRPr="00326C0E">
        <w:t xml:space="preserve"> CA 95814</w:t>
      </w:r>
    </w:p>
    <w:p w:rsidR="000351A8" w:rsidRPr="00326C0E" w:rsidRDefault="000351A8" w:rsidP="00370D8F"/>
    <w:p w:rsidR="00370D8F" w:rsidRPr="00E304B9" w:rsidRDefault="00370D8F" w:rsidP="00370D8F">
      <w:pPr>
        <w:ind w:left="2160" w:hanging="720"/>
        <w:rPr>
          <w:b/>
        </w:rPr>
      </w:pPr>
      <w:r w:rsidRPr="00E304B9">
        <w:rPr>
          <w:b/>
        </w:rPr>
        <w:t xml:space="preserve">RE:  </w:t>
      </w:r>
      <w:r w:rsidRPr="00E304B9">
        <w:rPr>
          <w:b/>
        </w:rPr>
        <w:tab/>
        <w:t>May 4, 2012 workshop on Electricity Issues</w:t>
      </w:r>
    </w:p>
    <w:p w:rsidR="00370D8F" w:rsidRDefault="00370D8F" w:rsidP="00370D8F"/>
    <w:p w:rsidR="001B3AD4" w:rsidRPr="00326C0E" w:rsidRDefault="001B3AD4" w:rsidP="00370D8F">
      <w:r>
        <w:t>Dear Board Members:</w:t>
      </w:r>
    </w:p>
    <w:p w:rsidR="006F2076" w:rsidRPr="007C4C72" w:rsidRDefault="006F2076" w:rsidP="006F2076"/>
    <w:p w:rsidR="00FF14F8" w:rsidRDefault="006F2076" w:rsidP="006F2076">
      <w:r w:rsidRPr="007C4C72">
        <w:t>San Diego Gas and Electric Company (SDG&amp;E</w:t>
      </w:r>
      <w:r w:rsidR="00454667">
        <w:t>)</w:t>
      </w:r>
      <w:r w:rsidR="00370D8F">
        <w:t xml:space="preserve"> </w:t>
      </w:r>
      <w:r w:rsidRPr="007C4C72">
        <w:t>appreciate</w:t>
      </w:r>
      <w:r w:rsidR="00370D8F">
        <w:t>s</w:t>
      </w:r>
      <w:r w:rsidRPr="007C4C72">
        <w:t xml:space="preserve"> the opportunity to submit these written comments concerning </w:t>
      </w:r>
      <w:r w:rsidR="00370D8F">
        <w:t>“Resource Shuffling,” a topic of the May 4, 2012 workshop. T</w:t>
      </w:r>
      <w:r w:rsidRPr="007C4C72">
        <w:t>he resource shuffling provisions</w:t>
      </w:r>
      <w:r w:rsidR="00FF14F8">
        <w:t>,</w:t>
      </w:r>
      <w:r w:rsidRPr="007C4C72">
        <w:t xml:space="preserve"> as </w:t>
      </w:r>
      <w:r w:rsidR="00370D8F">
        <w:t>currently in the regulation</w:t>
      </w:r>
      <w:r w:rsidR="00FF14F8">
        <w:t>,</w:t>
      </w:r>
      <w:r w:rsidR="00370D8F">
        <w:t xml:space="preserve"> </w:t>
      </w:r>
      <w:r w:rsidRPr="007C4C72">
        <w:t>are vague</w:t>
      </w:r>
      <w:r w:rsidR="00EA7267">
        <w:t>,</w:t>
      </w:r>
      <w:r w:rsidRPr="007C4C72">
        <w:t xml:space="preserve"> overly broad</w:t>
      </w:r>
      <w:r w:rsidR="00EA7267">
        <w:t>, and lack the necessary clarity for compliance entities to understand whether or not they have engaged in resource shuffling</w:t>
      </w:r>
      <w:r w:rsidR="00370D8F">
        <w:t xml:space="preserve">. </w:t>
      </w:r>
      <w:r w:rsidR="00A152CD">
        <w:t xml:space="preserve">The extent of confusion over what constitutes and what does not constitute Resource Shuffling was abundantly evident at the workshop.  Stakeholders presented many different scenarios and asked staff for a ruling on whether or not each scenario was considered a violation of the provision.  Although </w:t>
      </w:r>
      <w:r w:rsidR="002D4784">
        <w:t xml:space="preserve">ARB </w:t>
      </w:r>
      <w:r w:rsidR="00A152CD">
        <w:t xml:space="preserve">staff responded to each scenario, </w:t>
      </w:r>
      <w:r w:rsidR="00AB01DC">
        <w:t>since they also</w:t>
      </w:r>
      <w:r w:rsidR="00EA7267">
        <w:t xml:space="preserve"> indicated </w:t>
      </w:r>
      <w:r w:rsidR="00370D8F">
        <w:t>that the language cannot be tightened without violating the Interstate Commerce Clause</w:t>
      </w:r>
      <w:r w:rsidR="00AB01DC">
        <w:t xml:space="preserve">, very little comfort was given to </w:t>
      </w:r>
      <w:r w:rsidR="00307BB3">
        <w:t>compliance entities,</w:t>
      </w:r>
      <w:r w:rsidR="00AB01DC">
        <w:t xml:space="preserve"> who</w:t>
      </w:r>
      <w:r w:rsidR="00307BB3">
        <w:t>se</w:t>
      </w:r>
      <w:r w:rsidR="00AB01DC">
        <w:t xml:space="preserve"> actions are left to the interpretation of ARB</w:t>
      </w:r>
      <w:r w:rsidR="00307BB3">
        <w:t xml:space="preserve">’s enforcement </w:t>
      </w:r>
      <w:r w:rsidR="002D4784">
        <w:t>section</w:t>
      </w:r>
      <w:r w:rsidR="00307BB3">
        <w:t xml:space="preserve">. </w:t>
      </w:r>
      <w:r w:rsidR="00AB01DC">
        <w:t xml:space="preserve"> </w:t>
      </w:r>
      <w:r w:rsidR="00502A3B">
        <w:t>I</w:t>
      </w:r>
      <w:r w:rsidR="00370D8F">
        <w:t xml:space="preserve">t </w:t>
      </w:r>
      <w:r w:rsidRPr="007C4C72">
        <w:t>is</w:t>
      </w:r>
      <w:r w:rsidR="00370D8F">
        <w:t xml:space="preserve"> </w:t>
      </w:r>
      <w:r w:rsidRPr="007C4C72">
        <w:t xml:space="preserve">important </w:t>
      </w:r>
      <w:r w:rsidR="00370D8F">
        <w:t>that resource shuffling provisions be unambiguous</w:t>
      </w:r>
      <w:r w:rsidR="00FF14F8">
        <w:t xml:space="preserve"> both to ensure that the</w:t>
      </w:r>
      <w:r w:rsidR="00307BB3">
        <w:t xml:space="preserve"> regulation</w:t>
      </w:r>
      <w:r w:rsidR="00FF14F8">
        <w:t xml:space="preserve"> can stand up to claims that they are unconstitutionally vague, and to provide market participants with sufficient certainty to enable them to make the transactions needed to serve electric load in the state reliabl</w:t>
      </w:r>
      <w:r w:rsidR="00125C90">
        <w:t>y</w:t>
      </w:r>
      <w:r w:rsidR="0061065C">
        <w:t xml:space="preserve"> </w:t>
      </w:r>
      <w:r w:rsidR="00307BB3">
        <w:t>and at l</w:t>
      </w:r>
      <w:r w:rsidR="0061065C">
        <w:t>east</w:t>
      </w:r>
      <w:r w:rsidR="00307BB3">
        <w:t xml:space="preserve"> c</w:t>
      </w:r>
      <w:r w:rsidR="0061065C">
        <w:t>ost</w:t>
      </w:r>
      <w:r w:rsidR="00125C90">
        <w:t>.</w:t>
      </w:r>
      <w:r w:rsidR="00FF14F8">
        <w:t xml:space="preserve"> </w:t>
      </w:r>
      <w:r w:rsidR="00125C90">
        <w:t>B</w:t>
      </w:r>
      <w:r w:rsidR="00FF14F8">
        <w:t xml:space="preserve">oth of </w:t>
      </w:r>
      <w:r w:rsidR="00125C90">
        <w:t>these</w:t>
      </w:r>
      <w:r w:rsidR="00FF14F8">
        <w:t xml:space="preserve"> </w:t>
      </w:r>
      <w:r w:rsidR="00403326">
        <w:t xml:space="preserve">may </w:t>
      </w:r>
      <w:r w:rsidR="00FF14F8">
        <w:t>be frustrated</w:t>
      </w:r>
      <w:r w:rsidR="00370D8F">
        <w:t xml:space="preserve"> </w:t>
      </w:r>
      <w:r w:rsidR="00FF14F8">
        <w:t xml:space="preserve">if the provisions invite </w:t>
      </w:r>
      <w:r w:rsidR="00370D8F">
        <w:t xml:space="preserve">ARB enforcement </w:t>
      </w:r>
      <w:r w:rsidR="00FF14F8">
        <w:t xml:space="preserve">to take </w:t>
      </w:r>
      <w:r w:rsidR="00370D8F">
        <w:t xml:space="preserve">a different view than the ARB staff crafting the regulation as to what constitutes resource shuffling.  </w:t>
      </w:r>
    </w:p>
    <w:p w:rsidR="00FF14F8" w:rsidRDefault="00FF14F8" w:rsidP="006F2076"/>
    <w:p w:rsidR="006F2076" w:rsidRPr="007C4C72" w:rsidRDefault="0061065C" w:rsidP="006F2076">
      <w:r>
        <w:t>SDG&amp;E’s preference is to have the language changed to be precise, however i</w:t>
      </w:r>
      <w:r w:rsidR="00370D8F">
        <w:t xml:space="preserve">f the </w:t>
      </w:r>
      <w:r w:rsidR="006F2076" w:rsidRPr="007C4C72">
        <w:t xml:space="preserve">definition of Resource Shuffling </w:t>
      </w:r>
      <w:r w:rsidR="00370D8F">
        <w:t xml:space="preserve">cannot be </w:t>
      </w:r>
      <w:r>
        <w:t>tightened</w:t>
      </w:r>
      <w:r w:rsidR="00370D8F">
        <w:t xml:space="preserve">, </w:t>
      </w:r>
      <w:r>
        <w:t xml:space="preserve">then </w:t>
      </w:r>
      <w:r w:rsidR="00370D8F">
        <w:t xml:space="preserve">there must be a </w:t>
      </w:r>
      <w:r w:rsidR="00EA7267">
        <w:t xml:space="preserve">procedure </w:t>
      </w:r>
      <w:r w:rsidR="00370D8F">
        <w:t xml:space="preserve">developed to </w:t>
      </w:r>
      <w:r w:rsidR="00307BB3">
        <w:t xml:space="preserve">assist </w:t>
      </w:r>
      <w:r w:rsidR="006201BF">
        <w:t xml:space="preserve">both </w:t>
      </w:r>
      <w:r w:rsidR="00307BB3">
        <w:t>compliance entities and regulators in decision-making</w:t>
      </w:r>
      <w:r w:rsidR="00677954">
        <w:t xml:space="preserve">.  Below SDG&amp;E proposes that </w:t>
      </w:r>
      <w:r w:rsidR="00EA7267">
        <w:t xml:space="preserve">the regulation be modified to allow </w:t>
      </w:r>
      <w:r w:rsidR="00677954">
        <w:t xml:space="preserve">any transaction </w:t>
      </w:r>
      <w:r w:rsidR="00EA7267">
        <w:t xml:space="preserve">to </w:t>
      </w:r>
      <w:r w:rsidR="00677954">
        <w:t>be submitted to ARB for approval as in compliance with ARB’s resource shuffling provisions</w:t>
      </w:r>
      <w:r w:rsidR="00F675AC">
        <w:t xml:space="preserve"> and that </w:t>
      </w:r>
      <w:r w:rsidR="00EA7267">
        <w:t xml:space="preserve">once approved, the transaction cannot be later deemed resource shuffling </w:t>
      </w:r>
      <w:r w:rsidR="00125C90">
        <w:t xml:space="preserve">based </w:t>
      </w:r>
      <w:r w:rsidR="00EA7267">
        <w:t xml:space="preserve">on the same set of facts.  In addition, ARB should </w:t>
      </w:r>
      <w:r w:rsidR="00307BB3">
        <w:t>develop</w:t>
      </w:r>
      <w:r w:rsidR="00EA7267">
        <w:t xml:space="preserve"> </w:t>
      </w:r>
      <w:r w:rsidR="00F675AC">
        <w:t>a list of approved transaction</w:t>
      </w:r>
      <w:r w:rsidR="00EA7267">
        <w:t xml:space="preserve"> types</w:t>
      </w:r>
      <w:r>
        <w:t>.  As more transaction types are approved, ARB can post them</w:t>
      </w:r>
      <w:r w:rsidR="00EA7267">
        <w:t xml:space="preserve"> on its website</w:t>
      </w:r>
      <w:r w:rsidR="002D4784">
        <w:t xml:space="preserve"> to </w:t>
      </w:r>
      <w:r w:rsidR="00125C90">
        <w:t xml:space="preserve">provide guidance to </w:t>
      </w:r>
      <w:r w:rsidR="00EA7267">
        <w:t>compliance entities</w:t>
      </w:r>
      <w:r w:rsidR="002D4784">
        <w:t xml:space="preserve"> and ARB’s enforcement section</w:t>
      </w:r>
      <w:r w:rsidR="00677954">
        <w:t xml:space="preserve">.   </w:t>
      </w:r>
      <w:r w:rsidR="006F2076" w:rsidRPr="007C4C72">
        <w:t xml:space="preserve"> </w:t>
      </w:r>
    </w:p>
    <w:p w:rsidR="006F2076" w:rsidRPr="007C4C72" w:rsidRDefault="006F2076" w:rsidP="006F2076">
      <w:pPr>
        <w:pStyle w:val="Default"/>
        <w:autoSpaceDE/>
        <w:rPr>
          <w:rFonts w:ascii="Times New Roman" w:hAnsi="Times New Roman"/>
        </w:rPr>
      </w:pPr>
    </w:p>
    <w:p w:rsidR="006F2076" w:rsidRPr="007C4C72" w:rsidRDefault="00677954" w:rsidP="00EA7267">
      <w:pPr>
        <w:pStyle w:val="FaxBodyText"/>
        <w:framePr w:hSpace="0" w:wrap="auto" w:vAnchor="margin" w:yAlign="inline"/>
        <w:numPr>
          <w:ilvl w:val="0"/>
          <w:numId w:val="10"/>
        </w:numPr>
        <w:ind w:left="720"/>
        <w:rPr>
          <w:rFonts w:ascii="Times New Roman" w:hAnsi="Times New Roman"/>
          <w:b/>
          <w:color w:val="000000"/>
          <w:sz w:val="24"/>
          <w:szCs w:val="24"/>
        </w:rPr>
      </w:pPr>
      <w:r>
        <w:rPr>
          <w:rFonts w:ascii="Times New Roman" w:hAnsi="Times New Roman"/>
          <w:b/>
          <w:color w:val="000000"/>
          <w:sz w:val="24"/>
          <w:szCs w:val="24"/>
        </w:rPr>
        <w:t>Detailed Discussion</w:t>
      </w:r>
    </w:p>
    <w:p w:rsidR="006F2076" w:rsidRPr="007C4C72" w:rsidRDefault="006F2076" w:rsidP="006F2076">
      <w:pPr>
        <w:pStyle w:val="Default"/>
        <w:rPr>
          <w:rFonts w:ascii="Times New Roman" w:hAnsi="Times New Roman"/>
        </w:rPr>
      </w:pPr>
    </w:p>
    <w:p w:rsidR="006F2076" w:rsidRPr="00CF6057" w:rsidRDefault="006F2076" w:rsidP="00EA7267">
      <w:pPr>
        <w:pStyle w:val="ListParagraph"/>
        <w:numPr>
          <w:ilvl w:val="0"/>
          <w:numId w:val="12"/>
        </w:numPr>
        <w:rPr>
          <w:b/>
        </w:rPr>
      </w:pPr>
      <w:r w:rsidRPr="00CF6057">
        <w:rPr>
          <w:rFonts w:ascii="Times New Roman" w:hAnsi="Times New Roman"/>
          <w:b/>
          <w:sz w:val="24"/>
          <w:szCs w:val="24"/>
        </w:rPr>
        <w:t xml:space="preserve">Definition of Resource Shuffling </w:t>
      </w:r>
    </w:p>
    <w:p w:rsidR="006F2076" w:rsidRDefault="006F2076" w:rsidP="006F2076">
      <w:pPr>
        <w:autoSpaceDE w:val="0"/>
        <w:autoSpaceDN w:val="0"/>
        <w:adjustRightInd w:val="0"/>
        <w:ind w:right="720"/>
        <w:rPr>
          <w:b/>
        </w:rPr>
      </w:pPr>
    </w:p>
    <w:p w:rsidR="00181B85" w:rsidRDefault="00CF6057" w:rsidP="00CF6057">
      <w:pPr>
        <w:ind w:left="720"/>
      </w:pPr>
      <w:r>
        <w:t>The current definition is vague by referring to “emissions reductions that have not occurred.” “</w:t>
      </w:r>
      <w:r w:rsidR="00181B85">
        <w:t>E</w:t>
      </w:r>
      <w:r>
        <w:t>missions reductions” implies a comparison of emissions to some prior time</w:t>
      </w:r>
      <w:r w:rsidR="00181B85">
        <w:t xml:space="preserve"> and reference to the MRR in the attestation would indicate a comparison to the emissions intensity of </w:t>
      </w:r>
      <w:r w:rsidR="00125C90">
        <w:t xml:space="preserve">some </w:t>
      </w:r>
      <w:r w:rsidR="00181B85">
        <w:lastRenderedPageBreak/>
        <w:t>prior year sales to the California grid</w:t>
      </w:r>
      <w:r>
        <w:t>.</w:t>
      </w:r>
      <w:r w:rsidR="00181B85">
        <w:t xml:space="preserve">  At the workshop, it was indicated that </w:t>
      </w:r>
      <w:r w:rsidR="00125C90">
        <w:t>resource shuffling included</w:t>
      </w:r>
      <w:r w:rsidR="00181B85">
        <w:t xml:space="preserve"> “cherry picking” – choosing a low emitting resource to import; “facility </w:t>
      </w:r>
      <w:r w:rsidR="00EA7267">
        <w:t>s</w:t>
      </w:r>
      <w:r w:rsidR="00181B85">
        <w:t xml:space="preserve">wapping” – an asset-controlling supplier choosing to sell the low-emitting generation to California, replacing it with a high-emitting resource from its portfolio; and “laundering” – hiding the identity of a high-emitting resource so that it becomes an unspecified resource.  It would appear that </w:t>
      </w:r>
      <w:r w:rsidR="00EA7267">
        <w:t xml:space="preserve">ARB intends that </w:t>
      </w:r>
      <w:r w:rsidR="00181B85">
        <w:t xml:space="preserve">a </w:t>
      </w:r>
      <w:r w:rsidR="00EA7267">
        <w:t xml:space="preserve">compliance </w:t>
      </w:r>
      <w:r w:rsidR="00181B85">
        <w:t>entity can only lower the emissions intensity of its imports to California by building new</w:t>
      </w:r>
      <w:r w:rsidR="00827589">
        <w:t xml:space="preserve"> low-emitting </w:t>
      </w:r>
      <w:r w:rsidR="00181B85">
        <w:t>facilities</w:t>
      </w:r>
      <w:r w:rsidR="00827589">
        <w:t xml:space="preserve"> or retiring existing high-emitting facilities; all other emissions reductions would be “resource shuffling</w:t>
      </w:r>
      <w:r w:rsidR="00181B85">
        <w:t>.</w:t>
      </w:r>
      <w:r w:rsidR="00827589">
        <w:t>”</w:t>
      </w:r>
      <w:r w:rsidR="00181B85">
        <w:t xml:space="preserve">   </w:t>
      </w:r>
      <w:r w:rsidR="003B5829">
        <w:t xml:space="preserve">  </w:t>
      </w:r>
    </w:p>
    <w:p w:rsidR="00181B85" w:rsidRDefault="00181B85" w:rsidP="00CF6057">
      <w:pPr>
        <w:ind w:left="720"/>
      </w:pPr>
    </w:p>
    <w:p w:rsidR="00CF6057" w:rsidRPr="00CF6057" w:rsidRDefault="00827589" w:rsidP="00CF6057">
      <w:pPr>
        <w:ind w:left="720"/>
      </w:pPr>
      <w:r>
        <w:t>However, the ARB has made other determinations that are at odds with the definition as written.  Specifically</w:t>
      </w:r>
      <w:r w:rsidR="003B5829">
        <w:t xml:space="preserve">, compliance with </w:t>
      </w:r>
      <w:r w:rsidR="002C5789">
        <w:t xml:space="preserve">California’s </w:t>
      </w:r>
      <w:r w:rsidR="003B5829">
        <w:t xml:space="preserve">Emissions Performance Standard (EPS) </w:t>
      </w:r>
      <w:r w:rsidR="00FF14F8">
        <w:t>(California Public Utilities Code Sections 8340-</w:t>
      </w:r>
      <w:r w:rsidR="003F27F7">
        <w:t>834</w:t>
      </w:r>
      <w:r w:rsidR="00FF14F8">
        <w:t>1)</w:t>
      </w:r>
      <w:r w:rsidR="003533F1">
        <w:t xml:space="preserve"> </w:t>
      </w:r>
      <w:r w:rsidR="003F27F7">
        <w:t>might technically</w:t>
      </w:r>
      <w:r w:rsidR="003B5829">
        <w:t xml:space="preserve"> be a form of resource shuffling </w:t>
      </w:r>
      <w:r>
        <w:t xml:space="preserve">under the current definition </w:t>
      </w:r>
      <w:r w:rsidR="003B5829">
        <w:t xml:space="preserve">since the </w:t>
      </w:r>
      <w:r>
        <w:t xml:space="preserve">high-emitting </w:t>
      </w:r>
      <w:r w:rsidR="003B5829">
        <w:t>resource may still exist</w:t>
      </w:r>
      <w:r>
        <w:t xml:space="preserve"> after contract termination</w:t>
      </w:r>
      <w:r w:rsidR="003B5829">
        <w:t xml:space="preserve">, so that replacing it with a lower emitting </w:t>
      </w:r>
      <w:r>
        <w:t xml:space="preserve">generation </w:t>
      </w:r>
      <w:r w:rsidR="003B5829">
        <w:t xml:space="preserve">as required by law may not result in an emissions reduction WECC-wide.  </w:t>
      </w:r>
      <w:r w:rsidR="002C5789">
        <w:t xml:space="preserve">But ARB has determined that compliance with the state law is not resource shuffling.  </w:t>
      </w:r>
      <w:r w:rsidR="003B5829">
        <w:t xml:space="preserve">Therefore, </w:t>
      </w:r>
      <w:r>
        <w:t xml:space="preserve">the definition should be expanded by adding </w:t>
      </w:r>
      <w:r w:rsidR="003B5829">
        <w:t>a statement</w:t>
      </w:r>
      <w:r w:rsidR="003F27F7">
        <w:t xml:space="preserve"> to reflect </w:t>
      </w:r>
      <w:r w:rsidR="003B5829">
        <w:t xml:space="preserve">that compliance with state or federal laws or regulations does not constitute resource shuffling. </w:t>
      </w:r>
    </w:p>
    <w:p w:rsidR="00CF6057" w:rsidRDefault="00CF6057" w:rsidP="00CF6057">
      <w:pPr>
        <w:ind w:left="720"/>
        <w:rPr>
          <w:b/>
        </w:rPr>
      </w:pPr>
    </w:p>
    <w:p w:rsidR="00CF6057" w:rsidRPr="003B5829" w:rsidRDefault="00CF6057" w:rsidP="003B5829">
      <w:pPr>
        <w:autoSpaceDE w:val="0"/>
        <w:autoSpaceDN w:val="0"/>
        <w:adjustRightInd w:val="0"/>
        <w:rPr>
          <w:b/>
          <w:u w:val="single"/>
        </w:rPr>
      </w:pPr>
      <w:r w:rsidRPr="00CF6057">
        <w:rPr>
          <w:b/>
        </w:rPr>
        <w:t>(251) “Resource Shuffling” means any plan, scheme, or artifice to receive</w:t>
      </w:r>
      <w:r>
        <w:rPr>
          <w:b/>
        </w:rPr>
        <w:t xml:space="preserve"> </w:t>
      </w:r>
      <w:r w:rsidRPr="00CF6057">
        <w:rPr>
          <w:b/>
        </w:rPr>
        <w:t>credit based on emissions reductions that have not occurred, involving</w:t>
      </w:r>
      <w:r>
        <w:rPr>
          <w:b/>
        </w:rPr>
        <w:t xml:space="preserve"> </w:t>
      </w:r>
      <w:r w:rsidRPr="00CF6057">
        <w:rPr>
          <w:b/>
        </w:rPr>
        <w:t>the delivery of electricity to the California grid.</w:t>
      </w:r>
      <w:r w:rsidR="003B5829">
        <w:rPr>
          <w:b/>
        </w:rPr>
        <w:t xml:space="preserve"> </w:t>
      </w:r>
      <w:r w:rsidR="003B5829" w:rsidRPr="003B5829">
        <w:rPr>
          <w:b/>
          <w:u w:val="single"/>
        </w:rPr>
        <w:t>Resource shuffling does not include changes in delivery of electricity</w:t>
      </w:r>
      <w:r w:rsidR="003B5829">
        <w:rPr>
          <w:b/>
          <w:u w:val="single"/>
        </w:rPr>
        <w:t xml:space="preserve"> </w:t>
      </w:r>
      <w:r w:rsidR="003B5829" w:rsidRPr="003B5829">
        <w:rPr>
          <w:b/>
          <w:u w:val="single"/>
        </w:rPr>
        <w:t>pursuant to</w:t>
      </w:r>
      <w:r w:rsidR="003B5829">
        <w:rPr>
          <w:b/>
          <w:u w:val="single"/>
        </w:rPr>
        <w:t xml:space="preserve"> </w:t>
      </w:r>
      <w:r w:rsidR="003B5829" w:rsidRPr="003B5829">
        <w:rPr>
          <w:b/>
          <w:u w:val="single"/>
        </w:rPr>
        <w:t xml:space="preserve">state </w:t>
      </w:r>
      <w:r w:rsidR="00E173BD">
        <w:rPr>
          <w:b/>
          <w:u w:val="single"/>
        </w:rPr>
        <w:t xml:space="preserve">laws and regulations </w:t>
      </w:r>
      <w:r w:rsidR="003B5829" w:rsidRPr="003B5829">
        <w:rPr>
          <w:b/>
          <w:u w:val="single"/>
        </w:rPr>
        <w:t>or federal laws and regulations</w:t>
      </w:r>
      <w:r w:rsidR="003B5829">
        <w:rPr>
          <w:b/>
          <w:u w:val="single"/>
        </w:rPr>
        <w:t>.</w:t>
      </w:r>
    </w:p>
    <w:p w:rsidR="00CF6057" w:rsidRDefault="00CF6057" w:rsidP="006F2076">
      <w:pPr>
        <w:autoSpaceDE w:val="0"/>
        <w:autoSpaceDN w:val="0"/>
        <w:adjustRightInd w:val="0"/>
        <w:ind w:right="720"/>
        <w:rPr>
          <w:b/>
        </w:rPr>
      </w:pPr>
    </w:p>
    <w:p w:rsidR="00CF6057" w:rsidRDefault="00CF6057" w:rsidP="006F2076">
      <w:pPr>
        <w:autoSpaceDE w:val="0"/>
        <w:autoSpaceDN w:val="0"/>
        <w:adjustRightInd w:val="0"/>
        <w:ind w:right="720"/>
        <w:rPr>
          <w:b/>
        </w:rPr>
      </w:pPr>
    </w:p>
    <w:p w:rsidR="006201BF" w:rsidRDefault="002C5789" w:rsidP="002C5789">
      <w:pPr>
        <w:autoSpaceDE w:val="0"/>
        <w:autoSpaceDN w:val="0"/>
        <w:adjustRightInd w:val="0"/>
        <w:ind w:left="720" w:right="720"/>
      </w:pPr>
      <w:r w:rsidRPr="002C5789">
        <w:t>The</w:t>
      </w:r>
      <w:r>
        <w:t xml:space="preserve"> exception for the EPS raises other questions such as whether there are other exceptions to the strict standard</w:t>
      </w:r>
      <w:r w:rsidR="003F27F7">
        <w:t>,</w:t>
      </w:r>
      <w:r>
        <w:t xml:space="preserve"> such as importing power that is the least cost</w:t>
      </w:r>
      <w:r w:rsidR="002C75AC">
        <w:t xml:space="preserve">. </w:t>
      </w:r>
      <w:r>
        <w:t xml:space="preserve"> </w:t>
      </w:r>
      <w:r w:rsidR="002C75AC" w:rsidRPr="00F675AC">
        <w:t xml:space="preserve">The </w:t>
      </w:r>
      <w:r w:rsidR="002C75AC">
        <w:t xml:space="preserve">cap-and-trade program puts a price on carbon and thus rewards low-emitting electricity generating resources.  It encourages low-emitting resources from out-of-state to sell into California’s market to obtain higher profits if the electricity prices that include a carbon price exceed line losses in transporting power to California. </w:t>
      </w:r>
      <w:r w:rsidR="003533F1">
        <w:t>W</w:t>
      </w:r>
      <w:r w:rsidR="002C75AC">
        <w:t>ill economic decisions run afoul of the resource shuffling provisions?</w:t>
      </w:r>
      <w:r>
        <w:t xml:space="preserve">  </w:t>
      </w:r>
      <w:r w:rsidR="003533F1">
        <w:t xml:space="preserve">SDG&amp;E believes that ARB should determine that all </w:t>
      </w:r>
      <w:r w:rsidR="00125C90">
        <w:t xml:space="preserve">contracting decisions with a single generator or an asset-controlling supplier that are </w:t>
      </w:r>
      <w:r w:rsidR="003533F1">
        <w:t xml:space="preserve">economic </w:t>
      </w:r>
      <w:r w:rsidR="00125C90">
        <w:t xml:space="preserve">due to </w:t>
      </w:r>
      <w:r w:rsidR="003533F1">
        <w:t>the imposition of the carbon price should be acceptable transactions.</w:t>
      </w:r>
      <w:r>
        <w:t xml:space="preserve"> </w:t>
      </w:r>
    </w:p>
    <w:p w:rsidR="00CF6057" w:rsidRPr="007C4C72" w:rsidRDefault="002C5789" w:rsidP="00E304B9">
      <w:pPr>
        <w:autoSpaceDE w:val="0"/>
        <w:autoSpaceDN w:val="0"/>
        <w:adjustRightInd w:val="0"/>
        <w:ind w:left="720" w:right="720"/>
        <w:rPr>
          <w:b/>
        </w:rPr>
      </w:pPr>
      <w:r w:rsidRPr="002C5789">
        <w:t xml:space="preserve"> </w:t>
      </w:r>
    </w:p>
    <w:p w:rsidR="006F2076" w:rsidRDefault="00E173BD" w:rsidP="006F2076">
      <w:pPr>
        <w:pStyle w:val="ListParagraph"/>
        <w:numPr>
          <w:ilvl w:val="0"/>
          <w:numId w:val="12"/>
        </w:numPr>
        <w:autoSpaceDE w:val="0"/>
        <w:autoSpaceDN w:val="0"/>
        <w:adjustRightInd w:val="0"/>
        <w:rPr>
          <w:rFonts w:ascii="Times New Roman" w:hAnsi="Times New Roman"/>
          <w:b/>
          <w:sz w:val="24"/>
          <w:szCs w:val="24"/>
        </w:rPr>
      </w:pPr>
      <w:r>
        <w:rPr>
          <w:rFonts w:ascii="Times New Roman" w:hAnsi="Times New Roman"/>
          <w:b/>
          <w:sz w:val="24"/>
          <w:szCs w:val="24"/>
        </w:rPr>
        <w:t>Safe Haven</w:t>
      </w:r>
    </w:p>
    <w:p w:rsidR="00E173BD" w:rsidRDefault="00E173BD" w:rsidP="00E173BD">
      <w:pPr>
        <w:autoSpaceDE w:val="0"/>
        <w:autoSpaceDN w:val="0"/>
        <w:adjustRightInd w:val="0"/>
        <w:rPr>
          <w:b/>
        </w:rPr>
      </w:pPr>
    </w:p>
    <w:p w:rsidR="002C75AC" w:rsidRDefault="003A3174" w:rsidP="0082039F">
      <w:pPr>
        <w:autoSpaceDE w:val="0"/>
        <w:autoSpaceDN w:val="0"/>
        <w:adjustRightInd w:val="0"/>
        <w:ind w:left="720"/>
      </w:pPr>
      <w:r>
        <w:t xml:space="preserve">Since the resource shuffling definition is vague, </w:t>
      </w:r>
      <w:r w:rsidR="00827589">
        <w:t xml:space="preserve">compliance entities </w:t>
      </w:r>
      <w:r>
        <w:t xml:space="preserve">need a safe haven to avoid ARB enforcement </w:t>
      </w:r>
      <w:r w:rsidR="001223C0">
        <w:t>where application of the Resource Shuffling provision is uncertain.</w:t>
      </w:r>
      <w:r>
        <w:t xml:space="preserve">  For example, compliance with the EPS is not resource shuffling even though there may be no WECC-wide emissions reduction.  ARB has also indicated that early compliance with the EPS is not resource shuffling, with early compliance meaning a termination of a long-term contract before the existing termination date.  On the other hand, </w:t>
      </w:r>
      <w:r w:rsidR="003533F1">
        <w:t xml:space="preserve">at the workshop it appears </w:t>
      </w:r>
      <w:r w:rsidR="001223C0">
        <w:t xml:space="preserve">the implication is that </w:t>
      </w:r>
      <w:r w:rsidR="008F21C1">
        <w:t xml:space="preserve">a California entity with a long-term contract with </w:t>
      </w:r>
      <w:r>
        <w:t xml:space="preserve">a high-emitting </w:t>
      </w:r>
      <w:r w:rsidR="00314500">
        <w:t xml:space="preserve">resource </w:t>
      </w:r>
      <w:r w:rsidR="008F21C1">
        <w:t xml:space="preserve">would be resource shuffling if it sold the power out-of-state </w:t>
      </w:r>
      <w:r w:rsidR="00314500">
        <w:t>and replac</w:t>
      </w:r>
      <w:r w:rsidR="008F21C1">
        <w:t>ed</w:t>
      </w:r>
      <w:r w:rsidR="00314500">
        <w:t xml:space="preserve"> the power </w:t>
      </w:r>
      <w:r w:rsidR="008F21C1">
        <w:t xml:space="preserve">with </w:t>
      </w:r>
      <w:r w:rsidR="002C75AC">
        <w:t xml:space="preserve">unspecified imports </w:t>
      </w:r>
      <w:r w:rsidR="008F21C1">
        <w:t>from the same region</w:t>
      </w:r>
      <w:r w:rsidR="00314500">
        <w:t xml:space="preserve">.  </w:t>
      </w:r>
      <w:r w:rsidR="003533F1">
        <w:t>S</w:t>
      </w:r>
      <w:r w:rsidR="001223C0">
        <w:t>uch a transaction</w:t>
      </w:r>
      <w:r w:rsidR="008F21C1">
        <w:t xml:space="preserve"> looks exactly like early </w:t>
      </w:r>
      <w:r w:rsidR="008F21C1">
        <w:lastRenderedPageBreak/>
        <w:t xml:space="preserve">termination </w:t>
      </w:r>
      <w:r w:rsidR="001223C0">
        <w:t xml:space="preserve">(which is exempted from resource shuffling) </w:t>
      </w:r>
      <w:r w:rsidR="008F21C1">
        <w:t xml:space="preserve">except without the contract termination papers.  </w:t>
      </w:r>
    </w:p>
    <w:p w:rsidR="002C75AC" w:rsidRDefault="002C75AC" w:rsidP="0082039F">
      <w:pPr>
        <w:autoSpaceDE w:val="0"/>
        <w:autoSpaceDN w:val="0"/>
        <w:adjustRightInd w:val="0"/>
        <w:ind w:left="720"/>
      </w:pPr>
    </w:p>
    <w:p w:rsidR="00A0283C" w:rsidRDefault="002C75AC" w:rsidP="0082039F">
      <w:pPr>
        <w:autoSpaceDE w:val="0"/>
        <w:autoSpaceDN w:val="0"/>
        <w:adjustRightInd w:val="0"/>
        <w:ind w:left="720"/>
      </w:pPr>
      <w:r>
        <w:t>A</w:t>
      </w:r>
      <w:r w:rsidR="00522189">
        <w:t xml:space="preserve">nother example of the uncertainty created by the current definition of “Resource </w:t>
      </w:r>
      <w:r w:rsidR="005C1CC9">
        <w:t>Shuffling</w:t>
      </w:r>
      <w:r w:rsidR="00522189">
        <w:t>” is a case where a</w:t>
      </w:r>
      <w:r w:rsidR="008F21C1">
        <w:t xml:space="preserve">n Energy Service Provider </w:t>
      </w:r>
      <w:r>
        <w:t xml:space="preserve">(ESP) </w:t>
      </w:r>
      <w:r w:rsidR="005849D3">
        <w:t xml:space="preserve">is </w:t>
      </w:r>
      <w:r w:rsidR="008F21C1">
        <w:t xml:space="preserve">at </w:t>
      </w:r>
      <w:r w:rsidR="00314500">
        <w:t xml:space="preserve">the end of a </w:t>
      </w:r>
      <w:r w:rsidR="008F21C1">
        <w:t>3</w:t>
      </w:r>
      <w:r w:rsidR="00314500">
        <w:t xml:space="preserve"> year contract with a high-emitting </w:t>
      </w:r>
      <w:r w:rsidR="006201BF">
        <w:t xml:space="preserve">coal </w:t>
      </w:r>
      <w:r w:rsidR="00314500">
        <w:t>resource</w:t>
      </w:r>
      <w:r w:rsidR="005849D3">
        <w:t>.</w:t>
      </w:r>
      <w:r>
        <w:t xml:space="preserve"> If gas resources are cheaper than coal when the carbon price is included, </w:t>
      </w:r>
      <w:r w:rsidR="008F21C1">
        <w:t xml:space="preserve">would </w:t>
      </w:r>
      <w:r>
        <w:t>the ESP be guilty of resource shuffling</w:t>
      </w:r>
      <w:r w:rsidR="00522189">
        <w:t xml:space="preserve"> by replacing the energy from the expired contract with supply from a different, lower emitting source</w:t>
      </w:r>
      <w:r>
        <w:t xml:space="preserve">?  </w:t>
      </w:r>
      <w:r w:rsidR="008F21C1">
        <w:t xml:space="preserve">ARB </w:t>
      </w:r>
      <w:r w:rsidR="003533F1">
        <w:t xml:space="preserve">should </w:t>
      </w:r>
      <w:r w:rsidR="005849D3">
        <w:t xml:space="preserve">provide guidance by </w:t>
      </w:r>
      <w:r w:rsidR="003533F1">
        <w:t>mak</w:t>
      </w:r>
      <w:r w:rsidR="005849D3">
        <w:t>ing</w:t>
      </w:r>
      <w:r w:rsidR="003533F1">
        <w:t xml:space="preserve"> a determination that </w:t>
      </w:r>
      <w:r w:rsidR="008F21C1">
        <w:t xml:space="preserve">such a transaction not resource shuffling to avoid an undesirable </w:t>
      </w:r>
      <w:r w:rsidR="005849D3">
        <w:t xml:space="preserve">uneconomic </w:t>
      </w:r>
      <w:r w:rsidR="008F21C1">
        <w:t>outcome</w:t>
      </w:r>
      <w:r w:rsidR="003533F1">
        <w:t>.  The transaction</w:t>
      </w:r>
      <w:r w:rsidR="008F21C1">
        <w:t xml:space="preserve"> looks exactly the same as the EPS, but is not </w:t>
      </w:r>
      <w:r w:rsidR="003533F1">
        <w:t xml:space="preserve">covered by the EPS </w:t>
      </w:r>
      <w:r w:rsidR="00314500">
        <w:t>since the contract</w:t>
      </w:r>
      <w:r w:rsidR="003533F1">
        <w:t xml:space="preserve"> is less </w:t>
      </w:r>
      <w:r w:rsidR="00314500">
        <w:t xml:space="preserve">than 5 years. </w:t>
      </w:r>
      <w:r w:rsidR="00522189">
        <w:t>Under the current language, t</w:t>
      </w:r>
      <w:r w:rsidR="00314500">
        <w:t xml:space="preserve">he </w:t>
      </w:r>
      <w:r w:rsidR="003A3174">
        <w:t>transaction c</w:t>
      </w:r>
      <w:r w:rsidR="00522189">
        <w:t>ould</w:t>
      </w:r>
      <w:r w:rsidR="003A3174">
        <w:t xml:space="preserve"> be considered resource shuffling or not </w:t>
      </w:r>
      <w:r w:rsidR="00314500">
        <w:t xml:space="preserve">depending on ARB </w:t>
      </w:r>
      <w:r w:rsidR="006201BF">
        <w:t xml:space="preserve">enforcement section </w:t>
      </w:r>
      <w:r w:rsidR="00314500">
        <w:t>interpretation</w:t>
      </w:r>
      <w:r w:rsidR="00A0283C">
        <w:t xml:space="preserve">. </w:t>
      </w:r>
      <w:r w:rsidR="00522189">
        <w:t>Th</w:t>
      </w:r>
      <w:r w:rsidR="005C1CC9">
        <w:t xml:space="preserve">e definition of “Resource Shuffling” </w:t>
      </w:r>
      <w:r w:rsidR="005849D3">
        <w:t xml:space="preserve">in the current regulation </w:t>
      </w:r>
      <w:r w:rsidR="00522189">
        <w:t>is too vague to provide market participants appropriate guidance on what is permissible conduct</w:t>
      </w:r>
      <w:r w:rsidR="005849D3">
        <w:t xml:space="preserve"> and so the regulation should be modified to provide compliance entities with a safe haven</w:t>
      </w:r>
      <w:r w:rsidR="00522189">
        <w:t>.</w:t>
      </w:r>
    </w:p>
    <w:p w:rsidR="00A0283C" w:rsidRDefault="00A0283C" w:rsidP="0082039F">
      <w:pPr>
        <w:autoSpaceDE w:val="0"/>
        <w:autoSpaceDN w:val="0"/>
        <w:adjustRightInd w:val="0"/>
        <w:ind w:left="720"/>
      </w:pPr>
    </w:p>
    <w:p w:rsidR="00E173BD" w:rsidRPr="00F675AC" w:rsidRDefault="006201BF" w:rsidP="0082039F">
      <w:pPr>
        <w:autoSpaceDE w:val="0"/>
        <w:autoSpaceDN w:val="0"/>
        <w:adjustRightInd w:val="0"/>
        <w:ind w:left="720"/>
      </w:pPr>
      <w:r>
        <w:t>The regulation should be modified to allow c</w:t>
      </w:r>
      <w:r w:rsidR="00314500">
        <w:t xml:space="preserve">ompliance entities </w:t>
      </w:r>
      <w:r>
        <w:t xml:space="preserve">to </w:t>
      </w:r>
      <w:r w:rsidR="00314500">
        <w:t xml:space="preserve">be able to rely on ARB for guidance and not be subject to </w:t>
      </w:r>
      <w:r>
        <w:t xml:space="preserve">interpretation </w:t>
      </w:r>
      <w:r w:rsidR="00314500">
        <w:t xml:space="preserve">by ARB’s enforcement </w:t>
      </w:r>
      <w:r>
        <w:t>section</w:t>
      </w:r>
      <w:r w:rsidR="00314500">
        <w:t>.</w:t>
      </w:r>
      <w:r w:rsidR="00403326">
        <w:t xml:space="preserve">  </w:t>
      </w:r>
      <w:r w:rsidR="00A0283C">
        <w:t xml:space="preserve">The enforcement branch will read the regulation and enforce it as they interpret it unless there is a specific provision that prevents such second guessing.  </w:t>
      </w:r>
      <w:r w:rsidR="00314500">
        <w:t>SDG&amp;E recommends the following be added</w:t>
      </w:r>
      <w:r w:rsidR="00853651">
        <w:t xml:space="preserve"> to the section 95852</w:t>
      </w:r>
      <w:r w:rsidR="004970A1">
        <w:t>(b)(2)</w:t>
      </w:r>
      <w:r w:rsidR="00853651">
        <w:t xml:space="preserve"> of the cap-and-trade regulation to provide </w:t>
      </w:r>
      <w:r w:rsidR="005849D3">
        <w:t xml:space="preserve">such </w:t>
      </w:r>
      <w:r w:rsidR="00936480">
        <w:t>protection</w:t>
      </w:r>
      <w:r w:rsidR="00853651">
        <w:t>.</w:t>
      </w:r>
      <w:r w:rsidR="00314500">
        <w:t xml:space="preserve">  </w:t>
      </w:r>
      <w:r w:rsidR="003A3174">
        <w:t xml:space="preserve">  </w:t>
      </w:r>
    </w:p>
    <w:p w:rsidR="00E173BD" w:rsidRDefault="00E173BD" w:rsidP="00E173BD">
      <w:pPr>
        <w:autoSpaceDE w:val="0"/>
        <w:autoSpaceDN w:val="0"/>
        <w:adjustRightInd w:val="0"/>
        <w:rPr>
          <w:b/>
        </w:rPr>
      </w:pPr>
    </w:p>
    <w:p w:rsidR="00E173BD" w:rsidRPr="0082039F" w:rsidRDefault="004970A1" w:rsidP="00E173BD">
      <w:pPr>
        <w:autoSpaceDE w:val="0"/>
        <w:autoSpaceDN w:val="0"/>
        <w:adjustRightInd w:val="0"/>
        <w:rPr>
          <w:b/>
        </w:rPr>
      </w:pPr>
      <w:r w:rsidRPr="0082039F">
        <w:rPr>
          <w:b/>
        </w:rPr>
        <w:t xml:space="preserve">(2) Resource shuffling is prohibited and is a violation of this article. </w:t>
      </w:r>
      <w:r w:rsidRPr="0082039F">
        <w:rPr>
          <w:b/>
          <w:u w:val="single"/>
        </w:rPr>
        <w:t>Compliance entities can request guidance from ARB on transactions and any transaction</w:t>
      </w:r>
      <w:r w:rsidR="0082039F">
        <w:rPr>
          <w:b/>
          <w:u w:val="single"/>
        </w:rPr>
        <w:t xml:space="preserve"> deemed acceptable by ARB cannot later be subject to an ARB enforcement action </w:t>
      </w:r>
      <w:r w:rsidR="00936480">
        <w:rPr>
          <w:b/>
          <w:u w:val="single"/>
        </w:rPr>
        <w:t xml:space="preserve">for resource shuffling </w:t>
      </w:r>
      <w:r w:rsidR="0082039F">
        <w:rPr>
          <w:b/>
          <w:u w:val="single"/>
        </w:rPr>
        <w:t>based on the same set of facts.</w:t>
      </w:r>
      <w:r w:rsidRPr="0082039F">
        <w:rPr>
          <w:b/>
        </w:rPr>
        <w:t xml:space="preserve"> </w:t>
      </w:r>
    </w:p>
    <w:p w:rsidR="00E173BD" w:rsidRDefault="00E173BD" w:rsidP="00E173BD">
      <w:pPr>
        <w:autoSpaceDE w:val="0"/>
        <w:autoSpaceDN w:val="0"/>
        <w:adjustRightInd w:val="0"/>
        <w:rPr>
          <w:b/>
        </w:rPr>
      </w:pPr>
    </w:p>
    <w:p w:rsidR="00E173BD" w:rsidRDefault="00E173BD" w:rsidP="00E173BD">
      <w:pPr>
        <w:autoSpaceDE w:val="0"/>
        <w:autoSpaceDN w:val="0"/>
        <w:adjustRightInd w:val="0"/>
        <w:rPr>
          <w:b/>
        </w:rPr>
      </w:pPr>
    </w:p>
    <w:p w:rsidR="00403326" w:rsidRDefault="00936480" w:rsidP="00AC3A83">
      <w:pPr>
        <w:autoSpaceDE w:val="0"/>
        <w:autoSpaceDN w:val="0"/>
        <w:adjustRightInd w:val="0"/>
        <w:ind w:left="720"/>
      </w:pPr>
      <w:r w:rsidRPr="00936480">
        <w:t xml:space="preserve">ARB </w:t>
      </w:r>
      <w:r>
        <w:t>sho</w:t>
      </w:r>
      <w:r w:rsidRPr="00936480">
        <w:t xml:space="preserve">uld </w:t>
      </w:r>
      <w:r w:rsidR="005849D3">
        <w:t>develop</w:t>
      </w:r>
      <w:r>
        <w:t xml:space="preserve"> </w:t>
      </w:r>
      <w:r w:rsidR="005849D3">
        <w:t xml:space="preserve">and post </w:t>
      </w:r>
      <w:r>
        <w:t>a list of acceptable transactions</w:t>
      </w:r>
      <w:r w:rsidR="00A0283C">
        <w:t xml:space="preserve"> –</w:t>
      </w:r>
      <w:r w:rsidR="007C0A35">
        <w:t xml:space="preserve"> transaction</w:t>
      </w:r>
      <w:r w:rsidR="00A0283C">
        <w:t xml:space="preserve"> types</w:t>
      </w:r>
      <w:r w:rsidR="007C0A35">
        <w:t xml:space="preserve"> that are not deemed resource shuffling</w:t>
      </w:r>
      <w:r w:rsidR="00A0283C">
        <w:t xml:space="preserve"> – that can be relied on for short-term transactions</w:t>
      </w:r>
      <w:r w:rsidR="007C0A35">
        <w:t xml:space="preserve">. Such a list is required for </w:t>
      </w:r>
      <w:r>
        <w:t>compliance entities</w:t>
      </w:r>
      <w:r w:rsidR="007C0A35">
        <w:t xml:space="preserve"> to </w:t>
      </w:r>
      <w:r w:rsidR="00522189">
        <w:t>have sufficient certainty to enable them to enter into acceptable</w:t>
      </w:r>
      <w:r>
        <w:t xml:space="preserve"> short-term transactions since requesting guidance </w:t>
      </w:r>
      <w:r w:rsidR="00AC3A83">
        <w:t xml:space="preserve">for each transaction </w:t>
      </w:r>
      <w:r>
        <w:t xml:space="preserve">is impractical given the </w:t>
      </w:r>
      <w:r w:rsidR="00A0283C">
        <w:t xml:space="preserve">potential </w:t>
      </w:r>
      <w:r>
        <w:t xml:space="preserve">volume of short-term </w:t>
      </w:r>
      <w:r w:rsidR="005849D3">
        <w:t xml:space="preserve">electricity </w:t>
      </w:r>
      <w:r>
        <w:t>transactions.</w:t>
      </w:r>
    </w:p>
    <w:p w:rsidR="00A0283C" w:rsidRDefault="003103DF" w:rsidP="00AC3A83">
      <w:pPr>
        <w:autoSpaceDE w:val="0"/>
        <w:autoSpaceDN w:val="0"/>
        <w:adjustRightInd w:val="0"/>
        <w:ind w:left="720"/>
      </w:pPr>
      <w:r>
        <w:t xml:space="preserve">  </w:t>
      </w:r>
    </w:p>
    <w:p w:rsidR="005C1CC9" w:rsidRDefault="007C0A35" w:rsidP="00AC3A83">
      <w:pPr>
        <w:autoSpaceDE w:val="0"/>
        <w:autoSpaceDN w:val="0"/>
        <w:adjustRightInd w:val="0"/>
        <w:ind w:left="720"/>
      </w:pPr>
      <w:r>
        <w:t xml:space="preserve">The </w:t>
      </w:r>
      <w:r w:rsidR="007518CB">
        <w:t xml:space="preserve">types of transactions that ARB should provide guidance on include those shown in the </w:t>
      </w:r>
      <w:r w:rsidR="00E304B9">
        <w:t>following table</w:t>
      </w:r>
      <w:r w:rsidR="007518CB">
        <w:t xml:space="preserve">. </w:t>
      </w:r>
    </w:p>
    <w:p w:rsidR="005C1CC9" w:rsidRDefault="005C1CC9" w:rsidP="00AC3A83">
      <w:pPr>
        <w:autoSpaceDE w:val="0"/>
        <w:autoSpaceDN w:val="0"/>
        <w:adjustRightInd w:val="0"/>
        <w:ind w:left="720"/>
      </w:pPr>
    </w:p>
    <w:p w:rsidR="005C1CC9" w:rsidRDefault="005C1CC9" w:rsidP="00AC3A83">
      <w:pPr>
        <w:autoSpaceDE w:val="0"/>
        <w:autoSpaceDN w:val="0"/>
        <w:adjustRightInd w:val="0"/>
        <w:ind w:left="720"/>
      </w:pPr>
    </w:p>
    <w:p w:rsidR="00403326" w:rsidRDefault="00403326" w:rsidP="00AC3A83">
      <w:pPr>
        <w:autoSpaceDE w:val="0"/>
        <w:autoSpaceDN w:val="0"/>
        <w:adjustRightInd w:val="0"/>
        <w:ind w:left="720"/>
      </w:pPr>
    </w:p>
    <w:p w:rsidR="00E304B9" w:rsidRDefault="00E304B9" w:rsidP="00AC3A83">
      <w:pPr>
        <w:autoSpaceDE w:val="0"/>
        <w:autoSpaceDN w:val="0"/>
        <w:adjustRightInd w:val="0"/>
        <w:ind w:left="720"/>
      </w:pPr>
    </w:p>
    <w:p w:rsidR="00E304B9" w:rsidRDefault="00E304B9" w:rsidP="00AC3A83">
      <w:pPr>
        <w:autoSpaceDE w:val="0"/>
        <w:autoSpaceDN w:val="0"/>
        <w:adjustRightInd w:val="0"/>
        <w:ind w:left="720"/>
      </w:pPr>
    </w:p>
    <w:p w:rsidR="00E304B9" w:rsidRDefault="00E304B9" w:rsidP="00AC3A83">
      <w:pPr>
        <w:autoSpaceDE w:val="0"/>
        <w:autoSpaceDN w:val="0"/>
        <w:adjustRightInd w:val="0"/>
        <w:ind w:left="720"/>
      </w:pPr>
    </w:p>
    <w:p w:rsidR="00403326" w:rsidRDefault="00403326" w:rsidP="00AC3A83">
      <w:pPr>
        <w:autoSpaceDE w:val="0"/>
        <w:autoSpaceDN w:val="0"/>
        <w:adjustRightInd w:val="0"/>
        <w:ind w:left="720"/>
      </w:pPr>
    </w:p>
    <w:p w:rsidR="00403326" w:rsidRDefault="00403326" w:rsidP="00AC3A83">
      <w:pPr>
        <w:autoSpaceDE w:val="0"/>
        <w:autoSpaceDN w:val="0"/>
        <w:adjustRightInd w:val="0"/>
        <w:ind w:left="720"/>
      </w:pPr>
    </w:p>
    <w:p w:rsidR="00403326" w:rsidRDefault="00403326" w:rsidP="00AC3A83">
      <w:pPr>
        <w:autoSpaceDE w:val="0"/>
        <w:autoSpaceDN w:val="0"/>
        <w:adjustRightInd w:val="0"/>
        <w:ind w:left="720"/>
      </w:pPr>
    </w:p>
    <w:p w:rsidR="007C0A35" w:rsidRDefault="007C0A35" w:rsidP="00AC3A83">
      <w:pPr>
        <w:autoSpaceDE w:val="0"/>
        <w:autoSpaceDN w:val="0"/>
        <w:adjustRightInd w:val="0"/>
        <w:ind w:left="720"/>
      </w:pPr>
    </w:p>
    <w:p w:rsidR="007C0A35" w:rsidRPr="00936480" w:rsidRDefault="007C0A35" w:rsidP="007518CB">
      <w:pPr>
        <w:autoSpaceDE w:val="0"/>
        <w:autoSpaceDN w:val="0"/>
        <w:adjustRightInd w:val="0"/>
      </w:pPr>
    </w:p>
    <w:tbl>
      <w:tblPr>
        <w:tblW w:w="7840" w:type="dxa"/>
        <w:tblInd w:w="918" w:type="dxa"/>
        <w:tblLook w:val="04A0" w:firstRow="1" w:lastRow="0" w:firstColumn="1" w:lastColumn="0" w:noHBand="0" w:noVBand="1"/>
      </w:tblPr>
      <w:tblGrid>
        <w:gridCol w:w="2790"/>
        <w:gridCol w:w="5050"/>
      </w:tblGrid>
      <w:tr w:rsidR="00C130F7" w:rsidRPr="00C130F7" w:rsidTr="00C130F7">
        <w:trPr>
          <w:trHeight w:val="375"/>
        </w:trPr>
        <w:tc>
          <w:tcPr>
            <w:tcW w:w="279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130F7" w:rsidRPr="00C130F7" w:rsidRDefault="00C130F7" w:rsidP="00C130F7">
            <w:pPr>
              <w:jc w:val="center"/>
              <w:rPr>
                <w:b/>
                <w:bCs/>
                <w:color w:val="000000"/>
                <w:sz w:val="28"/>
                <w:szCs w:val="28"/>
              </w:rPr>
            </w:pPr>
            <w:r w:rsidRPr="00C130F7">
              <w:rPr>
                <w:b/>
                <w:bCs/>
                <w:color w:val="000000"/>
                <w:sz w:val="28"/>
                <w:szCs w:val="28"/>
              </w:rPr>
              <w:lastRenderedPageBreak/>
              <w:t>Type of Transaction</w:t>
            </w:r>
          </w:p>
        </w:tc>
        <w:tc>
          <w:tcPr>
            <w:tcW w:w="5050" w:type="dxa"/>
            <w:tcBorders>
              <w:top w:val="single" w:sz="8" w:space="0" w:color="auto"/>
              <w:left w:val="nil"/>
              <w:bottom w:val="single" w:sz="4" w:space="0" w:color="auto"/>
              <w:right w:val="single" w:sz="8" w:space="0" w:color="auto"/>
            </w:tcBorders>
            <w:shd w:val="clear" w:color="auto" w:fill="auto"/>
            <w:noWrap/>
            <w:vAlign w:val="bottom"/>
            <w:hideMark/>
          </w:tcPr>
          <w:p w:rsidR="00C130F7" w:rsidRPr="00C130F7" w:rsidRDefault="00C130F7" w:rsidP="00C130F7">
            <w:pPr>
              <w:jc w:val="center"/>
              <w:rPr>
                <w:b/>
                <w:bCs/>
                <w:color w:val="000000"/>
                <w:sz w:val="28"/>
                <w:szCs w:val="28"/>
              </w:rPr>
            </w:pPr>
            <w:r w:rsidRPr="00C130F7">
              <w:rPr>
                <w:b/>
                <w:bCs/>
                <w:color w:val="000000"/>
                <w:sz w:val="28"/>
                <w:szCs w:val="28"/>
              </w:rPr>
              <w:t>Reason Guidance Needed</w:t>
            </w:r>
          </w:p>
        </w:tc>
      </w:tr>
      <w:tr w:rsidR="00C130F7" w:rsidRPr="00C130F7" w:rsidTr="00C130F7">
        <w:trPr>
          <w:trHeight w:val="75"/>
        </w:trPr>
        <w:tc>
          <w:tcPr>
            <w:tcW w:w="2790" w:type="dxa"/>
            <w:tcBorders>
              <w:top w:val="nil"/>
              <w:left w:val="single" w:sz="8" w:space="0" w:color="auto"/>
              <w:bottom w:val="single" w:sz="4" w:space="0" w:color="auto"/>
              <w:right w:val="single" w:sz="4" w:space="0" w:color="auto"/>
            </w:tcBorders>
            <w:shd w:val="clear" w:color="auto" w:fill="auto"/>
            <w:vAlign w:val="bottom"/>
            <w:hideMark/>
          </w:tcPr>
          <w:p w:rsidR="00C130F7" w:rsidRPr="00C130F7" w:rsidRDefault="00C130F7" w:rsidP="00C130F7">
            <w:pPr>
              <w:rPr>
                <w:color w:val="000000"/>
              </w:rPr>
            </w:pPr>
            <w:r w:rsidRPr="00C130F7">
              <w:rPr>
                <w:color w:val="000000"/>
              </w:rPr>
              <w:t> </w:t>
            </w:r>
          </w:p>
        </w:tc>
        <w:tc>
          <w:tcPr>
            <w:tcW w:w="5050" w:type="dxa"/>
            <w:tcBorders>
              <w:top w:val="nil"/>
              <w:left w:val="nil"/>
              <w:bottom w:val="single" w:sz="4" w:space="0" w:color="auto"/>
              <w:right w:val="single" w:sz="8" w:space="0" w:color="auto"/>
            </w:tcBorders>
            <w:shd w:val="clear" w:color="auto" w:fill="auto"/>
            <w:vAlign w:val="bottom"/>
            <w:hideMark/>
          </w:tcPr>
          <w:p w:rsidR="00C130F7" w:rsidRPr="00C130F7" w:rsidRDefault="00C130F7" w:rsidP="00C130F7">
            <w:pPr>
              <w:rPr>
                <w:color w:val="000000"/>
              </w:rPr>
            </w:pPr>
            <w:r w:rsidRPr="00C130F7">
              <w:rPr>
                <w:color w:val="000000"/>
              </w:rPr>
              <w:t> </w:t>
            </w:r>
          </w:p>
        </w:tc>
      </w:tr>
      <w:tr w:rsidR="00C130F7" w:rsidRPr="00E304B9" w:rsidTr="002B68FC">
        <w:trPr>
          <w:trHeight w:val="1462"/>
        </w:trPr>
        <w:tc>
          <w:tcPr>
            <w:tcW w:w="2790" w:type="dxa"/>
            <w:tcBorders>
              <w:top w:val="nil"/>
              <w:left w:val="single" w:sz="8" w:space="0" w:color="auto"/>
              <w:bottom w:val="single" w:sz="4" w:space="0" w:color="auto"/>
              <w:right w:val="single" w:sz="4" w:space="0" w:color="auto"/>
            </w:tcBorders>
            <w:shd w:val="clear" w:color="auto" w:fill="auto"/>
            <w:hideMark/>
          </w:tcPr>
          <w:p w:rsidR="00C130F7" w:rsidRPr="00E304B9" w:rsidRDefault="00C130F7" w:rsidP="00C130F7">
            <w:pPr>
              <w:rPr>
                <w:color w:val="000000"/>
                <w:sz w:val="22"/>
                <w:szCs w:val="22"/>
              </w:rPr>
            </w:pPr>
            <w:r w:rsidRPr="00E304B9">
              <w:rPr>
                <w:color w:val="000000"/>
                <w:sz w:val="22"/>
                <w:szCs w:val="22"/>
              </w:rPr>
              <w:t>Sale of power by an entity that has not previously sold power to California</w:t>
            </w:r>
          </w:p>
        </w:tc>
        <w:tc>
          <w:tcPr>
            <w:tcW w:w="5050" w:type="dxa"/>
            <w:tcBorders>
              <w:top w:val="nil"/>
              <w:left w:val="nil"/>
              <w:bottom w:val="single" w:sz="4" w:space="0" w:color="auto"/>
              <w:right w:val="single" w:sz="8" w:space="0" w:color="auto"/>
            </w:tcBorders>
            <w:shd w:val="clear" w:color="auto" w:fill="auto"/>
            <w:hideMark/>
          </w:tcPr>
          <w:p w:rsidR="00C130F7" w:rsidRPr="00E304B9" w:rsidRDefault="00C130F7" w:rsidP="002B68FC">
            <w:pPr>
              <w:rPr>
                <w:color w:val="000000"/>
                <w:sz w:val="22"/>
                <w:szCs w:val="22"/>
              </w:rPr>
            </w:pPr>
            <w:r w:rsidRPr="00E304B9">
              <w:rPr>
                <w:color w:val="000000"/>
                <w:sz w:val="22"/>
                <w:szCs w:val="22"/>
              </w:rPr>
              <w:t xml:space="preserve">"Emissions reduction that has not occurred" does not seem to apply to an entity that has not previously sold power into CAISO markets since it has no baseline for </w:t>
            </w:r>
            <w:r w:rsidR="002B68FC" w:rsidRPr="00E304B9">
              <w:rPr>
                <w:color w:val="000000"/>
                <w:sz w:val="22"/>
                <w:szCs w:val="22"/>
              </w:rPr>
              <w:t>“</w:t>
            </w:r>
            <w:r w:rsidRPr="00E304B9">
              <w:rPr>
                <w:color w:val="000000"/>
                <w:sz w:val="22"/>
                <w:szCs w:val="22"/>
              </w:rPr>
              <w:t>emission reductions</w:t>
            </w:r>
            <w:r w:rsidR="002B68FC" w:rsidRPr="00E304B9">
              <w:rPr>
                <w:color w:val="000000"/>
                <w:sz w:val="22"/>
                <w:szCs w:val="22"/>
              </w:rPr>
              <w:t>”</w:t>
            </w:r>
            <w:r w:rsidRPr="00E304B9">
              <w:rPr>
                <w:color w:val="000000"/>
                <w:sz w:val="22"/>
                <w:szCs w:val="22"/>
              </w:rPr>
              <w:t xml:space="preserve"> </w:t>
            </w:r>
          </w:p>
        </w:tc>
      </w:tr>
      <w:tr w:rsidR="00C130F7" w:rsidRPr="00E304B9" w:rsidTr="00C130F7">
        <w:trPr>
          <w:trHeight w:val="1740"/>
        </w:trPr>
        <w:tc>
          <w:tcPr>
            <w:tcW w:w="2790" w:type="dxa"/>
            <w:tcBorders>
              <w:top w:val="nil"/>
              <w:left w:val="single" w:sz="8" w:space="0" w:color="auto"/>
              <w:bottom w:val="single" w:sz="4" w:space="0" w:color="auto"/>
              <w:right w:val="single" w:sz="4" w:space="0" w:color="auto"/>
            </w:tcBorders>
            <w:shd w:val="clear" w:color="auto" w:fill="auto"/>
            <w:hideMark/>
          </w:tcPr>
          <w:p w:rsidR="00C130F7" w:rsidRPr="00E304B9" w:rsidRDefault="00C130F7" w:rsidP="00C130F7">
            <w:pPr>
              <w:rPr>
                <w:color w:val="000000"/>
                <w:sz w:val="22"/>
                <w:szCs w:val="22"/>
              </w:rPr>
            </w:pPr>
            <w:r w:rsidRPr="00E304B9">
              <w:rPr>
                <w:color w:val="000000"/>
                <w:sz w:val="22"/>
                <w:szCs w:val="22"/>
              </w:rPr>
              <w:t>Sale of power by Northwest hydro entities that sold to California in 1990</w:t>
            </w:r>
          </w:p>
        </w:tc>
        <w:tc>
          <w:tcPr>
            <w:tcW w:w="5050" w:type="dxa"/>
            <w:tcBorders>
              <w:top w:val="nil"/>
              <w:left w:val="nil"/>
              <w:bottom w:val="single" w:sz="4" w:space="0" w:color="auto"/>
              <w:right w:val="single" w:sz="8" w:space="0" w:color="auto"/>
            </w:tcBorders>
            <w:shd w:val="clear" w:color="auto" w:fill="auto"/>
            <w:hideMark/>
          </w:tcPr>
          <w:p w:rsidR="00C130F7" w:rsidRPr="00E304B9" w:rsidRDefault="00C130F7" w:rsidP="002B68FC">
            <w:pPr>
              <w:rPr>
                <w:color w:val="000000"/>
                <w:sz w:val="22"/>
                <w:szCs w:val="22"/>
              </w:rPr>
            </w:pPr>
            <w:r w:rsidRPr="00E304B9">
              <w:rPr>
                <w:color w:val="000000"/>
                <w:sz w:val="22"/>
                <w:szCs w:val="22"/>
              </w:rPr>
              <w:t>"</w:t>
            </w:r>
            <w:r w:rsidR="002B68FC" w:rsidRPr="00E304B9">
              <w:rPr>
                <w:color w:val="000000"/>
                <w:sz w:val="22"/>
                <w:szCs w:val="22"/>
              </w:rPr>
              <w:t>E</w:t>
            </w:r>
            <w:r w:rsidRPr="00E304B9">
              <w:rPr>
                <w:color w:val="000000"/>
                <w:sz w:val="22"/>
                <w:szCs w:val="22"/>
              </w:rPr>
              <w:t>missions reduction that has not occurred" does not seem to apply to an entity that sold to CA in 1990 since the emissions would be the same as in the inventory and thus no emission reduction has occurred</w:t>
            </w:r>
          </w:p>
        </w:tc>
      </w:tr>
      <w:tr w:rsidR="00C130F7" w:rsidRPr="00E304B9" w:rsidTr="00C130F7">
        <w:trPr>
          <w:trHeight w:val="2205"/>
        </w:trPr>
        <w:tc>
          <w:tcPr>
            <w:tcW w:w="2790" w:type="dxa"/>
            <w:tcBorders>
              <w:top w:val="nil"/>
              <w:left w:val="single" w:sz="8" w:space="0" w:color="auto"/>
              <w:bottom w:val="single" w:sz="4" w:space="0" w:color="auto"/>
              <w:right w:val="single" w:sz="4" w:space="0" w:color="auto"/>
            </w:tcBorders>
            <w:shd w:val="clear" w:color="auto" w:fill="auto"/>
            <w:hideMark/>
          </w:tcPr>
          <w:p w:rsidR="00C130F7" w:rsidRPr="00E304B9" w:rsidRDefault="00C130F7" w:rsidP="00C130F7">
            <w:pPr>
              <w:rPr>
                <w:color w:val="000000"/>
                <w:sz w:val="22"/>
                <w:szCs w:val="22"/>
              </w:rPr>
            </w:pPr>
            <w:r w:rsidRPr="00E304B9">
              <w:rPr>
                <w:color w:val="000000"/>
                <w:sz w:val="22"/>
                <w:szCs w:val="22"/>
              </w:rPr>
              <w:t>Sale of power by asset-controlling entities</w:t>
            </w:r>
          </w:p>
        </w:tc>
        <w:tc>
          <w:tcPr>
            <w:tcW w:w="5050" w:type="dxa"/>
            <w:tcBorders>
              <w:top w:val="nil"/>
              <w:left w:val="nil"/>
              <w:bottom w:val="single" w:sz="4" w:space="0" w:color="auto"/>
              <w:right w:val="single" w:sz="8" w:space="0" w:color="auto"/>
            </w:tcBorders>
            <w:shd w:val="clear" w:color="auto" w:fill="auto"/>
            <w:hideMark/>
          </w:tcPr>
          <w:p w:rsidR="00EE4CFA" w:rsidRPr="00E304B9" w:rsidRDefault="00C130F7" w:rsidP="00EE4CFA">
            <w:pPr>
              <w:rPr>
                <w:color w:val="000000"/>
                <w:sz w:val="22"/>
                <w:szCs w:val="22"/>
              </w:rPr>
            </w:pPr>
            <w:r w:rsidRPr="00E304B9">
              <w:rPr>
                <w:color w:val="000000"/>
                <w:sz w:val="22"/>
                <w:szCs w:val="22"/>
              </w:rPr>
              <w:t xml:space="preserve">If an entity requests status as an asset-controlling entity, </w:t>
            </w:r>
            <w:r w:rsidR="008707CD" w:rsidRPr="00E304B9">
              <w:rPr>
                <w:color w:val="000000"/>
                <w:sz w:val="22"/>
                <w:szCs w:val="22"/>
              </w:rPr>
              <w:t xml:space="preserve">GHG of its </w:t>
            </w:r>
            <w:r w:rsidR="00EE4CFA" w:rsidRPr="00E304B9">
              <w:rPr>
                <w:color w:val="000000"/>
                <w:sz w:val="22"/>
                <w:szCs w:val="22"/>
              </w:rPr>
              <w:t xml:space="preserve">power </w:t>
            </w:r>
            <w:r w:rsidRPr="00E304B9">
              <w:rPr>
                <w:color w:val="000000"/>
                <w:sz w:val="22"/>
                <w:szCs w:val="22"/>
              </w:rPr>
              <w:t xml:space="preserve">sales into </w:t>
            </w:r>
            <w:r w:rsidR="005C1CC9" w:rsidRPr="00E304B9">
              <w:rPr>
                <w:color w:val="000000"/>
                <w:sz w:val="22"/>
                <w:szCs w:val="22"/>
              </w:rPr>
              <w:t>California</w:t>
            </w:r>
            <w:r w:rsidRPr="00E304B9">
              <w:rPr>
                <w:color w:val="000000"/>
                <w:sz w:val="22"/>
                <w:szCs w:val="22"/>
              </w:rPr>
              <w:t xml:space="preserve"> </w:t>
            </w:r>
            <w:r w:rsidR="008707CD" w:rsidRPr="00E304B9">
              <w:rPr>
                <w:color w:val="000000"/>
                <w:sz w:val="22"/>
                <w:szCs w:val="22"/>
              </w:rPr>
              <w:t>would be based on an emissions factor developed f</w:t>
            </w:r>
            <w:r w:rsidR="002B68FC" w:rsidRPr="00E304B9">
              <w:rPr>
                <w:color w:val="000000"/>
                <w:sz w:val="22"/>
                <w:szCs w:val="22"/>
              </w:rPr>
              <w:t>r</w:t>
            </w:r>
            <w:r w:rsidR="008707CD" w:rsidRPr="00E304B9">
              <w:rPr>
                <w:color w:val="000000"/>
                <w:sz w:val="22"/>
                <w:szCs w:val="22"/>
              </w:rPr>
              <w:t>om the entity’s historical emissions intensity</w:t>
            </w:r>
            <w:r w:rsidRPr="00E304B9">
              <w:rPr>
                <w:color w:val="000000"/>
                <w:sz w:val="22"/>
                <w:szCs w:val="22"/>
              </w:rPr>
              <w:t>,</w:t>
            </w:r>
            <w:r w:rsidR="008707CD" w:rsidRPr="00E304B9">
              <w:rPr>
                <w:color w:val="000000"/>
                <w:sz w:val="22"/>
                <w:szCs w:val="22"/>
              </w:rPr>
              <w:t xml:space="preserve"> "Emissions reduction that has not occurred" would not seem to apply since the factor would be based on historical emissions.</w:t>
            </w:r>
            <w:r w:rsidRPr="00E304B9">
              <w:rPr>
                <w:color w:val="000000"/>
                <w:sz w:val="22"/>
                <w:szCs w:val="22"/>
              </w:rPr>
              <w:t xml:space="preserve"> </w:t>
            </w:r>
          </w:p>
          <w:p w:rsidR="00C130F7" w:rsidRPr="00E304B9" w:rsidRDefault="00C130F7" w:rsidP="00EE4CFA">
            <w:pPr>
              <w:rPr>
                <w:color w:val="000000"/>
                <w:sz w:val="22"/>
                <w:szCs w:val="22"/>
              </w:rPr>
            </w:pPr>
            <w:r w:rsidRPr="00E304B9">
              <w:rPr>
                <w:color w:val="000000"/>
                <w:sz w:val="22"/>
                <w:szCs w:val="22"/>
              </w:rPr>
              <w:t xml:space="preserve">  </w:t>
            </w:r>
          </w:p>
        </w:tc>
      </w:tr>
      <w:tr w:rsidR="00C130F7" w:rsidRPr="00E304B9" w:rsidTr="00C130F7">
        <w:trPr>
          <w:trHeight w:val="1770"/>
        </w:trPr>
        <w:tc>
          <w:tcPr>
            <w:tcW w:w="2790" w:type="dxa"/>
            <w:tcBorders>
              <w:top w:val="nil"/>
              <w:left w:val="single" w:sz="8" w:space="0" w:color="auto"/>
              <w:bottom w:val="single" w:sz="4" w:space="0" w:color="auto"/>
              <w:right w:val="single" w:sz="4" w:space="0" w:color="auto"/>
            </w:tcBorders>
            <w:shd w:val="clear" w:color="auto" w:fill="auto"/>
            <w:hideMark/>
          </w:tcPr>
          <w:p w:rsidR="00C130F7" w:rsidRPr="00E304B9" w:rsidRDefault="00C130F7" w:rsidP="00C130F7">
            <w:pPr>
              <w:rPr>
                <w:color w:val="000000"/>
                <w:sz w:val="22"/>
                <w:szCs w:val="22"/>
              </w:rPr>
            </w:pPr>
            <w:r w:rsidRPr="00E304B9">
              <w:rPr>
                <w:color w:val="000000"/>
                <w:sz w:val="22"/>
                <w:szCs w:val="22"/>
              </w:rPr>
              <w:t>Purchase and import of economically beneficial power</w:t>
            </w:r>
          </w:p>
        </w:tc>
        <w:tc>
          <w:tcPr>
            <w:tcW w:w="5050" w:type="dxa"/>
            <w:tcBorders>
              <w:top w:val="nil"/>
              <w:left w:val="nil"/>
              <w:bottom w:val="single" w:sz="4" w:space="0" w:color="auto"/>
              <w:right w:val="single" w:sz="8" w:space="0" w:color="auto"/>
            </w:tcBorders>
            <w:shd w:val="clear" w:color="auto" w:fill="auto"/>
            <w:hideMark/>
          </w:tcPr>
          <w:p w:rsidR="00C130F7" w:rsidRPr="00E304B9" w:rsidRDefault="00C130F7" w:rsidP="00EE4CFA">
            <w:pPr>
              <w:rPr>
                <w:color w:val="000000"/>
                <w:sz w:val="22"/>
                <w:szCs w:val="22"/>
              </w:rPr>
            </w:pPr>
            <w:r w:rsidRPr="00E304B9">
              <w:rPr>
                <w:color w:val="000000"/>
                <w:sz w:val="22"/>
                <w:szCs w:val="22"/>
              </w:rPr>
              <w:t xml:space="preserve">If an importer buys low-emitting power from an out-of-state entity for economic reasons - lower cost due to the carbon price </w:t>
            </w:r>
            <w:r w:rsidR="00EE4CFA" w:rsidRPr="00E304B9">
              <w:rPr>
                <w:color w:val="000000"/>
                <w:sz w:val="22"/>
                <w:szCs w:val="22"/>
              </w:rPr>
              <w:t>–</w:t>
            </w:r>
            <w:r w:rsidRPr="00E304B9">
              <w:rPr>
                <w:color w:val="000000"/>
                <w:sz w:val="22"/>
                <w:szCs w:val="22"/>
              </w:rPr>
              <w:t xml:space="preserve"> </w:t>
            </w:r>
            <w:r w:rsidR="00EE4CFA" w:rsidRPr="00E304B9">
              <w:rPr>
                <w:color w:val="000000"/>
                <w:sz w:val="22"/>
                <w:szCs w:val="22"/>
              </w:rPr>
              <w:t xml:space="preserve">it should be an acceptable transaction if the facility selling power would be determined not to have engaged in resource shuffling if it had directly imported the power to California. </w:t>
            </w:r>
          </w:p>
          <w:p w:rsidR="00EE4CFA" w:rsidRPr="00E304B9" w:rsidRDefault="00EE4CFA" w:rsidP="00EE4CFA">
            <w:pPr>
              <w:rPr>
                <w:color w:val="000000"/>
                <w:sz w:val="22"/>
                <w:szCs w:val="22"/>
              </w:rPr>
            </w:pPr>
          </w:p>
        </w:tc>
      </w:tr>
      <w:tr w:rsidR="00C130F7" w:rsidRPr="00E304B9" w:rsidTr="00C130F7">
        <w:trPr>
          <w:trHeight w:val="2220"/>
        </w:trPr>
        <w:tc>
          <w:tcPr>
            <w:tcW w:w="2790" w:type="dxa"/>
            <w:tcBorders>
              <w:top w:val="nil"/>
              <w:left w:val="single" w:sz="8" w:space="0" w:color="auto"/>
              <w:bottom w:val="single" w:sz="8" w:space="0" w:color="auto"/>
              <w:right w:val="single" w:sz="4" w:space="0" w:color="auto"/>
            </w:tcBorders>
            <w:shd w:val="clear" w:color="auto" w:fill="auto"/>
            <w:hideMark/>
          </w:tcPr>
          <w:p w:rsidR="00C130F7" w:rsidRPr="00E304B9" w:rsidRDefault="00C130F7" w:rsidP="00C130F7">
            <w:pPr>
              <w:rPr>
                <w:color w:val="000000"/>
                <w:sz w:val="22"/>
                <w:szCs w:val="22"/>
              </w:rPr>
            </w:pPr>
            <w:r w:rsidRPr="00E304B9">
              <w:rPr>
                <w:color w:val="000000"/>
                <w:sz w:val="22"/>
                <w:szCs w:val="22"/>
              </w:rPr>
              <w:t>Sale of power from an out-of-state high-emitting facility under contract to a CA entity due to transmission constraints and replacement with natural gas generation</w:t>
            </w:r>
          </w:p>
        </w:tc>
        <w:tc>
          <w:tcPr>
            <w:tcW w:w="5050" w:type="dxa"/>
            <w:tcBorders>
              <w:top w:val="nil"/>
              <w:left w:val="nil"/>
              <w:bottom w:val="single" w:sz="8" w:space="0" w:color="auto"/>
              <w:right w:val="single" w:sz="8" w:space="0" w:color="auto"/>
            </w:tcBorders>
            <w:shd w:val="clear" w:color="auto" w:fill="auto"/>
            <w:hideMark/>
          </w:tcPr>
          <w:p w:rsidR="00C130F7" w:rsidRPr="00E304B9" w:rsidRDefault="00C130F7" w:rsidP="002B68FC">
            <w:pPr>
              <w:rPr>
                <w:color w:val="000000"/>
                <w:sz w:val="22"/>
                <w:szCs w:val="22"/>
              </w:rPr>
            </w:pPr>
            <w:r w:rsidRPr="00E304B9">
              <w:rPr>
                <w:color w:val="000000"/>
                <w:sz w:val="22"/>
                <w:szCs w:val="22"/>
              </w:rPr>
              <w:t xml:space="preserve">Historically, there </w:t>
            </w:r>
            <w:r w:rsidR="001B3AD4" w:rsidRPr="00E304B9">
              <w:rPr>
                <w:color w:val="000000"/>
                <w:sz w:val="22"/>
                <w:szCs w:val="22"/>
              </w:rPr>
              <w:t>have</w:t>
            </w:r>
            <w:r w:rsidRPr="00E304B9">
              <w:rPr>
                <w:color w:val="000000"/>
                <w:sz w:val="22"/>
                <w:szCs w:val="22"/>
              </w:rPr>
              <w:t xml:space="preserve"> always been some sale</w:t>
            </w:r>
            <w:r w:rsidR="002B68FC" w:rsidRPr="00E304B9">
              <w:rPr>
                <w:color w:val="000000"/>
                <w:sz w:val="22"/>
                <w:szCs w:val="22"/>
              </w:rPr>
              <w:t>s</w:t>
            </w:r>
            <w:r w:rsidRPr="00E304B9">
              <w:rPr>
                <w:color w:val="000000"/>
                <w:sz w:val="22"/>
                <w:szCs w:val="22"/>
              </w:rPr>
              <w:t xml:space="preserve"> of power out-of-state due to transmission issues. "Emissions reduction that has not occurred" does not seem to apply if the sales out-of-state due to operational constraints are similar to what has occurred in the past</w:t>
            </w:r>
            <w:r w:rsidR="002B68FC" w:rsidRPr="00E304B9">
              <w:rPr>
                <w:color w:val="000000"/>
                <w:sz w:val="22"/>
                <w:szCs w:val="22"/>
              </w:rPr>
              <w:t>.</w:t>
            </w:r>
          </w:p>
        </w:tc>
      </w:tr>
    </w:tbl>
    <w:p w:rsidR="00E173BD" w:rsidRDefault="00E173BD" w:rsidP="00C130F7">
      <w:pPr>
        <w:autoSpaceDE w:val="0"/>
        <w:autoSpaceDN w:val="0"/>
        <w:adjustRightInd w:val="0"/>
        <w:ind w:left="720"/>
        <w:rPr>
          <w:b/>
        </w:rPr>
      </w:pPr>
    </w:p>
    <w:p w:rsidR="00E304B9" w:rsidRDefault="00E304B9" w:rsidP="00C130F7">
      <w:pPr>
        <w:autoSpaceDE w:val="0"/>
        <w:autoSpaceDN w:val="0"/>
        <w:adjustRightInd w:val="0"/>
        <w:ind w:left="720"/>
        <w:rPr>
          <w:b/>
        </w:rPr>
      </w:pPr>
    </w:p>
    <w:p w:rsidR="00E304B9" w:rsidRDefault="00E304B9" w:rsidP="00E304B9">
      <w:pPr>
        <w:autoSpaceDE w:val="0"/>
        <w:autoSpaceDN w:val="0"/>
        <w:adjustRightInd w:val="0"/>
        <w:rPr>
          <w:b/>
        </w:rPr>
      </w:pPr>
      <w:r w:rsidRPr="005312A1">
        <w:rPr>
          <w:b/>
          <w:noProof/>
        </w:rPr>
        <w:drawing>
          <wp:inline distT="0" distB="0" distL="0" distR="0" wp14:anchorId="70EE244B" wp14:editId="7AF33473">
            <wp:extent cx="2339163" cy="6698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338908" cy="669778"/>
                    </a:xfrm>
                    <a:prstGeom prst="rect">
                      <a:avLst/>
                    </a:prstGeom>
                    <a:noFill/>
                    <a:ln w="9525">
                      <a:noFill/>
                      <a:miter lim="800000"/>
                      <a:headEnd/>
                      <a:tailEnd/>
                    </a:ln>
                  </pic:spPr>
                </pic:pic>
              </a:graphicData>
            </a:graphic>
          </wp:inline>
        </w:drawing>
      </w:r>
      <w:r>
        <w:rPr>
          <w:b/>
        </w:rPr>
        <w:br/>
      </w:r>
    </w:p>
    <w:p w:rsidR="00E304B9" w:rsidRPr="00E304B9" w:rsidRDefault="00E304B9" w:rsidP="00E304B9">
      <w:pPr>
        <w:autoSpaceDE w:val="0"/>
        <w:autoSpaceDN w:val="0"/>
        <w:adjustRightInd w:val="0"/>
        <w:rPr>
          <w:sz w:val="20"/>
          <w:szCs w:val="20"/>
        </w:rPr>
      </w:pPr>
      <w:r w:rsidRPr="00E304B9">
        <w:rPr>
          <w:sz w:val="20"/>
          <w:szCs w:val="20"/>
        </w:rPr>
        <w:t>c:  Ms. Claudia Orlando</w:t>
      </w:r>
    </w:p>
    <w:p w:rsidR="00E304B9" w:rsidRPr="00E304B9" w:rsidRDefault="00E304B9" w:rsidP="00E304B9">
      <w:pPr>
        <w:autoSpaceDE w:val="0"/>
        <w:autoSpaceDN w:val="0"/>
        <w:adjustRightInd w:val="0"/>
        <w:rPr>
          <w:sz w:val="20"/>
          <w:szCs w:val="20"/>
        </w:rPr>
      </w:pPr>
      <w:r w:rsidRPr="00E304B9">
        <w:rPr>
          <w:sz w:val="20"/>
          <w:szCs w:val="20"/>
        </w:rPr>
        <w:t xml:space="preserve">     Mr. Bill Knox</w:t>
      </w:r>
    </w:p>
    <w:p w:rsidR="00E304B9" w:rsidRPr="00E304B9" w:rsidRDefault="00E304B9" w:rsidP="00E304B9">
      <w:pPr>
        <w:autoSpaceDE w:val="0"/>
        <w:autoSpaceDN w:val="0"/>
        <w:adjustRightInd w:val="0"/>
        <w:rPr>
          <w:sz w:val="20"/>
          <w:szCs w:val="20"/>
        </w:rPr>
      </w:pPr>
      <w:r w:rsidRPr="00E304B9">
        <w:rPr>
          <w:sz w:val="20"/>
          <w:szCs w:val="20"/>
        </w:rPr>
        <w:t xml:space="preserve">     Mr. Greg </w:t>
      </w:r>
      <w:proofErr w:type="spellStart"/>
      <w:r w:rsidRPr="00E304B9">
        <w:rPr>
          <w:sz w:val="20"/>
          <w:szCs w:val="20"/>
        </w:rPr>
        <w:t>Mayeur</w:t>
      </w:r>
      <w:proofErr w:type="spellEnd"/>
    </w:p>
    <w:p w:rsidR="00E173BD" w:rsidRDefault="00EA1943" w:rsidP="00E304B9">
      <w:pPr>
        <w:autoSpaceDE w:val="0"/>
        <w:autoSpaceDN w:val="0"/>
        <w:adjustRightInd w:val="0"/>
        <w:rPr>
          <w:b/>
        </w:rPr>
      </w:pPr>
      <w:r>
        <w:rPr>
          <w:sz w:val="20"/>
          <w:szCs w:val="20"/>
        </w:rPr>
        <w:t xml:space="preserve">     </w:t>
      </w:r>
      <w:r w:rsidR="00E304B9" w:rsidRPr="00E304B9">
        <w:rPr>
          <w:sz w:val="20"/>
          <w:szCs w:val="20"/>
        </w:rPr>
        <w:t>Ms. Mary Jane Coombs</w:t>
      </w:r>
    </w:p>
    <w:sectPr w:rsidR="00E173BD" w:rsidSect="00E304B9">
      <w:headerReference w:type="default" r:id="rId10"/>
      <w:footerReference w:type="default" r:id="rId11"/>
      <w:footerReference w:type="first" r:id="rId12"/>
      <w:pgSz w:w="12240" w:h="15840" w:code="1"/>
      <w:pgMar w:top="634" w:right="1152" w:bottom="1152"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E64" w:rsidRDefault="00E27E64">
      <w:r>
        <w:separator/>
      </w:r>
    </w:p>
  </w:endnote>
  <w:endnote w:type="continuationSeparator" w:id="0">
    <w:p w:rsidR="00E27E64" w:rsidRDefault="00E2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13" w:rsidRPr="001B3AD4" w:rsidRDefault="001B3AD4" w:rsidP="001B3AD4">
    <w:pPr>
      <w:pStyle w:val="Footer"/>
      <w:rPr>
        <w:rFonts w:asciiTheme="minorHAnsi" w:hAnsiTheme="minorHAnsi" w:cstheme="minorHAnsi"/>
        <w:sz w:val="18"/>
        <w:szCs w:val="18"/>
      </w:rPr>
    </w:pPr>
    <w:r w:rsidRPr="001B3AD4">
      <w:rPr>
        <w:rFonts w:asciiTheme="minorHAnsi" w:hAnsiTheme="minorHAnsi" w:cstheme="minorHAnsi"/>
        <w:sz w:val="18"/>
        <w:szCs w:val="18"/>
      </w:rPr>
      <w:t xml:space="preserve">SDG&amp;E Comments - </w:t>
    </w:r>
    <w:r w:rsidRPr="001B3AD4">
      <w:rPr>
        <w:rFonts w:asciiTheme="minorHAnsi" w:hAnsiTheme="minorHAnsi" w:cstheme="minorHAnsi"/>
        <w:sz w:val="18"/>
        <w:szCs w:val="18"/>
      </w:rPr>
      <w:t>May 4, 2012 workshop on Electricity Issues</w:t>
    </w:r>
    <w:r w:rsidRPr="001B3AD4">
      <w:rPr>
        <w:rFonts w:asciiTheme="minorHAnsi" w:hAnsiTheme="minorHAnsi" w:cstheme="minorHAnsi"/>
        <w:sz w:val="18"/>
        <w:szCs w:val="18"/>
      </w:rPr>
      <w:t xml:space="preserve"> </w:t>
    </w:r>
    <w:r w:rsidRPr="001B3AD4">
      <w:rPr>
        <w:rFonts w:asciiTheme="minorHAnsi" w:hAnsiTheme="minorHAnsi" w:cstheme="minorHAnsi"/>
        <w:sz w:val="18"/>
        <w:szCs w:val="18"/>
      </w:rPr>
      <w:tab/>
    </w:r>
    <w:r w:rsidRPr="001B3AD4">
      <w:rPr>
        <w:rFonts w:asciiTheme="minorHAnsi" w:hAnsiTheme="minorHAnsi" w:cstheme="minorHAnsi"/>
        <w:sz w:val="18"/>
        <w:szCs w:val="18"/>
      </w:rPr>
      <w:tab/>
    </w:r>
    <w:r w:rsidR="00E27E64" w:rsidRPr="001B3AD4">
      <w:rPr>
        <w:rFonts w:asciiTheme="minorHAnsi" w:hAnsiTheme="minorHAnsi" w:cstheme="minorHAnsi"/>
        <w:sz w:val="18"/>
        <w:szCs w:val="18"/>
      </w:rPr>
      <w:fldChar w:fldCharType="begin"/>
    </w:r>
    <w:r w:rsidR="00E27E64" w:rsidRPr="001B3AD4">
      <w:rPr>
        <w:rFonts w:asciiTheme="minorHAnsi" w:hAnsiTheme="minorHAnsi" w:cstheme="minorHAnsi"/>
        <w:sz w:val="18"/>
        <w:szCs w:val="18"/>
      </w:rPr>
      <w:instrText xml:space="preserve"> PAGE   \* MERGEFORMAT </w:instrText>
    </w:r>
    <w:r w:rsidR="00E27E64" w:rsidRPr="001B3AD4">
      <w:rPr>
        <w:rFonts w:asciiTheme="minorHAnsi" w:hAnsiTheme="minorHAnsi" w:cstheme="minorHAnsi"/>
        <w:sz w:val="18"/>
        <w:szCs w:val="18"/>
      </w:rPr>
      <w:fldChar w:fldCharType="separate"/>
    </w:r>
    <w:r w:rsidR="00066D13">
      <w:rPr>
        <w:rFonts w:asciiTheme="minorHAnsi" w:hAnsiTheme="minorHAnsi" w:cstheme="minorHAnsi"/>
        <w:noProof/>
        <w:sz w:val="18"/>
        <w:szCs w:val="18"/>
      </w:rPr>
      <w:t>4</w:t>
    </w:r>
    <w:r w:rsidR="00E27E64" w:rsidRPr="001B3AD4">
      <w:rPr>
        <w:rFonts w:asciiTheme="minorHAnsi" w:hAnsiTheme="minorHAnsi" w:cstheme="minorHAnsi"/>
        <w:noProof/>
        <w:sz w:val="18"/>
        <w:szCs w:val="18"/>
      </w:rPr>
      <w:fldChar w:fldCharType="end"/>
    </w:r>
  </w:p>
  <w:p w:rsidR="00AD6813" w:rsidRDefault="00AD68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329837"/>
      <w:docPartObj>
        <w:docPartGallery w:val="Page Numbers (Bottom of Page)"/>
        <w:docPartUnique/>
      </w:docPartObj>
    </w:sdtPr>
    <w:sdtEndPr>
      <w:rPr>
        <w:color w:val="808080" w:themeColor="background1" w:themeShade="80"/>
        <w:spacing w:val="60"/>
      </w:rPr>
    </w:sdtEndPr>
    <w:sdtContent>
      <w:p w:rsidR="001B3AD4" w:rsidRDefault="001B3AD4">
        <w:pPr>
          <w:pStyle w:val="Footer"/>
          <w:pBdr>
            <w:top w:val="single" w:sz="4" w:space="1" w:color="D9D9D9" w:themeColor="background1" w:themeShade="D9"/>
          </w:pBdr>
          <w:jc w:val="right"/>
        </w:pPr>
        <w:r>
          <w:t xml:space="preserve"> </w:t>
        </w:r>
      </w:p>
    </w:sdtContent>
  </w:sdt>
  <w:p w:rsidR="00AD6813" w:rsidRDefault="00E304B9" w:rsidP="00E304B9">
    <w:pPr>
      <w:pStyle w:val="Footer"/>
      <w:tabs>
        <w:tab w:val="clear" w:pos="4320"/>
        <w:tab w:val="clear" w:pos="8640"/>
        <w:tab w:val="left" w:pos="74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E64" w:rsidRDefault="00E27E64">
      <w:r>
        <w:separator/>
      </w:r>
    </w:p>
  </w:footnote>
  <w:footnote w:type="continuationSeparator" w:id="0">
    <w:p w:rsidR="00E27E64" w:rsidRDefault="00E27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055" w:rsidRDefault="002F2055">
    <w:pPr>
      <w:pStyle w:val="Header"/>
    </w:pPr>
  </w:p>
  <w:p w:rsidR="002F2055" w:rsidRDefault="002F20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E05"/>
    <w:multiLevelType w:val="hybridMultilevel"/>
    <w:tmpl w:val="03F2C206"/>
    <w:lvl w:ilvl="0" w:tplc="AEFA31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03620"/>
    <w:multiLevelType w:val="hybridMultilevel"/>
    <w:tmpl w:val="036EFA10"/>
    <w:lvl w:ilvl="0" w:tplc="C2666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4343E"/>
    <w:multiLevelType w:val="hybridMultilevel"/>
    <w:tmpl w:val="27647F80"/>
    <w:lvl w:ilvl="0" w:tplc="C2EA1492">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FC6577"/>
    <w:multiLevelType w:val="hybridMultilevel"/>
    <w:tmpl w:val="7D1C22D2"/>
    <w:lvl w:ilvl="0" w:tplc="11AE920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5AE7AF3"/>
    <w:multiLevelType w:val="hybridMultilevel"/>
    <w:tmpl w:val="95C2BCA6"/>
    <w:lvl w:ilvl="0" w:tplc="9E525F3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4519E7"/>
    <w:multiLevelType w:val="hybridMultilevel"/>
    <w:tmpl w:val="DB5CEE62"/>
    <w:lvl w:ilvl="0" w:tplc="4A6A56F0">
      <w:start w:val="1"/>
      <w:numFmt w:val="lowerLetter"/>
      <w:lvlText w:val="%1."/>
      <w:lvlJc w:val="left"/>
      <w:pPr>
        <w:ind w:left="21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FF3A2D"/>
    <w:multiLevelType w:val="hybridMultilevel"/>
    <w:tmpl w:val="AA981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E43875"/>
    <w:multiLevelType w:val="hybridMultilevel"/>
    <w:tmpl w:val="B3C293B0"/>
    <w:lvl w:ilvl="0" w:tplc="5498C24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117D5C"/>
    <w:multiLevelType w:val="hybridMultilevel"/>
    <w:tmpl w:val="9AD0C68A"/>
    <w:lvl w:ilvl="0" w:tplc="2F8A14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006C77"/>
    <w:multiLevelType w:val="hybridMultilevel"/>
    <w:tmpl w:val="9B8496EE"/>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1BF56DA"/>
    <w:multiLevelType w:val="hybridMultilevel"/>
    <w:tmpl w:val="62DE5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BE813E4"/>
    <w:multiLevelType w:val="hybridMultilevel"/>
    <w:tmpl w:val="B60465B2"/>
    <w:lvl w:ilvl="0" w:tplc="EA4280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FC43F90"/>
    <w:multiLevelType w:val="hybridMultilevel"/>
    <w:tmpl w:val="D09469F4"/>
    <w:lvl w:ilvl="0" w:tplc="BD120D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A4768F0"/>
    <w:multiLevelType w:val="hybridMultilevel"/>
    <w:tmpl w:val="EEDAA860"/>
    <w:lvl w:ilvl="0" w:tplc="261C77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23F2602"/>
    <w:multiLevelType w:val="hybridMultilevel"/>
    <w:tmpl w:val="8FC85A64"/>
    <w:lvl w:ilvl="0" w:tplc="04090015">
      <w:start w:val="1"/>
      <w:numFmt w:val="upperLetter"/>
      <w:lvlText w:val="%1."/>
      <w:lvlJc w:val="left"/>
      <w:pPr>
        <w:ind w:left="1440" w:hanging="360"/>
      </w:pPr>
    </w:lvl>
    <w:lvl w:ilvl="1" w:tplc="4A6A56F0">
      <w:start w:val="1"/>
      <w:numFmt w:val="lowerLetter"/>
      <w:lvlText w:val="%2."/>
      <w:lvlJc w:val="left"/>
      <w:pPr>
        <w:ind w:left="216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0"/>
  </w:num>
  <w:num w:numId="3">
    <w:abstractNumId w:val="14"/>
  </w:num>
  <w:num w:numId="4">
    <w:abstractNumId w:val="7"/>
  </w:num>
  <w:num w:numId="5">
    <w:abstractNumId w:val="9"/>
  </w:num>
  <w:num w:numId="6">
    <w:abstractNumId w:val="12"/>
  </w:num>
  <w:num w:numId="7">
    <w:abstractNumId w:val="3"/>
  </w:num>
  <w:num w:numId="8">
    <w:abstractNumId w:val="13"/>
  </w:num>
  <w:num w:numId="9">
    <w:abstractNumId w:val="5"/>
  </w:num>
  <w:num w:numId="10">
    <w:abstractNumId w:val="8"/>
  </w:num>
  <w:num w:numId="11">
    <w:abstractNumId w:val="4"/>
  </w:num>
  <w:num w:numId="12">
    <w:abstractNumId w:val="2"/>
  </w:num>
  <w:num w:numId="13">
    <w:abstractNumId w:val="6"/>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readOnly" w:enforcement="1" w:cryptProviderType="rsaFull" w:cryptAlgorithmClass="hash" w:cryptAlgorithmType="typeAny" w:cryptAlgorithmSid="4" w:cryptSpinCount="100000" w:hash="qrN26RNX3D9455oPucboiU3ENWQ=" w:salt="ZNkGgjZehMUbMxGW2ug9x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1뺠׳뺘׳뺨׳"/>
    <w:docVar w:name="dgnword-eventsink" w:val="T"/>
  </w:docVars>
  <w:rsids>
    <w:rsidRoot w:val="005D4BA8"/>
    <w:rsid w:val="0002467A"/>
    <w:rsid w:val="000351A8"/>
    <w:rsid w:val="00066D13"/>
    <w:rsid w:val="000C5CF2"/>
    <w:rsid w:val="000D67B5"/>
    <w:rsid w:val="000F3D83"/>
    <w:rsid w:val="00115CE6"/>
    <w:rsid w:val="001223C0"/>
    <w:rsid w:val="0012506E"/>
    <w:rsid w:val="00125C90"/>
    <w:rsid w:val="00126828"/>
    <w:rsid w:val="00181B85"/>
    <w:rsid w:val="001B3AD4"/>
    <w:rsid w:val="00216A68"/>
    <w:rsid w:val="0021793F"/>
    <w:rsid w:val="0022147E"/>
    <w:rsid w:val="00235DAF"/>
    <w:rsid w:val="002949C5"/>
    <w:rsid w:val="002B383C"/>
    <w:rsid w:val="002B68FC"/>
    <w:rsid w:val="002C5789"/>
    <w:rsid w:val="002C75AC"/>
    <w:rsid w:val="002D4784"/>
    <w:rsid w:val="002F2055"/>
    <w:rsid w:val="00307BB3"/>
    <w:rsid w:val="003103DF"/>
    <w:rsid w:val="00314500"/>
    <w:rsid w:val="00346BBF"/>
    <w:rsid w:val="003533F1"/>
    <w:rsid w:val="00370D8F"/>
    <w:rsid w:val="003939F8"/>
    <w:rsid w:val="003A3174"/>
    <w:rsid w:val="003B5829"/>
    <w:rsid w:val="003F27F7"/>
    <w:rsid w:val="00403326"/>
    <w:rsid w:val="00447218"/>
    <w:rsid w:val="00454667"/>
    <w:rsid w:val="004970A1"/>
    <w:rsid w:val="00502A3B"/>
    <w:rsid w:val="00522189"/>
    <w:rsid w:val="00540566"/>
    <w:rsid w:val="005806E0"/>
    <w:rsid w:val="005849D3"/>
    <w:rsid w:val="005C1CC9"/>
    <w:rsid w:val="005C77E9"/>
    <w:rsid w:val="005D4BA8"/>
    <w:rsid w:val="005F5868"/>
    <w:rsid w:val="0061065C"/>
    <w:rsid w:val="006201BF"/>
    <w:rsid w:val="00644B64"/>
    <w:rsid w:val="006775D9"/>
    <w:rsid w:val="00677954"/>
    <w:rsid w:val="006F2076"/>
    <w:rsid w:val="00720C3C"/>
    <w:rsid w:val="00726C24"/>
    <w:rsid w:val="007518CB"/>
    <w:rsid w:val="007654DB"/>
    <w:rsid w:val="007C0A35"/>
    <w:rsid w:val="007C4C72"/>
    <w:rsid w:val="0082039F"/>
    <w:rsid w:val="00827589"/>
    <w:rsid w:val="0083627B"/>
    <w:rsid w:val="008517BE"/>
    <w:rsid w:val="00853651"/>
    <w:rsid w:val="00864B4E"/>
    <w:rsid w:val="008675DB"/>
    <w:rsid w:val="008707CD"/>
    <w:rsid w:val="008A7D5A"/>
    <w:rsid w:val="008F21C1"/>
    <w:rsid w:val="0091125E"/>
    <w:rsid w:val="00936480"/>
    <w:rsid w:val="009E4128"/>
    <w:rsid w:val="00A0283C"/>
    <w:rsid w:val="00A152CD"/>
    <w:rsid w:val="00A80ADF"/>
    <w:rsid w:val="00AB01DC"/>
    <w:rsid w:val="00AC3A83"/>
    <w:rsid w:val="00AD6813"/>
    <w:rsid w:val="00B62856"/>
    <w:rsid w:val="00BC7E49"/>
    <w:rsid w:val="00BF69A0"/>
    <w:rsid w:val="00C130F7"/>
    <w:rsid w:val="00C53EB7"/>
    <w:rsid w:val="00CF6057"/>
    <w:rsid w:val="00D54505"/>
    <w:rsid w:val="00D94E40"/>
    <w:rsid w:val="00DB2C71"/>
    <w:rsid w:val="00E173BD"/>
    <w:rsid w:val="00E27E64"/>
    <w:rsid w:val="00E304B9"/>
    <w:rsid w:val="00E415BE"/>
    <w:rsid w:val="00E85E87"/>
    <w:rsid w:val="00E87FF2"/>
    <w:rsid w:val="00EA1943"/>
    <w:rsid w:val="00EA2B6E"/>
    <w:rsid w:val="00EA7267"/>
    <w:rsid w:val="00EE4CFA"/>
    <w:rsid w:val="00F25944"/>
    <w:rsid w:val="00F675AC"/>
    <w:rsid w:val="00FB6FB3"/>
    <w:rsid w:val="00FF1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9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793F"/>
    <w:pPr>
      <w:spacing w:before="100" w:beforeAutospacing="1" w:after="100" w:afterAutospacing="1"/>
    </w:pPr>
  </w:style>
  <w:style w:type="character" w:customStyle="1" w:styleId="bold1">
    <w:name w:val="bold1"/>
    <w:basedOn w:val="DefaultParagraphFont"/>
    <w:rsid w:val="0021793F"/>
    <w:rPr>
      <w:b/>
      <w:bCs/>
    </w:rPr>
  </w:style>
  <w:style w:type="paragraph" w:customStyle="1" w:styleId="center1">
    <w:name w:val="center1"/>
    <w:basedOn w:val="Normal"/>
    <w:rsid w:val="0021793F"/>
    <w:pPr>
      <w:spacing w:before="168" w:after="216"/>
      <w:jc w:val="center"/>
    </w:pPr>
  </w:style>
  <w:style w:type="character" w:customStyle="1" w:styleId="italic1">
    <w:name w:val="italic1"/>
    <w:basedOn w:val="DefaultParagraphFont"/>
    <w:rsid w:val="0021793F"/>
    <w:rPr>
      <w:i/>
      <w:iCs/>
    </w:rPr>
  </w:style>
  <w:style w:type="paragraph" w:styleId="Header">
    <w:name w:val="header"/>
    <w:basedOn w:val="Normal"/>
    <w:link w:val="HeaderChar"/>
    <w:uiPriority w:val="99"/>
    <w:rsid w:val="0021793F"/>
    <w:pPr>
      <w:tabs>
        <w:tab w:val="center" w:pos="4320"/>
        <w:tab w:val="right" w:pos="8640"/>
      </w:tabs>
    </w:pPr>
  </w:style>
  <w:style w:type="paragraph" w:styleId="Footer">
    <w:name w:val="footer"/>
    <w:basedOn w:val="Normal"/>
    <w:link w:val="FooterChar"/>
    <w:uiPriority w:val="99"/>
    <w:rsid w:val="0021793F"/>
    <w:pPr>
      <w:tabs>
        <w:tab w:val="center" w:pos="4320"/>
        <w:tab w:val="right" w:pos="8640"/>
      </w:tabs>
    </w:pPr>
  </w:style>
  <w:style w:type="paragraph" w:styleId="BalloonText">
    <w:name w:val="Balloon Text"/>
    <w:basedOn w:val="Normal"/>
    <w:link w:val="BalloonTextChar"/>
    <w:uiPriority w:val="99"/>
    <w:semiHidden/>
    <w:rsid w:val="005D4BA8"/>
    <w:rPr>
      <w:rFonts w:ascii="Tahoma" w:hAnsi="Tahoma" w:cs="Tahoma"/>
      <w:sz w:val="16"/>
      <w:szCs w:val="16"/>
    </w:rPr>
  </w:style>
  <w:style w:type="paragraph" w:customStyle="1" w:styleId="Default">
    <w:name w:val="Default"/>
    <w:basedOn w:val="Normal"/>
    <w:rsid w:val="006F2076"/>
    <w:pPr>
      <w:autoSpaceDE w:val="0"/>
      <w:autoSpaceDN w:val="0"/>
    </w:pPr>
    <w:rPr>
      <w:rFonts w:ascii="Symbol" w:eastAsia="MS PGothic" w:hAnsi="Symbol"/>
      <w:color w:val="000000"/>
      <w:lang w:eastAsia="ja-JP"/>
    </w:rPr>
  </w:style>
  <w:style w:type="character" w:styleId="Emphasis">
    <w:name w:val="Emphasis"/>
    <w:basedOn w:val="DefaultParagraphFont"/>
    <w:uiPriority w:val="20"/>
    <w:qFormat/>
    <w:rsid w:val="006F2076"/>
    <w:rPr>
      <w:i/>
      <w:iCs/>
    </w:rPr>
  </w:style>
  <w:style w:type="character" w:styleId="Strong">
    <w:name w:val="Strong"/>
    <w:basedOn w:val="DefaultParagraphFont"/>
    <w:uiPriority w:val="22"/>
    <w:qFormat/>
    <w:rsid w:val="006F2076"/>
    <w:rPr>
      <w:b/>
      <w:bCs/>
    </w:r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Char"/>
    <w:basedOn w:val="Normal"/>
    <w:link w:val="FootnoteTextChar"/>
    <w:unhideWhenUsed/>
    <w:rsid w:val="006F2076"/>
    <w:rPr>
      <w:rFonts w:ascii="Calibri" w:eastAsia="MS PGothic" w:hAnsi="Calibri" w:cs="MS PGothic"/>
      <w:sz w:val="20"/>
      <w:szCs w:val="20"/>
      <w:lang w:eastAsia="ja-JP"/>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Char Char"/>
    <w:basedOn w:val="DefaultParagraphFont"/>
    <w:link w:val="FootnoteText"/>
    <w:rsid w:val="006F2076"/>
    <w:rPr>
      <w:rFonts w:ascii="Calibri" w:eastAsia="MS PGothic" w:hAnsi="Calibri" w:cs="MS PGothic"/>
      <w:lang w:eastAsia="ja-JP"/>
    </w:rPr>
  </w:style>
  <w:style w:type="character" w:styleId="FootnoteReference">
    <w:name w:val="footnote reference"/>
    <w:basedOn w:val="DefaultParagraphFont"/>
    <w:unhideWhenUsed/>
    <w:rsid w:val="006F2076"/>
    <w:rPr>
      <w:vertAlign w:val="superscript"/>
    </w:rPr>
  </w:style>
  <w:style w:type="character" w:customStyle="1" w:styleId="HeaderChar">
    <w:name w:val="Header Char"/>
    <w:basedOn w:val="DefaultParagraphFont"/>
    <w:link w:val="Header"/>
    <w:uiPriority w:val="99"/>
    <w:rsid w:val="006F2076"/>
    <w:rPr>
      <w:sz w:val="24"/>
      <w:szCs w:val="24"/>
    </w:rPr>
  </w:style>
  <w:style w:type="character" w:customStyle="1" w:styleId="FooterChar">
    <w:name w:val="Footer Char"/>
    <w:basedOn w:val="DefaultParagraphFont"/>
    <w:link w:val="Footer"/>
    <w:uiPriority w:val="99"/>
    <w:rsid w:val="006F2076"/>
    <w:rPr>
      <w:sz w:val="24"/>
      <w:szCs w:val="24"/>
    </w:rPr>
  </w:style>
  <w:style w:type="paragraph" w:styleId="ListParagraph">
    <w:name w:val="List Paragraph"/>
    <w:basedOn w:val="Normal"/>
    <w:uiPriority w:val="34"/>
    <w:qFormat/>
    <w:rsid w:val="006F2076"/>
    <w:pPr>
      <w:ind w:left="720" w:right="720"/>
      <w:contextualSpacing/>
    </w:pPr>
    <w:rPr>
      <w:rFonts w:ascii="Calibri" w:eastAsia="Calibri" w:hAnsi="Calibri"/>
      <w:sz w:val="22"/>
      <w:szCs w:val="22"/>
    </w:rPr>
  </w:style>
  <w:style w:type="paragraph" w:customStyle="1" w:styleId="FaxBodyText">
    <w:name w:val="Fax Body Text"/>
    <w:basedOn w:val="Normal"/>
    <w:qFormat/>
    <w:rsid w:val="006F2076"/>
    <w:pPr>
      <w:framePr w:hSpace="180" w:wrap="around" w:vAnchor="text" w:hAnchor="text" w:y="55"/>
    </w:pPr>
    <w:rPr>
      <w:rFonts w:ascii="Calibri" w:eastAsia="Calibri" w:hAnsi="Calibri"/>
      <w:sz w:val="18"/>
      <w:szCs w:val="22"/>
    </w:rPr>
  </w:style>
  <w:style w:type="character" w:styleId="CommentReference">
    <w:name w:val="annotation reference"/>
    <w:basedOn w:val="DefaultParagraphFont"/>
    <w:unhideWhenUsed/>
    <w:rsid w:val="006F2076"/>
    <w:rPr>
      <w:sz w:val="16"/>
      <w:szCs w:val="16"/>
    </w:rPr>
  </w:style>
  <w:style w:type="paragraph" w:styleId="CommentText">
    <w:name w:val="annotation text"/>
    <w:basedOn w:val="Normal"/>
    <w:link w:val="CommentTextChar"/>
    <w:unhideWhenUsed/>
    <w:rsid w:val="006F2076"/>
    <w:rPr>
      <w:rFonts w:ascii="Calibri" w:eastAsia="Calibri" w:hAnsi="Calibri"/>
      <w:sz w:val="20"/>
      <w:szCs w:val="20"/>
    </w:rPr>
  </w:style>
  <w:style w:type="character" w:customStyle="1" w:styleId="CommentTextChar">
    <w:name w:val="Comment Text Char"/>
    <w:basedOn w:val="DefaultParagraphFont"/>
    <w:link w:val="CommentText"/>
    <w:rsid w:val="006F2076"/>
    <w:rPr>
      <w:rFonts w:ascii="Calibri" w:eastAsia="Calibri" w:hAnsi="Calibri" w:cs="Times New Roman"/>
    </w:rPr>
  </w:style>
  <w:style w:type="character" w:customStyle="1" w:styleId="BalloonTextChar">
    <w:name w:val="Balloon Text Char"/>
    <w:basedOn w:val="DefaultParagraphFont"/>
    <w:link w:val="BalloonText"/>
    <w:uiPriority w:val="99"/>
    <w:semiHidden/>
    <w:rsid w:val="006F2076"/>
    <w:rPr>
      <w:rFonts w:ascii="Tahoma" w:hAnsi="Tahoma" w:cs="Tahoma"/>
      <w:sz w:val="16"/>
      <w:szCs w:val="16"/>
    </w:rPr>
  </w:style>
  <w:style w:type="paragraph" w:styleId="CommentSubject">
    <w:name w:val="annotation subject"/>
    <w:basedOn w:val="CommentText"/>
    <w:next w:val="CommentText"/>
    <w:link w:val="CommentSubjectChar"/>
    <w:uiPriority w:val="99"/>
    <w:unhideWhenUsed/>
    <w:rsid w:val="006F2076"/>
    <w:pPr>
      <w:spacing w:after="200"/>
    </w:pPr>
    <w:rPr>
      <w:rFonts w:eastAsia="MS PGothic" w:cs="MS PGothic"/>
      <w:b/>
      <w:bCs/>
      <w:lang w:eastAsia="ja-JP"/>
    </w:rPr>
  </w:style>
  <w:style w:type="character" w:customStyle="1" w:styleId="CommentSubjectChar">
    <w:name w:val="Comment Subject Char"/>
    <w:basedOn w:val="CommentTextChar"/>
    <w:link w:val="CommentSubject"/>
    <w:uiPriority w:val="99"/>
    <w:rsid w:val="006F2076"/>
    <w:rPr>
      <w:rFonts w:ascii="Calibri" w:eastAsia="MS PGothic" w:hAnsi="Calibri" w:cs="MS PGothic"/>
      <w:b/>
      <w:bCs/>
      <w:lang w:eastAsia="ja-JP"/>
    </w:rPr>
  </w:style>
  <w:style w:type="character" w:styleId="Hyperlink">
    <w:name w:val="Hyperlink"/>
    <w:basedOn w:val="DefaultParagraphFont"/>
    <w:uiPriority w:val="99"/>
    <w:unhideWhenUsed/>
    <w:rsid w:val="006F2076"/>
    <w:rPr>
      <w:color w:val="0000FF"/>
      <w:u w:val="single"/>
    </w:rPr>
  </w:style>
  <w:style w:type="character" w:styleId="FollowedHyperlink">
    <w:name w:val="FollowedHyperlink"/>
    <w:basedOn w:val="DefaultParagraphFont"/>
    <w:uiPriority w:val="99"/>
    <w:unhideWhenUsed/>
    <w:rsid w:val="006F207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9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793F"/>
    <w:pPr>
      <w:spacing w:before="100" w:beforeAutospacing="1" w:after="100" w:afterAutospacing="1"/>
    </w:pPr>
  </w:style>
  <w:style w:type="character" w:customStyle="1" w:styleId="bold1">
    <w:name w:val="bold1"/>
    <w:basedOn w:val="DefaultParagraphFont"/>
    <w:rsid w:val="0021793F"/>
    <w:rPr>
      <w:b/>
      <w:bCs/>
    </w:rPr>
  </w:style>
  <w:style w:type="paragraph" w:customStyle="1" w:styleId="center1">
    <w:name w:val="center1"/>
    <w:basedOn w:val="Normal"/>
    <w:rsid w:val="0021793F"/>
    <w:pPr>
      <w:spacing w:before="168" w:after="216"/>
      <w:jc w:val="center"/>
    </w:pPr>
  </w:style>
  <w:style w:type="character" w:customStyle="1" w:styleId="italic1">
    <w:name w:val="italic1"/>
    <w:basedOn w:val="DefaultParagraphFont"/>
    <w:rsid w:val="0021793F"/>
    <w:rPr>
      <w:i/>
      <w:iCs/>
    </w:rPr>
  </w:style>
  <w:style w:type="paragraph" w:styleId="Header">
    <w:name w:val="header"/>
    <w:basedOn w:val="Normal"/>
    <w:link w:val="HeaderChar"/>
    <w:uiPriority w:val="99"/>
    <w:rsid w:val="0021793F"/>
    <w:pPr>
      <w:tabs>
        <w:tab w:val="center" w:pos="4320"/>
        <w:tab w:val="right" w:pos="8640"/>
      </w:tabs>
    </w:pPr>
  </w:style>
  <w:style w:type="paragraph" w:styleId="Footer">
    <w:name w:val="footer"/>
    <w:basedOn w:val="Normal"/>
    <w:link w:val="FooterChar"/>
    <w:uiPriority w:val="99"/>
    <w:rsid w:val="0021793F"/>
    <w:pPr>
      <w:tabs>
        <w:tab w:val="center" w:pos="4320"/>
        <w:tab w:val="right" w:pos="8640"/>
      </w:tabs>
    </w:pPr>
  </w:style>
  <w:style w:type="paragraph" w:styleId="BalloonText">
    <w:name w:val="Balloon Text"/>
    <w:basedOn w:val="Normal"/>
    <w:link w:val="BalloonTextChar"/>
    <w:uiPriority w:val="99"/>
    <w:semiHidden/>
    <w:rsid w:val="005D4BA8"/>
    <w:rPr>
      <w:rFonts w:ascii="Tahoma" w:hAnsi="Tahoma" w:cs="Tahoma"/>
      <w:sz w:val="16"/>
      <w:szCs w:val="16"/>
    </w:rPr>
  </w:style>
  <w:style w:type="paragraph" w:customStyle="1" w:styleId="Default">
    <w:name w:val="Default"/>
    <w:basedOn w:val="Normal"/>
    <w:rsid w:val="006F2076"/>
    <w:pPr>
      <w:autoSpaceDE w:val="0"/>
      <w:autoSpaceDN w:val="0"/>
    </w:pPr>
    <w:rPr>
      <w:rFonts w:ascii="Symbol" w:eastAsia="MS PGothic" w:hAnsi="Symbol"/>
      <w:color w:val="000000"/>
      <w:lang w:eastAsia="ja-JP"/>
    </w:rPr>
  </w:style>
  <w:style w:type="character" w:styleId="Emphasis">
    <w:name w:val="Emphasis"/>
    <w:basedOn w:val="DefaultParagraphFont"/>
    <w:uiPriority w:val="20"/>
    <w:qFormat/>
    <w:rsid w:val="006F2076"/>
    <w:rPr>
      <w:i/>
      <w:iCs/>
    </w:rPr>
  </w:style>
  <w:style w:type="character" w:styleId="Strong">
    <w:name w:val="Strong"/>
    <w:basedOn w:val="DefaultParagraphFont"/>
    <w:uiPriority w:val="22"/>
    <w:qFormat/>
    <w:rsid w:val="006F2076"/>
    <w:rPr>
      <w:b/>
      <w:bCs/>
    </w:r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Char"/>
    <w:basedOn w:val="Normal"/>
    <w:link w:val="FootnoteTextChar"/>
    <w:unhideWhenUsed/>
    <w:rsid w:val="006F2076"/>
    <w:rPr>
      <w:rFonts w:ascii="Calibri" w:eastAsia="MS PGothic" w:hAnsi="Calibri" w:cs="MS PGothic"/>
      <w:sz w:val="20"/>
      <w:szCs w:val="20"/>
      <w:lang w:eastAsia="ja-JP"/>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Char Char"/>
    <w:basedOn w:val="DefaultParagraphFont"/>
    <w:link w:val="FootnoteText"/>
    <w:rsid w:val="006F2076"/>
    <w:rPr>
      <w:rFonts w:ascii="Calibri" w:eastAsia="MS PGothic" w:hAnsi="Calibri" w:cs="MS PGothic"/>
      <w:lang w:eastAsia="ja-JP"/>
    </w:rPr>
  </w:style>
  <w:style w:type="character" w:styleId="FootnoteReference">
    <w:name w:val="footnote reference"/>
    <w:basedOn w:val="DefaultParagraphFont"/>
    <w:unhideWhenUsed/>
    <w:rsid w:val="006F2076"/>
    <w:rPr>
      <w:vertAlign w:val="superscript"/>
    </w:rPr>
  </w:style>
  <w:style w:type="character" w:customStyle="1" w:styleId="HeaderChar">
    <w:name w:val="Header Char"/>
    <w:basedOn w:val="DefaultParagraphFont"/>
    <w:link w:val="Header"/>
    <w:uiPriority w:val="99"/>
    <w:rsid w:val="006F2076"/>
    <w:rPr>
      <w:sz w:val="24"/>
      <w:szCs w:val="24"/>
    </w:rPr>
  </w:style>
  <w:style w:type="character" w:customStyle="1" w:styleId="FooterChar">
    <w:name w:val="Footer Char"/>
    <w:basedOn w:val="DefaultParagraphFont"/>
    <w:link w:val="Footer"/>
    <w:uiPriority w:val="99"/>
    <w:rsid w:val="006F2076"/>
    <w:rPr>
      <w:sz w:val="24"/>
      <w:szCs w:val="24"/>
    </w:rPr>
  </w:style>
  <w:style w:type="paragraph" w:styleId="ListParagraph">
    <w:name w:val="List Paragraph"/>
    <w:basedOn w:val="Normal"/>
    <w:uiPriority w:val="34"/>
    <w:qFormat/>
    <w:rsid w:val="006F2076"/>
    <w:pPr>
      <w:ind w:left="720" w:right="720"/>
      <w:contextualSpacing/>
    </w:pPr>
    <w:rPr>
      <w:rFonts w:ascii="Calibri" w:eastAsia="Calibri" w:hAnsi="Calibri"/>
      <w:sz w:val="22"/>
      <w:szCs w:val="22"/>
    </w:rPr>
  </w:style>
  <w:style w:type="paragraph" w:customStyle="1" w:styleId="FaxBodyText">
    <w:name w:val="Fax Body Text"/>
    <w:basedOn w:val="Normal"/>
    <w:qFormat/>
    <w:rsid w:val="006F2076"/>
    <w:pPr>
      <w:framePr w:hSpace="180" w:wrap="around" w:vAnchor="text" w:hAnchor="text" w:y="55"/>
    </w:pPr>
    <w:rPr>
      <w:rFonts w:ascii="Calibri" w:eastAsia="Calibri" w:hAnsi="Calibri"/>
      <w:sz w:val="18"/>
      <w:szCs w:val="22"/>
    </w:rPr>
  </w:style>
  <w:style w:type="character" w:styleId="CommentReference">
    <w:name w:val="annotation reference"/>
    <w:basedOn w:val="DefaultParagraphFont"/>
    <w:unhideWhenUsed/>
    <w:rsid w:val="006F2076"/>
    <w:rPr>
      <w:sz w:val="16"/>
      <w:szCs w:val="16"/>
    </w:rPr>
  </w:style>
  <w:style w:type="paragraph" w:styleId="CommentText">
    <w:name w:val="annotation text"/>
    <w:basedOn w:val="Normal"/>
    <w:link w:val="CommentTextChar"/>
    <w:unhideWhenUsed/>
    <w:rsid w:val="006F2076"/>
    <w:rPr>
      <w:rFonts w:ascii="Calibri" w:eastAsia="Calibri" w:hAnsi="Calibri"/>
      <w:sz w:val="20"/>
      <w:szCs w:val="20"/>
    </w:rPr>
  </w:style>
  <w:style w:type="character" w:customStyle="1" w:styleId="CommentTextChar">
    <w:name w:val="Comment Text Char"/>
    <w:basedOn w:val="DefaultParagraphFont"/>
    <w:link w:val="CommentText"/>
    <w:rsid w:val="006F2076"/>
    <w:rPr>
      <w:rFonts w:ascii="Calibri" w:eastAsia="Calibri" w:hAnsi="Calibri" w:cs="Times New Roman"/>
    </w:rPr>
  </w:style>
  <w:style w:type="character" w:customStyle="1" w:styleId="BalloonTextChar">
    <w:name w:val="Balloon Text Char"/>
    <w:basedOn w:val="DefaultParagraphFont"/>
    <w:link w:val="BalloonText"/>
    <w:uiPriority w:val="99"/>
    <w:semiHidden/>
    <w:rsid w:val="006F2076"/>
    <w:rPr>
      <w:rFonts w:ascii="Tahoma" w:hAnsi="Tahoma" w:cs="Tahoma"/>
      <w:sz w:val="16"/>
      <w:szCs w:val="16"/>
    </w:rPr>
  </w:style>
  <w:style w:type="paragraph" w:styleId="CommentSubject">
    <w:name w:val="annotation subject"/>
    <w:basedOn w:val="CommentText"/>
    <w:next w:val="CommentText"/>
    <w:link w:val="CommentSubjectChar"/>
    <w:uiPriority w:val="99"/>
    <w:unhideWhenUsed/>
    <w:rsid w:val="006F2076"/>
    <w:pPr>
      <w:spacing w:after="200"/>
    </w:pPr>
    <w:rPr>
      <w:rFonts w:eastAsia="MS PGothic" w:cs="MS PGothic"/>
      <w:b/>
      <w:bCs/>
      <w:lang w:eastAsia="ja-JP"/>
    </w:rPr>
  </w:style>
  <w:style w:type="character" w:customStyle="1" w:styleId="CommentSubjectChar">
    <w:name w:val="Comment Subject Char"/>
    <w:basedOn w:val="CommentTextChar"/>
    <w:link w:val="CommentSubject"/>
    <w:uiPriority w:val="99"/>
    <w:rsid w:val="006F2076"/>
    <w:rPr>
      <w:rFonts w:ascii="Calibri" w:eastAsia="MS PGothic" w:hAnsi="Calibri" w:cs="MS PGothic"/>
      <w:b/>
      <w:bCs/>
      <w:lang w:eastAsia="ja-JP"/>
    </w:rPr>
  </w:style>
  <w:style w:type="character" w:styleId="Hyperlink">
    <w:name w:val="Hyperlink"/>
    <w:basedOn w:val="DefaultParagraphFont"/>
    <w:uiPriority w:val="99"/>
    <w:unhideWhenUsed/>
    <w:rsid w:val="006F2076"/>
    <w:rPr>
      <w:color w:val="0000FF"/>
      <w:u w:val="single"/>
    </w:rPr>
  </w:style>
  <w:style w:type="character" w:styleId="FollowedHyperlink">
    <w:name w:val="FollowedHyperlink"/>
    <w:basedOn w:val="DefaultParagraphFont"/>
    <w:uiPriority w:val="99"/>
    <w:unhideWhenUsed/>
    <w:rsid w:val="006F207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0779">
      <w:bodyDiv w:val="1"/>
      <w:marLeft w:val="0"/>
      <w:marRight w:val="0"/>
      <w:marTop w:val="0"/>
      <w:marBottom w:val="0"/>
      <w:divBdr>
        <w:top w:val="none" w:sz="0" w:space="0" w:color="auto"/>
        <w:left w:val="none" w:sz="0" w:space="0" w:color="auto"/>
        <w:bottom w:val="none" w:sz="0" w:space="0" w:color="auto"/>
        <w:right w:val="none" w:sz="0" w:space="0" w:color="auto"/>
      </w:divBdr>
    </w:div>
    <w:div w:id="351423975">
      <w:bodyDiv w:val="1"/>
      <w:marLeft w:val="0"/>
      <w:marRight w:val="0"/>
      <w:marTop w:val="0"/>
      <w:marBottom w:val="0"/>
      <w:divBdr>
        <w:top w:val="none" w:sz="0" w:space="0" w:color="auto"/>
        <w:left w:val="none" w:sz="0" w:space="0" w:color="auto"/>
        <w:bottom w:val="none" w:sz="0" w:space="0" w:color="auto"/>
        <w:right w:val="none" w:sz="0" w:space="0" w:color="auto"/>
      </w:divBdr>
    </w:div>
    <w:div w:id="1319188809">
      <w:bodyDiv w:val="1"/>
      <w:marLeft w:val="0"/>
      <w:marRight w:val="0"/>
      <w:marTop w:val="0"/>
      <w:marBottom w:val="0"/>
      <w:divBdr>
        <w:top w:val="none" w:sz="0" w:space="0" w:color="auto"/>
        <w:left w:val="none" w:sz="0" w:space="0" w:color="auto"/>
        <w:bottom w:val="none" w:sz="0" w:space="0" w:color="auto"/>
        <w:right w:val="none" w:sz="0" w:space="0" w:color="auto"/>
      </w:divBdr>
    </w:div>
    <w:div w:id="1509102445">
      <w:bodyDiv w:val="1"/>
      <w:marLeft w:val="0"/>
      <w:marRight w:val="0"/>
      <w:marTop w:val="0"/>
      <w:marBottom w:val="0"/>
      <w:divBdr>
        <w:top w:val="none" w:sz="0" w:space="0" w:color="auto"/>
        <w:left w:val="none" w:sz="0" w:space="0" w:color="auto"/>
        <w:bottom w:val="none" w:sz="0" w:space="0" w:color="auto"/>
        <w:right w:val="none" w:sz="0" w:space="0" w:color="auto"/>
      </w:divBdr>
      <w:divsChild>
        <w:div w:id="583689832">
          <w:marLeft w:val="0"/>
          <w:marRight w:val="0"/>
          <w:marTop w:val="0"/>
          <w:marBottom w:val="0"/>
          <w:divBdr>
            <w:top w:val="none" w:sz="0" w:space="0" w:color="auto"/>
            <w:left w:val="none" w:sz="0" w:space="0" w:color="auto"/>
            <w:bottom w:val="none" w:sz="0" w:space="0" w:color="auto"/>
            <w:right w:val="none" w:sz="0" w:space="0" w:color="auto"/>
          </w:divBdr>
          <w:divsChild>
            <w:div w:id="1875654597">
              <w:marLeft w:val="0"/>
              <w:marRight w:val="0"/>
              <w:marTop w:val="0"/>
              <w:marBottom w:val="0"/>
              <w:divBdr>
                <w:top w:val="none" w:sz="0" w:space="0" w:color="auto"/>
                <w:left w:val="none" w:sz="0" w:space="0" w:color="auto"/>
                <w:bottom w:val="none" w:sz="0" w:space="0" w:color="auto"/>
                <w:right w:val="none" w:sz="0" w:space="0" w:color="auto"/>
              </w:divBdr>
              <w:divsChild>
                <w:div w:id="514614906">
                  <w:marLeft w:val="0"/>
                  <w:marRight w:val="0"/>
                  <w:marTop w:val="0"/>
                  <w:marBottom w:val="0"/>
                  <w:divBdr>
                    <w:top w:val="none" w:sz="0" w:space="0" w:color="auto"/>
                    <w:left w:val="none" w:sz="0" w:space="0" w:color="auto"/>
                    <w:bottom w:val="none" w:sz="0" w:space="0" w:color="auto"/>
                    <w:right w:val="none" w:sz="0" w:space="0" w:color="auto"/>
                  </w:divBdr>
                  <w:divsChild>
                    <w:div w:id="19768331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71969558">
      <w:bodyDiv w:val="1"/>
      <w:marLeft w:val="0"/>
      <w:marRight w:val="0"/>
      <w:marTop w:val="0"/>
      <w:marBottom w:val="0"/>
      <w:divBdr>
        <w:top w:val="none" w:sz="0" w:space="0" w:color="auto"/>
        <w:left w:val="none" w:sz="0" w:space="0" w:color="auto"/>
        <w:bottom w:val="none" w:sz="0" w:space="0" w:color="auto"/>
        <w:right w:val="none" w:sz="0" w:space="0" w:color="auto"/>
      </w:divBdr>
      <w:divsChild>
        <w:div w:id="1002121522">
          <w:marLeft w:val="0"/>
          <w:marRight w:val="0"/>
          <w:marTop w:val="0"/>
          <w:marBottom w:val="0"/>
          <w:divBdr>
            <w:top w:val="none" w:sz="0" w:space="0" w:color="auto"/>
            <w:left w:val="none" w:sz="0" w:space="0" w:color="auto"/>
            <w:bottom w:val="none" w:sz="0" w:space="0" w:color="auto"/>
            <w:right w:val="none" w:sz="0" w:space="0" w:color="auto"/>
          </w:divBdr>
          <w:divsChild>
            <w:div w:id="903756392">
              <w:marLeft w:val="0"/>
              <w:marRight w:val="0"/>
              <w:marTop w:val="0"/>
              <w:marBottom w:val="0"/>
              <w:divBdr>
                <w:top w:val="none" w:sz="0" w:space="0" w:color="auto"/>
                <w:left w:val="none" w:sz="0" w:space="0" w:color="auto"/>
                <w:bottom w:val="none" w:sz="0" w:space="0" w:color="auto"/>
                <w:right w:val="none" w:sz="0" w:space="0" w:color="auto"/>
              </w:divBdr>
              <w:divsChild>
                <w:div w:id="953056283">
                  <w:marLeft w:val="0"/>
                  <w:marRight w:val="0"/>
                  <w:marTop w:val="0"/>
                  <w:marBottom w:val="0"/>
                  <w:divBdr>
                    <w:top w:val="none" w:sz="0" w:space="0" w:color="auto"/>
                    <w:left w:val="none" w:sz="0" w:space="0" w:color="auto"/>
                    <w:bottom w:val="none" w:sz="0" w:space="0" w:color="auto"/>
                    <w:right w:val="none" w:sz="0" w:space="0" w:color="auto"/>
                  </w:divBdr>
                  <w:divsChild>
                    <w:div w:id="1683432138">
                      <w:marLeft w:val="0"/>
                      <w:marRight w:val="0"/>
                      <w:marTop w:val="0"/>
                      <w:marBottom w:val="240"/>
                      <w:divBdr>
                        <w:top w:val="none" w:sz="0" w:space="0" w:color="auto"/>
                        <w:left w:val="none" w:sz="0" w:space="0" w:color="auto"/>
                        <w:bottom w:val="none" w:sz="0" w:space="0" w:color="auto"/>
                        <w:right w:val="none" w:sz="0" w:space="0" w:color="auto"/>
                      </w:divBdr>
                      <w:divsChild>
                        <w:div w:id="92751299">
                          <w:marLeft w:val="0"/>
                          <w:marRight w:val="0"/>
                          <w:marTop w:val="0"/>
                          <w:marBottom w:val="0"/>
                          <w:divBdr>
                            <w:top w:val="none" w:sz="0" w:space="0" w:color="auto"/>
                            <w:left w:val="none" w:sz="0" w:space="0" w:color="auto"/>
                            <w:bottom w:val="none" w:sz="0" w:space="0" w:color="auto"/>
                            <w:right w:val="none" w:sz="0" w:space="0" w:color="auto"/>
                          </w:divBdr>
                        </w:div>
                        <w:div w:id="15758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1585</Words>
  <Characters>9041</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The MRW report mistakenly assumes that CEQA requires the CEC to determine in each case that a new plant will reduce overall emissions through substitution or support of renewables</vt:lpstr>
    </vt:vector>
  </TitlesOfParts>
  <Company>Sempra Energy Utilities</Company>
  <LinksUpToDate>false</LinksUpToDate>
  <CharactersWithSpaces>10605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MRW report mistakenly assumes that CEQA requires the CEC to determine in each case that a new plant will reduce overall emissions through substitution or support of renewables</dc:title>
  <dc:creator>Tmiller</dc:creator>
  <cp:lastModifiedBy>Jones Reed, Debran</cp:lastModifiedBy>
  <cp:revision>3</cp:revision>
  <cp:lastPrinted>2009-07-23T22:54:00Z</cp:lastPrinted>
  <dcterms:created xsi:type="dcterms:W3CDTF">2012-05-11T22:30:00Z</dcterms:created>
  <dcterms:modified xsi:type="dcterms:W3CDTF">2012-05-11T22:31:00Z</dcterms:modified>
</cp:coreProperties>
</file>