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8F3" w:rsidRPr="00A37952" w:rsidRDefault="00746F48" w:rsidP="00A37952">
      <w:pPr>
        <w:jc w:val="center"/>
        <w:rPr>
          <w:b/>
          <w:sz w:val="28"/>
          <w:szCs w:val="24"/>
        </w:rPr>
      </w:pPr>
      <w:r>
        <w:rPr>
          <w:b/>
          <w:sz w:val="28"/>
          <w:szCs w:val="32"/>
        </w:rPr>
        <w:t>Agricultural Council of California</w:t>
      </w:r>
      <w:r w:rsidR="00CD3646">
        <w:rPr>
          <w:b/>
          <w:sz w:val="28"/>
          <w:szCs w:val="32"/>
        </w:rPr>
        <w:br/>
        <w:t>California Cattlemen’s Association</w:t>
      </w:r>
      <w:r>
        <w:rPr>
          <w:b/>
          <w:sz w:val="28"/>
          <w:szCs w:val="32"/>
        </w:rPr>
        <w:br/>
      </w:r>
      <w:r w:rsidR="00012E01">
        <w:rPr>
          <w:b/>
          <w:sz w:val="28"/>
          <w:szCs w:val="32"/>
        </w:rPr>
        <w:t>California Citrus Mutual</w:t>
      </w:r>
      <w:r w:rsidR="00012E01">
        <w:rPr>
          <w:b/>
          <w:sz w:val="28"/>
          <w:szCs w:val="32"/>
        </w:rPr>
        <w:br/>
      </w:r>
      <w:r w:rsidR="005B78F3" w:rsidRPr="005D63F1">
        <w:rPr>
          <w:b/>
          <w:sz w:val="28"/>
          <w:szCs w:val="32"/>
        </w:rPr>
        <w:t>California Cotton G</w:t>
      </w:r>
      <w:r w:rsidR="00EC7445" w:rsidRPr="005D63F1">
        <w:rPr>
          <w:b/>
          <w:sz w:val="28"/>
          <w:szCs w:val="32"/>
        </w:rPr>
        <w:t>inners and Growers Associations</w:t>
      </w:r>
      <w:r w:rsidR="00632C60">
        <w:rPr>
          <w:b/>
          <w:sz w:val="28"/>
          <w:szCs w:val="32"/>
        </w:rPr>
        <w:br/>
      </w:r>
      <w:r w:rsidR="00632C60" w:rsidRPr="00632C60">
        <w:rPr>
          <w:b/>
          <w:sz w:val="28"/>
          <w:szCs w:val="24"/>
        </w:rPr>
        <w:t>California Dairy Campaign</w:t>
      </w:r>
      <w:r w:rsidR="00A37952">
        <w:rPr>
          <w:b/>
          <w:sz w:val="28"/>
          <w:szCs w:val="24"/>
        </w:rPr>
        <w:br/>
        <w:t>California Grape &amp; Tree Fruit League</w:t>
      </w:r>
      <w:r w:rsidR="007766B7">
        <w:rPr>
          <w:b/>
          <w:sz w:val="28"/>
          <w:szCs w:val="24"/>
        </w:rPr>
        <w:br/>
        <w:t>California League of Food Processors</w:t>
      </w:r>
      <w:r w:rsidR="00CD3646">
        <w:rPr>
          <w:b/>
          <w:sz w:val="28"/>
          <w:szCs w:val="24"/>
        </w:rPr>
        <w:br/>
        <w:t>Nisei Farmers League</w:t>
      </w:r>
      <w:r w:rsidR="005B78F3" w:rsidRPr="005D63F1">
        <w:rPr>
          <w:b/>
          <w:sz w:val="28"/>
          <w:szCs w:val="32"/>
        </w:rPr>
        <w:br/>
        <w:t>Western Agricultural Processors Association</w:t>
      </w:r>
      <w:r w:rsidR="00632C60">
        <w:rPr>
          <w:b/>
          <w:sz w:val="28"/>
          <w:szCs w:val="32"/>
        </w:rPr>
        <w:br/>
        <w:t>Western Growers</w:t>
      </w:r>
      <w:r w:rsidR="00013ACD">
        <w:rPr>
          <w:b/>
          <w:sz w:val="28"/>
          <w:szCs w:val="32"/>
        </w:rPr>
        <w:br/>
        <w:t>Western United Dairyman</w:t>
      </w:r>
    </w:p>
    <w:p w:rsidR="0025292A" w:rsidRPr="0025292A" w:rsidRDefault="0025292A" w:rsidP="00AC4564">
      <w:pPr>
        <w:rPr>
          <w:b/>
          <w:sz w:val="24"/>
          <w:szCs w:val="24"/>
        </w:rPr>
      </w:pPr>
    </w:p>
    <w:p w:rsidR="0025292A" w:rsidRPr="00665822" w:rsidRDefault="00A44FB6" w:rsidP="005B78F3">
      <w:pPr>
        <w:jc w:val="right"/>
        <w:rPr>
          <w:rFonts w:cs="Arial"/>
          <w:sz w:val="24"/>
          <w:szCs w:val="24"/>
        </w:rPr>
      </w:pPr>
      <w:r>
        <w:rPr>
          <w:rFonts w:cs="Arial"/>
          <w:sz w:val="24"/>
          <w:szCs w:val="24"/>
        </w:rPr>
        <w:t>September 10</w:t>
      </w:r>
      <w:r w:rsidR="001A274A">
        <w:rPr>
          <w:rFonts w:cs="Arial"/>
          <w:sz w:val="24"/>
          <w:szCs w:val="24"/>
        </w:rPr>
        <w:t>,</w:t>
      </w:r>
      <w:r w:rsidR="009C2CC1">
        <w:rPr>
          <w:rFonts w:cs="Arial"/>
          <w:sz w:val="24"/>
          <w:szCs w:val="24"/>
        </w:rPr>
        <w:t xml:space="preserve"> 2010</w:t>
      </w:r>
    </w:p>
    <w:p w:rsidR="0025292A" w:rsidRPr="00665822" w:rsidRDefault="00A44FB6" w:rsidP="0025292A">
      <w:pPr>
        <w:pStyle w:val="Default"/>
        <w:ind w:right="1080"/>
        <w:rPr>
          <w:rFonts w:ascii="Calibri" w:hAnsi="Calibri" w:cs="Arial"/>
        </w:rPr>
      </w:pPr>
      <w:r>
        <w:rPr>
          <w:rFonts w:ascii="Calibri" w:hAnsi="Calibri" w:cs="Arial"/>
        </w:rPr>
        <w:t>Mr. Chuck Seidler</w:t>
      </w:r>
    </w:p>
    <w:p w:rsidR="0025292A" w:rsidRPr="00665822" w:rsidRDefault="001A274A" w:rsidP="0025292A">
      <w:pPr>
        <w:pStyle w:val="Default"/>
        <w:ind w:right="1080"/>
        <w:rPr>
          <w:rFonts w:ascii="Calibri" w:hAnsi="Calibri" w:cs="Arial"/>
        </w:rPr>
      </w:pPr>
      <w:r>
        <w:rPr>
          <w:rFonts w:ascii="Calibri" w:hAnsi="Calibri" w:cs="Arial"/>
        </w:rPr>
        <w:t>California Air Resources Board</w:t>
      </w:r>
    </w:p>
    <w:p w:rsidR="0025292A" w:rsidRPr="00665822" w:rsidRDefault="001A274A" w:rsidP="001A274A">
      <w:pPr>
        <w:pStyle w:val="Default"/>
        <w:ind w:right="1080"/>
        <w:rPr>
          <w:rFonts w:ascii="Calibri" w:hAnsi="Calibri" w:cs="Arial"/>
        </w:rPr>
      </w:pPr>
      <w:r>
        <w:rPr>
          <w:rFonts w:ascii="Calibri" w:hAnsi="Calibri" w:cs="Arial"/>
        </w:rPr>
        <w:t>1001 I Street</w:t>
      </w:r>
    </w:p>
    <w:p w:rsidR="0025292A" w:rsidRPr="00665822" w:rsidRDefault="0025292A" w:rsidP="0025292A">
      <w:pPr>
        <w:rPr>
          <w:rFonts w:cs="Arial"/>
          <w:sz w:val="24"/>
          <w:szCs w:val="24"/>
        </w:rPr>
      </w:pPr>
      <w:r w:rsidRPr="00665822">
        <w:rPr>
          <w:rFonts w:cs="Arial"/>
          <w:sz w:val="24"/>
          <w:szCs w:val="24"/>
        </w:rPr>
        <w:t>Sacramento, CA 9581</w:t>
      </w:r>
      <w:r w:rsidR="001A274A">
        <w:rPr>
          <w:rFonts w:cs="Arial"/>
          <w:sz w:val="24"/>
          <w:szCs w:val="24"/>
        </w:rPr>
        <w:t>2</w:t>
      </w:r>
    </w:p>
    <w:p w:rsidR="00A44FB6" w:rsidRDefault="0025292A" w:rsidP="00AC4564">
      <w:pPr>
        <w:rPr>
          <w:rFonts w:cs="Arial"/>
          <w:sz w:val="24"/>
          <w:szCs w:val="24"/>
        </w:rPr>
      </w:pPr>
      <w:r w:rsidRPr="00665822">
        <w:rPr>
          <w:rFonts w:cs="Arial"/>
          <w:b/>
          <w:sz w:val="24"/>
          <w:szCs w:val="24"/>
        </w:rPr>
        <w:t xml:space="preserve">RE: </w:t>
      </w:r>
      <w:r w:rsidR="00FD3977">
        <w:rPr>
          <w:rFonts w:cs="Arial"/>
          <w:b/>
          <w:sz w:val="24"/>
          <w:szCs w:val="24"/>
        </w:rPr>
        <w:t xml:space="preserve">Comments on </w:t>
      </w:r>
      <w:r w:rsidR="00A44FB6">
        <w:rPr>
          <w:rFonts w:cs="Arial"/>
          <w:b/>
          <w:sz w:val="24"/>
          <w:szCs w:val="24"/>
        </w:rPr>
        <w:t>CEQA Scoping Meeting</w:t>
      </w:r>
      <w:r w:rsidR="005B78F3" w:rsidRPr="00665822">
        <w:rPr>
          <w:rFonts w:cs="Arial"/>
          <w:b/>
          <w:sz w:val="24"/>
          <w:szCs w:val="24"/>
        </w:rPr>
        <w:br/>
      </w:r>
      <w:r w:rsidRPr="00665822">
        <w:rPr>
          <w:rFonts w:cs="Arial"/>
          <w:b/>
          <w:sz w:val="24"/>
          <w:szCs w:val="24"/>
        </w:rPr>
        <w:br/>
      </w:r>
      <w:r w:rsidR="005B78F3" w:rsidRPr="00665822">
        <w:rPr>
          <w:rFonts w:cs="Arial"/>
          <w:sz w:val="24"/>
          <w:szCs w:val="24"/>
        </w:rPr>
        <w:t xml:space="preserve">Dear </w:t>
      </w:r>
      <w:r w:rsidR="00A44FB6">
        <w:rPr>
          <w:rFonts w:cs="Arial"/>
          <w:sz w:val="24"/>
          <w:szCs w:val="24"/>
        </w:rPr>
        <w:t>Mr</w:t>
      </w:r>
      <w:r w:rsidR="00865989">
        <w:rPr>
          <w:rFonts w:cs="Arial"/>
          <w:sz w:val="24"/>
          <w:szCs w:val="24"/>
        </w:rPr>
        <w:t>.</w:t>
      </w:r>
      <w:r w:rsidR="00A44FB6">
        <w:rPr>
          <w:rFonts w:cs="Arial"/>
          <w:sz w:val="24"/>
          <w:szCs w:val="24"/>
        </w:rPr>
        <w:t xml:space="preserve"> Seidler</w:t>
      </w:r>
      <w:r w:rsidR="000C32BF" w:rsidRPr="00665822">
        <w:rPr>
          <w:rFonts w:cs="Arial"/>
          <w:sz w:val="24"/>
          <w:szCs w:val="24"/>
        </w:rPr>
        <w:t xml:space="preserve">: </w:t>
      </w:r>
      <w:r w:rsidR="008246EE" w:rsidRPr="00665822">
        <w:rPr>
          <w:rFonts w:cs="Arial"/>
          <w:sz w:val="24"/>
          <w:szCs w:val="24"/>
        </w:rPr>
        <w:br/>
      </w:r>
      <w:r w:rsidRPr="00665822">
        <w:rPr>
          <w:rFonts w:cs="Arial"/>
          <w:b/>
          <w:sz w:val="24"/>
          <w:szCs w:val="24"/>
        </w:rPr>
        <w:br/>
      </w:r>
      <w:r w:rsidRPr="00665822">
        <w:rPr>
          <w:rFonts w:cs="Arial"/>
          <w:sz w:val="24"/>
          <w:szCs w:val="24"/>
        </w:rPr>
        <w:t xml:space="preserve">On behalf of the members of the above mentioned agricultural organizations, we appreciate the opportunity to submit comments on the </w:t>
      </w:r>
      <w:r w:rsidR="00827ED5">
        <w:rPr>
          <w:rFonts w:cs="Arial"/>
          <w:sz w:val="24"/>
          <w:szCs w:val="24"/>
        </w:rPr>
        <w:t xml:space="preserve">Cap-and-Trade CEQA </w:t>
      </w:r>
      <w:r w:rsidR="00A44FB6">
        <w:rPr>
          <w:rFonts w:cs="Arial"/>
          <w:sz w:val="24"/>
          <w:szCs w:val="24"/>
        </w:rPr>
        <w:t xml:space="preserve">Scoping Meeting that was held on </w:t>
      </w:r>
      <w:r w:rsidR="00827ED5">
        <w:rPr>
          <w:rFonts w:cs="Arial"/>
          <w:sz w:val="24"/>
          <w:szCs w:val="24"/>
        </w:rPr>
        <w:t>August 23</w:t>
      </w:r>
      <w:r w:rsidR="00827ED5" w:rsidRPr="00827ED5">
        <w:rPr>
          <w:rFonts w:cs="Arial"/>
          <w:sz w:val="24"/>
          <w:szCs w:val="24"/>
          <w:vertAlign w:val="superscript"/>
        </w:rPr>
        <w:t>rd</w:t>
      </w:r>
      <w:r w:rsidR="00A44FB6">
        <w:rPr>
          <w:rFonts w:cs="Arial"/>
          <w:sz w:val="24"/>
          <w:szCs w:val="24"/>
        </w:rPr>
        <w:t>.  Our comments will be limited in scope because of the limited information provided for the workshop.</w:t>
      </w:r>
    </w:p>
    <w:p w:rsidR="00F73799" w:rsidRDefault="00F73799" w:rsidP="00F73799">
      <w:pPr>
        <w:rPr>
          <w:sz w:val="24"/>
          <w:szCs w:val="24"/>
        </w:rPr>
      </w:pPr>
      <w:r>
        <w:rPr>
          <w:sz w:val="24"/>
          <w:szCs w:val="24"/>
        </w:rPr>
        <w:t>We agree with comments made during the workshop by staff that it is difficult to cover all the possible scenarios under a Cap-and-Trade program to do a CEQA analysis.  In order for a proper CEQA analysis to be completed, we believe that it needs to be based on a draft document that has been released to the public.  The fact that there is not a draft document currently available for review, limits ARB’s ability to properly conduct a CEQA analysis and makes it impossible for the affected stakeholders to properly comment and provide input.  Specifically, the extent to which regulated entities are able to utilize external offset to meet their respective reduction targets is a major concern. Without that information, only available within the regulation not yet released, we are not able to effectively comment. We request that ARB publish a draft document and then hold a public workshop for input on the CEQA analysis prior to adoption of the final rule.</w:t>
      </w:r>
    </w:p>
    <w:p w:rsidR="00F73799" w:rsidRDefault="00F73799" w:rsidP="00351819">
      <w:pPr>
        <w:rPr>
          <w:rFonts w:cs="Arial"/>
          <w:sz w:val="24"/>
          <w:szCs w:val="24"/>
        </w:rPr>
      </w:pPr>
      <w:r>
        <w:rPr>
          <w:rFonts w:cs="Arial"/>
          <w:sz w:val="24"/>
          <w:szCs w:val="24"/>
        </w:rPr>
        <w:lastRenderedPageBreak/>
        <w:t>ARB staff also indicated during the workshop that the percentage of available offs</w:t>
      </w:r>
      <w:r w:rsidR="00EF3CA3">
        <w:rPr>
          <w:rFonts w:cs="Arial"/>
          <w:sz w:val="24"/>
          <w:szCs w:val="24"/>
        </w:rPr>
        <w:t>ets for compliance purposes will affect on the CEQA analysis.  We agree with this and would like to also state that the lack of a clear definition of additionality will have a similar effect.  The current method for determining additionality is subjective and will place offset projects in jeopardy, thus affecting the quantity of offsets available for compliance.</w:t>
      </w:r>
    </w:p>
    <w:p w:rsidR="00827ED5" w:rsidRDefault="00827ED5" w:rsidP="00351819">
      <w:pPr>
        <w:rPr>
          <w:rFonts w:cs="Arial"/>
          <w:sz w:val="24"/>
          <w:szCs w:val="24"/>
        </w:rPr>
      </w:pPr>
      <w:r>
        <w:rPr>
          <w:rFonts w:cs="Arial"/>
          <w:sz w:val="24"/>
          <w:szCs w:val="24"/>
        </w:rPr>
        <w:t>Slide 8 in ARB’s presentation outlines the</w:t>
      </w:r>
      <w:r w:rsidR="00865989">
        <w:rPr>
          <w:rFonts w:cs="Arial"/>
          <w:sz w:val="24"/>
          <w:szCs w:val="24"/>
        </w:rPr>
        <w:t xml:space="preserve"> possible compliance options for the regulated community.  Staff indicated in the meeting that four possible compliance options will be analyzed; (1) Efficiency (2) Conservation (3) Fuel Switching and (4) Changes i</w:t>
      </w:r>
      <w:r w:rsidR="00012E01">
        <w:rPr>
          <w:rFonts w:cs="Arial"/>
          <w:sz w:val="24"/>
          <w:szCs w:val="24"/>
        </w:rPr>
        <w:t>n Processing.  We believe that r</w:t>
      </w:r>
      <w:r w:rsidR="00865989">
        <w:rPr>
          <w:rFonts w:cs="Arial"/>
          <w:sz w:val="24"/>
          <w:szCs w:val="24"/>
        </w:rPr>
        <w:t xml:space="preserve">elocation of facilities </w:t>
      </w:r>
      <w:r>
        <w:rPr>
          <w:rFonts w:cs="Arial"/>
          <w:sz w:val="24"/>
          <w:szCs w:val="24"/>
        </w:rPr>
        <w:t>also needs</w:t>
      </w:r>
      <w:r w:rsidR="00865989">
        <w:rPr>
          <w:rFonts w:cs="Arial"/>
          <w:sz w:val="24"/>
          <w:szCs w:val="24"/>
        </w:rPr>
        <w:t xml:space="preserve"> be analyzed as a compliance option.  Food processing facilities subject to the rule will not be able to pass the</w:t>
      </w:r>
      <w:r>
        <w:rPr>
          <w:rFonts w:cs="Arial"/>
          <w:sz w:val="24"/>
          <w:szCs w:val="24"/>
        </w:rPr>
        <w:t xml:space="preserve"> compliance costs to the consumer.  It is very</w:t>
      </w:r>
      <w:r w:rsidR="00865989">
        <w:rPr>
          <w:rFonts w:cs="Arial"/>
          <w:sz w:val="24"/>
          <w:szCs w:val="24"/>
        </w:rPr>
        <w:t xml:space="preserve"> likely that the</w:t>
      </w:r>
      <w:r>
        <w:rPr>
          <w:rFonts w:cs="Arial"/>
          <w:sz w:val="24"/>
          <w:szCs w:val="24"/>
        </w:rPr>
        <w:t xml:space="preserve"> facilities</w:t>
      </w:r>
      <w:r w:rsidR="00865989">
        <w:rPr>
          <w:rFonts w:cs="Arial"/>
          <w:sz w:val="24"/>
          <w:szCs w:val="24"/>
        </w:rPr>
        <w:t xml:space="preserve"> will either relocate out of the state or shutdown the operation.  In the event of a shutdown, the demand for the end product will be unchanged and production will be increased in other areas.  This will cause a</w:t>
      </w:r>
      <w:r>
        <w:rPr>
          <w:rFonts w:cs="Arial"/>
          <w:sz w:val="24"/>
          <w:szCs w:val="24"/>
        </w:rPr>
        <w:t>n economic loss</w:t>
      </w:r>
      <w:r w:rsidR="00865989">
        <w:rPr>
          <w:rFonts w:cs="Arial"/>
          <w:sz w:val="24"/>
          <w:szCs w:val="24"/>
        </w:rPr>
        <w:t xml:space="preserve"> in California and will not reduce greenhouse gas emissions</w:t>
      </w:r>
      <w:r>
        <w:rPr>
          <w:rFonts w:cs="Arial"/>
          <w:sz w:val="24"/>
          <w:szCs w:val="24"/>
        </w:rPr>
        <w:t>.  This can lead to an</w:t>
      </w:r>
      <w:r w:rsidR="00865989">
        <w:rPr>
          <w:rFonts w:cs="Arial"/>
          <w:sz w:val="24"/>
          <w:szCs w:val="24"/>
        </w:rPr>
        <w:t xml:space="preserve"> increase</w:t>
      </w:r>
      <w:r>
        <w:rPr>
          <w:rFonts w:cs="Arial"/>
          <w:sz w:val="24"/>
          <w:szCs w:val="24"/>
        </w:rPr>
        <w:t xml:space="preserve"> of</w:t>
      </w:r>
      <w:r w:rsidR="00865989">
        <w:rPr>
          <w:rFonts w:cs="Arial"/>
          <w:sz w:val="24"/>
          <w:szCs w:val="24"/>
        </w:rPr>
        <w:t xml:space="preserve"> GHG emissions because California processing facilities are some of the most efficient in the world.</w:t>
      </w:r>
      <w:r>
        <w:rPr>
          <w:rFonts w:cs="Arial"/>
          <w:sz w:val="24"/>
          <w:szCs w:val="24"/>
        </w:rPr>
        <w:t xml:space="preserve">  The CEQA analysis needs to fully address the high potential for leakage among processing facilities.  </w:t>
      </w:r>
    </w:p>
    <w:p w:rsidR="00351819" w:rsidRPr="00827ED5" w:rsidRDefault="00D44B5A" w:rsidP="00351819">
      <w:pPr>
        <w:rPr>
          <w:rFonts w:cs="Arial"/>
          <w:sz w:val="24"/>
          <w:szCs w:val="24"/>
        </w:rPr>
      </w:pPr>
      <w:r>
        <w:rPr>
          <w:rFonts w:cs="Arial"/>
          <w:sz w:val="24"/>
          <w:szCs w:val="24"/>
        </w:rPr>
        <w:br/>
        <w:t>In closing, the groups listed above appreciate that opportunity to comment and look forward to increased dialogue with staff on the development of the</w:t>
      </w:r>
      <w:r w:rsidR="004C7CBA">
        <w:rPr>
          <w:rFonts w:cs="Arial"/>
          <w:sz w:val="24"/>
          <w:szCs w:val="24"/>
        </w:rPr>
        <w:t xml:space="preserve"> Cap-and-Trade</w:t>
      </w:r>
      <w:r>
        <w:rPr>
          <w:rFonts w:cs="Arial"/>
          <w:sz w:val="24"/>
          <w:szCs w:val="24"/>
        </w:rPr>
        <w:t xml:space="preserve"> </w:t>
      </w:r>
      <w:r w:rsidR="00827ED5">
        <w:rPr>
          <w:rFonts w:cs="Arial"/>
          <w:sz w:val="24"/>
          <w:szCs w:val="24"/>
        </w:rPr>
        <w:t>CEQA</w:t>
      </w:r>
      <w:r w:rsidR="004C7CBA">
        <w:rPr>
          <w:rFonts w:cs="Arial"/>
          <w:sz w:val="24"/>
          <w:szCs w:val="24"/>
        </w:rPr>
        <w:t xml:space="preserve"> document</w:t>
      </w:r>
      <w:r w:rsidR="00DF0816" w:rsidRPr="00665822">
        <w:rPr>
          <w:rFonts w:cs="Arial"/>
          <w:sz w:val="24"/>
          <w:szCs w:val="24"/>
        </w:rPr>
        <w:t xml:space="preserve">.  </w:t>
      </w:r>
      <w:r w:rsidRPr="00665822">
        <w:rPr>
          <w:rFonts w:cs="Arial"/>
          <w:sz w:val="24"/>
          <w:szCs w:val="24"/>
        </w:rPr>
        <w:t xml:space="preserve">If you have any questions on our comments please contact Casey Creamer at (559) 252-0684.  </w:t>
      </w:r>
    </w:p>
    <w:p w:rsidR="00351819" w:rsidRPr="00665822" w:rsidRDefault="00351819" w:rsidP="00351819">
      <w:pPr>
        <w:rPr>
          <w:rFonts w:cs="Arial"/>
          <w:sz w:val="24"/>
          <w:szCs w:val="24"/>
        </w:rPr>
      </w:pPr>
    </w:p>
    <w:p w:rsidR="00CD3646" w:rsidRDefault="00351819" w:rsidP="00AC4564">
      <w:pPr>
        <w:rPr>
          <w:rFonts w:cs="Arial"/>
          <w:sz w:val="24"/>
          <w:szCs w:val="24"/>
        </w:rPr>
      </w:pPr>
      <w:r w:rsidRPr="00665822">
        <w:rPr>
          <w:rFonts w:cs="Arial"/>
          <w:sz w:val="24"/>
          <w:szCs w:val="24"/>
        </w:rPr>
        <w:t>Sincerely,</w:t>
      </w:r>
    </w:p>
    <w:p w:rsidR="005B78F3" w:rsidRPr="00CD3646" w:rsidRDefault="005B78F3" w:rsidP="00AC4564">
      <w:pPr>
        <w:rPr>
          <w:rFonts w:cs="Arial"/>
          <w:sz w:val="24"/>
          <w:szCs w:val="24"/>
        </w:rPr>
      </w:pPr>
      <w:r w:rsidRPr="0064620E">
        <w:rPr>
          <w:b/>
          <w:sz w:val="24"/>
          <w:szCs w:val="24"/>
        </w:rPr>
        <w:br/>
      </w:r>
      <w:r w:rsidR="00746F48" w:rsidRPr="00746F48">
        <w:rPr>
          <w:b/>
          <w:sz w:val="24"/>
          <w:szCs w:val="32"/>
        </w:rPr>
        <w:t>Agricultural Council of California</w:t>
      </w:r>
      <w:r w:rsidR="00CD3646">
        <w:rPr>
          <w:b/>
          <w:sz w:val="24"/>
          <w:szCs w:val="32"/>
        </w:rPr>
        <w:br/>
        <w:t>California Cattlemen’s Association</w:t>
      </w:r>
      <w:r w:rsidR="00746F48">
        <w:rPr>
          <w:b/>
          <w:sz w:val="24"/>
          <w:szCs w:val="24"/>
        </w:rPr>
        <w:br/>
      </w:r>
      <w:r w:rsidR="00012E01">
        <w:rPr>
          <w:b/>
          <w:sz w:val="24"/>
          <w:szCs w:val="24"/>
        </w:rPr>
        <w:t>California Citrus Mutual</w:t>
      </w:r>
      <w:r w:rsidR="00012E01">
        <w:rPr>
          <w:b/>
          <w:sz w:val="24"/>
          <w:szCs w:val="24"/>
        </w:rPr>
        <w:br/>
      </w:r>
      <w:r w:rsidRPr="0064620E">
        <w:rPr>
          <w:b/>
          <w:sz w:val="24"/>
          <w:szCs w:val="24"/>
        </w:rPr>
        <w:t>California Cotton G</w:t>
      </w:r>
      <w:r w:rsidR="00EC7445">
        <w:rPr>
          <w:b/>
          <w:sz w:val="24"/>
          <w:szCs w:val="24"/>
        </w:rPr>
        <w:t>inners and Growers Associations</w:t>
      </w:r>
      <w:r w:rsidR="00632C60">
        <w:rPr>
          <w:b/>
          <w:sz w:val="24"/>
          <w:szCs w:val="24"/>
        </w:rPr>
        <w:br/>
        <w:t>California Dairy Campaign</w:t>
      </w:r>
      <w:r w:rsidR="00A37952">
        <w:rPr>
          <w:b/>
          <w:sz w:val="24"/>
          <w:szCs w:val="24"/>
        </w:rPr>
        <w:br/>
      </w:r>
      <w:r w:rsidR="00A37952" w:rsidRPr="00A37952">
        <w:rPr>
          <w:b/>
          <w:sz w:val="24"/>
          <w:szCs w:val="24"/>
        </w:rPr>
        <w:t>California Grape &amp; Tree Fruit League</w:t>
      </w:r>
      <w:r w:rsidR="007766B7">
        <w:rPr>
          <w:b/>
          <w:sz w:val="24"/>
          <w:szCs w:val="24"/>
        </w:rPr>
        <w:br/>
      </w:r>
      <w:r w:rsidR="007766B7" w:rsidRPr="007766B7">
        <w:rPr>
          <w:b/>
          <w:sz w:val="24"/>
          <w:szCs w:val="24"/>
        </w:rPr>
        <w:t>California League of Food Processors</w:t>
      </w:r>
      <w:r w:rsidR="00CD3646">
        <w:rPr>
          <w:b/>
          <w:sz w:val="24"/>
          <w:szCs w:val="24"/>
        </w:rPr>
        <w:br/>
        <w:t>Nisei Farmers League</w:t>
      </w:r>
      <w:r w:rsidRPr="0064620E">
        <w:rPr>
          <w:b/>
          <w:sz w:val="24"/>
          <w:szCs w:val="24"/>
        </w:rPr>
        <w:br/>
        <w:t>Western Agricultural Processors Association</w:t>
      </w:r>
      <w:r w:rsidR="00632C60">
        <w:rPr>
          <w:b/>
          <w:sz w:val="24"/>
          <w:szCs w:val="24"/>
        </w:rPr>
        <w:br/>
        <w:t>Western Growers</w:t>
      </w:r>
      <w:r w:rsidR="00013ACD">
        <w:rPr>
          <w:b/>
          <w:sz w:val="24"/>
          <w:szCs w:val="24"/>
        </w:rPr>
        <w:br/>
        <w:t>Western United Dairyman</w:t>
      </w:r>
    </w:p>
    <w:sectPr w:rsidR="005B78F3" w:rsidRPr="00CD3646" w:rsidSect="003E0252">
      <w:pgSz w:w="12240" w:h="15840"/>
      <w:pgMar w:top="810" w:right="1440" w:bottom="99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799" w:rsidRDefault="00F73799" w:rsidP="007A09AF">
      <w:pPr>
        <w:spacing w:after="0" w:line="240" w:lineRule="auto"/>
      </w:pPr>
      <w:r>
        <w:separator/>
      </w:r>
    </w:p>
  </w:endnote>
  <w:endnote w:type="continuationSeparator" w:id="0">
    <w:p w:rsidR="00F73799" w:rsidRDefault="00F73799" w:rsidP="007A0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799" w:rsidRDefault="00F73799" w:rsidP="007A09AF">
      <w:pPr>
        <w:spacing w:after="0" w:line="240" w:lineRule="auto"/>
      </w:pPr>
      <w:r>
        <w:separator/>
      </w:r>
    </w:p>
  </w:footnote>
  <w:footnote w:type="continuationSeparator" w:id="0">
    <w:p w:rsidR="00F73799" w:rsidRDefault="00F73799" w:rsidP="007A09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7AF1"/>
    <w:multiLevelType w:val="hybridMultilevel"/>
    <w:tmpl w:val="9D3C8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D8304F"/>
    <w:multiLevelType w:val="hybridMultilevel"/>
    <w:tmpl w:val="E7DC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FB6509"/>
    <w:multiLevelType w:val="hybridMultilevel"/>
    <w:tmpl w:val="CB4CA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7D3D3C"/>
    <w:multiLevelType w:val="hybridMultilevel"/>
    <w:tmpl w:val="EF66C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9430CBE"/>
    <w:multiLevelType w:val="hybridMultilevel"/>
    <w:tmpl w:val="49E66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E520E11"/>
    <w:multiLevelType w:val="hybridMultilevel"/>
    <w:tmpl w:val="A516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footnotePr>
    <w:footnote w:id="-1"/>
    <w:footnote w:id="0"/>
  </w:footnotePr>
  <w:endnotePr>
    <w:endnote w:id="-1"/>
    <w:endnote w:id="0"/>
  </w:endnotePr>
  <w:compat/>
  <w:rsids>
    <w:rsidRoot w:val="009B08A8"/>
    <w:rsid w:val="00012E01"/>
    <w:rsid w:val="00013ACD"/>
    <w:rsid w:val="000208F4"/>
    <w:rsid w:val="00020AEF"/>
    <w:rsid w:val="000971D5"/>
    <w:rsid w:val="000B7A74"/>
    <w:rsid w:val="000C32BF"/>
    <w:rsid w:val="000E0494"/>
    <w:rsid w:val="001014EF"/>
    <w:rsid w:val="00192643"/>
    <w:rsid w:val="001A274A"/>
    <w:rsid w:val="001D6DA5"/>
    <w:rsid w:val="001F15FF"/>
    <w:rsid w:val="002234A6"/>
    <w:rsid w:val="00235941"/>
    <w:rsid w:val="0025292A"/>
    <w:rsid w:val="0026294A"/>
    <w:rsid w:val="002D5694"/>
    <w:rsid w:val="002F545E"/>
    <w:rsid w:val="00307F39"/>
    <w:rsid w:val="00321D63"/>
    <w:rsid w:val="00351819"/>
    <w:rsid w:val="00397138"/>
    <w:rsid w:val="003D2523"/>
    <w:rsid w:val="003E0252"/>
    <w:rsid w:val="003F3238"/>
    <w:rsid w:val="00426DAC"/>
    <w:rsid w:val="004417BF"/>
    <w:rsid w:val="00447609"/>
    <w:rsid w:val="00452EB5"/>
    <w:rsid w:val="004829C2"/>
    <w:rsid w:val="00486DC7"/>
    <w:rsid w:val="004B768A"/>
    <w:rsid w:val="004C7CBA"/>
    <w:rsid w:val="004F71C5"/>
    <w:rsid w:val="00511A49"/>
    <w:rsid w:val="0054380F"/>
    <w:rsid w:val="00554DC6"/>
    <w:rsid w:val="0056281C"/>
    <w:rsid w:val="005A40E7"/>
    <w:rsid w:val="005A62F9"/>
    <w:rsid w:val="005B78F3"/>
    <w:rsid w:val="005D63F1"/>
    <w:rsid w:val="00601A5B"/>
    <w:rsid w:val="00632C60"/>
    <w:rsid w:val="006351C3"/>
    <w:rsid w:val="0064620E"/>
    <w:rsid w:val="006579E2"/>
    <w:rsid w:val="00665822"/>
    <w:rsid w:val="006827BD"/>
    <w:rsid w:val="00685FE7"/>
    <w:rsid w:val="006B6C61"/>
    <w:rsid w:val="006E4050"/>
    <w:rsid w:val="00706AE0"/>
    <w:rsid w:val="007214EC"/>
    <w:rsid w:val="00746F48"/>
    <w:rsid w:val="007766B7"/>
    <w:rsid w:val="007858B9"/>
    <w:rsid w:val="0078710E"/>
    <w:rsid w:val="00797E57"/>
    <w:rsid w:val="007A09AF"/>
    <w:rsid w:val="007B6243"/>
    <w:rsid w:val="008246EE"/>
    <w:rsid w:val="00827ED5"/>
    <w:rsid w:val="0084348F"/>
    <w:rsid w:val="00847D2A"/>
    <w:rsid w:val="00865989"/>
    <w:rsid w:val="008B2705"/>
    <w:rsid w:val="008C43C2"/>
    <w:rsid w:val="008C5810"/>
    <w:rsid w:val="008D55FC"/>
    <w:rsid w:val="008D6F1F"/>
    <w:rsid w:val="008D6FBD"/>
    <w:rsid w:val="00963E3E"/>
    <w:rsid w:val="009B08A8"/>
    <w:rsid w:val="009C2CC1"/>
    <w:rsid w:val="00A11CE7"/>
    <w:rsid w:val="00A37952"/>
    <w:rsid w:val="00A44FB6"/>
    <w:rsid w:val="00AC4564"/>
    <w:rsid w:val="00AD2795"/>
    <w:rsid w:val="00AE3752"/>
    <w:rsid w:val="00B05832"/>
    <w:rsid w:val="00B10B39"/>
    <w:rsid w:val="00BC3C44"/>
    <w:rsid w:val="00BD1805"/>
    <w:rsid w:val="00BD45AC"/>
    <w:rsid w:val="00BF488E"/>
    <w:rsid w:val="00C224BA"/>
    <w:rsid w:val="00C2256B"/>
    <w:rsid w:val="00C271D4"/>
    <w:rsid w:val="00C6092E"/>
    <w:rsid w:val="00C62878"/>
    <w:rsid w:val="00C8545E"/>
    <w:rsid w:val="00CA5664"/>
    <w:rsid w:val="00CC60AD"/>
    <w:rsid w:val="00CD3646"/>
    <w:rsid w:val="00CF66E5"/>
    <w:rsid w:val="00D221AB"/>
    <w:rsid w:val="00D237B2"/>
    <w:rsid w:val="00D44B5A"/>
    <w:rsid w:val="00D65E8F"/>
    <w:rsid w:val="00D76D4D"/>
    <w:rsid w:val="00DB5AE7"/>
    <w:rsid w:val="00DC2235"/>
    <w:rsid w:val="00DF0816"/>
    <w:rsid w:val="00E0753F"/>
    <w:rsid w:val="00EB2B60"/>
    <w:rsid w:val="00EC7445"/>
    <w:rsid w:val="00EF3CA3"/>
    <w:rsid w:val="00EF4976"/>
    <w:rsid w:val="00EF7B84"/>
    <w:rsid w:val="00F1217D"/>
    <w:rsid w:val="00F17908"/>
    <w:rsid w:val="00F23DE7"/>
    <w:rsid w:val="00F2561B"/>
    <w:rsid w:val="00F50543"/>
    <w:rsid w:val="00F72DDF"/>
    <w:rsid w:val="00F73799"/>
    <w:rsid w:val="00FC7266"/>
    <w:rsid w:val="00FD3977"/>
    <w:rsid w:val="00FE1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45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292A"/>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5B78F3"/>
    <w:pPr>
      <w:ind w:left="720"/>
    </w:pPr>
  </w:style>
  <w:style w:type="paragraph" w:styleId="Header">
    <w:name w:val="header"/>
    <w:basedOn w:val="Normal"/>
    <w:link w:val="HeaderChar"/>
    <w:uiPriority w:val="99"/>
    <w:semiHidden/>
    <w:unhideWhenUsed/>
    <w:rsid w:val="007A09AF"/>
    <w:pPr>
      <w:tabs>
        <w:tab w:val="center" w:pos="4680"/>
        <w:tab w:val="right" w:pos="9360"/>
      </w:tabs>
    </w:pPr>
  </w:style>
  <w:style w:type="character" w:customStyle="1" w:styleId="HeaderChar">
    <w:name w:val="Header Char"/>
    <w:basedOn w:val="DefaultParagraphFont"/>
    <w:link w:val="Header"/>
    <w:uiPriority w:val="99"/>
    <w:semiHidden/>
    <w:rsid w:val="007A09AF"/>
    <w:rPr>
      <w:sz w:val="22"/>
      <w:szCs w:val="22"/>
    </w:rPr>
  </w:style>
  <w:style w:type="paragraph" w:styleId="Footer">
    <w:name w:val="footer"/>
    <w:basedOn w:val="Normal"/>
    <w:link w:val="FooterChar"/>
    <w:uiPriority w:val="99"/>
    <w:unhideWhenUsed/>
    <w:rsid w:val="007A09AF"/>
    <w:pPr>
      <w:tabs>
        <w:tab w:val="center" w:pos="4680"/>
        <w:tab w:val="right" w:pos="9360"/>
      </w:tabs>
    </w:pPr>
  </w:style>
  <w:style w:type="character" w:customStyle="1" w:styleId="FooterChar">
    <w:name w:val="Footer Char"/>
    <w:basedOn w:val="DefaultParagraphFont"/>
    <w:link w:val="Footer"/>
    <w:uiPriority w:val="99"/>
    <w:rsid w:val="007A09AF"/>
    <w:rPr>
      <w:sz w:val="22"/>
      <w:szCs w:val="22"/>
    </w:rPr>
  </w:style>
</w:styles>
</file>

<file path=word/webSettings.xml><?xml version="1.0" encoding="utf-8"?>
<w:webSettings xmlns:r="http://schemas.openxmlformats.org/officeDocument/2006/relationships" xmlns:w="http://schemas.openxmlformats.org/wordprocessingml/2006/main">
  <w:divs>
    <w:div w:id="9060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Casey Creamer</dc:creator>
  <cp:lastModifiedBy>Casey Creamer</cp:lastModifiedBy>
  <cp:revision>12</cp:revision>
  <cp:lastPrinted>2010-01-12T00:40:00Z</cp:lastPrinted>
  <dcterms:created xsi:type="dcterms:W3CDTF">2010-09-01T23:20:00Z</dcterms:created>
  <dcterms:modified xsi:type="dcterms:W3CDTF">2010-09-10T22:37:00Z</dcterms:modified>
</cp:coreProperties>
</file>