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6567" w:rsidRDefault="001535A6">
      <w:pPr>
        <w:sectPr w:rsidR="00F86567">
          <w:footerReference w:type="even" r:id="rId8"/>
          <w:pgSz w:w="12240" w:h="15840"/>
          <w:pgMar w:top="504" w:right="475" w:bottom="360" w:left="576" w:header="720" w:footer="720" w:gutter="0"/>
          <w:cols w:space="720"/>
          <w:docGrid w:linePitch="360"/>
        </w:sectPr>
      </w:pPr>
      <w:r w:rsidRPr="001535A6">
        <w:rPr>
          <w:noProof/>
          <w:sz w:val="20"/>
        </w:rPr>
        <w:pict>
          <v:shapetype id="_x0000_t202" coordsize="21600,21600" o:spt="202" path="m,l,21600r21600,l21600,xe">
            <v:stroke joinstyle="miter"/>
            <v:path gradientshapeok="t" o:connecttype="rect"/>
          </v:shapetype>
          <v:shape id="_x0000_s1026" type="#_x0000_t202" style="position:absolute;left:0;text-align:left;margin-left:27pt;margin-top:27pt;width:411.45pt;height:693pt;z-index:251657216" stroked="f">
            <v:textbox style="mso-next-textbox:#_x0000_s1026">
              <w:txbxContent>
                <w:p w:rsidR="00C41A7E" w:rsidRDefault="00C41A7E" w:rsidP="00CC327F">
                  <w:pPr>
                    <w:rPr>
                      <w:rFonts w:ascii="Times New Roman" w:hAnsi="Times New Roman"/>
                      <w:b/>
                      <w:bCs/>
                    </w:rPr>
                  </w:pPr>
                </w:p>
                <w:p w:rsidR="00C41A7E" w:rsidRDefault="00C41A7E" w:rsidP="00CC327F">
                  <w:pPr>
                    <w:rPr>
                      <w:rFonts w:ascii="Times New Roman" w:hAnsi="Times New Roman"/>
                      <w:bCs/>
                    </w:rPr>
                  </w:pPr>
                </w:p>
                <w:p w:rsidR="00C41A7E" w:rsidRDefault="00C41A7E" w:rsidP="00CC327F">
                  <w:pPr>
                    <w:rPr>
                      <w:rFonts w:ascii="Times New Roman" w:hAnsi="Times New Roman"/>
                      <w:bCs/>
                    </w:rPr>
                  </w:pPr>
                </w:p>
                <w:p w:rsidR="00C41A7E" w:rsidRPr="00B715F7" w:rsidRDefault="00C41A7E" w:rsidP="00CC327F">
                  <w:pPr>
                    <w:rPr>
                      <w:rFonts w:ascii="Times New Roman" w:hAnsi="Times New Roman"/>
                      <w:bCs/>
                    </w:rPr>
                  </w:pPr>
                  <w:r w:rsidRPr="00B715F7">
                    <w:rPr>
                      <w:rFonts w:ascii="Times New Roman" w:hAnsi="Times New Roman"/>
                      <w:bCs/>
                    </w:rPr>
                    <w:t>December 1</w:t>
                  </w:r>
                  <w:r>
                    <w:rPr>
                      <w:rFonts w:ascii="Times New Roman" w:hAnsi="Times New Roman"/>
                      <w:bCs/>
                    </w:rPr>
                    <w:t>4</w:t>
                  </w:r>
                  <w:r w:rsidRPr="00B715F7">
                    <w:rPr>
                      <w:rFonts w:ascii="Times New Roman" w:hAnsi="Times New Roman"/>
                      <w:bCs/>
                    </w:rPr>
                    <w:t>, 2010</w:t>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Pr>
                      <w:rFonts w:ascii="Times New Roman" w:hAnsi="Times New Roman"/>
                      <w:bCs/>
                    </w:rPr>
                    <w:tab/>
                  </w:r>
                  <w:r w:rsidRPr="001059F2">
                    <w:rPr>
                      <w:rFonts w:ascii="Times New Roman" w:hAnsi="Times New Roman"/>
                      <w:b/>
                      <w:bCs/>
                      <w:i/>
                    </w:rPr>
                    <w:t>Electronic Filing</w:t>
                  </w:r>
                </w:p>
                <w:p w:rsidR="00C41A7E" w:rsidRPr="00B715F7" w:rsidRDefault="00C41A7E" w:rsidP="00CC327F">
                  <w:pPr>
                    <w:rPr>
                      <w:rFonts w:ascii="Times New Roman" w:hAnsi="Times New Roman"/>
                      <w:bCs/>
                    </w:rPr>
                  </w:pPr>
                </w:p>
                <w:p w:rsidR="00C41A7E" w:rsidRPr="00B715F7" w:rsidRDefault="00C41A7E" w:rsidP="00CC327F">
                  <w:pPr>
                    <w:rPr>
                      <w:rFonts w:ascii="Times New Roman" w:hAnsi="Times New Roman"/>
                      <w:bCs/>
                    </w:rPr>
                  </w:pPr>
                </w:p>
                <w:p w:rsidR="00C41A7E" w:rsidRPr="00B715F7" w:rsidRDefault="00C41A7E" w:rsidP="00CC327F">
                  <w:pPr>
                    <w:rPr>
                      <w:rFonts w:ascii="Times New Roman" w:hAnsi="Times New Roman"/>
                      <w:bCs/>
                    </w:rPr>
                  </w:pPr>
                </w:p>
                <w:p w:rsidR="00C41A7E" w:rsidRDefault="00C41A7E" w:rsidP="00CC327F">
                  <w:pPr>
                    <w:rPr>
                      <w:rFonts w:ascii="Times New Roman" w:hAnsi="Times New Roman"/>
                      <w:bCs/>
                    </w:rPr>
                  </w:pPr>
                </w:p>
                <w:p w:rsidR="00C41A7E" w:rsidRPr="00B715F7" w:rsidRDefault="00C41A7E" w:rsidP="00CC327F">
                  <w:pPr>
                    <w:rPr>
                      <w:rFonts w:ascii="Times New Roman" w:hAnsi="Times New Roman"/>
                      <w:bCs/>
                    </w:rPr>
                  </w:pPr>
                  <w:r w:rsidRPr="00B715F7">
                    <w:rPr>
                      <w:rFonts w:ascii="Times New Roman" w:hAnsi="Times New Roman"/>
                      <w:bCs/>
                    </w:rPr>
                    <w:t>The Honorable Mary Nichols, Chair</w:t>
                  </w:r>
                  <w:r>
                    <w:rPr>
                      <w:rFonts w:ascii="Times New Roman" w:hAnsi="Times New Roman"/>
                      <w:bCs/>
                    </w:rPr>
                    <w:t>man</w:t>
                  </w:r>
                </w:p>
                <w:p w:rsidR="00C41A7E" w:rsidRPr="00B715F7" w:rsidRDefault="00C41A7E" w:rsidP="00CC327F">
                  <w:pPr>
                    <w:rPr>
                      <w:rFonts w:ascii="Times New Roman" w:hAnsi="Times New Roman"/>
                      <w:bCs/>
                    </w:rPr>
                  </w:pPr>
                  <w:r w:rsidRPr="00B715F7">
                    <w:rPr>
                      <w:rFonts w:ascii="Times New Roman" w:hAnsi="Times New Roman"/>
                      <w:bCs/>
                    </w:rPr>
                    <w:t>Mr. James Goldstene, Executive Officer</w:t>
                  </w:r>
                </w:p>
                <w:p w:rsidR="00C41A7E" w:rsidRPr="00B715F7" w:rsidRDefault="00C41A7E" w:rsidP="00CC327F">
                  <w:pPr>
                    <w:rPr>
                      <w:rFonts w:ascii="Times New Roman" w:hAnsi="Times New Roman"/>
                      <w:bCs/>
                    </w:rPr>
                  </w:pPr>
                  <w:r w:rsidRPr="00B715F7">
                    <w:rPr>
                      <w:rFonts w:ascii="Times New Roman" w:hAnsi="Times New Roman"/>
                      <w:bCs/>
                    </w:rPr>
                    <w:t>California Air Resources Board</w:t>
                  </w:r>
                </w:p>
                <w:p w:rsidR="00C41A7E" w:rsidRPr="00B715F7" w:rsidRDefault="00C41A7E" w:rsidP="00CC327F">
                  <w:pPr>
                    <w:rPr>
                      <w:rFonts w:ascii="Times New Roman" w:hAnsi="Times New Roman"/>
                      <w:bCs/>
                    </w:rPr>
                  </w:pPr>
                  <w:r w:rsidRPr="00B715F7">
                    <w:rPr>
                      <w:rFonts w:ascii="Times New Roman" w:hAnsi="Times New Roman"/>
                      <w:bCs/>
                    </w:rPr>
                    <w:t>1001 I Street</w:t>
                  </w:r>
                </w:p>
                <w:p w:rsidR="00C41A7E" w:rsidRPr="00B715F7" w:rsidRDefault="00C41A7E" w:rsidP="00CC327F">
                  <w:pPr>
                    <w:rPr>
                      <w:rFonts w:ascii="Times New Roman" w:hAnsi="Times New Roman"/>
                      <w:bCs/>
                    </w:rPr>
                  </w:pPr>
                  <w:r w:rsidRPr="00B715F7">
                    <w:rPr>
                      <w:rFonts w:ascii="Times New Roman" w:hAnsi="Times New Roman"/>
                      <w:bCs/>
                    </w:rPr>
                    <w:t>Sacramento, California 95812</w:t>
                  </w:r>
                </w:p>
                <w:p w:rsidR="00C41A7E" w:rsidRDefault="00C41A7E" w:rsidP="00CC327F">
                  <w:pPr>
                    <w:rPr>
                      <w:rFonts w:ascii="Times New Roman" w:hAnsi="Times New Roman"/>
                      <w:i/>
                      <w:iCs/>
                    </w:rPr>
                  </w:pPr>
                </w:p>
                <w:p w:rsidR="00C41A7E" w:rsidRPr="00B715F7" w:rsidRDefault="00C41A7E" w:rsidP="00CC327F">
                  <w:pPr>
                    <w:rPr>
                      <w:rFonts w:ascii="Times New Roman" w:hAnsi="Times New Roman"/>
                      <w:i/>
                      <w:iCs/>
                    </w:rPr>
                  </w:pPr>
                </w:p>
                <w:p w:rsidR="00C41A7E" w:rsidRPr="00B715F7" w:rsidRDefault="00C41A7E" w:rsidP="00CC327F">
                  <w:pPr>
                    <w:ind w:left="360"/>
                    <w:rPr>
                      <w:rFonts w:ascii="Times New Roman" w:hAnsi="Times New Roman"/>
                      <w:bCs/>
                      <w:u w:val="single"/>
                    </w:rPr>
                  </w:pPr>
                  <w:r w:rsidRPr="00B715F7">
                    <w:rPr>
                      <w:rFonts w:ascii="Times New Roman" w:hAnsi="Times New Roman"/>
                      <w:bCs/>
                      <w:u w:val="single"/>
                    </w:rPr>
                    <w:t xml:space="preserve">Comments of the State Water Contractors </w:t>
                  </w:r>
                  <w:r>
                    <w:rPr>
                      <w:rFonts w:ascii="Times New Roman" w:hAnsi="Times New Roman"/>
                      <w:bCs/>
                      <w:u w:val="single"/>
                    </w:rPr>
                    <w:t xml:space="preserve">(“SWC”) </w:t>
                  </w:r>
                  <w:r w:rsidRPr="00B715F7">
                    <w:rPr>
                      <w:rFonts w:ascii="Times New Roman" w:hAnsi="Times New Roman"/>
                      <w:bCs/>
                      <w:u w:val="single"/>
                    </w:rPr>
                    <w:t>on the California Air Resources Board’s (“ARB”) October 28, 2010 Proposed Regulation to Implement a California Cap-and-Trade Program</w:t>
                  </w:r>
                </w:p>
                <w:p w:rsidR="00C41A7E" w:rsidRPr="00B715F7" w:rsidRDefault="00C41A7E" w:rsidP="00CC327F">
                  <w:pPr>
                    <w:tabs>
                      <w:tab w:val="left" w:pos="6773"/>
                    </w:tabs>
                    <w:rPr>
                      <w:rFonts w:ascii="Times New Roman" w:hAnsi="Times New Roman"/>
                    </w:rPr>
                  </w:pPr>
                  <w:r>
                    <w:rPr>
                      <w:rFonts w:ascii="Times New Roman" w:hAnsi="Times New Roman"/>
                    </w:rPr>
                    <w:tab/>
                  </w:r>
                </w:p>
                <w:p w:rsidR="00C41A7E" w:rsidRPr="0098523D" w:rsidRDefault="00C41A7E" w:rsidP="0098523D">
                  <w:pPr>
                    <w:pStyle w:val="ListParagraph"/>
                    <w:widowControl w:val="0"/>
                    <w:numPr>
                      <w:ilvl w:val="0"/>
                      <w:numId w:val="8"/>
                    </w:numPr>
                    <w:overflowPunct w:val="0"/>
                    <w:adjustRightInd w:val="0"/>
                    <w:rPr>
                      <w:b/>
                      <w:bCs/>
                    </w:rPr>
                  </w:pPr>
                  <w:r w:rsidRPr="0098523D">
                    <w:rPr>
                      <w:b/>
                      <w:bCs/>
                      <w:u w:val="single"/>
                    </w:rPr>
                    <w:t>Introduction</w:t>
                  </w:r>
                </w:p>
                <w:p w:rsidR="00C41A7E" w:rsidRDefault="00C41A7E" w:rsidP="00CC327F">
                  <w:pPr>
                    <w:spacing w:before="240"/>
                    <w:ind w:firstLine="720"/>
                    <w:rPr>
                      <w:rFonts w:ascii="Times New Roman" w:hAnsi="Times New Roman"/>
                    </w:rPr>
                  </w:pPr>
                  <w:r w:rsidRPr="00B715F7">
                    <w:rPr>
                      <w:rFonts w:ascii="Times New Roman" w:hAnsi="Times New Roman"/>
                    </w:rPr>
                    <w:t>The SWC is a non-profit, mutual benefit corporation organized under the laws of the State of California, comprised of 27 public agencies</w:t>
                  </w:r>
                  <w:r w:rsidRPr="00B715F7">
                    <w:rPr>
                      <w:rStyle w:val="FootnoteReference"/>
                    </w:rPr>
                    <w:footnoteRef/>
                  </w:r>
                  <w:r w:rsidRPr="00B715F7">
                    <w:rPr>
                      <w:rFonts w:ascii="Times New Roman" w:hAnsi="Times New Roman"/>
                    </w:rPr>
                    <w:t xml:space="preserve"> holding contracts to purchase water delivered by the State Water Resources Development System, otherwise known as the State Water Project (“SWP”), which is owned and operated by the California Department of Water Resources (“DWR”). </w:t>
                  </w:r>
                  <w:r>
                    <w:rPr>
                      <w:rFonts w:ascii="Times New Roman" w:hAnsi="Times New Roman"/>
                    </w:rPr>
                    <w:t xml:space="preserve"> </w:t>
                  </w:r>
                  <w:r w:rsidRPr="00B715F7">
                    <w:rPr>
                      <w:rFonts w:ascii="Times New Roman" w:hAnsi="Times New Roman"/>
                    </w:rPr>
                    <w:t>SWC’s public agency members are the beneficial users of the SWP, provid</w:t>
                  </w:r>
                  <w:r>
                    <w:rPr>
                      <w:rFonts w:ascii="Times New Roman" w:hAnsi="Times New Roman"/>
                    </w:rPr>
                    <w:t>ing</w:t>
                  </w:r>
                  <w:r w:rsidRPr="00B715F7">
                    <w:rPr>
                      <w:rFonts w:ascii="Times New Roman" w:hAnsi="Times New Roman"/>
                    </w:rPr>
                    <w:t xml:space="preserve"> water for drinking, commercial, industrial, and agricultural purposes to a population of more than 20 million people and to over 750,000 acres of farmland throughout the San Francisco Bay</w:t>
                  </w:r>
                  <w:r>
                    <w:rPr>
                      <w:rFonts w:ascii="Times New Roman" w:hAnsi="Times New Roman"/>
                    </w:rPr>
                    <w:t xml:space="preserve"> </w:t>
                  </w:r>
                  <w:r w:rsidRPr="00B715F7">
                    <w:rPr>
                      <w:rFonts w:ascii="Times New Roman" w:hAnsi="Times New Roman"/>
                    </w:rPr>
                    <w:t>Area, the Central Valley of California, and Southern California. The primary purpose of the SWP is to store and deliver water to the SWP C</w:t>
                  </w:r>
                  <w:r>
                    <w:rPr>
                      <w:rFonts w:ascii="Times New Roman" w:hAnsi="Times New Roman"/>
                    </w:rPr>
                    <w:t>ontractors, who pay all of its</w:t>
                  </w:r>
                  <w:r w:rsidRPr="00B715F7">
                    <w:rPr>
                      <w:rFonts w:ascii="Times New Roman" w:hAnsi="Times New Roman"/>
                    </w:rPr>
                    <w:t xml:space="preserve"> costs. </w:t>
                  </w:r>
                  <w:r>
                    <w:rPr>
                      <w:rFonts w:ascii="Times New Roman" w:hAnsi="Times New Roman"/>
                    </w:rPr>
                    <w:t>Thus, t</w:t>
                  </w:r>
                  <w:r w:rsidRPr="00B715F7">
                    <w:rPr>
                      <w:rFonts w:ascii="Times New Roman" w:hAnsi="Times New Roman"/>
                    </w:rPr>
                    <w:t>he SWC has a vested interest in the ongoing development of regulations for implementing AB 32.  By imposing significant costs on the importation of electric energy, the final regulations will dramatically affect the costs of SWP’s delivery of water throughout the state and the rates imposed on end-use water customers. Delivery of this water is vital to the health, welfare, and productivity of the State of California.</w:t>
                  </w:r>
                </w:p>
                <w:p w:rsidR="00C41A7E" w:rsidRDefault="00C41A7E" w:rsidP="00CC327F"/>
                <w:p w:rsidR="00C41A7E" w:rsidRDefault="00C41A7E" w:rsidP="00CC327F"/>
                <w:p w:rsidR="00C41A7E" w:rsidRDefault="00C41A7E" w:rsidP="00CC327F"/>
                <w:p w:rsidR="00C41A7E" w:rsidRPr="00CC327F" w:rsidRDefault="00C41A7E" w:rsidP="00CC327F">
                  <w:pPr>
                    <w:spacing w:after="120"/>
                    <w:rPr>
                      <w:u w:val="single"/>
                    </w:rPr>
                  </w:pPr>
                  <w:r>
                    <w:rPr>
                      <w:u w:val="single"/>
                    </w:rPr>
                    <w:t>________________</w:t>
                  </w:r>
                </w:p>
                <w:p w:rsidR="00C41A7E" w:rsidRPr="00CC327F" w:rsidRDefault="00C41A7E" w:rsidP="00CC327F">
                  <w:r w:rsidRPr="00CC327F">
                    <w:rPr>
                      <w:rStyle w:val="FootnoteReference"/>
                      <w:sz w:val="16"/>
                      <w:szCs w:val="16"/>
                    </w:rPr>
                    <w:footnoteRef/>
                  </w:r>
                  <w:r w:rsidRPr="00CC327F">
                    <w:rPr>
                      <w:rFonts w:ascii="Times New Roman" w:hAnsi="Times New Roman"/>
                      <w:sz w:val="16"/>
                      <w:szCs w:val="16"/>
                    </w:rPr>
                    <w:t>The SWC members are: Alameda County Flood Control &amp; Water Conservation District, Zone 7; Alameda County Water District; Antelope Valley-East Kern Water Agency; Casitas Municipal Water District on behalf of the Ventura County Flood Control District; Castaic Lake Water Agency; Central Coast Water Authority on behalf of the Santa Barbara County Flood Control &amp; Water Conservation District; City of Yuba City; Coachella Valley Water District; County of Kings; Crestline-Lake Arrowhead Water Agency; Desert Water Agency; Dudley Ridge Water District; Empire-West Side Irrigation District; Kern County Water Agency; Littlerock Creek Irrigation District; The Metropolitan Water District of Southern California; Mojave Water Agency; Napa County Flood Control &amp; Water Conservation District; Oak Flat Water District; Palmdale Water District; San Bernardino Valley Municipal Water District; San Gabriel Valley Municipal Water District; San Gorgonio Pass Water Agency; San Luis Obispo Co. Flood Control &amp; Water Conservation District; Santa Clara Valley Water District; Solano County Water Agency; and Tulare Lake Basin Water Storage District.</w:t>
                  </w:r>
                </w:p>
              </w:txbxContent>
            </v:textbox>
          </v:shape>
        </w:pict>
      </w:r>
      <w:r w:rsidRPr="001535A6">
        <w:rPr>
          <w:noProof/>
          <w:sz w:val="20"/>
        </w:rPr>
        <w:pict>
          <v:shape id="_x0000_s1027" type="#_x0000_t202" style="position:absolute;left:0;text-align:left;margin-left:450pt;margin-top:135pt;width:108pt;height:342pt;z-index:251658240" strokecolor="white">
            <v:textbox style="mso-next-textbox:#_x0000_s1027">
              <w:txbxContent>
                <w:p w:rsidR="00C41A7E" w:rsidRDefault="00C41A7E" w:rsidP="00076B75">
                  <w:pPr>
                    <w:pStyle w:val="Heading2"/>
                    <w:jc w:val="center"/>
                    <w:rPr>
                      <w:sz w:val="15"/>
                    </w:rPr>
                  </w:pPr>
                  <w:r>
                    <w:rPr>
                      <w:sz w:val="15"/>
                    </w:rPr>
                    <w:t>DIRECTORS</w:t>
                  </w:r>
                </w:p>
                <w:p w:rsidR="00C41A7E" w:rsidRDefault="00C41A7E" w:rsidP="00076B75">
                  <w:pPr>
                    <w:rPr>
                      <w:sz w:val="10"/>
                    </w:rPr>
                  </w:pP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b/>
                      <w:bCs/>
                      <w:sz w:val="14"/>
                    </w:rPr>
                  </w:pPr>
                  <w:r>
                    <w:rPr>
                      <w:rFonts w:ascii="Univers 57 Condensed" w:hAnsi="Univers 57 Condensed"/>
                      <w:b/>
                      <w:bCs/>
                      <w:sz w:val="14"/>
                    </w:rPr>
                    <w:t>Stephen Arakawa</w:t>
                  </w:r>
                </w:p>
                <w:p w:rsidR="00C41A7E" w:rsidRDefault="00C41A7E" w:rsidP="00076B75">
                  <w:pPr>
                    <w:jc w:val="center"/>
                    <w:rPr>
                      <w:rFonts w:ascii="Univers 57 Condensed" w:hAnsi="Univers 57 Condensed"/>
                      <w:b/>
                      <w:bCs/>
                      <w:sz w:val="14"/>
                    </w:rPr>
                  </w:pPr>
                  <w:r>
                    <w:rPr>
                      <w:rFonts w:ascii="Univers 57 Condensed" w:hAnsi="Univers 57 Condensed"/>
                      <w:b/>
                      <w:bCs/>
                      <w:sz w:val="14"/>
                    </w:rPr>
                    <w:t>President</w:t>
                  </w:r>
                </w:p>
                <w:p w:rsidR="00C41A7E" w:rsidRDefault="00C41A7E" w:rsidP="00076B75">
                  <w:pPr>
                    <w:jc w:val="center"/>
                    <w:rPr>
                      <w:rFonts w:ascii="Univers 57 Condensed" w:hAnsi="Univers 57 Condensed"/>
                      <w:sz w:val="14"/>
                    </w:rPr>
                  </w:pPr>
                  <w:r>
                    <w:rPr>
                      <w:rFonts w:ascii="Univers 57 Condensed" w:hAnsi="Univers 57 Condensed"/>
                      <w:sz w:val="14"/>
                    </w:rPr>
                    <w:t>Metropolitan Water District</w:t>
                  </w:r>
                </w:p>
                <w:p w:rsidR="00C41A7E" w:rsidRDefault="00C41A7E" w:rsidP="00076B75">
                  <w:pPr>
                    <w:jc w:val="center"/>
                    <w:rPr>
                      <w:rFonts w:ascii="Univers 57 Condensed" w:hAnsi="Univers 57 Condensed"/>
                      <w:sz w:val="14"/>
                    </w:rPr>
                  </w:pPr>
                  <w:proofErr w:type="gramStart"/>
                  <w:r>
                    <w:rPr>
                      <w:rFonts w:ascii="Univers 57 Condensed" w:hAnsi="Univers 57 Condensed"/>
                      <w:sz w:val="14"/>
                    </w:rPr>
                    <w:t>of</w:t>
                  </w:r>
                  <w:proofErr w:type="gramEnd"/>
                  <w:r>
                    <w:rPr>
                      <w:rFonts w:ascii="Univers 57 Condensed" w:hAnsi="Univers 57 Condensed"/>
                      <w:sz w:val="14"/>
                    </w:rPr>
                    <w:t xml:space="preserve"> </w:t>
                  </w:r>
                  <w:smartTag w:uri="urn:schemas-microsoft-com:office:smarttags" w:element="place">
                    <w:r>
                      <w:rPr>
                        <w:rFonts w:ascii="Univers 57 Condensed" w:hAnsi="Univers 57 Condensed"/>
                        <w:sz w:val="14"/>
                      </w:rPr>
                      <w:t>Southern California</w:t>
                    </w:r>
                  </w:smartTag>
                </w:p>
                <w:p w:rsidR="00C41A7E" w:rsidRDefault="00C41A7E" w:rsidP="00076B75">
                  <w:pPr>
                    <w:jc w:val="center"/>
                    <w:rPr>
                      <w:rFonts w:ascii="Univers 57 Condensed" w:hAnsi="Univers 57 Condensed"/>
                      <w:sz w:val="10"/>
                    </w:rPr>
                  </w:pPr>
                </w:p>
                <w:p w:rsidR="00C41A7E" w:rsidRDefault="00C41A7E" w:rsidP="00076B75">
                  <w:pPr>
                    <w:pStyle w:val="Heading3"/>
                  </w:pPr>
                  <w:r>
                    <w:t>Curtis Creel</w:t>
                  </w:r>
                </w:p>
                <w:p w:rsidR="00C41A7E" w:rsidRPr="00744B21" w:rsidRDefault="00C41A7E" w:rsidP="00076B75">
                  <w:pPr>
                    <w:jc w:val="center"/>
                  </w:pPr>
                  <w:r>
                    <w:rPr>
                      <w:rFonts w:ascii="Univers 57 Condensed" w:hAnsi="Univers 57 Condensed"/>
                      <w:b/>
                      <w:bCs/>
                      <w:sz w:val="14"/>
                    </w:rPr>
                    <w:t>Vice President</w:t>
                  </w:r>
                </w:p>
                <w:p w:rsidR="00C41A7E" w:rsidRDefault="00C41A7E" w:rsidP="00076B75">
                  <w:pPr>
                    <w:jc w:val="center"/>
                    <w:rPr>
                      <w:rFonts w:ascii="Univers 57 Condensed" w:hAnsi="Univers 57 Condensed"/>
                      <w:sz w:val="14"/>
                    </w:rPr>
                  </w:pPr>
                  <w:r>
                    <w:rPr>
                      <w:rFonts w:ascii="Univers 57 Condensed" w:hAnsi="Univers 57 Condensed"/>
                      <w:sz w:val="14"/>
                    </w:rPr>
                    <w:t>Kern County Water Agency</w:t>
                  </w:r>
                </w:p>
                <w:p w:rsidR="00C41A7E" w:rsidRDefault="00C41A7E" w:rsidP="00076B75">
                  <w:pPr>
                    <w:jc w:val="center"/>
                    <w:rPr>
                      <w:rFonts w:ascii="Univers 57 Condensed" w:hAnsi="Univers 57 Condensed"/>
                      <w:sz w:val="10"/>
                    </w:rPr>
                  </w:pPr>
                </w:p>
                <w:p w:rsidR="00C41A7E" w:rsidRDefault="00C41A7E" w:rsidP="00076B75">
                  <w:pPr>
                    <w:pStyle w:val="Heading3"/>
                  </w:pPr>
                  <w:r>
                    <w:t>Joan Maher</w:t>
                  </w:r>
                </w:p>
                <w:p w:rsidR="00C41A7E" w:rsidRDefault="00C41A7E" w:rsidP="00076B75">
                  <w:pPr>
                    <w:jc w:val="center"/>
                    <w:rPr>
                      <w:rFonts w:ascii="Univers 57 Condensed" w:hAnsi="Univers 57 Condensed"/>
                      <w:sz w:val="14"/>
                    </w:rPr>
                  </w:pPr>
                  <w:r>
                    <w:rPr>
                      <w:rFonts w:ascii="Univers 57 Condensed" w:hAnsi="Univers 57 Condensed"/>
                      <w:b/>
                      <w:bCs/>
                      <w:sz w:val="14"/>
                    </w:rPr>
                    <w:t>Secretary-Treasurer</w:t>
                  </w:r>
                </w:p>
                <w:p w:rsidR="00C41A7E" w:rsidRDefault="00C41A7E" w:rsidP="00076B75">
                  <w:pPr>
                    <w:jc w:val="center"/>
                    <w:rPr>
                      <w:rFonts w:ascii="Univers 57 Condensed" w:hAnsi="Univers 57 Condensed"/>
                      <w:sz w:val="10"/>
                    </w:rPr>
                  </w:pPr>
                  <w:r>
                    <w:rPr>
                      <w:rFonts w:ascii="Univers 57 Condensed" w:hAnsi="Univers 57 Condensed"/>
                      <w:sz w:val="14"/>
                    </w:rPr>
                    <w:t>Santa Clara Valley Water District</w:t>
                  </w:r>
                </w:p>
                <w:p w:rsidR="00C41A7E" w:rsidRDefault="00C41A7E" w:rsidP="00076B75">
                  <w:pPr>
                    <w:jc w:val="center"/>
                    <w:rPr>
                      <w:rFonts w:ascii="Univers 57 Condensed" w:hAnsi="Univers 57 Condensed"/>
                      <w:sz w:val="10"/>
                    </w:rPr>
                  </w:pPr>
                </w:p>
                <w:p w:rsidR="00C41A7E" w:rsidRDefault="00C41A7E" w:rsidP="00076B75">
                  <w:pPr>
                    <w:pStyle w:val="Heading3"/>
                  </w:pPr>
                  <w:r>
                    <w:t>Russell Fuller</w:t>
                  </w:r>
                </w:p>
                <w:p w:rsidR="00C41A7E" w:rsidRDefault="00C41A7E" w:rsidP="00076B75">
                  <w:pPr>
                    <w:jc w:val="center"/>
                    <w:rPr>
                      <w:rFonts w:ascii="Univers 57 Condensed" w:hAnsi="Univers 57 Condensed"/>
                      <w:sz w:val="14"/>
                    </w:rPr>
                  </w:pPr>
                  <w:r>
                    <w:rPr>
                      <w:rFonts w:ascii="Univers 57 Condensed" w:hAnsi="Univers 57 Condensed"/>
                      <w:sz w:val="14"/>
                    </w:rPr>
                    <w:t>Antelope Valley-East Kern</w:t>
                  </w:r>
                </w:p>
                <w:p w:rsidR="00C41A7E" w:rsidRDefault="00C41A7E" w:rsidP="00076B75">
                  <w:pPr>
                    <w:jc w:val="center"/>
                    <w:rPr>
                      <w:rFonts w:ascii="Univers 57 Condensed" w:hAnsi="Univers 57 Condensed"/>
                      <w:sz w:val="14"/>
                    </w:rPr>
                  </w:pPr>
                  <w:r>
                    <w:rPr>
                      <w:rFonts w:ascii="Univers 57 Condensed" w:hAnsi="Univers 57 Condensed"/>
                      <w:sz w:val="14"/>
                    </w:rPr>
                    <w:t>Water Agency</w:t>
                  </w: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b/>
                      <w:bCs/>
                      <w:sz w:val="14"/>
                    </w:rPr>
                  </w:pPr>
                  <w:r>
                    <w:rPr>
                      <w:rFonts w:ascii="Univers 57 Condensed" w:hAnsi="Univers 57 Condensed"/>
                      <w:b/>
                      <w:bCs/>
                      <w:sz w:val="14"/>
                    </w:rPr>
                    <w:t>Thomas Hurlbutt</w:t>
                  </w:r>
                </w:p>
                <w:p w:rsidR="00C41A7E" w:rsidRDefault="00C41A7E" w:rsidP="00076B75">
                  <w:pPr>
                    <w:jc w:val="center"/>
                    <w:rPr>
                      <w:rFonts w:ascii="Univers 57 Condensed" w:hAnsi="Univers 57 Condensed"/>
                      <w:sz w:val="14"/>
                    </w:rPr>
                  </w:pPr>
                  <w:r>
                    <w:rPr>
                      <w:rFonts w:ascii="Univers 57 Condensed" w:hAnsi="Univers 57 Condensed"/>
                      <w:sz w:val="14"/>
                    </w:rPr>
                    <w:t>Tulare Lake Basin Water</w:t>
                  </w:r>
                </w:p>
                <w:p w:rsidR="00C41A7E" w:rsidRDefault="00C41A7E" w:rsidP="00076B75">
                  <w:pPr>
                    <w:jc w:val="center"/>
                    <w:rPr>
                      <w:rFonts w:ascii="Univers 57 Condensed" w:hAnsi="Univers 57 Condensed"/>
                      <w:sz w:val="10"/>
                    </w:rPr>
                  </w:pPr>
                  <w:r>
                    <w:rPr>
                      <w:rFonts w:ascii="Univers 57 Condensed" w:hAnsi="Univers 57 Condensed"/>
                      <w:sz w:val="14"/>
                    </w:rPr>
                    <w:t>Storage District</w:t>
                  </w: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b/>
                      <w:bCs/>
                      <w:sz w:val="14"/>
                    </w:rPr>
                  </w:pPr>
                  <w:r>
                    <w:rPr>
                      <w:rFonts w:ascii="Univers 57 Condensed" w:hAnsi="Univers 57 Condensed"/>
                      <w:b/>
                      <w:bCs/>
                      <w:sz w:val="14"/>
                    </w:rPr>
                    <w:t>Dan Masnada</w:t>
                  </w:r>
                </w:p>
                <w:p w:rsidR="00C41A7E" w:rsidRDefault="00C41A7E" w:rsidP="00076B75">
                  <w:pPr>
                    <w:jc w:val="center"/>
                    <w:rPr>
                      <w:rFonts w:ascii="Univers 57 Condensed" w:hAnsi="Univers 57 Condensed"/>
                      <w:sz w:val="14"/>
                    </w:rPr>
                  </w:pPr>
                  <w:r>
                    <w:rPr>
                      <w:rFonts w:ascii="Univers 57 Condensed" w:hAnsi="Univers 57 Condensed"/>
                      <w:sz w:val="14"/>
                    </w:rPr>
                    <w:t>Castaic Lake Water Agency</w:t>
                  </w:r>
                </w:p>
                <w:p w:rsidR="00C41A7E" w:rsidRDefault="00C41A7E" w:rsidP="00076B75">
                  <w:pPr>
                    <w:jc w:val="center"/>
                    <w:rPr>
                      <w:rFonts w:ascii="Univers 57 Condensed" w:hAnsi="Univers 57 Condensed"/>
                      <w:sz w:val="10"/>
                    </w:rPr>
                  </w:pPr>
                </w:p>
                <w:p w:rsidR="00C41A7E" w:rsidRDefault="00C41A7E" w:rsidP="00076B75">
                  <w:pPr>
                    <w:pStyle w:val="Heading3"/>
                  </w:pPr>
                  <w:r>
                    <w:t>David Okita</w:t>
                  </w:r>
                </w:p>
                <w:p w:rsidR="00C41A7E" w:rsidRDefault="00C41A7E" w:rsidP="00076B75">
                  <w:pPr>
                    <w:jc w:val="center"/>
                    <w:rPr>
                      <w:rFonts w:ascii="Univers 57 Condensed" w:hAnsi="Univers 57 Condensed"/>
                      <w:sz w:val="14"/>
                    </w:rPr>
                  </w:pPr>
                  <w:r>
                    <w:rPr>
                      <w:rFonts w:ascii="Univers 57 Condensed" w:hAnsi="Univers 57 Condensed"/>
                      <w:sz w:val="14"/>
                    </w:rPr>
                    <w:t>Solano County Water Agency</w:t>
                  </w: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b/>
                      <w:bCs/>
                      <w:sz w:val="14"/>
                    </w:rPr>
                  </w:pPr>
                  <w:r>
                    <w:rPr>
                      <w:rFonts w:ascii="Univers 57 Condensed" w:hAnsi="Univers 57 Condensed"/>
                      <w:b/>
                      <w:bCs/>
                      <w:sz w:val="14"/>
                    </w:rPr>
                    <w:t>Steven Robbins</w:t>
                  </w:r>
                </w:p>
                <w:p w:rsidR="00C41A7E" w:rsidRDefault="00C41A7E" w:rsidP="00076B75">
                  <w:pPr>
                    <w:jc w:val="center"/>
                    <w:rPr>
                      <w:rFonts w:ascii="Univers 57 Condensed" w:hAnsi="Univers 57 Condensed"/>
                      <w:sz w:val="14"/>
                    </w:rPr>
                  </w:pPr>
                  <w:r>
                    <w:rPr>
                      <w:rFonts w:ascii="Univers 57 Condensed" w:hAnsi="Univers 57 Condensed"/>
                      <w:sz w:val="14"/>
                    </w:rPr>
                    <w:t>Coachella Valley Water District</w:t>
                  </w:r>
                </w:p>
                <w:p w:rsidR="00C41A7E" w:rsidRDefault="00C41A7E" w:rsidP="00076B75">
                  <w:pPr>
                    <w:jc w:val="center"/>
                    <w:rPr>
                      <w:rFonts w:ascii="Univers 57 Condensed" w:hAnsi="Univers 57 Condensed"/>
                      <w:sz w:val="10"/>
                    </w:rPr>
                  </w:pPr>
                </w:p>
                <w:p w:rsidR="00C41A7E" w:rsidRDefault="00C41A7E" w:rsidP="00076B75">
                  <w:pPr>
                    <w:pStyle w:val="Heading3"/>
                  </w:pPr>
                  <w:r>
                    <w:t>Ray Stokes</w:t>
                  </w:r>
                </w:p>
                <w:p w:rsidR="00C41A7E" w:rsidRDefault="00C41A7E" w:rsidP="00076B75">
                  <w:pPr>
                    <w:jc w:val="center"/>
                    <w:rPr>
                      <w:rFonts w:ascii="Univers 57 Condensed" w:hAnsi="Univers 57 Condensed"/>
                      <w:sz w:val="14"/>
                    </w:rPr>
                  </w:pPr>
                  <w:smartTag w:uri="urn:schemas-microsoft-com:office:smarttags" w:element="place">
                    <w:smartTag w:uri="urn:schemas-microsoft-com:office:smarttags" w:element="PlaceName">
                      <w:r>
                        <w:rPr>
                          <w:rFonts w:ascii="Univers 57 Condensed" w:hAnsi="Univers 57 Condensed"/>
                          <w:sz w:val="14"/>
                        </w:rPr>
                        <w:t>Central</w:t>
                      </w:r>
                    </w:smartTag>
                    <w:r>
                      <w:rPr>
                        <w:rFonts w:ascii="Univers 57 Condensed" w:hAnsi="Univers 57 Condensed"/>
                        <w:sz w:val="14"/>
                      </w:rPr>
                      <w:t xml:space="preserve"> </w:t>
                    </w:r>
                    <w:smartTag w:uri="urn:schemas-microsoft-com:office:smarttags" w:element="PlaceType">
                      <w:r>
                        <w:rPr>
                          <w:rFonts w:ascii="Univers 57 Condensed" w:hAnsi="Univers 57 Condensed"/>
                          <w:sz w:val="14"/>
                        </w:rPr>
                        <w:t>Coast</w:t>
                      </w:r>
                    </w:smartTag>
                  </w:smartTag>
                  <w:r>
                    <w:rPr>
                      <w:rFonts w:ascii="Univers 57 Condensed" w:hAnsi="Univers 57 Condensed"/>
                      <w:sz w:val="14"/>
                    </w:rPr>
                    <w:t xml:space="preserve"> Water Authority</w:t>
                  </w: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sz w:val="10"/>
                    </w:rPr>
                  </w:pPr>
                </w:p>
                <w:p w:rsidR="00C41A7E" w:rsidRDefault="00C41A7E" w:rsidP="00076B75">
                  <w:pPr>
                    <w:jc w:val="center"/>
                    <w:rPr>
                      <w:rFonts w:ascii="Univers 57 Condensed" w:hAnsi="Univers 57 Condensed"/>
                      <w:sz w:val="10"/>
                    </w:rPr>
                  </w:pPr>
                </w:p>
                <w:p w:rsidR="00C41A7E" w:rsidRDefault="00C41A7E" w:rsidP="00076B75">
                  <w:pPr>
                    <w:pStyle w:val="Heading3"/>
                  </w:pPr>
                  <w:r>
                    <w:t>General Manager</w:t>
                  </w:r>
                </w:p>
                <w:p w:rsidR="00C41A7E" w:rsidRPr="00076B75" w:rsidRDefault="00C41A7E" w:rsidP="00076B75">
                  <w:pPr>
                    <w:jc w:val="center"/>
                    <w:rPr>
                      <w:rFonts w:ascii="Univers 57 Condensed" w:hAnsi="Univers 57 Condensed"/>
                      <w:sz w:val="14"/>
                    </w:rPr>
                  </w:pPr>
                  <w:r>
                    <w:rPr>
                      <w:rFonts w:ascii="Univers 57 Condensed" w:hAnsi="Univers 57 Condensed"/>
                      <w:sz w:val="14"/>
                    </w:rPr>
                    <w:t>Terry Erlewine</w:t>
                  </w:r>
                </w:p>
              </w:txbxContent>
            </v:textbox>
          </v:shape>
        </w:pict>
      </w:r>
      <w:r w:rsidR="00635C09">
        <w:rPr>
          <w:noProof/>
        </w:rPr>
        <w:drawing>
          <wp:inline distT="0" distB="0" distL="0" distR="0">
            <wp:extent cx="7324725" cy="9620250"/>
            <wp:effectExtent l="19050" t="0" r="9525" b="0"/>
            <wp:docPr id="1" name="Picture 1" descr="SWC Stationary 2008 Temp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WC Stationary 2008 Template"/>
                    <pic:cNvPicPr>
                      <a:picLocks noChangeAspect="1" noChangeArrowheads="1"/>
                    </pic:cNvPicPr>
                  </pic:nvPicPr>
                  <pic:blipFill>
                    <a:blip r:embed="rId9" cstate="print"/>
                    <a:srcRect/>
                    <a:stretch>
                      <a:fillRect/>
                    </a:stretch>
                  </pic:blipFill>
                  <pic:spPr bwMode="auto">
                    <a:xfrm>
                      <a:off x="0" y="0"/>
                      <a:ext cx="7324725" cy="9620250"/>
                    </a:xfrm>
                    <a:prstGeom prst="rect">
                      <a:avLst/>
                    </a:prstGeom>
                    <a:noFill/>
                    <a:ln w="9525">
                      <a:noFill/>
                      <a:miter lim="800000"/>
                      <a:headEnd/>
                      <a:tailEnd/>
                    </a:ln>
                  </pic:spPr>
                </pic:pic>
              </a:graphicData>
            </a:graphic>
          </wp:inline>
        </w:drawing>
      </w:r>
    </w:p>
    <w:p w:rsidR="0069060F" w:rsidRDefault="0069060F" w:rsidP="00CC327F">
      <w:pPr>
        <w:rPr>
          <w:rFonts w:ascii="Times New Roman" w:hAnsi="Times New Roman"/>
          <w:b/>
          <w:bCs/>
          <w:u w:val="single"/>
        </w:rPr>
      </w:pPr>
    </w:p>
    <w:p w:rsidR="00CC327F" w:rsidRPr="00B715F7" w:rsidRDefault="00CC327F" w:rsidP="00CC327F">
      <w:pPr>
        <w:rPr>
          <w:rFonts w:ascii="Times New Roman" w:hAnsi="Times New Roman"/>
          <w:b/>
          <w:bCs/>
        </w:rPr>
      </w:pPr>
      <w:r w:rsidRPr="00B715F7">
        <w:rPr>
          <w:rFonts w:ascii="Times New Roman" w:hAnsi="Times New Roman"/>
          <w:b/>
          <w:bCs/>
          <w:u w:val="single"/>
        </w:rPr>
        <w:t>Summary of the SWC’s Recommendation</w:t>
      </w:r>
    </w:p>
    <w:p w:rsidR="00CC327F" w:rsidRPr="00B715F7" w:rsidRDefault="00CC327F" w:rsidP="00CC327F">
      <w:pPr>
        <w:suppressAutoHyphens/>
        <w:ind w:left="720" w:right="720"/>
        <w:rPr>
          <w:rFonts w:ascii="Times New Roman" w:hAnsi="Times New Roman"/>
          <w:b/>
          <w:bCs/>
        </w:rPr>
      </w:pPr>
    </w:p>
    <w:p w:rsidR="00CC327F" w:rsidRPr="00B715F7" w:rsidRDefault="00CC327F" w:rsidP="00CC327F">
      <w:pPr>
        <w:suppressAutoHyphens/>
        <w:ind w:firstLine="720"/>
        <w:rPr>
          <w:rFonts w:ascii="Times New Roman" w:hAnsi="Times New Roman"/>
          <w:b/>
          <w:bCs/>
        </w:rPr>
      </w:pPr>
      <w:r w:rsidRPr="00B715F7">
        <w:rPr>
          <w:rFonts w:ascii="Times New Roman" w:hAnsi="Times New Roman"/>
          <w:bCs/>
        </w:rPr>
        <w:t xml:space="preserve">To the extent that </w:t>
      </w:r>
      <w:r w:rsidRPr="00B715F7">
        <w:rPr>
          <w:rFonts w:ascii="Times New Roman" w:hAnsi="Times New Roman"/>
          <w:color w:val="221E1F"/>
        </w:rPr>
        <w:t xml:space="preserve">DWR is required to participate in the cap-and-trade program, </w:t>
      </w:r>
      <w:r w:rsidR="00C41A7E">
        <w:rPr>
          <w:rFonts w:ascii="Times New Roman" w:hAnsi="Times New Roman"/>
          <w:color w:val="221E1F"/>
        </w:rPr>
        <w:t>it</w:t>
      </w:r>
      <w:r w:rsidRPr="00B715F7">
        <w:rPr>
          <w:rFonts w:ascii="Times New Roman" w:hAnsi="Times New Roman"/>
          <w:color w:val="221E1F"/>
        </w:rPr>
        <w:t xml:space="preserve"> should receive a direct allocation of allowances according to the same formula used for Electric Distribution Utilities (“EDU</w:t>
      </w:r>
      <w:r>
        <w:rPr>
          <w:rFonts w:ascii="Times New Roman" w:hAnsi="Times New Roman"/>
          <w:color w:val="221E1F"/>
        </w:rPr>
        <w:t>s</w:t>
      </w:r>
      <w:r w:rsidRPr="00B715F7">
        <w:rPr>
          <w:rFonts w:ascii="Times New Roman" w:hAnsi="Times New Roman"/>
          <w:color w:val="221E1F"/>
        </w:rPr>
        <w:t>”).  Since DWR, like the publicly-owned EDUs, is a publicly-owned utility providing an essential public service, there is no rational basis for treating it differently from EDUs with respect to allowance allocations.  If DWR does not receive free allowances under the program for the benefit of end-use water customers, it should not be considered a “Covered Entity.”</w:t>
      </w:r>
    </w:p>
    <w:p w:rsidR="00CC327F" w:rsidRPr="00B715F7" w:rsidRDefault="00CC327F" w:rsidP="00CC327F">
      <w:pPr>
        <w:widowControl w:val="0"/>
        <w:numPr>
          <w:ilvl w:val="0"/>
          <w:numId w:val="6"/>
        </w:numPr>
        <w:tabs>
          <w:tab w:val="left" w:pos="1260"/>
        </w:tabs>
        <w:overflowPunct w:val="0"/>
        <w:adjustRightInd w:val="0"/>
        <w:spacing w:before="240"/>
        <w:rPr>
          <w:rFonts w:ascii="Times New Roman" w:hAnsi="Times New Roman"/>
          <w:b/>
          <w:bCs/>
        </w:rPr>
      </w:pPr>
      <w:r w:rsidRPr="00B715F7">
        <w:rPr>
          <w:rFonts w:ascii="Times New Roman" w:hAnsi="Times New Roman"/>
          <w:b/>
          <w:bCs/>
          <w:u w:val="single"/>
        </w:rPr>
        <w:t>Comments on Relevant Components of the Proposed Cap-and-Trade Program</w:t>
      </w:r>
    </w:p>
    <w:p w:rsidR="00CC327F" w:rsidRPr="00B715F7" w:rsidRDefault="00CC327F" w:rsidP="00CC327F">
      <w:pPr>
        <w:suppressAutoHyphens/>
        <w:ind w:left="720" w:right="720"/>
        <w:rPr>
          <w:rFonts w:ascii="Times New Roman" w:hAnsi="Times New Roman"/>
          <w:b/>
          <w:bCs/>
        </w:rPr>
      </w:pPr>
    </w:p>
    <w:p w:rsidR="00CC327F" w:rsidRPr="00AF4B29" w:rsidRDefault="00CC327F" w:rsidP="00AF4B29">
      <w:pPr>
        <w:widowControl w:val="0"/>
        <w:numPr>
          <w:ilvl w:val="1"/>
          <w:numId w:val="7"/>
        </w:numPr>
        <w:overflowPunct w:val="0"/>
        <w:adjustRightInd w:val="0"/>
        <w:spacing w:before="120"/>
        <w:ind w:left="360"/>
        <w:rPr>
          <w:rFonts w:ascii="Times New Roman" w:hAnsi="Times New Roman"/>
          <w:b/>
        </w:rPr>
      </w:pPr>
      <w:r w:rsidRPr="00AF4B29">
        <w:rPr>
          <w:rFonts w:ascii="Times New Roman" w:hAnsi="Times New Roman"/>
        </w:rPr>
        <w:t>As defined in the Proposed Regulation, DWR is a First deliverer of electricity because it is expressly deemed an Electricity importer.</w:t>
      </w:r>
      <w:r w:rsidRPr="00B715F7">
        <w:rPr>
          <w:rStyle w:val="FootnoteReference"/>
        </w:rPr>
        <w:footnoteReference w:id="1"/>
      </w:r>
      <w:r w:rsidRPr="00AF4B29">
        <w:rPr>
          <w:rFonts w:ascii="Times New Roman" w:hAnsi="Times New Roman"/>
        </w:rPr>
        <w:t xml:space="preserve">  DWR has complied with the Mandatory Reporting Regulation and has reported in prior years to the same extent as a retail electricity provider.</w:t>
      </w:r>
      <w:r w:rsidRPr="00B715F7">
        <w:rPr>
          <w:rStyle w:val="FootnoteReference"/>
        </w:rPr>
        <w:footnoteReference w:id="2"/>
      </w:r>
      <w:r w:rsidRPr="00AF4B29">
        <w:rPr>
          <w:rFonts w:ascii="Times New Roman" w:hAnsi="Times New Roman"/>
        </w:rPr>
        <w:t xml:space="preserve"> The associated emissions from DWR’s imported electricity from specified sources exceed the threshold of 25,000 metric tons CO</w:t>
      </w:r>
      <w:r w:rsidRPr="00AF4B29">
        <w:rPr>
          <w:rFonts w:ascii="Times New Roman" w:hAnsi="Times New Roman"/>
          <w:vertAlign w:val="subscript"/>
        </w:rPr>
        <w:t>2</w:t>
      </w:r>
      <w:r w:rsidRPr="00AF4B29">
        <w:rPr>
          <w:rFonts w:ascii="Times New Roman" w:hAnsi="Times New Roman"/>
        </w:rPr>
        <w:t xml:space="preserve"> per year.</w:t>
      </w:r>
      <w:r w:rsidRPr="00B715F7">
        <w:rPr>
          <w:rStyle w:val="FootnoteReference"/>
        </w:rPr>
        <w:footnoteReference w:id="3"/>
      </w:r>
    </w:p>
    <w:p w:rsidR="00CC327F" w:rsidRPr="00B715F7" w:rsidRDefault="00CC327F" w:rsidP="00CC327F">
      <w:pPr>
        <w:spacing w:before="120"/>
        <w:ind w:left="720"/>
        <w:rPr>
          <w:rFonts w:ascii="Times New Roman" w:hAnsi="Times New Roman"/>
          <w:b/>
          <w:u w:val="single"/>
        </w:rPr>
      </w:pPr>
      <w:r w:rsidRPr="001059F2">
        <w:rPr>
          <w:rFonts w:ascii="Times New Roman" w:hAnsi="Times New Roman"/>
          <w:b/>
          <w:u w:val="single"/>
        </w:rPr>
        <w:t>Recommendation</w:t>
      </w:r>
      <w:r w:rsidRPr="00B715F7">
        <w:rPr>
          <w:rFonts w:ascii="Times New Roman" w:hAnsi="Times New Roman"/>
          <w:b/>
        </w:rPr>
        <w:t xml:space="preserve">: DWR is </w:t>
      </w:r>
      <w:r>
        <w:rPr>
          <w:rFonts w:ascii="Times New Roman" w:hAnsi="Times New Roman"/>
          <w:b/>
        </w:rPr>
        <w:t xml:space="preserve">considered </w:t>
      </w:r>
      <w:r w:rsidRPr="00B715F7">
        <w:rPr>
          <w:rFonts w:ascii="Times New Roman" w:hAnsi="Times New Roman"/>
          <w:b/>
        </w:rPr>
        <w:t>a Covered Entity by virtue of its activities in the electricity sector.</w:t>
      </w:r>
      <w:r w:rsidRPr="00B715F7">
        <w:rPr>
          <w:rStyle w:val="FootnoteReference"/>
          <w:b/>
        </w:rPr>
        <w:footnoteReference w:id="4"/>
      </w:r>
      <w:r w:rsidRPr="00B715F7">
        <w:rPr>
          <w:rFonts w:ascii="Times New Roman" w:hAnsi="Times New Roman"/>
          <w:b/>
        </w:rPr>
        <w:t xml:space="preserve"> DWR is more comparable to an EDU than a generator or marketer, since </w:t>
      </w:r>
      <w:r>
        <w:rPr>
          <w:rFonts w:ascii="Times New Roman" w:hAnsi="Times New Roman"/>
          <w:b/>
        </w:rPr>
        <w:t xml:space="preserve">the costs of the allowances it will be required to surrender </w:t>
      </w:r>
      <w:r w:rsidRPr="00B715F7">
        <w:rPr>
          <w:rFonts w:ascii="Times New Roman" w:hAnsi="Times New Roman"/>
          <w:b/>
        </w:rPr>
        <w:t xml:space="preserve">will ultimately be passed to end-use consumers. </w:t>
      </w:r>
      <w:r>
        <w:rPr>
          <w:rFonts w:ascii="Times New Roman" w:hAnsi="Times New Roman"/>
          <w:b/>
        </w:rPr>
        <w:t xml:space="preserve"> </w:t>
      </w:r>
      <w:r w:rsidRPr="00B715F7">
        <w:rPr>
          <w:rFonts w:ascii="Times New Roman" w:hAnsi="Times New Roman"/>
          <w:b/>
          <w:u w:val="single"/>
        </w:rPr>
        <w:t>Therefore, DWR should receive a direct allocation of allowances pursuant to regulations that are applicable to the electricity sector.  Alternately, DWR should not be considered a Covered Entity under the regulations.</w:t>
      </w:r>
    </w:p>
    <w:p w:rsidR="00CC327F" w:rsidRPr="00B715F7" w:rsidRDefault="00CC327F" w:rsidP="00CC327F">
      <w:pPr>
        <w:spacing w:before="120"/>
        <w:ind w:left="720"/>
        <w:rPr>
          <w:rFonts w:ascii="Times New Roman" w:hAnsi="Times New Roman"/>
          <w:b/>
        </w:rPr>
      </w:pPr>
    </w:p>
    <w:p w:rsidR="00CC327F" w:rsidRPr="00B715F7" w:rsidRDefault="00CC327F" w:rsidP="00CC327F">
      <w:pPr>
        <w:widowControl w:val="0"/>
        <w:numPr>
          <w:ilvl w:val="1"/>
          <w:numId w:val="7"/>
        </w:numPr>
        <w:overflowPunct w:val="0"/>
        <w:adjustRightInd w:val="0"/>
        <w:spacing w:before="120"/>
        <w:ind w:left="720"/>
        <w:rPr>
          <w:rFonts w:ascii="Times New Roman" w:hAnsi="Times New Roman"/>
          <w:b/>
        </w:rPr>
      </w:pPr>
      <w:r w:rsidRPr="00B715F7">
        <w:rPr>
          <w:rFonts w:ascii="Times New Roman" w:hAnsi="Times New Roman"/>
        </w:rPr>
        <w:t xml:space="preserve">The </w:t>
      </w:r>
      <w:r>
        <w:rPr>
          <w:rFonts w:ascii="Times New Roman" w:hAnsi="Times New Roman"/>
        </w:rPr>
        <w:t>cap-and-trade p</w:t>
      </w:r>
      <w:r w:rsidRPr="00B715F7">
        <w:rPr>
          <w:rFonts w:ascii="Times New Roman" w:hAnsi="Times New Roman"/>
        </w:rPr>
        <w:t xml:space="preserve">rogram emission cap determines the number of allowances issued by ARB and the Initial Statement of Reasons (“ISOR”) acknowledges that the emission cap must be set to achieve the proper price for allowances. These allowances, plus the permitted quantity of offset credits, “determine the total limit on emissions from </w:t>
      </w:r>
      <w:r w:rsidRPr="00B715F7">
        <w:rPr>
          <w:rFonts w:ascii="Times New Roman" w:hAnsi="Times New Roman"/>
          <w:i/>
          <w:iCs/>
        </w:rPr>
        <w:t>all</w:t>
      </w:r>
      <w:r w:rsidRPr="00B715F7">
        <w:rPr>
          <w:rFonts w:ascii="Times New Roman" w:hAnsi="Times New Roman"/>
        </w:rPr>
        <w:t xml:space="preserve"> of the covered entities” in the cap-and-trade program.</w:t>
      </w:r>
      <w:r w:rsidRPr="00B715F7">
        <w:rPr>
          <w:rStyle w:val="FootnoteReference"/>
        </w:rPr>
        <w:footnoteReference w:id="5"/>
      </w:r>
      <w:r w:rsidRPr="00B715F7">
        <w:rPr>
          <w:rFonts w:ascii="Times New Roman" w:hAnsi="Times New Roman"/>
        </w:rPr>
        <w:t xml:space="preserve"> The Proposed Regulation calculates a cumulative emissions cap for the years 2012-2020 and divides this quantity into annual budgets. The Proposed Regulation sets the “starting allowance budget levels equal to the expected emissions for the year that a category of covered sources enters the program” which will “enable emissions to continue as expected under business-as-usual (BAU) conditions in the first year of a </w:t>
      </w:r>
      <w:r w:rsidRPr="00B715F7">
        <w:rPr>
          <w:rFonts w:ascii="Times New Roman" w:hAnsi="Times New Roman"/>
          <w:iCs/>
        </w:rPr>
        <w:t>sector’s</w:t>
      </w:r>
      <w:r w:rsidRPr="00B715F7">
        <w:rPr>
          <w:rFonts w:ascii="Times New Roman" w:hAnsi="Times New Roman"/>
        </w:rPr>
        <w:t xml:space="preserve"> inclusion in the program.”</w:t>
      </w:r>
      <w:r w:rsidRPr="00B715F7">
        <w:rPr>
          <w:rStyle w:val="FootnoteReference"/>
        </w:rPr>
        <w:footnoteReference w:id="6"/>
      </w:r>
      <w:r w:rsidRPr="00B715F7">
        <w:rPr>
          <w:rFonts w:ascii="Times New Roman" w:hAnsi="Times New Roman"/>
        </w:rPr>
        <w:t xml:space="preserve"> The initial year’s allowance budget equals the projected 2012 emission level of the narrow scope sources which includes sources in the electricity and industrial sectors. </w:t>
      </w:r>
      <w:r w:rsidRPr="00B715F7">
        <w:rPr>
          <w:rFonts w:ascii="Times New Roman" w:hAnsi="Times New Roman"/>
          <w:color w:val="221E1F"/>
        </w:rPr>
        <w:t xml:space="preserve">The Proposed Regulation </w:t>
      </w:r>
      <w:r w:rsidRPr="00B715F7">
        <w:rPr>
          <w:rFonts w:ascii="Times New Roman" w:hAnsi="Times New Roman"/>
          <w:color w:val="221E1F"/>
        </w:rPr>
        <w:lastRenderedPageBreak/>
        <w:t>will freely allocate 97.7 million allowances in 2012.</w:t>
      </w:r>
      <w:r w:rsidRPr="00B715F7">
        <w:rPr>
          <w:rStyle w:val="FootnoteReference"/>
          <w:color w:val="221E1F"/>
        </w:rPr>
        <w:footnoteReference w:id="7"/>
      </w:r>
    </w:p>
    <w:p w:rsidR="00CC327F" w:rsidRPr="00B715F7" w:rsidRDefault="00CC327F" w:rsidP="00CC327F">
      <w:pPr>
        <w:spacing w:before="120"/>
        <w:ind w:left="720"/>
        <w:rPr>
          <w:rFonts w:ascii="Times New Roman" w:hAnsi="Times New Roman"/>
          <w:b/>
        </w:rPr>
      </w:pPr>
      <w:r w:rsidRPr="001059F2">
        <w:rPr>
          <w:rFonts w:ascii="Times New Roman" w:hAnsi="Times New Roman"/>
          <w:b/>
          <w:u w:val="single"/>
        </w:rPr>
        <w:t>Recommendation</w:t>
      </w:r>
      <w:r w:rsidRPr="00B715F7">
        <w:rPr>
          <w:rFonts w:ascii="Times New Roman" w:hAnsi="Times New Roman"/>
          <w:b/>
        </w:rPr>
        <w:t>: The ISOR states that “accuracy in emissions estimates from covered entities is a key component of ensuring that the desired level of cap stringency is implemented.”</w:t>
      </w:r>
      <w:r w:rsidRPr="00B715F7">
        <w:rPr>
          <w:rStyle w:val="FootnoteReference"/>
          <w:b/>
        </w:rPr>
        <w:footnoteReference w:id="8"/>
      </w:r>
      <w:r w:rsidRPr="00B715F7">
        <w:rPr>
          <w:rFonts w:ascii="Times New Roman" w:hAnsi="Times New Roman"/>
          <w:color w:val="221E1F"/>
        </w:rPr>
        <w:t xml:space="preserve"> </w:t>
      </w:r>
      <w:r w:rsidRPr="00B715F7">
        <w:rPr>
          <w:rFonts w:ascii="Times New Roman" w:hAnsi="Times New Roman"/>
          <w:b/>
        </w:rPr>
        <w:t xml:space="preserve">The Mandatory Reporting Regulations required DWR to report its GHG emissions according to the same rules that applied to retail electricity providers. Pursuant to a conversation with ARB GHG Inventory staff, the SWC understands that </w:t>
      </w:r>
      <w:r>
        <w:rPr>
          <w:rFonts w:ascii="Times New Roman" w:hAnsi="Times New Roman"/>
          <w:b/>
        </w:rPr>
        <w:t>the</w:t>
      </w:r>
      <w:r w:rsidRPr="00B715F7">
        <w:rPr>
          <w:rFonts w:ascii="Times New Roman" w:hAnsi="Times New Roman"/>
          <w:b/>
        </w:rPr>
        <w:t xml:space="preserve"> emissions </w:t>
      </w:r>
      <w:r>
        <w:rPr>
          <w:rFonts w:ascii="Times New Roman" w:hAnsi="Times New Roman"/>
          <w:b/>
        </w:rPr>
        <w:t>associated with DWR’s</w:t>
      </w:r>
      <w:r w:rsidRPr="00B715F7">
        <w:rPr>
          <w:rFonts w:ascii="Times New Roman" w:hAnsi="Times New Roman"/>
          <w:b/>
        </w:rPr>
        <w:t xml:space="preserve"> imported electricity were included by ARB staff when the starting allowance budget level of 97.7 MMT was set. Because DWR’s reported emissions from its electricity operations are included in the graph, DWR will be responsible for incurring abatement costs tied to its emissions without the benefit of receiving that allowance value.  The allowances to which DWR would otherwise be entitled will be distributed to EDUs who will not be responsible </w:t>
      </w:r>
      <w:r>
        <w:rPr>
          <w:rFonts w:ascii="Times New Roman" w:hAnsi="Times New Roman"/>
          <w:b/>
        </w:rPr>
        <w:t>for</w:t>
      </w:r>
      <w:r w:rsidRPr="00B715F7">
        <w:rPr>
          <w:rFonts w:ascii="Times New Roman" w:hAnsi="Times New Roman"/>
          <w:b/>
        </w:rPr>
        <w:t xml:space="preserve"> any abatement costs associated with these emissions.  </w:t>
      </w:r>
      <w:r w:rsidRPr="00B715F7">
        <w:rPr>
          <w:rFonts w:ascii="Times New Roman" w:hAnsi="Times New Roman"/>
          <w:b/>
          <w:u w:val="single"/>
        </w:rPr>
        <w:t>Therefore, in order to ensure equitable treatment, DWR should be included in the list of Covered Entities that receive direct allowance allocations.</w:t>
      </w:r>
    </w:p>
    <w:p w:rsidR="00CC327F" w:rsidRPr="00B715F7" w:rsidRDefault="00CC327F" w:rsidP="00CC327F">
      <w:pPr>
        <w:spacing w:before="120"/>
        <w:ind w:left="720"/>
        <w:rPr>
          <w:rFonts w:ascii="Times New Roman" w:hAnsi="Times New Roman"/>
        </w:rPr>
      </w:pPr>
    </w:p>
    <w:p w:rsidR="00CC327F" w:rsidRPr="00B715F7" w:rsidRDefault="00CC327F" w:rsidP="00CC327F">
      <w:pPr>
        <w:widowControl w:val="0"/>
        <w:numPr>
          <w:ilvl w:val="1"/>
          <w:numId w:val="7"/>
        </w:numPr>
        <w:overflowPunct w:val="0"/>
        <w:adjustRightInd w:val="0"/>
        <w:spacing w:before="120"/>
        <w:ind w:left="720"/>
        <w:rPr>
          <w:rFonts w:ascii="Times New Roman" w:hAnsi="Times New Roman"/>
          <w:b/>
        </w:rPr>
      </w:pPr>
      <w:r w:rsidRPr="00B715F7">
        <w:rPr>
          <w:rFonts w:ascii="Times New Roman" w:hAnsi="Times New Roman"/>
        </w:rPr>
        <w:t xml:space="preserve">The ISOR acknowledges that the </w:t>
      </w:r>
      <w:r>
        <w:rPr>
          <w:rFonts w:ascii="Times New Roman" w:hAnsi="Times New Roman"/>
        </w:rPr>
        <w:t>cap-and-trade program</w:t>
      </w:r>
      <w:r w:rsidRPr="00B715F7">
        <w:rPr>
          <w:rFonts w:ascii="Times New Roman" w:hAnsi="Times New Roman"/>
        </w:rPr>
        <w:t xml:space="preserve"> must be designed so the covered entities that need allowances may acquire them. A fundamental aspect of program design concerns determining “how best to allocate the value embodied in the allowances.”</w:t>
      </w:r>
      <w:r w:rsidRPr="00B715F7">
        <w:rPr>
          <w:rStyle w:val="FootnoteReference"/>
        </w:rPr>
        <w:footnoteReference w:id="9"/>
      </w:r>
      <w:r w:rsidRPr="00B715F7">
        <w:rPr>
          <w:rFonts w:ascii="Times New Roman" w:hAnsi="Times New Roman"/>
        </w:rPr>
        <w:t xml:space="preserve"> In ISOR Appendix J, the Figure J-1 is offered as a stylized representation of California’s emissions market. I</w:t>
      </w:r>
      <w:r>
        <w:rPr>
          <w:rFonts w:ascii="Times New Roman" w:hAnsi="Times New Roman"/>
        </w:rPr>
        <w:t xml:space="preserve"> </w:t>
      </w:r>
      <w:r w:rsidRPr="00B715F7">
        <w:rPr>
          <w:rFonts w:ascii="Times New Roman" w:hAnsi="Times New Roman"/>
        </w:rPr>
        <w:t xml:space="preserve">t graphically indicates the total abatement costs required to reach a chosen emissions cap, as well as the total allowance value at a selected market price. The text notes that “if covered entities were required to purchase </w:t>
      </w:r>
      <w:r w:rsidRPr="00B715F7">
        <w:rPr>
          <w:rFonts w:ascii="Times New Roman" w:hAnsi="Times New Roman"/>
          <w:i/>
          <w:iCs/>
        </w:rPr>
        <w:t>all</w:t>
      </w:r>
      <w:r w:rsidRPr="00B715F7">
        <w:rPr>
          <w:rFonts w:ascii="Times New Roman" w:hAnsi="Times New Roman"/>
        </w:rPr>
        <w:t xml:space="preserve"> allowances at auction, a significant cost would be imposed”</w:t>
      </w:r>
      <w:r w:rsidRPr="00B715F7">
        <w:rPr>
          <w:rStyle w:val="FootnoteReference"/>
        </w:rPr>
        <w:footnoteReference w:id="10"/>
      </w:r>
      <w:r w:rsidRPr="00B715F7">
        <w:rPr>
          <w:rFonts w:ascii="Times New Roman" w:hAnsi="Times New Roman"/>
        </w:rPr>
        <w:t xml:space="preserve"> because the “covered entities would be required to pay both the total abatement cost to reduce emissions and an amount equivalent to total allowance value to acquire allowances.”</w:t>
      </w:r>
      <w:r w:rsidRPr="00B715F7">
        <w:rPr>
          <w:rStyle w:val="FootnoteReference"/>
        </w:rPr>
        <w:footnoteReference w:id="11"/>
      </w:r>
    </w:p>
    <w:p w:rsidR="00CC327F" w:rsidRPr="00B715F7" w:rsidRDefault="00CC327F" w:rsidP="00CC327F">
      <w:pPr>
        <w:spacing w:before="120"/>
        <w:ind w:left="720"/>
        <w:rPr>
          <w:rFonts w:ascii="Times New Roman" w:hAnsi="Times New Roman"/>
          <w:b/>
          <w:color w:val="221E1F"/>
          <w:u w:val="single"/>
        </w:rPr>
      </w:pPr>
      <w:r w:rsidRPr="001059F2">
        <w:rPr>
          <w:rFonts w:ascii="Times New Roman" w:hAnsi="Times New Roman"/>
          <w:b/>
          <w:u w:val="single"/>
        </w:rPr>
        <w:t>Recommendation</w:t>
      </w:r>
      <w:r w:rsidRPr="00B715F7">
        <w:rPr>
          <w:rFonts w:ascii="Times New Roman" w:hAnsi="Times New Roman"/>
          <w:b/>
        </w:rPr>
        <w:t xml:space="preserve">: </w:t>
      </w:r>
      <w:r>
        <w:rPr>
          <w:rFonts w:ascii="Times New Roman" w:hAnsi="Times New Roman"/>
          <w:b/>
        </w:rPr>
        <w:t xml:space="preserve"> </w:t>
      </w:r>
      <w:r w:rsidRPr="00B715F7">
        <w:rPr>
          <w:rFonts w:ascii="Times New Roman" w:hAnsi="Times New Roman"/>
          <w:b/>
        </w:rPr>
        <w:t xml:space="preserve">DWR will be required to pay the </w:t>
      </w:r>
      <w:r w:rsidRPr="00B715F7">
        <w:rPr>
          <w:rFonts w:ascii="Times New Roman" w:hAnsi="Times New Roman"/>
          <w:b/>
          <w:u w:val="single"/>
        </w:rPr>
        <w:t>total</w:t>
      </w:r>
      <w:r w:rsidRPr="00B715F7">
        <w:rPr>
          <w:rFonts w:ascii="Times New Roman" w:hAnsi="Times New Roman"/>
          <w:b/>
        </w:rPr>
        <w:t xml:space="preserve"> allowance cost</w:t>
      </w:r>
      <w:r>
        <w:rPr>
          <w:rFonts w:ascii="Times New Roman" w:hAnsi="Times New Roman"/>
          <w:b/>
        </w:rPr>
        <w:t>s</w:t>
      </w:r>
      <w:r w:rsidRPr="00B715F7">
        <w:rPr>
          <w:rFonts w:ascii="Times New Roman" w:hAnsi="Times New Roman"/>
          <w:b/>
        </w:rPr>
        <w:t xml:space="preserve"> for its emissions if </w:t>
      </w:r>
      <w:r>
        <w:rPr>
          <w:rFonts w:ascii="Times New Roman" w:hAnsi="Times New Roman"/>
          <w:b/>
        </w:rPr>
        <w:t>it</w:t>
      </w:r>
      <w:r w:rsidRPr="00B715F7">
        <w:rPr>
          <w:rFonts w:ascii="Times New Roman" w:hAnsi="Times New Roman"/>
          <w:b/>
        </w:rPr>
        <w:t xml:space="preserve"> does not receive a direct allocation of allowances. </w:t>
      </w:r>
      <w:r w:rsidR="00C41A7E">
        <w:rPr>
          <w:rFonts w:ascii="Times New Roman" w:hAnsi="Times New Roman"/>
          <w:b/>
        </w:rPr>
        <w:t xml:space="preserve">Under the proposed regulations, water wholesalers such as DWR are the only utilities whose downstream customers receive no relief from increased rates associated with AB </w:t>
      </w:r>
      <w:proofErr w:type="gramStart"/>
      <w:r w:rsidR="00C41A7E">
        <w:rPr>
          <w:rFonts w:ascii="Times New Roman" w:hAnsi="Times New Roman"/>
          <w:b/>
        </w:rPr>
        <w:t>32 compliance</w:t>
      </w:r>
      <w:proofErr w:type="gramEnd"/>
      <w:r w:rsidR="00C41A7E">
        <w:rPr>
          <w:rFonts w:ascii="Times New Roman" w:hAnsi="Times New Roman"/>
          <w:b/>
        </w:rPr>
        <w:t xml:space="preserve">.  </w:t>
      </w:r>
      <w:r w:rsidRPr="00B715F7">
        <w:rPr>
          <w:rFonts w:ascii="Times New Roman" w:hAnsi="Times New Roman"/>
          <w:b/>
          <w:color w:val="221E1F"/>
        </w:rPr>
        <w:t xml:space="preserve">Water is an important commodity no less essential than electricity and water ratepayers cannot forego its consumption. ARB should be as mindful of the impacts on water ratepayers as they are of electricity ratepayers. </w:t>
      </w:r>
      <w:r w:rsidRPr="00B715F7">
        <w:rPr>
          <w:rFonts w:ascii="Times New Roman" w:hAnsi="Times New Roman"/>
          <w:b/>
          <w:color w:val="221E1F"/>
          <w:u w:val="single"/>
        </w:rPr>
        <w:t xml:space="preserve">Therefore, DWR should receive a direct allocation of allowances for the same </w:t>
      </w:r>
      <w:r w:rsidRPr="00B715F7">
        <w:rPr>
          <w:rFonts w:ascii="Times New Roman" w:hAnsi="Times New Roman"/>
          <w:b/>
          <w:i/>
          <w:color w:val="221E1F"/>
          <w:u w:val="single"/>
        </w:rPr>
        <w:t>purposes</w:t>
      </w:r>
      <w:r w:rsidRPr="00B715F7">
        <w:rPr>
          <w:rFonts w:ascii="Times New Roman" w:hAnsi="Times New Roman"/>
          <w:b/>
          <w:color w:val="221E1F"/>
          <w:u w:val="single"/>
        </w:rPr>
        <w:t xml:space="preserve"> as EDUs, i.e., the protection of water customers.</w:t>
      </w:r>
    </w:p>
    <w:p w:rsidR="00CC327F" w:rsidRPr="00B715F7" w:rsidRDefault="00CC327F" w:rsidP="00CC327F">
      <w:pPr>
        <w:spacing w:before="120"/>
        <w:ind w:left="720"/>
        <w:rPr>
          <w:rFonts w:ascii="Times New Roman" w:hAnsi="Times New Roman"/>
          <w:b/>
          <w:color w:val="221E1F"/>
        </w:rPr>
      </w:pPr>
    </w:p>
    <w:p w:rsidR="00CC327F" w:rsidRPr="00B715F7" w:rsidRDefault="00CC327F" w:rsidP="00CC327F">
      <w:pPr>
        <w:widowControl w:val="0"/>
        <w:numPr>
          <w:ilvl w:val="1"/>
          <w:numId w:val="7"/>
        </w:numPr>
        <w:overflowPunct w:val="0"/>
        <w:adjustRightInd w:val="0"/>
        <w:spacing w:before="120"/>
        <w:ind w:left="720"/>
        <w:rPr>
          <w:rFonts w:ascii="Times New Roman" w:hAnsi="Times New Roman"/>
          <w:b/>
          <w:color w:val="221E1F"/>
        </w:rPr>
      </w:pPr>
      <w:r w:rsidRPr="00B715F7">
        <w:rPr>
          <w:rFonts w:ascii="Times New Roman" w:hAnsi="Times New Roman"/>
          <w:color w:val="221E1F"/>
        </w:rPr>
        <w:t>The ISOR uses the term “incidence . . . to describe who bears the burden of a levy or fee.”</w:t>
      </w:r>
      <w:r w:rsidRPr="00B715F7">
        <w:rPr>
          <w:rStyle w:val="FootnoteReference"/>
          <w:color w:val="221E1F"/>
        </w:rPr>
        <w:footnoteReference w:id="12"/>
      </w:r>
      <w:r w:rsidRPr="00B715F7">
        <w:rPr>
          <w:rFonts w:ascii="Times New Roman" w:hAnsi="Times New Roman"/>
          <w:color w:val="221E1F"/>
        </w:rPr>
        <w:t xml:space="preserve"> The ISOR states that, “[i]n general, the incidence of a regulation will fall on consumers if the producer has full cost pass-through ability and will fall on the producer if the producer has no cost pass-through ability.</w:t>
      </w:r>
      <w:r w:rsidRPr="00B715F7">
        <w:rPr>
          <w:rStyle w:val="FootnoteReference"/>
          <w:color w:val="221E1F"/>
        </w:rPr>
        <w:footnoteReference w:id="13"/>
      </w:r>
      <w:r w:rsidRPr="00B715F7">
        <w:rPr>
          <w:rFonts w:ascii="Times New Roman" w:hAnsi="Times New Roman"/>
          <w:color w:val="221E1F"/>
        </w:rPr>
        <w:t xml:space="preserve"> The ISOR uses Table J-1 to show the “expected incidence of carbon costs by sector assuming no return of allowance value.”</w:t>
      </w:r>
      <w:r w:rsidRPr="00B715F7">
        <w:rPr>
          <w:rStyle w:val="FootnoteReference"/>
          <w:color w:val="221E1F"/>
        </w:rPr>
        <w:footnoteReference w:id="14"/>
      </w:r>
      <w:r w:rsidRPr="00B715F7">
        <w:rPr>
          <w:rFonts w:ascii="Times New Roman" w:hAnsi="Times New Roman"/>
          <w:color w:val="221E1F"/>
        </w:rPr>
        <w:t xml:space="preserve"> The Table shows that it is “certain” for the Deliverers of Electricity that the carbon price incidence is on the retail consumers of electricity.</w:t>
      </w:r>
      <w:r w:rsidRPr="00B715F7">
        <w:rPr>
          <w:rStyle w:val="FootnoteReference"/>
          <w:color w:val="221E1F"/>
        </w:rPr>
        <w:footnoteReference w:id="15"/>
      </w:r>
      <w:r w:rsidRPr="00B715F7">
        <w:rPr>
          <w:rFonts w:ascii="Times New Roman" w:hAnsi="Times New Roman"/>
          <w:color w:val="221E1F"/>
        </w:rPr>
        <w:t xml:space="preserve"> For this reason, the Proposed Regulation will allocate free allowances to utilities that provide electricity to California ratepayers.</w:t>
      </w:r>
      <w:r w:rsidRPr="00B715F7">
        <w:rPr>
          <w:rStyle w:val="FootnoteReference"/>
          <w:color w:val="221E1F"/>
        </w:rPr>
        <w:footnoteReference w:id="16"/>
      </w:r>
      <w:r w:rsidRPr="00B715F7">
        <w:rPr>
          <w:rFonts w:ascii="Times New Roman" w:hAnsi="Times New Roman"/>
          <w:color w:val="221E1F"/>
        </w:rPr>
        <w:t xml:space="preserve"> </w:t>
      </w:r>
    </w:p>
    <w:p w:rsidR="00CC327F" w:rsidRPr="00B715F7" w:rsidRDefault="00CC327F" w:rsidP="00CC327F">
      <w:pPr>
        <w:spacing w:before="120"/>
        <w:ind w:left="720"/>
        <w:rPr>
          <w:rFonts w:ascii="Times New Roman" w:hAnsi="Times New Roman"/>
          <w:color w:val="221E1F"/>
        </w:rPr>
      </w:pPr>
      <w:r w:rsidRPr="001059F2">
        <w:rPr>
          <w:rFonts w:ascii="Times New Roman" w:hAnsi="Times New Roman"/>
          <w:b/>
          <w:color w:val="221E1F"/>
          <w:u w:val="single"/>
        </w:rPr>
        <w:t>Recommendation</w:t>
      </w:r>
      <w:r w:rsidRPr="00B715F7">
        <w:rPr>
          <w:rFonts w:ascii="Times New Roman" w:hAnsi="Times New Roman"/>
          <w:b/>
          <w:color w:val="221E1F"/>
        </w:rPr>
        <w:t xml:space="preserve">: DWR passes through all SWP power costs to the SWC agencies and, ultimately, to end-use water consumers. Thus, water ratepayers are in precisely the same situation as the retail electricity ratepayers as the incidence of the </w:t>
      </w:r>
      <w:r>
        <w:rPr>
          <w:rFonts w:ascii="Times New Roman" w:hAnsi="Times New Roman"/>
          <w:b/>
          <w:color w:val="221E1F"/>
        </w:rPr>
        <w:t>cap-and-trade p</w:t>
      </w:r>
      <w:r w:rsidRPr="00B715F7">
        <w:rPr>
          <w:rFonts w:ascii="Times New Roman" w:hAnsi="Times New Roman"/>
          <w:b/>
          <w:color w:val="221E1F"/>
        </w:rPr>
        <w:t xml:space="preserve">rogram falls directly on them. </w:t>
      </w:r>
      <w:r w:rsidRPr="00B715F7">
        <w:rPr>
          <w:rFonts w:ascii="Times New Roman" w:hAnsi="Times New Roman"/>
          <w:b/>
          <w:color w:val="221E1F"/>
          <w:u w:val="single"/>
        </w:rPr>
        <w:t>Therefore, DWR should receive a direct allocation of allowances for the same reason that allowances are being given to EDUs</w:t>
      </w:r>
      <w:r w:rsidRPr="00B715F7">
        <w:rPr>
          <w:rFonts w:ascii="Times New Roman" w:hAnsi="Times New Roman"/>
          <w:b/>
          <w:color w:val="221E1F"/>
        </w:rPr>
        <w:t>.</w:t>
      </w:r>
    </w:p>
    <w:p w:rsidR="00CC327F" w:rsidRPr="00B715F7" w:rsidRDefault="00CC327F" w:rsidP="00CC327F">
      <w:pPr>
        <w:spacing w:before="120"/>
        <w:ind w:left="720"/>
        <w:rPr>
          <w:rFonts w:ascii="Times New Roman" w:hAnsi="Times New Roman"/>
          <w:color w:val="221E1F"/>
        </w:rPr>
      </w:pPr>
    </w:p>
    <w:p w:rsidR="00CC327F" w:rsidRDefault="00CC327F" w:rsidP="00CC327F">
      <w:pPr>
        <w:widowControl w:val="0"/>
        <w:numPr>
          <w:ilvl w:val="1"/>
          <w:numId w:val="7"/>
        </w:numPr>
        <w:overflowPunct w:val="0"/>
        <w:adjustRightInd w:val="0"/>
        <w:spacing w:before="120"/>
        <w:ind w:left="720"/>
        <w:rPr>
          <w:rFonts w:ascii="Times New Roman" w:hAnsi="Times New Roman"/>
          <w:color w:val="221E1F"/>
        </w:rPr>
      </w:pPr>
      <w:r w:rsidRPr="00B715F7">
        <w:rPr>
          <w:rFonts w:ascii="Times New Roman" w:hAnsi="Times New Roman"/>
          <w:color w:val="221E1F"/>
        </w:rPr>
        <w:t>The “cap-and-trade program is intended to embed a carbon price in both retail and wholesale rates of electricity.”</w:t>
      </w:r>
      <w:r w:rsidRPr="00B715F7">
        <w:rPr>
          <w:rStyle w:val="FootnoteReference"/>
          <w:color w:val="221E1F"/>
        </w:rPr>
        <w:footnoteReference w:id="17"/>
      </w:r>
      <w:r w:rsidRPr="00B715F7">
        <w:rPr>
          <w:rFonts w:ascii="Times New Roman" w:hAnsi="Times New Roman"/>
          <w:color w:val="221E1F"/>
        </w:rPr>
        <w:t xml:space="preserve"> Electricity generators will not be given any allowances because they generally can fully pass the cost into the wholesale market. This cost will also be passed on to the end-user in a subsequent retail transaction. This increased cost will provide a signal to the consumer, but “staff is mindful of the need to protect ratepayers from increased expenditures on electricity.”</w:t>
      </w:r>
      <w:r w:rsidRPr="00B715F7">
        <w:rPr>
          <w:rStyle w:val="FootnoteReference"/>
          <w:color w:val="221E1F"/>
        </w:rPr>
        <w:footnoteReference w:id="18"/>
      </w:r>
      <w:r w:rsidRPr="00B715F7">
        <w:rPr>
          <w:rFonts w:ascii="Times New Roman" w:hAnsi="Times New Roman"/>
          <w:color w:val="221E1F"/>
        </w:rPr>
        <w:t xml:space="preserve"> Therefore, EDUs “will receive free allowances, and the value of the allowances must be used to mitigate the bill impacts of AB 32 programs on their distribution customers.”</w:t>
      </w:r>
      <w:r w:rsidRPr="00B715F7">
        <w:rPr>
          <w:rStyle w:val="FootnoteReference"/>
          <w:color w:val="221E1F"/>
        </w:rPr>
        <w:footnoteReference w:id="19"/>
      </w:r>
      <w:r w:rsidRPr="00B715F7">
        <w:rPr>
          <w:rFonts w:ascii="Times New Roman" w:hAnsi="Times New Roman"/>
          <w:color w:val="221E1F"/>
        </w:rPr>
        <w:t xml:space="preserve"> The EDUs will be required to use the allowance value “for protection of electricity customers and for other AB 32 purposes.”</w:t>
      </w:r>
      <w:r w:rsidRPr="00B715F7">
        <w:rPr>
          <w:rStyle w:val="FootnoteReference"/>
          <w:color w:val="221E1F"/>
        </w:rPr>
        <w:footnoteReference w:id="20"/>
      </w:r>
      <w:r w:rsidRPr="00B715F7">
        <w:rPr>
          <w:rFonts w:ascii="Times New Roman" w:hAnsi="Times New Roman"/>
          <w:color w:val="221E1F"/>
        </w:rPr>
        <w:t xml:space="preserve"> At this point, the actual allocation method is undecided but it “must further the cap-and-trade emissions reduction objectives, including providing incentives to reduce emissions cost effectively.”</w:t>
      </w:r>
      <w:r w:rsidRPr="00B715F7">
        <w:rPr>
          <w:rStyle w:val="FootnoteReference"/>
          <w:color w:val="221E1F"/>
        </w:rPr>
        <w:footnoteReference w:id="21"/>
      </w:r>
      <w:r w:rsidRPr="00B715F7">
        <w:rPr>
          <w:rFonts w:ascii="Times New Roman" w:hAnsi="Times New Roman"/>
          <w:color w:val="221E1F"/>
        </w:rPr>
        <w:t xml:space="preserve"> The allocation must also enable </w:t>
      </w:r>
      <w:r>
        <w:rPr>
          <w:rFonts w:ascii="Times New Roman" w:hAnsi="Times New Roman"/>
          <w:color w:val="221E1F"/>
        </w:rPr>
        <w:t>“</w:t>
      </w:r>
      <w:r w:rsidRPr="00B715F7">
        <w:rPr>
          <w:rFonts w:ascii="Times New Roman" w:hAnsi="Times New Roman"/>
          <w:color w:val="221E1F"/>
        </w:rPr>
        <w:t xml:space="preserve">all the </w:t>
      </w:r>
      <w:r w:rsidRPr="00B65115">
        <w:rPr>
          <w:rFonts w:ascii="Times New Roman" w:hAnsi="Times New Roman"/>
          <w:i/>
          <w:color w:val="221E1F"/>
        </w:rPr>
        <w:t>utilities</w:t>
      </w:r>
      <w:r w:rsidRPr="00B715F7">
        <w:rPr>
          <w:rFonts w:ascii="Times New Roman" w:hAnsi="Times New Roman"/>
          <w:color w:val="221E1F"/>
        </w:rPr>
        <w:t xml:space="preserve"> to serve their customers reliably and affordably.”</w:t>
      </w:r>
      <w:r w:rsidRPr="00B715F7">
        <w:rPr>
          <w:rStyle w:val="FootnoteReference"/>
          <w:color w:val="221E1F"/>
        </w:rPr>
        <w:footnoteReference w:id="22"/>
      </w:r>
    </w:p>
    <w:p w:rsidR="00CC327F" w:rsidRDefault="00CC327F" w:rsidP="00CC327F">
      <w:pPr>
        <w:rPr>
          <w:rFonts w:ascii="Times New Roman" w:hAnsi="Times New Roman"/>
          <w:color w:val="221E1F"/>
        </w:rPr>
      </w:pPr>
      <w:r>
        <w:rPr>
          <w:rFonts w:ascii="Times New Roman" w:hAnsi="Times New Roman"/>
          <w:color w:val="221E1F"/>
        </w:rPr>
        <w:br w:type="page"/>
      </w:r>
    </w:p>
    <w:p w:rsidR="00CC327F" w:rsidRPr="00C41A7E" w:rsidRDefault="00CC327F" w:rsidP="00CC327F">
      <w:pPr>
        <w:spacing w:before="120"/>
        <w:ind w:left="720"/>
        <w:rPr>
          <w:rFonts w:ascii="Times New Roman" w:hAnsi="Times New Roman"/>
          <w:color w:val="221E1F"/>
        </w:rPr>
      </w:pPr>
      <w:r w:rsidRPr="001059F2">
        <w:rPr>
          <w:rFonts w:ascii="Times New Roman" w:hAnsi="Times New Roman"/>
          <w:b/>
          <w:color w:val="221E1F"/>
          <w:u w:val="single"/>
        </w:rPr>
        <w:t>Recommendation</w:t>
      </w:r>
      <w:r w:rsidRPr="00B715F7">
        <w:rPr>
          <w:rFonts w:ascii="Times New Roman" w:hAnsi="Times New Roman"/>
          <w:b/>
          <w:color w:val="221E1F"/>
        </w:rPr>
        <w:t xml:space="preserve">: As described in paragraph d, the cost of carbon directly incurred by DWR through the SWP’s electricity-related emissions will be passed through to water consumers. There are important differences between water utilities and electric utilities in terms of how wholesale electric costs are ultimately allocated, but these differences should not result in inequitable treatment of the water sector with respect to “protect[ing] ratepayers from increased expenditures on electricity.” In the electric sector, IOUs and POUs purchase wholesale power and resell it to retail electric customers. Thus, providing these EDUs with free allowances enables them to directly offset AB 32 compliance costs imposed on their retail customers. In the water sector, by contrast, DWR purchases wholesale power for its own operations. Since DWR does not have retail water customers, it passes all wholesale power costs, including any costs associated with AB 32 compliance, along to the State Water Project Contractors, who then pass the costs along to retail water customers, either directly or through member agencies. Because it is not </w:t>
      </w:r>
      <w:r w:rsidR="00C41A7E">
        <w:rPr>
          <w:rFonts w:ascii="Times New Roman" w:hAnsi="Times New Roman"/>
          <w:b/>
          <w:color w:val="221E1F"/>
        </w:rPr>
        <w:t xml:space="preserve">practical </w:t>
      </w:r>
      <w:r w:rsidRPr="00B715F7">
        <w:rPr>
          <w:rFonts w:ascii="Times New Roman" w:hAnsi="Times New Roman"/>
          <w:b/>
          <w:color w:val="221E1F"/>
        </w:rPr>
        <w:t xml:space="preserve">to provide free allowances to retail water utilities, the only way that end-use water customers can be protected from the allowance-related costs associated with AB 32 compliance is to allocate free allowances to the wholesale water providers, such as DWR, that incur these direct compliance costs. </w:t>
      </w:r>
      <w:r w:rsidRPr="001059F2">
        <w:rPr>
          <w:rFonts w:ascii="Times New Roman" w:hAnsi="Times New Roman"/>
          <w:b/>
          <w:color w:val="221E1F"/>
          <w:u w:val="single"/>
        </w:rPr>
        <w:t xml:space="preserve">In sum, if DWR does not receive free allowances for imported energy purchased to power the SWP, no other entity will be able to mitigate allowance-related costs to water consumers, defeating ARB’s intent to protect end-use utility customers from </w:t>
      </w:r>
      <w:r>
        <w:rPr>
          <w:rFonts w:ascii="Times New Roman" w:hAnsi="Times New Roman"/>
          <w:b/>
          <w:color w:val="221E1F"/>
          <w:u w:val="single"/>
        </w:rPr>
        <w:t>exorbitant price increases</w:t>
      </w:r>
      <w:r w:rsidRPr="00AD588B">
        <w:rPr>
          <w:rFonts w:ascii="Times New Roman" w:hAnsi="Times New Roman"/>
          <w:b/>
          <w:color w:val="221E1F"/>
          <w:u w:val="single"/>
        </w:rPr>
        <w:t>.</w:t>
      </w:r>
      <w:r w:rsidR="00C41A7E" w:rsidRPr="00AD588B">
        <w:rPr>
          <w:rFonts w:ascii="Times New Roman" w:hAnsi="Times New Roman"/>
          <w:b/>
          <w:color w:val="221E1F"/>
          <w:u w:val="single"/>
        </w:rPr>
        <w:t xml:space="preserve">  If ARB determines that providing free allowances directly to DWR is inconsistent with the requirements and goals of AB 32, it should work with the SWC to fashion a methodology to ensure that retail water utilities are treated in the same manner as retail electric utilities with respect to the mitigation of cost increases.</w:t>
      </w:r>
    </w:p>
    <w:p w:rsidR="00CC327F" w:rsidRPr="00B715F7" w:rsidRDefault="00CC327F" w:rsidP="00CC327F">
      <w:pPr>
        <w:spacing w:before="120"/>
        <w:ind w:left="720"/>
        <w:rPr>
          <w:rFonts w:ascii="Times New Roman" w:hAnsi="Times New Roman"/>
          <w:b/>
          <w:color w:val="221E1F"/>
        </w:rPr>
      </w:pPr>
    </w:p>
    <w:p w:rsidR="00CC327F" w:rsidRPr="00B715F7" w:rsidRDefault="00CC327F" w:rsidP="00CC327F">
      <w:pPr>
        <w:widowControl w:val="0"/>
        <w:numPr>
          <w:ilvl w:val="1"/>
          <w:numId w:val="7"/>
        </w:numPr>
        <w:overflowPunct w:val="0"/>
        <w:adjustRightInd w:val="0"/>
        <w:spacing w:before="120"/>
        <w:ind w:left="720"/>
        <w:rPr>
          <w:rFonts w:ascii="Times New Roman" w:hAnsi="Times New Roman"/>
          <w:color w:val="221E1F"/>
        </w:rPr>
      </w:pPr>
      <w:r w:rsidRPr="00B715F7">
        <w:rPr>
          <w:rFonts w:ascii="Times New Roman" w:hAnsi="Times New Roman"/>
          <w:color w:val="221E1F"/>
        </w:rPr>
        <w:t xml:space="preserve">The local regulatory authority of a publicly-owned electric utility (“POU”) will review all costs and set electricity rates. </w:t>
      </w:r>
      <w:r>
        <w:rPr>
          <w:rFonts w:ascii="Times New Roman" w:hAnsi="Times New Roman"/>
          <w:color w:val="221E1F"/>
        </w:rPr>
        <w:t xml:space="preserve"> </w:t>
      </w:r>
      <w:r w:rsidRPr="00B715F7">
        <w:rPr>
          <w:rFonts w:ascii="Times New Roman" w:hAnsi="Times New Roman"/>
          <w:color w:val="221E1F"/>
        </w:rPr>
        <w:t>Most POUs own and operate their own generation and do not compete with independent generators. Therefore, the Proposed Regulations permit POUs to either use the freely gained allowances either directly for compliance or to monetize the allowance value by sale into the auction and then use the value for their customers.</w:t>
      </w:r>
      <w:r w:rsidRPr="00B715F7">
        <w:rPr>
          <w:rStyle w:val="FootnoteReference"/>
          <w:color w:val="221E1F"/>
        </w:rPr>
        <w:footnoteReference w:id="23"/>
      </w:r>
    </w:p>
    <w:p w:rsidR="00CC327F" w:rsidRPr="00B715F7" w:rsidRDefault="00CC327F" w:rsidP="00CC327F">
      <w:pPr>
        <w:spacing w:before="120"/>
        <w:ind w:left="720"/>
        <w:rPr>
          <w:rFonts w:ascii="Times New Roman" w:hAnsi="Times New Roman"/>
          <w:b/>
          <w:color w:val="221E1F"/>
        </w:rPr>
      </w:pPr>
      <w:r w:rsidRPr="001059F2">
        <w:rPr>
          <w:rFonts w:ascii="Times New Roman" w:hAnsi="Times New Roman"/>
          <w:b/>
          <w:color w:val="221E1F"/>
          <w:u w:val="single"/>
        </w:rPr>
        <w:t>Recommendation</w:t>
      </w:r>
      <w:r w:rsidRPr="00B715F7">
        <w:rPr>
          <w:rFonts w:ascii="Times New Roman" w:hAnsi="Times New Roman"/>
          <w:b/>
          <w:color w:val="221E1F"/>
        </w:rPr>
        <w:t>: DWR is analogous to a POU in its provision of service, the necessity of passing through costs, and its obligations to reduce GHG emissions through what are akin to complementary measures.</w:t>
      </w:r>
      <w:r w:rsidRPr="00B715F7">
        <w:rPr>
          <w:rFonts w:ascii="Times New Roman" w:hAnsi="Times New Roman"/>
          <w:b/>
          <w:i/>
        </w:rPr>
        <w:t xml:space="preserve"> </w:t>
      </w:r>
      <w:r>
        <w:rPr>
          <w:rFonts w:ascii="Times New Roman" w:hAnsi="Times New Roman"/>
          <w:b/>
          <w:color w:val="221E1F"/>
        </w:rPr>
        <w:t>Like POUs,</w:t>
      </w:r>
      <w:r w:rsidRPr="00B715F7">
        <w:rPr>
          <w:rFonts w:ascii="Times New Roman" w:hAnsi="Times New Roman"/>
          <w:b/>
          <w:color w:val="221E1F"/>
        </w:rPr>
        <w:t xml:space="preserve"> DWR is vertically integrated to some degree and owns generation facilities, procures electricity on the open market, operates distribution systems, and engages in power sales.</w:t>
      </w:r>
      <w:r w:rsidRPr="00B715F7">
        <w:rPr>
          <w:rStyle w:val="FootnoteReference"/>
          <w:b/>
          <w:color w:val="221E1F"/>
        </w:rPr>
        <w:footnoteReference w:id="24"/>
      </w:r>
      <w:r w:rsidRPr="00B715F7">
        <w:rPr>
          <w:rFonts w:ascii="Times New Roman" w:hAnsi="Times New Roman"/>
          <w:b/>
          <w:color w:val="221E1F"/>
        </w:rPr>
        <w:t xml:space="preserve"> Its similarity is graphically demonstrated in Appendix J by Table J-8. Also like a POU, DWR has obligations to procure additional renewable resources and to facilitate energy efficiencies.</w:t>
      </w:r>
      <w:r w:rsidRPr="00B715F7">
        <w:rPr>
          <w:rFonts w:ascii="Times New Roman" w:hAnsi="Times New Roman"/>
          <w:b/>
          <w:bCs/>
        </w:rPr>
        <w:t xml:space="preserve"> In accordance with Health &amp; Safety Code § 38592(a), all state agencies shall consider and implement strategies to reduce their GHG emissions.</w:t>
      </w:r>
      <w:r w:rsidRPr="00B715F7">
        <w:rPr>
          <w:rFonts w:ascii="Times New Roman" w:hAnsi="Times New Roman"/>
          <w:b/>
        </w:rPr>
        <w:t xml:space="preserve"> DWR, as a state agency, has an independent duty to consider and implement strategies to reduce its GHG emissions for the purpose of mitigating climate change. </w:t>
      </w:r>
      <w:r>
        <w:rPr>
          <w:rFonts w:ascii="Times New Roman" w:hAnsi="Times New Roman"/>
          <w:b/>
        </w:rPr>
        <w:t xml:space="preserve"> </w:t>
      </w:r>
      <w:r w:rsidRPr="00B715F7">
        <w:rPr>
          <w:rFonts w:ascii="Times New Roman" w:hAnsi="Times New Roman"/>
          <w:b/>
        </w:rPr>
        <w:t>DWR is currently pursuing this mandate through the implementation of its Sustainability Plan. DWR has incorporated significant mitigation strategies into its Sustainability Plan including</w:t>
      </w:r>
      <w:r w:rsidRPr="00B715F7">
        <w:rPr>
          <w:rFonts w:ascii="Times New Roman" w:hAnsi="Times New Roman"/>
          <w:b/>
          <w:color w:val="221E1F"/>
        </w:rPr>
        <w:t xml:space="preserve"> pursuing efficiency in water and energy use at every opportunity. T</w:t>
      </w:r>
      <w:r w:rsidRPr="00B715F7">
        <w:rPr>
          <w:rFonts w:ascii="Times New Roman" w:hAnsi="Times New Roman"/>
          <w:b/>
        </w:rPr>
        <w:t>he Plan also incorporates a progressively increasing procurement of renewable resources to achieve the state’s GHG targets of reaching 1990 levels by 2020 and 80% below 1990 levels by 2050 as described in Executive Order S-3-05.</w:t>
      </w:r>
      <w:r w:rsidRPr="00B715F7">
        <w:rPr>
          <w:rStyle w:val="FootnoteReference"/>
          <w:b/>
        </w:rPr>
        <w:footnoteReference w:id="25"/>
      </w:r>
      <w:r w:rsidRPr="00B715F7">
        <w:rPr>
          <w:rFonts w:ascii="Times New Roman" w:hAnsi="Times New Roman"/>
          <w:b/>
        </w:rPr>
        <w:t xml:space="preserve">  For example, DWR issued a competitive request for wind power on November 12, 2010 with proposals due on January 27, 2011. </w:t>
      </w:r>
      <w:r>
        <w:rPr>
          <w:rFonts w:ascii="Times New Roman" w:hAnsi="Times New Roman"/>
          <w:b/>
        </w:rPr>
        <w:t xml:space="preserve"> </w:t>
      </w:r>
      <w:r w:rsidR="007B2C1C">
        <w:rPr>
          <w:rFonts w:ascii="Times New Roman" w:hAnsi="Times New Roman"/>
          <w:b/>
        </w:rPr>
        <w:t xml:space="preserve">DWR’s commitment to mitigating the impacts of climate change—independent from its statutory and regulatory obligations—is evidenced by the fact that it initiated a sustainability plan in the 1980’s long before it had any legal obligation to do so.  </w:t>
      </w:r>
      <w:r w:rsidRPr="00B715F7">
        <w:rPr>
          <w:rFonts w:ascii="Times New Roman" w:hAnsi="Times New Roman"/>
          <w:b/>
          <w:u w:val="single"/>
        </w:rPr>
        <w:t>The Sustainability Plan represents an AB 32-consistent emission reduction plan in which DWR can invest its allowance value</w:t>
      </w:r>
      <w:r>
        <w:rPr>
          <w:rFonts w:ascii="Times New Roman" w:hAnsi="Times New Roman"/>
          <w:b/>
          <w:u w:val="single"/>
        </w:rPr>
        <w:t>,</w:t>
      </w:r>
      <w:r w:rsidRPr="00B715F7">
        <w:rPr>
          <w:rFonts w:ascii="Times New Roman" w:hAnsi="Times New Roman"/>
          <w:b/>
          <w:u w:val="single"/>
        </w:rPr>
        <w:t xml:space="preserve"> and</w:t>
      </w:r>
      <w:r w:rsidRPr="00B715F7">
        <w:rPr>
          <w:rFonts w:ascii="Times New Roman" w:hAnsi="Times New Roman"/>
          <w:b/>
          <w:color w:val="221E1F"/>
          <w:u w:val="single"/>
        </w:rPr>
        <w:t xml:space="preserve"> DWR should receive free allowances on the same basis as a publicly-owned electric distribution utility</w:t>
      </w:r>
      <w:r w:rsidRPr="009C22E2">
        <w:rPr>
          <w:rFonts w:ascii="Times New Roman" w:hAnsi="Times New Roman"/>
          <w:b/>
          <w:color w:val="221E1F"/>
          <w:u w:val="single"/>
        </w:rPr>
        <w:t xml:space="preserve">. </w:t>
      </w:r>
      <w:r w:rsidR="007B2C1C" w:rsidRPr="009C22E2">
        <w:rPr>
          <w:rFonts w:ascii="Times New Roman" w:hAnsi="Times New Roman"/>
          <w:b/>
          <w:color w:val="221E1F"/>
          <w:u w:val="single"/>
        </w:rPr>
        <w:t xml:space="preserve"> DWR’s commitment to reducing GHG emissions is well-established by its current and prior actions.</w:t>
      </w:r>
    </w:p>
    <w:p w:rsidR="00CC327F" w:rsidRPr="00B715F7" w:rsidRDefault="00CC327F" w:rsidP="00CC327F">
      <w:pPr>
        <w:spacing w:before="120"/>
        <w:ind w:left="720"/>
        <w:rPr>
          <w:rFonts w:ascii="Times New Roman" w:hAnsi="Times New Roman"/>
          <w:color w:val="221E1F"/>
        </w:rPr>
      </w:pPr>
    </w:p>
    <w:p w:rsidR="00CC327F" w:rsidRPr="00B715F7" w:rsidRDefault="00CC327F" w:rsidP="00CC327F">
      <w:pPr>
        <w:widowControl w:val="0"/>
        <w:numPr>
          <w:ilvl w:val="0"/>
          <w:numId w:val="6"/>
        </w:numPr>
        <w:suppressAutoHyphens/>
        <w:overflowPunct w:val="0"/>
        <w:adjustRightInd w:val="0"/>
        <w:rPr>
          <w:rFonts w:ascii="Times New Roman" w:hAnsi="Times New Roman"/>
        </w:rPr>
      </w:pPr>
      <w:r w:rsidRPr="00B715F7">
        <w:rPr>
          <w:rFonts w:ascii="Times New Roman" w:hAnsi="Times New Roman"/>
          <w:b/>
          <w:bCs/>
          <w:u w:val="single"/>
        </w:rPr>
        <w:t>Recommended Amendment to the Proposed C&amp;T Program Regulation</w:t>
      </w:r>
    </w:p>
    <w:p w:rsidR="00CC327F" w:rsidRPr="00B715F7" w:rsidRDefault="00CC327F" w:rsidP="00CC327F">
      <w:pPr>
        <w:suppressAutoHyphens/>
        <w:rPr>
          <w:rFonts w:ascii="Times New Roman" w:hAnsi="Times New Roman"/>
          <w:color w:val="000000"/>
        </w:rPr>
      </w:pPr>
    </w:p>
    <w:p w:rsidR="00CC327F" w:rsidRPr="00B715F7" w:rsidRDefault="00CC327F" w:rsidP="00CC327F">
      <w:pPr>
        <w:ind w:firstLine="720"/>
        <w:rPr>
          <w:rFonts w:ascii="Times New Roman" w:hAnsi="Times New Roman"/>
        </w:rPr>
      </w:pPr>
      <w:r w:rsidRPr="00B715F7">
        <w:rPr>
          <w:rFonts w:ascii="Times New Roman" w:hAnsi="Times New Roman"/>
        </w:rPr>
        <w:t xml:space="preserve">In order to implement the recommendations discussed above, the SWC proposes adding section 95890(d) as shown here. </w:t>
      </w:r>
    </w:p>
    <w:p w:rsidR="00CC327F" w:rsidRPr="00B715F7" w:rsidRDefault="00CC327F" w:rsidP="00CC327F">
      <w:pPr>
        <w:rPr>
          <w:rFonts w:ascii="Times New Roman" w:hAnsi="Times New Roman"/>
          <w:b/>
          <w:bCs/>
        </w:rPr>
      </w:pPr>
    </w:p>
    <w:p w:rsidR="00CC327F" w:rsidRPr="00B715F7" w:rsidRDefault="00CC327F" w:rsidP="00CC327F">
      <w:pPr>
        <w:ind w:left="1440" w:right="1440"/>
        <w:rPr>
          <w:rFonts w:ascii="Times New Roman" w:hAnsi="Times New Roman"/>
          <w:b/>
          <w:bCs/>
        </w:rPr>
      </w:pPr>
      <w:r w:rsidRPr="00B715F7">
        <w:rPr>
          <w:rFonts w:ascii="Times New Roman" w:hAnsi="Times New Roman"/>
          <w:b/>
          <w:bCs/>
        </w:rPr>
        <w:t>§ 95890. General Provisions for Direct Allocations</w:t>
      </w:r>
    </w:p>
    <w:p w:rsidR="00CC327F" w:rsidRPr="00B715F7" w:rsidRDefault="00CC327F" w:rsidP="00CC327F">
      <w:pPr>
        <w:ind w:left="1440" w:right="1440"/>
        <w:rPr>
          <w:rFonts w:ascii="Times New Roman" w:hAnsi="Times New Roman"/>
        </w:rPr>
      </w:pPr>
    </w:p>
    <w:p w:rsidR="00CC327F" w:rsidRPr="00B65115" w:rsidRDefault="00CC327F" w:rsidP="00CC327F">
      <w:pPr>
        <w:ind w:left="1440" w:right="1440"/>
        <w:rPr>
          <w:rFonts w:ascii="Times New Roman" w:hAnsi="Times New Roman"/>
          <w:color w:val="000000" w:themeColor="text1"/>
        </w:rPr>
      </w:pPr>
      <w:r w:rsidRPr="00B65115">
        <w:rPr>
          <w:rFonts w:ascii="Times New Roman" w:hAnsi="Times New Roman"/>
          <w:b/>
          <w:i/>
          <w:color w:val="000000" w:themeColor="text1"/>
        </w:rPr>
        <w:t>(d) All provisions of this Article applicable to</w:t>
      </w:r>
      <w:r w:rsidRPr="00B65115">
        <w:rPr>
          <w:rFonts w:ascii="Times New Roman" w:hAnsi="Times New Roman"/>
          <w:b/>
          <w:bCs/>
          <w:i/>
          <w:color w:val="000000" w:themeColor="text1"/>
        </w:rPr>
        <w:t xml:space="preserve"> a publicly-owned Electric Distribution Utility shall be applicable to the California Department of Water Resources for the State Water Project </w:t>
      </w:r>
      <w:r w:rsidRPr="00B65115">
        <w:rPr>
          <w:rFonts w:ascii="Times New Roman" w:hAnsi="Times New Roman"/>
          <w:b/>
          <w:i/>
          <w:color w:val="000000" w:themeColor="text1"/>
        </w:rPr>
        <w:t xml:space="preserve">pumping load reported under article 2, section 95111(e), </w:t>
      </w:r>
      <w:proofErr w:type="gramStart"/>
      <w:r w:rsidRPr="00B65115">
        <w:rPr>
          <w:rFonts w:ascii="Times New Roman" w:hAnsi="Times New Roman"/>
          <w:b/>
          <w:i/>
          <w:color w:val="000000" w:themeColor="text1"/>
        </w:rPr>
        <w:t>title</w:t>
      </w:r>
      <w:proofErr w:type="gramEnd"/>
      <w:r w:rsidRPr="00B65115">
        <w:rPr>
          <w:rFonts w:ascii="Times New Roman" w:hAnsi="Times New Roman"/>
          <w:b/>
          <w:i/>
          <w:color w:val="000000" w:themeColor="text1"/>
        </w:rPr>
        <w:t xml:space="preserve"> 17, Greenhouse Gas Emissions Data Report.</w:t>
      </w:r>
    </w:p>
    <w:p w:rsidR="00CC327F" w:rsidRPr="00B65115" w:rsidRDefault="00CC327F" w:rsidP="00CC327F">
      <w:pPr>
        <w:ind w:right="1440"/>
        <w:rPr>
          <w:rFonts w:ascii="Times New Roman" w:hAnsi="Times New Roman"/>
          <w:color w:val="000000" w:themeColor="text1"/>
        </w:rPr>
      </w:pPr>
    </w:p>
    <w:p w:rsidR="00CC327F" w:rsidRPr="00B715F7" w:rsidRDefault="00CC327F" w:rsidP="00CC327F">
      <w:pPr>
        <w:widowControl w:val="0"/>
        <w:numPr>
          <w:ilvl w:val="0"/>
          <w:numId w:val="6"/>
        </w:numPr>
        <w:suppressAutoHyphens/>
        <w:overflowPunct w:val="0"/>
        <w:adjustRightInd w:val="0"/>
        <w:rPr>
          <w:rFonts w:ascii="Times New Roman" w:hAnsi="Times New Roman"/>
        </w:rPr>
      </w:pPr>
      <w:r w:rsidRPr="00B715F7">
        <w:rPr>
          <w:rFonts w:ascii="Times New Roman" w:hAnsi="Times New Roman"/>
          <w:b/>
          <w:bCs/>
          <w:u w:val="single"/>
        </w:rPr>
        <w:t>Conclusion</w:t>
      </w:r>
    </w:p>
    <w:p w:rsidR="00CC327F" w:rsidRPr="00B715F7" w:rsidRDefault="00CC327F" w:rsidP="00CC327F">
      <w:pPr>
        <w:ind w:right="1440"/>
        <w:rPr>
          <w:rFonts w:ascii="Times New Roman" w:hAnsi="Times New Roman"/>
        </w:rPr>
      </w:pPr>
    </w:p>
    <w:p w:rsidR="00CC327F" w:rsidRDefault="00CC327F" w:rsidP="00CC327F">
      <w:pPr>
        <w:ind w:firstLine="720"/>
        <w:rPr>
          <w:rFonts w:ascii="Times New Roman" w:hAnsi="Times New Roman"/>
          <w:b/>
          <w:color w:val="221E1F"/>
        </w:rPr>
      </w:pPr>
      <w:r w:rsidRPr="00B715F7">
        <w:rPr>
          <w:rFonts w:ascii="Times New Roman" w:hAnsi="Times New Roman"/>
          <w:color w:val="221E1F"/>
        </w:rPr>
        <w:t>ARB recognizes that EDUs are “best situated to use allowance value for their ratepayers” and that EDUs are making large investments in order to achieve emission reductions.</w:t>
      </w:r>
      <w:r w:rsidRPr="00B715F7">
        <w:rPr>
          <w:rStyle w:val="FootnoteReference"/>
          <w:color w:val="221E1F"/>
        </w:rPr>
        <w:footnoteReference w:id="26"/>
      </w:r>
      <w:r w:rsidRPr="00B715F7">
        <w:rPr>
          <w:rFonts w:ascii="Times New Roman" w:hAnsi="Times New Roman"/>
          <w:color w:val="221E1F"/>
        </w:rPr>
        <w:t xml:space="preserve"> </w:t>
      </w:r>
      <w:r>
        <w:rPr>
          <w:rFonts w:ascii="Times New Roman" w:hAnsi="Times New Roman"/>
          <w:color w:val="221E1F"/>
        </w:rPr>
        <w:t>The proposed regulations therefore</w:t>
      </w:r>
      <w:r w:rsidRPr="00B715F7">
        <w:rPr>
          <w:rFonts w:ascii="Times New Roman" w:hAnsi="Times New Roman"/>
          <w:color w:val="221E1F"/>
        </w:rPr>
        <w:t xml:space="preserve"> recommend that allowances be freely distributed to EDUs to: (1) support policies and programs for “reducing GHG emissions from the electricity sector” and (2) ensure that ratepayers “do not experience sudden increases” in their bills “associated with the pricing of carbon emissions in a cap-and-trade program.”</w:t>
      </w:r>
      <w:r w:rsidRPr="00B715F7">
        <w:rPr>
          <w:rStyle w:val="FootnoteReference"/>
          <w:color w:val="221E1F"/>
        </w:rPr>
        <w:footnoteReference w:id="27"/>
      </w:r>
      <w:r w:rsidRPr="00B715F7">
        <w:rPr>
          <w:rFonts w:ascii="Times New Roman" w:hAnsi="Times New Roman"/>
          <w:color w:val="221E1F"/>
        </w:rPr>
        <w:t xml:space="preserve"> As stated above, DWR is best situated to use allowance value for the benefit of</w:t>
      </w:r>
      <w:r>
        <w:rPr>
          <w:rFonts w:ascii="Times New Roman" w:hAnsi="Times New Roman"/>
          <w:color w:val="221E1F"/>
        </w:rPr>
        <w:t xml:space="preserve"> water</w:t>
      </w:r>
      <w:r w:rsidRPr="00B715F7">
        <w:rPr>
          <w:rFonts w:ascii="Times New Roman" w:hAnsi="Times New Roman"/>
          <w:color w:val="221E1F"/>
        </w:rPr>
        <w:t xml:space="preserve"> ratepayers who will be incurring the cost of carbon from DWR’s “electricity sector” emissions. </w:t>
      </w:r>
      <w:r>
        <w:rPr>
          <w:rFonts w:ascii="Times New Roman" w:hAnsi="Times New Roman"/>
          <w:color w:val="221E1F"/>
        </w:rPr>
        <w:t>L</w:t>
      </w:r>
      <w:r w:rsidRPr="00B715F7">
        <w:rPr>
          <w:rFonts w:ascii="Times New Roman" w:hAnsi="Times New Roman"/>
          <w:color w:val="221E1F"/>
        </w:rPr>
        <w:t xml:space="preserve">ike EDUs, DWR will use this value to: (1) reduce emissions through its Sustainability Plan and (2) reduce the costs experienced by ratepayers associated with the cap-and-trade program. The same logic and policy for distributing allowances to EDUs also applies to DWR and the SWP. </w:t>
      </w:r>
    </w:p>
    <w:p w:rsidR="00CC327F" w:rsidRDefault="00CC327F" w:rsidP="00CC327F">
      <w:pPr>
        <w:rPr>
          <w:rFonts w:ascii="Times New Roman" w:hAnsi="Times New Roman"/>
          <w:b/>
          <w:color w:val="221E1F"/>
        </w:rPr>
      </w:pPr>
      <w:r>
        <w:rPr>
          <w:rFonts w:ascii="Times New Roman" w:hAnsi="Times New Roman"/>
          <w:b/>
          <w:color w:val="221E1F"/>
        </w:rPr>
        <w:br w:type="page"/>
      </w:r>
    </w:p>
    <w:p w:rsidR="0069060F" w:rsidRDefault="0069060F" w:rsidP="0069060F">
      <w:pPr>
        <w:ind w:firstLine="720"/>
        <w:rPr>
          <w:rFonts w:ascii="Times New Roman" w:hAnsi="Times New Roman"/>
          <w:b/>
          <w:color w:val="221E1F"/>
        </w:rPr>
      </w:pPr>
    </w:p>
    <w:p w:rsidR="00CC327F" w:rsidRDefault="0069060F" w:rsidP="0069060F">
      <w:pPr>
        <w:ind w:firstLine="720"/>
        <w:rPr>
          <w:rFonts w:ascii="Times New Roman" w:hAnsi="Times New Roman"/>
          <w:b/>
          <w:color w:val="221E1F"/>
        </w:rPr>
      </w:pPr>
      <w:r w:rsidRPr="00B715F7">
        <w:rPr>
          <w:rFonts w:ascii="Times New Roman" w:hAnsi="Times New Roman"/>
          <w:b/>
          <w:color w:val="221E1F"/>
        </w:rPr>
        <w:t xml:space="preserve">Therefore, DWR should be allocated free allowances for the benefit of the SWP.  If DWR does not receive the allowances, </w:t>
      </w:r>
      <w:r w:rsidR="00CC327F" w:rsidRPr="00B715F7">
        <w:rPr>
          <w:rFonts w:ascii="Times New Roman" w:hAnsi="Times New Roman"/>
          <w:b/>
          <w:color w:val="221E1F"/>
        </w:rPr>
        <w:t xml:space="preserve">equitable treatment can only be ensured </w:t>
      </w:r>
      <w:r w:rsidR="00CC327F">
        <w:rPr>
          <w:rFonts w:ascii="Times New Roman" w:hAnsi="Times New Roman"/>
          <w:b/>
          <w:color w:val="221E1F"/>
        </w:rPr>
        <w:t>by excluding</w:t>
      </w:r>
      <w:r w:rsidR="00CC327F" w:rsidRPr="00B715F7">
        <w:rPr>
          <w:rFonts w:ascii="Times New Roman" w:hAnsi="Times New Roman"/>
          <w:b/>
          <w:color w:val="221E1F"/>
        </w:rPr>
        <w:t xml:space="preserve"> DWR from the list of Covered Entities.</w:t>
      </w:r>
    </w:p>
    <w:p w:rsidR="00CC327F" w:rsidRDefault="00CC327F" w:rsidP="00CC327F">
      <w:pPr>
        <w:rPr>
          <w:rFonts w:ascii="Times New Roman" w:hAnsi="Times New Roman"/>
          <w:b/>
          <w:color w:val="221E1F"/>
        </w:rPr>
      </w:pPr>
    </w:p>
    <w:p w:rsidR="00CC327F" w:rsidRPr="00B65115" w:rsidRDefault="00CC327F" w:rsidP="00CC327F">
      <w:pPr>
        <w:rPr>
          <w:rFonts w:ascii="Times New Roman" w:hAnsi="Times New Roman"/>
          <w:color w:val="221E1F"/>
        </w:rPr>
      </w:pPr>
      <w:r w:rsidRPr="00B65115">
        <w:rPr>
          <w:rFonts w:ascii="Times New Roman" w:hAnsi="Times New Roman"/>
          <w:color w:val="221E1F"/>
        </w:rPr>
        <w:t>Sincerely,</w:t>
      </w:r>
    </w:p>
    <w:p w:rsidR="00CC327F" w:rsidRPr="00B65115" w:rsidRDefault="002C044A" w:rsidP="00CC327F">
      <w:pPr>
        <w:rPr>
          <w:rFonts w:ascii="Times New Roman" w:hAnsi="Times New Roman"/>
          <w:color w:val="221E1F"/>
        </w:rPr>
      </w:pPr>
      <w:r>
        <w:rPr>
          <w:noProof/>
        </w:rPr>
        <w:drawing>
          <wp:inline distT="0" distB="0" distL="0" distR="0">
            <wp:extent cx="1285240" cy="55181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srcRect/>
                    <a:stretch>
                      <a:fillRect/>
                    </a:stretch>
                  </pic:blipFill>
                  <pic:spPr bwMode="auto">
                    <a:xfrm>
                      <a:off x="0" y="0"/>
                      <a:ext cx="1285240" cy="551815"/>
                    </a:xfrm>
                    <a:prstGeom prst="rect">
                      <a:avLst/>
                    </a:prstGeom>
                    <a:noFill/>
                    <a:ln w="9525">
                      <a:noFill/>
                      <a:miter lim="800000"/>
                      <a:headEnd/>
                      <a:tailEnd/>
                    </a:ln>
                  </pic:spPr>
                </pic:pic>
              </a:graphicData>
            </a:graphic>
          </wp:inline>
        </w:drawing>
      </w:r>
    </w:p>
    <w:p w:rsidR="00CC327F" w:rsidRDefault="00CC327F" w:rsidP="00CC327F">
      <w:pPr>
        <w:rPr>
          <w:rFonts w:ascii="Times New Roman" w:hAnsi="Times New Roman"/>
          <w:color w:val="221E1F"/>
        </w:rPr>
      </w:pPr>
      <w:r w:rsidRPr="00B65115">
        <w:rPr>
          <w:rFonts w:ascii="Times New Roman" w:hAnsi="Times New Roman"/>
          <w:color w:val="221E1F"/>
        </w:rPr>
        <w:t>Terry Erlewine</w:t>
      </w:r>
    </w:p>
    <w:p w:rsidR="0069060F" w:rsidRDefault="00CC327F" w:rsidP="00CC327F">
      <w:pPr>
        <w:rPr>
          <w:rFonts w:ascii="Times New Roman" w:hAnsi="Times New Roman"/>
          <w:color w:val="221E1F"/>
        </w:rPr>
      </w:pPr>
      <w:r>
        <w:rPr>
          <w:rFonts w:ascii="Times New Roman" w:hAnsi="Times New Roman"/>
          <w:color w:val="221E1F"/>
        </w:rPr>
        <w:t xml:space="preserve">General Manager </w:t>
      </w:r>
    </w:p>
    <w:p w:rsidR="00CC327F" w:rsidRPr="00B65115" w:rsidRDefault="00CC327F" w:rsidP="00CC327F">
      <w:pPr>
        <w:rPr>
          <w:rFonts w:ascii="Times New Roman" w:hAnsi="Times New Roman"/>
        </w:rPr>
      </w:pPr>
      <w:r>
        <w:rPr>
          <w:rFonts w:ascii="Times New Roman" w:hAnsi="Times New Roman"/>
          <w:color w:val="221E1F"/>
        </w:rPr>
        <w:t>State Water Contractors</w:t>
      </w:r>
    </w:p>
    <w:p w:rsidR="00E0320C" w:rsidRPr="00787DC3" w:rsidRDefault="00E0320C" w:rsidP="00CC327F">
      <w:pPr>
        <w:pStyle w:val="Default"/>
        <w:ind w:firstLine="720"/>
        <w:rPr>
          <w:rFonts w:ascii="Times New Roman" w:hAnsi="Times New Roman"/>
        </w:rPr>
      </w:pPr>
    </w:p>
    <w:sectPr w:rsidR="00E0320C" w:rsidRPr="00787DC3" w:rsidSect="00AF4B29">
      <w:headerReference w:type="default" r:id="rId11"/>
      <w:footerReference w:type="default" r:id="rId12"/>
      <w:footnotePr>
        <w:numStart w:val="2"/>
      </w:footnotePr>
      <w:type w:val="continuous"/>
      <w:pgSz w:w="12240" w:h="15840"/>
      <w:pgMar w:top="504" w:right="1080" w:bottom="360" w:left="1080" w:header="720" w:footer="720" w:gutter="0"/>
      <w:pgNumType w:start="2"/>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2EFC" w:rsidRDefault="007D2EFC">
      <w:r>
        <w:separator/>
      </w:r>
    </w:p>
  </w:endnote>
  <w:endnote w:type="continuationSeparator" w:id="0">
    <w:p w:rsidR="007D2EFC" w:rsidRDefault="007D2EF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Univers 57 Condense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AFF" w:usb1="C000605B" w:usb2="00000029" w:usb3="00000000" w:csb0="0001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7E" w:rsidRDefault="001535A6" w:rsidP="00F86567">
    <w:pPr>
      <w:pStyle w:val="Footer"/>
      <w:framePr w:wrap="around" w:vAnchor="text" w:hAnchor="margin" w:xAlign="center" w:y="1"/>
      <w:rPr>
        <w:rStyle w:val="PageNumber"/>
      </w:rPr>
    </w:pPr>
    <w:r>
      <w:rPr>
        <w:rStyle w:val="PageNumber"/>
      </w:rPr>
      <w:fldChar w:fldCharType="begin"/>
    </w:r>
    <w:r w:rsidR="00C41A7E">
      <w:rPr>
        <w:rStyle w:val="PageNumber"/>
      </w:rPr>
      <w:instrText xml:space="preserve">PAGE  </w:instrText>
    </w:r>
    <w:r>
      <w:rPr>
        <w:rStyle w:val="PageNumber"/>
      </w:rPr>
      <w:fldChar w:fldCharType="end"/>
    </w:r>
  </w:p>
  <w:p w:rsidR="00C41A7E" w:rsidRDefault="00C41A7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194969"/>
      <w:docPartObj>
        <w:docPartGallery w:val="Page Numbers (Bottom of Page)"/>
        <w:docPartUnique/>
      </w:docPartObj>
    </w:sdtPr>
    <w:sdtEndPr>
      <w:rPr>
        <w:sz w:val="22"/>
        <w:szCs w:val="22"/>
      </w:rPr>
    </w:sdtEndPr>
    <w:sdtContent>
      <w:p w:rsidR="00C41A7E" w:rsidRDefault="001535A6">
        <w:pPr>
          <w:pStyle w:val="Footer"/>
          <w:jc w:val="center"/>
        </w:pPr>
        <w:r w:rsidRPr="00AF4B29">
          <w:rPr>
            <w:sz w:val="22"/>
            <w:szCs w:val="22"/>
          </w:rPr>
          <w:fldChar w:fldCharType="begin"/>
        </w:r>
        <w:r w:rsidR="00C41A7E" w:rsidRPr="00AF4B29">
          <w:rPr>
            <w:sz w:val="22"/>
            <w:szCs w:val="22"/>
          </w:rPr>
          <w:instrText xml:space="preserve"> PAGE   \* MERGEFORMAT </w:instrText>
        </w:r>
        <w:r w:rsidRPr="00AF4B29">
          <w:rPr>
            <w:sz w:val="22"/>
            <w:szCs w:val="22"/>
          </w:rPr>
          <w:fldChar w:fldCharType="separate"/>
        </w:r>
        <w:r w:rsidR="00244056">
          <w:rPr>
            <w:noProof/>
            <w:sz w:val="22"/>
            <w:szCs w:val="22"/>
          </w:rPr>
          <w:t>2</w:t>
        </w:r>
        <w:r w:rsidRPr="00AF4B29">
          <w:rPr>
            <w:sz w:val="22"/>
            <w:szCs w:val="22"/>
          </w:rPr>
          <w:fldChar w:fldCharType="end"/>
        </w:r>
      </w:p>
    </w:sdtContent>
  </w:sdt>
  <w:p w:rsidR="00C41A7E" w:rsidRDefault="00C41A7E" w:rsidP="00AF4B2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2EFC" w:rsidRDefault="007D2EFC">
      <w:r>
        <w:separator/>
      </w:r>
    </w:p>
  </w:footnote>
  <w:footnote w:type="continuationSeparator" w:id="0">
    <w:p w:rsidR="007D2EFC" w:rsidRDefault="007D2EFC">
      <w:r>
        <w:continuationSeparator/>
      </w:r>
    </w:p>
  </w:footnote>
  <w:footnote w:id="1">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Proposed Regulation (“PR”) § 95802(a</w:t>
      </w:r>
      <w:proofErr w:type="gramStart"/>
      <w:r w:rsidRPr="0069060F">
        <w:rPr>
          <w:rFonts w:ascii="Times New Roman" w:hAnsi="Times New Roman"/>
          <w:sz w:val="20"/>
        </w:rPr>
        <w:t>)(</w:t>
      </w:r>
      <w:proofErr w:type="gramEnd"/>
      <w:r w:rsidRPr="0069060F">
        <w:rPr>
          <w:rFonts w:ascii="Times New Roman" w:hAnsi="Times New Roman"/>
          <w:sz w:val="20"/>
        </w:rPr>
        <w:t>59), (a)(71).</w:t>
      </w:r>
    </w:p>
  </w:footnote>
  <w:footnote w:id="2">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PR § (95850(a).</w:t>
      </w:r>
      <w:proofErr w:type="gramEnd"/>
    </w:p>
  </w:footnote>
  <w:footnote w:id="3">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PR §§ 95811(a)-(b), 95812(b</w:t>
      </w:r>
      <w:proofErr w:type="gramStart"/>
      <w:r w:rsidRPr="0069060F">
        <w:rPr>
          <w:rFonts w:ascii="Times New Roman" w:hAnsi="Times New Roman"/>
          <w:sz w:val="20"/>
        </w:rPr>
        <w:t>)(</w:t>
      </w:r>
      <w:proofErr w:type="gramEnd"/>
      <w:r w:rsidRPr="0069060F">
        <w:rPr>
          <w:rFonts w:ascii="Times New Roman" w:hAnsi="Times New Roman"/>
          <w:sz w:val="20"/>
        </w:rPr>
        <w:t>2).</w:t>
      </w:r>
    </w:p>
  </w:footnote>
  <w:footnote w:id="4">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PR § 95802(a</w:t>
      </w:r>
      <w:proofErr w:type="gramStart"/>
      <w:r w:rsidRPr="0069060F">
        <w:rPr>
          <w:rFonts w:ascii="Times New Roman" w:hAnsi="Times New Roman"/>
          <w:sz w:val="20"/>
        </w:rPr>
        <w:t>)(</w:t>
      </w:r>
      <w:proofErr w:type="gramEnd"/>
      <w:r w:rsidRPr="0069060F">
        <w:rPr>
          <w:rFonts w:ascii="Times New Roman" w:hAnsi="Times New Roman"/>
          <w:sz w:val="20"/>
        </w:rPr>
        <w:t>44).</w:t>
      </w:r>
    </w:p>
  </w:footnote>
  <w:footnote w:id="5">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ISOR, Appx E at 5 (emphasis added).</w:t>
      </w:r>
    </w:p>
  </w:footnote>
  <w:footnote w:id="6">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ISOR, Appx E at 5, 6.</w:t>
      </w:r>
      <w:proofErr w:type="gramEnd"/>
    </w:p>
  </w:footnote>
  <w:footnote w:id="7">
    <w:p w:rsidR="00C41A7E" w:rsidRPr="0069060F" w:rsidRDefault="00C41A7E" w:rsidP="0069060F">
      <w:pPr>
        <w:pStyle w:val="FootnoteText"/>
        <w:spacing w:before="120"/>
        <w:ind w:left="810" w:right="0" w:hanging="9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Electricity Sector Allowance Allocation Recommendation Paper for Conference with Chair Nichols, November 30, 2010 (“Recommendation Paper”)</w:t>
      </w:r>
      <w:r w:rsidRPr="0069060F">
        <w:rPr>
          <w:rFonts w:ascii="Times New Roman" w:hAnsi="Times New Roman"/>
          <w:color w:val="221E1F"/>
          <w:sz w:val="20"/>
        </w:rPr>
        <w:t>.</w:t>
      </w:r>
      <w:proofErr w:type="gramEnd"/>
    </w:p>
  </w:footnote>
  <w:footnote w:id="8">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ISOR Appx E at 7.</w:t>
      </w:r>
      <w:proofErr w:type="gramEnd"/>
    </w:p>
  </w:footnote>
  <w:footnote w:id="9">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ISOR Appx J at 6.</w:t>
      </w:r>
      <w:proofErr w:type="gramEnd"/>
    </w:p>
  </w:footnote>
  <w:footnote w:id="10">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ISOR Appx J at 7 (emphasis added).</w:t>
      </w:r>
    </w:p>
  </w:footnote>
  <w:footnote w:id="11">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ISOR Appx J at 7.</w:t>
      </w:r>
      <w:proofErr w:type="gramEnd"/>
    </w:p>
  </w:footnote>
  <w:footnote w:id="12">
    <w:p w:rsidR="00C41A7E" w:rsidRPr="0069060F" w:rsidRDefault="00C41A7E" w:rsidP="00CC327F">
      <w:pPr>
        <w:pStyle w:val="FootnoteText"/>
        <w:spacing w:before="120"/>
        <w:rPr>
          <w:rFonts w:ascii="Times New Roman" w:hAnsi="Times New Roman"/>
          <w:sz w:val="20"/>
        </w:rPr>
      </w:pPr>
      <w:r w:rsidRPr="0069060F">
        <w:rPr>
          <w:rStyle w:val="FootnoteReference"/>
          <w:sz w:val="20"/>
        </w:rPr>
        <w:footnoteRef/>
      </w:r>
      <w:r w:rsidRPr="0069060F">
        <w:rPr>
          <w:rFonts w:ascii="Times New Roman" w:hAnsi="Times New Roman"/>
          <w:sz w:val="20"/>
        </w:rPr>
        <w:t xml:space="preserve"> </w:t>
      </w:r>
      <w:proofErr w:type="gramStart"/>
      <w:r w:rsidRPr="0069060F">
        <w:rPr>
          <w:rFonts w:ascii="Times New Roman" w:hAnsi="Times New Roman"/>
          <w:sz w:val="20"/>
        </w:rPr>
        <w:t xml:space="preserve">ISOR </w:t>
      </w:r>
      <w:r w:rsidRPr="0069060F">
        <w:rPr>
          <w:rFonts w:ascii="Times New Roman" w:hAnsi="Times New Roman"/>
          <w:color w:val="221E1F"/>
          <w:sz w:val="20"/>
        </w:rPr>
        <w:t>Appx J at 9.</w:t>
      </w:r>
      <w:proofErr w:type="gramEnd"/>
    </w:p>
  </w:footnote>
  <w:footnote w:id="13">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7.</w:t>
      </w:r>
      <w:proofErr w:type="gramEnd"/>
    </w:p>
  </w:footnote>
  <w:footnote w:id="14">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10.</w:t>
      </w:r>
      <w:proofErr w:type="gramEnd"/>
    </w:p>
  </w:footnote>
  <w:footnote w:id="15">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10.</w:t>
      </w:r>
      <w:proofErr w:type="gramEnd"/>
    </w:p>
  </w:footnote>
  <w:footnote w:id="16">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r>
        <w:rPr>
          <w:rFonts w:ascii="Times New Roman" w:hAnsi="Times New Roman"/>
        </w:rPr>
        <w:t xml:space="preserve">PR § </w:t>
      </w:r>
      <w:r w:rsidRPr="008D0954">
        <w:rPr>
          <w:rFonts w:ascii="Times New Roman" w:hAnsi="Times New Roman"/>
          <w:color w:val="221E1F"/>
        </w:rPr>
        <w:t>95870(c</w:t>
      </w:r>
      <w:proofErr w:type="gramStart"/>
      <w:r w:rsidRPr="008D0954">
        <w:rPr>
          <w:rFonts w:ascii="Times New Roman" w:hAnsi="Times New Roman"/>
          <w:color w:val="221E1F"/>
        </w:rPr>
        <w:t>)(</w:t>
      </w:r>
      <w:proofErr w:type="gramEnd"/>
      <w:r w:rsidRPr="008D0954">
        <w:rPr>
          <w:rFonts w:ascii="Times New Roman" w:hAnsi="Times New Roman"/>
          <w:color w:val="221E1F"/>
        </w:rPr>
        <w:t xml:space="preserve">1); </w:t>
      </w:r>
      <w:r>
        <w:rPr>
          <w:rFonts w:ascii="Times New Roman" w:hAnsi="Times New Roman"/>
          <w:color w:val="221E1F"/>
        </w:rPr>
        <w:t xml:space="preserve">ISOR </w:t>
      </w:r>
      <w:r w:rsidRPr="008D0954">
        <w:rPr>
          <w:rFonts w:ascii="Times New Roman" w:hAnsi="Times New Roman"/>
          <w:color w:val="221E1F"/>
        </w:rPr>
        <w:t>Appx J at 11, 15, 55-61.</w:t>
      </w:r>
    </w:p>
  </w:footnote>
  <w:footnote w:id="17">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15.</w:t>
      </w:r>
      <w:proofErr w:type="gramEnd"/>
    </w:p>
  </w:footnote>
  <w:footnote w:id="18">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16.</w:t>
      </w:r>
      <w:proofErr w:type="gramEnd"/>
    </w:p>
  </w:footnote>
  <w:footnote w:id="19">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PR § </w:t>
      </w:r>
      <w:r w:rsidRPr="008D0954">
        <w:rPr>
          <w:rFonts w:ascii="Times New Roman" w:hAnsi="Times New Roman"/>
          <w:color w:val="221E1F"/>
        </w:rPr>
        <w:t xml:space="preserve">95890(b); </w:t>
      </w:r>
      <w:r>
        <w:rPr>
          <w:rFonts w:ascii="Times New Roman" w:hAnsi="Times New Roman"/>
          <w:color w:val="221E1F"/>
        </w:rPr>
        <w:t xml:space="preserve">ISOR </w:t>
      </w:r>
      <w:r w:rsidRPr="008D0954">
        <w:rPr>
          <w:rFonts w:ascii="Times New Roman" w:hAnsi="Times New Roman"/>
          <w:color w:val="221E1F"/>
        </w:rPr>
        <w:t>Appx J at 16.</w:t>
      </w:r>
      <w:proofErr w:type="gramEnd"/>
    </w:p>
  </w:footnote>
  <w:footnote w:id="20">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11, 15.</w:t>
      </w:r>
      <w:proofErr w:type="gramEnd"/>
    </w:p>
  </w:footnote>
  <w:footnote w:id="21">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17.</w:t>
      </w:r>
      <w:proofErr w:type="gramEnd"/>
    </w:p>
  </w:footnote>
  <w:footnote w:id="22">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r>
        <w:rPr>
          <w:rFonts w:ascii="Times New Roman" w:hAnsi="Times New Roman"/>
        </w:rPr>
        <w:t xml:space="preserve">PR § </w:t>
      </w:r>
      <w:r w:rsidRPr="008D0954">
        <w:rPr>
          <w:rFonts w:ascii="Times New Roman" w:hAnsi="Times New Roman"/>
          <w:color w:val="221E1F"/>
        </w:rPr>
        <w:t xml:space="preserve">95892; </w:t>
      </w:r>
      <w:r>
        <w:rPr>
          <w:rFonts w:ascii="Times New Roman" w:hAnsi="Times New Roman"/>
          <w:color w:val="221E1F"/>
        </w:rPr>
        <w:t>ISOR Appx J at 17 (emphasis added).</w:t>
      </w:r>
    </w:p>
  </w:footnote>
  <w:footnote w:id="23">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PR § </w:t>
      </w:r>
      <w:r w:rsidRPr="008D0954">
        <w:rPr>
          <w:rFonts w:ascii="Times New Roman" w:hAnsi="Times New Roman"/>
          <w:color w:val="221E1F"/>
        </w:rPr>
        <w:t xml:space="preserve">95892(d); </w:t>
      </w:r>
      <w:r>
        <w:rPr>
          <w:rFonts w:ascii="Times New Roman" w:hAnsi="Times New Roman"/>
          <w:color w:val="221E1F"/>
        </w:rPr>
        <w:t xml:space="preserve">ISOR </w:t>
      </w:r>
      <w:r w:rsidRPr="008D0954">
        <w:rPr>
          <w:rFonts w:ascii="Times New Roman" w:hAnsi="Times New Roman"/>
          <w:color w:val="221E1F"/>
        </w:rPr>
        <w:t>Appx J at 17, 18.</w:t>
      </w:r>
      <w:proofErr w:type="gramEnd"/>
    </w:p>
  </w:footnote>
  <w:footnote w:id="24">
    <w:p w:rsidR="00C41A7E" w:rsidRPr="008D0954" w:rsidRDefault="00C41A7E" w:rsidP="00CC327F">
      <w:pPr>
        <w:pStyle w:val="FootnoteText"/>
        <w:spacing w:before="120"/>
        <w:rPr>
          <w:rFonts w:ascii="Times New Roman" w:hAnsi="Times New Roman"/>
        </w:rPr>
      </w:pPr>
      <w:r w:rsidRPr="008D0954">
        <w:rPr>
          <w:rStyle w:val="FootnoteReference"/>
        </w:rPr>
        <w:footnoteRef/>
      </w:r>
      <w:r w:rsidRPr="008D0954">
        <w:rPr>
          <w:rFonts w:ascii="Times New Roman" w:hAnsi="Times New Roman"/>
        </w:rPr>
        <w:t xml:space="preserve"> </w:t>
      </w:r>
      <w:proofErr w:type="gramStart"/>
      <w:r>
        <w:rPr>
          <w:rFonts w:ascii="Times New Roman" w:hAnsi="Times New Roman"/>
        </w:rPr>
        <w:t xml:space="preserve">ISOR </w:t>
      </w:r>
      <w:r w:rsidRPr="008D0954">
        <w:rPr>
          <w:rFonts w:ascii="Times New Roman" w:hAnsi="Times New Roman"/>
          <w:color w:val="221E1F"/>
        </w:rPr>
        <w:t>Appx J at 55.</w:t>
      </w:r>
      <w:proofErr w:type="gramEnd"/>
    </w:p>
  </w:footnote>
  <w:footnote w:id="25">
    <w:p w:rsidR="00C41A7E" w:rsidRPr="00E0281E" w:rsidRDefault="00C41A7E" w:rsidP="0024405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20"/>
        <w:ind w:left="720"/>
        <w:rPr>
          <w:rFonts w:ascii="Times New Roman" w:hAnsi="Times New Roman"/>
        </w:rPr>
      </w:pPr>
      <w:r w:rsidRPr="00E0281E">
        <w:rPr>
          <w:rStyle w:val="FootnoteReference"/>
          <w:sz w:val="20"/>
          <w:szCs w:val="20"/>
        </w:rPr>
        <w:footnoteRef/>
      </w:r>
      <w:r w:rsidRPr="00E0281E">
        <w:rPr>
          <w:rFonts w:ascii="Times New Roman" w:hAnsi="Times New Roman"/>
          <w:sz w:val="20"/>
          <w:szCs w:val="20"/>
        </w:rPr>
        <w:t xml:space="preserve"> DWR has other statutory obligations for reducing emissions besides those listed in AB 32. California Water Code § 142(a) states that “[i]In order to reduce greenhouse gas emissions associated with water and energy usage, on and after January 1, 2008, the department shall do all of the following: . . . (2) Use reasonable, feasible, and cost-effective efforts to use energy </w:t>
      </w:r>
      <w:proofErr w:type="gramStart"/>
      <w:r w:rsidRPr="00E0281E">
        <w:rPr>
          <w:rFonts w:ascii="Times New Roman" w:hAnsi="Times New Roman"/>
          <w:sz w:val="20"/>
          <w:szCs w:val="20"/>
        </w:rPr>
        <w:t>efficiently,</w:t>
      </w:r>
      <w:proofErr w:type="gramEnd"/>
      <w:r w:rsidRPr="00E0281E">
        <w:rPr>
          <w:rFonts w:ascii="Times New Roman" w:hAnsi="Times New Roman"/>
          <w:sz w:val="20"/>
          <w:szCs w:val="20"/>
        </w:rPr>
        <w:t xml:space="preserve"> and to increase use of renewable energy in the department's water operations . . . .”</w:t>
      </w:r>
    </w:p>
  </w:footnote>
  <w:footnote w:id="26">
    <w:p w:rsidR="00C41A7E" w:rsidRPr="00831402" w:rsidRDefault="00C41A7E" w:rsidP="00CC327F">
      <w:pPr>
        <w:pStyle w:val="FootnoteText"/>
        <w:spacing w:before="120"/>
        <w:rPr>
          <w:rFonts w:ascii="Times New Roman" w:hAnsi="Times New Roman"/>
        </w:rPr>
      </w:pPr>
      <w:r w:rsidRPr="00831402">
        <w:rPr>
          <w:rStyle w:val="FootnoteReference"/>
        </w:rPr>
        <w:footnoteRef/>
      </w:r>
      <w:r>
        <w:rPr>
          <w:rFonts w:ascii="Times New Roman" w:hAnsi="Times New Roman"/>
        </w:rPr>
        <w:t xml:space="preserve"> </w:t>
      </w:r>
      <w:proofErr w:type="gramStart"/>
      <w:r>
        <w:rPr>
          <w:rFonts w:ascii="Times New Roman" w:hAnsi="Times New Roman"/>
        </w:rPr>
        <w:t xml:space="preserve">Recommendation </w:t>
      </w:r>
      <w:r w:rsidRPr="00831402">
        <w:rPr>
          <w:rFonts w:ascii="Times New Roman" w:hAnsi="Times New Roman"/>
        </w:rPr>
        <w:t>Paper at 2.</w:t>
      </w:r>
      <w:proofErr w:type="gramEnd"/>
    </w:p>
  </w:footnote>
  <w:footnote w:id="27">
    <w:p w:rsidR="00C41A7E" w:rsidRDefault="00C41A7E" w:rsidP="00CC327F">
      <w:pPr>
        <w:pStyle w:val="FootnoteText"/>
        <w:spacing w:before="120"/>
      </w:pPr>
      <w:r w:rsidRPr="00831402">
        <w:rPr>
          <w:rStyle w:val="FootnoteReference"/>
        </w:rPr>
        <w:footnoteRef/>
      </w:r>
      <w:r w:rsidRPr="00831402">
        <w:rPr>
          <w:rFonts w:ascii="Times New Roman" w:hAnsi="Times New Roman"/>
        </w:rPr>
        <w:t xml:space="preserve"> </w:t>
      </w:r>
      <w:r w:rsidRPr="00831402">
        <w:rPr>
          <w:rFonts w:ascii="Times New Roman" w:hAnsi="Times New Roman"/>
          <w:i/>
        </w:rPr>
        <w:t>Id.</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41A7E" w:rsidRPr="00787DC3" w:rsidRDefault="00C41A7E" w:rsidP="00CD7EE4">
    <w:pPr>
      <w:rPr>
        <w:rFonts w:ascii="Times New Roman" w:hAnsi="Times New Roma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E23DF5"/>
    <w:multiLevelType w:val="hybridMultilevel"/>
    <w:tmpl w:val="3C68D4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A207912"/>
    <w:multiLevelType w:val="hybridMultilevel"/>
    <w:tmpl w:val="EB7470C0"/>
    <w:lvl w:ilvl="0" w:tplc="D51A051A">
      <w:start w:val="1"/>
      <w:numFmt w:val="decimal"/>
      <w:lvlText w:val="%1."/>
      <w:lvlJc w:val="left"/>
      <w:pPr>
        <w:ind w:left="720" w:hanging="360"/>
      </w:pPr>
      <w:rPr>
        <w:b/>
      </w:rPr>
    </w:lvl>
    <w:lvl w:ilvl="1" w:tplc="D20A428E">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664043F"/>
    <w:multiLevelType w:val="hybridMultilevel"/>
    <w:tmpl w:val="8A22A992"/>
    <w:lvl w:ilvl="0" w:tplc="5CFCB036">
      <w:start w:val="1"/>
      <w:numFmt w:val="decimal"/>
      <w:lvlText w:val="%1."/>
      <w:lvlJc w:val="left"/>
      <w:pPr>
        <w:tabs>
          <w:tab w:val="num" w:pos="810"/>
        </w:tabs>
        <w:ind w:left="810" w:hanging="45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34782513"/>
    <w:multiLevelType w:val="hybridMultilevel"/>
    <w:tmpl w:val="2C2E34C8"/>
    <w:lvl w:ilvl="0" w:tplc="156AF5F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CBC48E6"/>
    <w:multiLevelType w:val="hybridMultilevel"/>
    <w:tmpl w:val="B98222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4CF4AB6"/>
    <w:multiLevelType w:val="hybridMultilevel"/>
    <w:tmpl w:val="D2BE3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C861B22"/>
    <w:multiLevelType w:val="hybridMultilevel"/>
    <w:tmpl w:val="FA5E99E4"/>
    <w:lvl w:ilvl="0" w:tplc="D710383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FB463DD"/>
    <w:multiLevelType w:val="hybridMultilevel"/>
    <w:tmpl w:val="4540F58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5"/>
  </w:num>
  <w:num w:numId="5">
    <w:abstractNumId w:val="4"/>
  </w:num>
  <w:num w:numId="6">
    <w:abstractNumId w:val="3"/>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proofState w:spelling="clean" w:grammar="clean"/>
  <w:stylePaneFormatFilter w:val="3F01"/>
  <w:defaultTabStop w:val="720"/>
  <w:drawingGridHorizontalSpacing w:val="120"/>
  <w:displayHorizontalDrawingGridEvery w:val="2"/>
  <w:noPunctuationKerning/>
  <w:characterSpacingControl w:val="doNotCompress"/>
  <w:hdrShapeDefaults>
    <o:shapedefaults v:ext="edit" spidmax="9217"/>
  </w:hdrShapeDefaults>
  <w:footnotePr>
    <w:footnote w:id="-1"/>
    <w:footnote w:id="0"/>
  </w:footnotePr>
  <w:endnotePr>
    <w:endnote w:id="-1"/>
    <w:endnote w:id="0"/>
  </w:endnotePr>
  <w:compat/>
  <w:rsids>
    <w:rsidRoot w:val="000E5A16"/>
    <w:rsid w:val="00005606"/>
    <w:rsid w:val="00025372"/>
    <w:rsid w:val="0002638F"/>
    <w:rsid w:val="000432B0"/>
    <w:rsid w:val="00076B75"/>
    <w:rsid w:val="000E5A16"/>
    <w:rsid w:val="001161CA"/>
    <w:rsid w:val="00130368"/>
    <w:rsid w:val="001535A6"/>
    <w:rsid w:val="001B611E"/>
    <w:rsid w:val="001D0DEF"/>
    <w:rsid w:val="00206704"/>
    <w:rsid w:val="00244056"/>
    <w:rsid w:val="00267A34"/>
    <w:rsid w:val="00291BEF"/>
    <w:rsid w:val="002B7A3D"/>
    <w:rsid w:val="002C044A"/>
    <w:rsid w:val="002E3D85"/>
    <w:rsid w:val="00302BA2"/>
    <w:rsid w:val="003318F4"/>
    <w:rsid w:val="00351366"/>
    <w:rsid w:val="00362C81"/>
    <w:rsid w:val="00377014"/>
    <w:rsid w:val="003D2BC5"/>
    <w:rsid w:val="003E3EA2"/>
    <w:rsid w:val="003E5150"/>
    <w:rsid w:val="003F0602"/>
    <w:rsid w:val="004121D6"/>
    <w:rsid w:val="0043275E"/>
    <w:rsid w:val="00440915"/>
    <w:rsid w:val="00497B5F"/>
    <w:rsid w:val="004B09D9"/>
    <w:rsid w:val="004B62AB"/>
    <w:rsid w:val="004C17A7"/>
    <w:rsid w:val="004D0F8B"/>
    <w:rsid w:val="004D357C"/>
    <w:rsid w:val="004D5242"/>
    <w:rsid w:val="004D727C"/>
    <w:rsid w:val="00517B05"/>
    <w:rsid w:val="00567771"/>
    <w:rsid w:val="00583931"/>
    <w:rsid w:val="0059668C"/>
    <w:rsid w:val="006062D4"/>
    <w:rsid w:val="00613C8E"/>
    <w:rsid w:val="0061471C"/>
    <w:rsid w:val="0062012C"/>
    <w:rsid w:val="00635C09"/>
    <w:rsid w:val="00642BD5"/>
    <w:rsid w:val="0069060F"/>
    <w:rsid w:val="006D3474"/>
    <w:rsid w:val="006D5646"/>
    <w:rsid w:val="006F3A22"/>
    <w:rsid w:val="00717364"/>
    <w:rsid w:val="00736490"/>
    <w:rsid w:val="00757146"/>
    <w:rsid w:val="007800FC"/>
    <w:rsid w:val="00780B6C"/>
    <w:rsid w:val="00780E80"/>
    <w:rsid w:val="00787DC3"/>
    <w:rsid w:val="00792BAC"/>
    <w:rsid w:val="007B2C1C"/>
    <w:rsid w:val="007B6E1F"/>
    <w:rsid w:val="007B742B"/>
    <w:rsid w:val="007C70FE"/>
    <w:rsid w:val="007D2EFC"/>
    <w:rsid w:val="007E16D7"/>
    <w:rsid w:val="007E649B"/>
    <w:rsid w:val="007F474B"/>
    <w:rsid w:val="007F7BC0"/>
    <w:rsid w:val="00804C02"/>
    <w:rsid w:val="0081712B"/>
    <w:rsid w:val="00835DF7"/>
    <w:rsid w:val="00841F00"/>
    <w:rsid w:val="00850E25"/>
    <w:rsid w:val="008739A9"/>
    <w:rsid w:val="00887978"/>
    <w:rsid w:val="008970FB"/>
    <w:rsid w:val="008A54D0"/>
    <w:rsid w:val="008D6C4D"/>
    <w:rsid w:val="008E21EC"/>
    <w:rsid w:val="009064FC"/>
    <w:rsid w:val="00914510"/>
    <w:rsid w:val="009302CB"/>
    <w:rsid w:val="00941B56"/>
    <w:rsid w:val="00945F9A"/>
    <w:rsid w:val="00954100"/>
    <w:rsid w:val="00971E8E"/>
    <w:rsid w:val="00973398"/>
    <w:rsid w:val="0098523D"/>
    <w:rsid w:val="009C22E2"/>
    <w:rsid w:val="00A163DF"/>
    <w:rsid w:val="00A3234C"/>
    <w:rsid w:val="00A37A37"/>
    <w:rsid w:val="00A96193"/>
    <w:rsid w:val="00AA3D52"/>
    <w:rsid w:val="00AD588B"/>
    <w:rsid w:val="00AF4B29"/>
    <w:rsid w:val="00B01D33"/>
    <w:rsid w:val="00B1102E"/>
    <w:rsid w:val="00B2099B"/>
    <w:rsid w:val="00B2708F"/>
    <w:rsid w:val="00B358DC"/>
    <w:rsid w:val="00B53731"/>
    <w:rsid w:val="00B70B6A"/>
    <w:rsid w:val="00B8416D"/>
    <w:rsid w:val="00BA1FE3"/>
    <w:rsid w:val="00BB471C"/>
    <w:rsid w:val="00BC1EDE"/>
    <w:rsid w:val="00BC3FC2"/>
    <w:rsid w:val="00BD40DF"/>
    <w:rsid w:val="00BE5B9D"/>
    <w:rsid w:val="00C3294B"/>
    <w:rsid w:val="00C41A7E"/>
    <w:rsid w:val="00C47719"/>
    <w:rsid w:val="00CA4912"/>
    <w:rsid w:val="00CB55DA"/>
    <w:rsid w:val="00CC327F"/>
    <w:rsid w:val="00CD7EE4"/>
    <w:rsid w:val="00CE0AFC"/>
    <w:rsid w:val="00CE0BE6"/>
    <w:rsid w:val="00D07101"/>
    <w:rsid w:val="00D07399"/>
    <w:rsid w:val="00D34F86"/>
    <w:rsid w:val="00D61C7A"/>
    <w:rsid w:val="00D630F7"/>
    <w:rsid w:val="00D76F4C"/>
    <w:rsid w:val="00D842B8"/>
    <w:rsid w:val="00D95067"/>
    <w:rsid w:val="00DA609D"/>
    <w:rsid w:val="00DB5DD1"/>
    <w:rsid w:val="00E0320C"/>
    <w:rsid w:val="00E4524C"/>
    <w:rsid w:val="00E549C2"/>
    <w:rsid w:val="00E61AAA"/>
    <w:rsid w:val="00E62D4B"/>
    <w:rsid w:val="00E8655F"/>
    <w:rsid w:val="00E93690"/>
    <w:rsid w:val="00E972B2"/>
    <w:rsid w:val="00EA1271"/>
    <w:rsid w:val="00EB7909"/>
    <w:rsid w:val="00ED6290"/>
    <w:rsid w:val="00F364A4"/>
    <w:rsid w:val="00F44D0B"/>
    <w:rsid w:val="00F60D40"/>
    <w:rsid w:val="00F707C8"/>
    <w:rsid w:val="00F75D2A"/>
    <w:rsid w:val="00F81868"/>
    <w:rsid w:val="00F86567"/>
    <w:rsid w:val="00FA04CE"/>
    <w:rsid w:val="00FA7EC7"/>
    <w:rsid w:val="00FB42B8"/>
    <w:rsid w:val="00FC4104"/>
    <w:rsid w:val="00FD73E6"/>
    <w:rsid w:val="00FE55A9"/>
    <w:rsid w:val="00FF4D7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footer" w:uiPriority="99"/>
    <w:lsdException w:name="caption" w:semiHidden="1" w:unhideWhenUsed="1" w:qFormat="1"/>
    <w:lsdException w:name="footnote reference"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6490"/>
    <w:pPr>
      <w:jc w:val="both"/>
    </w:pPr>
    <w:rPr>
      <w:rFonts w:ascii="Book Antiqua" w:hAnsi="Book Antiqua"/>
      <w:sz w:val="24"/>
      <w:szCs w:val="24"/>
    </w:rPr>
  </w:style>
  <w:style w:type="paragraph" w:styleId="Heading2">
    <w:name w:val="heading 2"/>
    <w:basedOn w:val="Normal"/>
    <w:next w:val="Normal"/>
    <w:qFormat/>
    <w:rsid w:val="001B611E"/>
    <w:pPr>
      <w:keepNext/>
      <w:outlineLvl w:val="1"/>
    </w:pPr>
    <w:rPr>
      <w:rFonts w:ascii="Univers 57 Condensed" w:hAnsi="Univers 57 Condensed"/>
      <w:b/>
      <w:bCs/>
      <w:sz w:val="22"/>
    </w:rPr>
  </w:style>
  <w:style w:type="paragraph" w:styleId="Heading3">
    <w:name w:val="heading 3"/>
    <w:basedOn w:val="Normal"/>
    <w:next w:val="Normal"/>
    <w:qFormat/>
    <w:rsid w:val="001B611E"/>
    <w:pPr>
      <w:keepNext/>
      <w:jc w:val="center"/>
      <w:outlineLvl w:val="2"/>
    </w:pPr>
    <w:rPr>
      <w:rFonts w:ascii="Univers 57 Condensed" w:hAnsi="Univers 57 Condensed"/>
      <w:b/>
      <w:bCs/>
      <w:sz w:val="1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E5A16"/>
    <w:pPr>
      <w:tabs>
        <w:tab w:val="center" w:pos="4320"/>
        <w:tab w:val="right" w:pos="8640"/>
      </w:tabs>
    </w:pPr>
  </w:style>
  <w:style w:type="paragraph" w:styleId="Footer">
    <w:name w:val="footer"/>
    <w:basedOn w:val="Normal"/>
    <w:link w:val="FooterChar"/>
    <w:uiPriority w:val="99"/>
    <w:rsid w:val="000E5A16"/>
    <w:pPr>
      <w:tabs>
        <w:tab w:val="center" w:pos="4320"/>
        <w:tab w:val="right" w:pos="8640"/>
      </w:tabs>
    </w:pPr>
  </w:style>
  <w:style w:type="character" w:styleId="PageNumber">
    <w:name w:val="page number"/>
    <w:basedOn w:val="DefaultParagraphFont"/>
    <w:rsid w:val="000E5A16"/>
  </w:style>
  <w:style w:type="paragraph" w:styleId="BodyText">
    <w:name w:val="Body Text"/>
    <w:basedOn w:val="Normal"/>
    <w:rsid w:val="00D07101"/>
    <w:pPr>
      <w:widowControl w:val="0"/>
    </w:pPr>
    <w:rPr>
      <w:snapToGrid w:val="0"/>
      <w:szCs w:val="20"/>
    </w:rPr>
  </w:style>
  <w:style w:type="paragraph" w:styleId="BalloonText">
    <w:name w:val="Balloon Text"/>
    <w:basedOn w:val="Normal"/>
    <w:semiHidden/>
    <w:rsid w:val="004D727C"/>
    <w:rPr>
      <w:rFonts w:ascii="Tahoma" w:hAnsi="Tahoma" w:cs="Tahoma"/>
      <w:sz w:val="16"/>
      <w:szCs w:val="16"/>
    </w:rPr>
  </w:style>
  <w:style w:type="character" w:styleId="FootnoteReference">
    <w:name w:val="footnote reference"/>
    <w:qFormat/>
    <w:rsid w:val="00941B56"/>
    <w:rPr>
      <w:rFonts w:ascii="Times New Roman" w:hAnsi="Times New Roman"/>
      <w:color w:val="000000"/>
      <w:sz w:val="28"/>
      <w:vertAlign w:val="superscript"/>
    </w:rPr>
  </w:style>
  <w:style w:type="paragraph" w:styleId="FootnoteText">
    <w:name w:val="footnote text"/>
    <w:basedOn w:val="Normal"/>
    <w:link w:val="FootnoteTextChar"/>
    <w:unhideWhenUsed/>
    <w:qFormat/>
    <w:rsid w:val="00941B56"/>
    <w:pPr>
      <w:spacing w:after="120"/>
      <w:ind w:right="1440" w:firstLine="720"/>
    </w:pPr>
    <w:rPr>
      <w:rFonts w:eastAsia="Calibri"/>
      <w:sz w:val="22"/>
      <w:szCs w:val="20"/>
    </w:rPr>
  </w:style>
  <w:style w:type="character" w:customStyle="1" w:styleId="FootnoteTextChar">
    <w:name w:val="Footnote Text Char"/>
    <w:basedOn w:val="DefaultParagraphFont"/>
    <w:link w:val="FootnoteText"/>
    <w:uiPriority w:val="99"/>
    <w:rsid w:val="00941B56"/>
    <w:rPr>
      <w:rFonts w:eastAsia="Calibri"/>
      <w:sz w:val="22"/>
      <w:lang w:val="en-US" w:eastAsia="en-US" w:bidi="ar-SA"/>
    </w:rPr>
  </w:style>
  <w:style w:type="character" w:customStyle="1" w:styleId="HeaderChar">
    <w:name w:val="Header Char"/>
    <w:basedOn w:val="DefaultParagraphFont"/>
    <w:link w:val="Header"/>
    <w:rsid w:val="00941B56"/>
    <w:rPr>
      <w:sz w:val="24"/>
      <w:szCs w:val="24"/>
      <w:lang w:val="en-US" w:eastAsia="en-US" w:bidi="ar-SA"/>
    </w:rPr>
  </w:style>
  <w:style w:type="character" w:styleId="Hyperlink">
    <w:name w:val="Hyperlink"/>
    <w:basedOn w:val="DefaultParagraphFont"/>
    <w:uiPriority w:val="99"/>
    <w:rsid w:val="00E4524C"/>
    <w:rPr>
      <w:color w:val="0000FF"/>
      <w:u w:val="single"/>
    </w:rPr>
  </w:style>
  <w:style w:type="paragraph" w:customStyle="1" w:styleId="DMBdyTxt5">
    <w:name w:val="DM BdyTxt .5"/>
    <w:basedOn w:val="Normal"/>
    <w:rsid w:val="00E0320C"/>
    <w:pPr>
      <w:spacing w:after="240"/>
      <w:ind w:firstLine="720"/>
      <w:jc w:val="left"/>
    </w:pPr>
    <w:rPr>
      <w:rFonts w:ascii="Times New Roman" w:hAnsi="Times New Roman"/>
      <w:szCs w:val="20"/>
    </w:rPr>
  </w:style>
  <w:style w:type="paragraph" w:styleId="Salutation">
    <w:name w:val="Salutation"/>
    <w:basedOn w:val="Normal"/>
    <w:next w:val="Normal"/>
    <w:link w:val="SalutationChar"/>
    <w:rsid w:val="00E0320C"/>
    <w:pPr>
      <w:spacing w:after="240"/>
      <w:jc w:val="left"/>
    </w:pPr>
    <w:rPr>
      <w:rFonts w:ascii="Times New Roman" w:hAnsi="Times New Roman"/>
    </w:rPr>
  </w:style>
  <w:style w:type="character" w:customStyle="1" w:styleId="SalutationChar">
    <w:name w:val="Salutation Char"/>
    <w:basedOn w:val="DefaultParagraphFont"/>
    <w:link w:val="Salutation"/>
    <w:rsid w:val="00E0320C"/>
    <w:rPr>
      <w:sz w:val="24"/>
      <w:szCs w:val="24"/>
    </w:rPr>
  </w:style>
  <w:style w:type="paragraph" w:customStyle="1" w:styleId="ReLine">
    <w:name w:val="Re Line"/>
    <w:basedOn w:val="Normal"/>
    <w:semiHidden/>
    <w:rsid w:val="00E0320C"/>
    <w:pPr>
      <w:spacing w:after="240"/>
      <w:ind w:left="1440" w:hanging="720"/>
      <w:jc w:val="left"/>
    </w:pPr>
    <w:rPr>
      <w:rFonts w:ascii="Times New Roman" w:hAnsi="Times New Roman"/>
      <w:b/>
      <w:u w:val="single"/>
    </w:rPr>
  </w:style>
  <w:style w:type="character" w:customStyle="1" w:styleId="lblRe">
    <w:name w:val="lblRe"/>
    <w:basedOn w:val="DefaultParagraphFont"/>
    <w:uiPriority w:val="1"/>
    <w:semiHidden/>
    <w:rsid w:val="00E0320C"/>
    <w:rPr>
      <w:b/>
      <w:u w:val="none"/>
    </w:rPr>
  </w:style>
  <w:style w:type="paragraph" w:customStyle="1" w:styleId="Address">
    <w:name w:val="Address"/>
    <w:basedOn w:val="Normal"/>
    <w:semiHidden/>
    <w:rsid w:val="00E0320C"/>
    <w:pPr>
      <w:jc w:val="left"/>
    </w:pPr>
    <w:rPr>
      <w:rFonts w:ascii="Times New Roman" w:hAnsi="Times New Roman"/>
    </w:rPr>
  </w:style>
  <w:style w:type="paragraph" w:styleId="ListParagraph">
    <w:name w:val="List Paragraph"/>
    <w:basedOn w:val="Normal"/>
    <w:uiPriority w:val="34"/>
    <w:qFormat/>
    <w:rsid w:val="00E0320C"/>
    <w:pPr>
      <w:ind w:left="720"/>
      <w:contextualSpacing/>
      <w:jc w:val="left"/>
    </w:pPr>
    <w:rPr>
      <w:rFonts w:ascii="Times New Roman" w:eastAsiaTheme="minorHAnsi" w:hAnsi="Times New Roman" w:cstheme="minorBidi"/>
      <w:szCs w:val="22"/>
    </w:rPr>
  </w:style>
  <w:style w:type="paragraph" w:customStyle="1" w:styleId="Default">
    <w:name w:val="Default"/>
    <w:rsid w:val="00E0320C"/>
    <w:pPr>
      <w:autoSpaceDE w:val="0"/>
      <w:autoSpaceDN w:val="0"/>
      <w:adjustRightInd w:val="0"/>
    </w:pPr>
    <w:rPr>
      <w:rFonts w:ascii="Arial" w:eastAsiaTheme="minorHAnsi" w:hAnsi="Arial" w:cs="Arial"/>
      <w:color w:val="000000"/>
      <w:sz w:val="24"/>
      <w:szCs w:val="24"/>
    </w:rPr>
  </w:style>
  <w:style w:type="paragraph" w:styleId="Closing">
    <w:name w:val="Closing"/>
    <w:basedOn w:val="Normal"/>
    <w:link w:val="ClosingChar"/>
    <w:rsid w:val="00E0320C"/>
    <w:pPr>
      <w:spacing w:after="720"/>
      <w:ind w:left="5040"/>
      <w:jc w:val="left"/>
    </w:pPr>
    <w:rPr>
      <w:rFonts w:ascii="Times New Roman" w:hAnsi="Times New Roman"/>
    </w:rPr>
  </w:style>
  <w:style w:type="character" w:customStyle="1" w:styleId="ClosingChar">
    <w:name w:val="Closing Char"/>
    <w:basedOn w:val="DefaultParagraphFont"/>
    <w:link w:val="Closing"/>
    <w:rsid w:val="00E0320C"/>
    <w:rPr>
      <w:sz w:val="24"/>
      <w:szCs w:val="24"/>
    </w:rPr>
  </w:style>
  <w:style w:type="paragraph" w:styleId="Signature">
    <w:name w:val="Signature"/>
    <w:basedOn w:val="Normal"/>
    <w:next w:val="Normal"/>
    <w:link w:val="SignatureChar"/>
    <w:rsid w:val="00E0320C"/>
    <w:pPr>
      <w:spacing w:after="240"/>
      <w:ind w:left="5040"/>
      <w:jc w:val="left"/>
    </w:pPr>
    <w:rPr>
      <w:rFonts w:ascii="Times New Roman" w:hAnsi="Times New Roman"/>
    </w:rPr>
  </w:style>
  <w:style w:type="character" w:customStyle="1" w:styleId="SignatureChar">
    <w:name w:val="Signature Char"/>
    <w:basedOn w:val="DefaultParagraphFont"/>
    <w:link w:val="Signature"/>
    <w:rsid w:val="00E0320C"/>
    <w:rPr>
      <w:sz w:val="24"/>
      <w:szCs w:val="24"/>
    </w:rPr>
  </w:style>
  <w:style w:type="paragraph" w:customStyle="1" w:styleId="Initials">
    <w:name w:val="Initials"/>
    <w:basedOn w:val="Normal"/>
    <w:semiHidden/>
    <w:rsid w:val="00E0320C"/>
    <w:pPr>
      <w:jc w:val="left"/>
    </w:pPr>
    <w:rPr>
      <w:rFonts w:ascii="Times New Roman" w:hAnsi="Times New Roman"/>
    </w:rPr>
  </w:style>
  <w:style w:type="character" w:customStyle="1" w:styleId="pmterms31">
    <w:name w:val="pmterms31"/>
    <w:basedOn w:val="DefaultParagraphFont"/>
    <w:rsid w:val="00E0320C"/>
    <w:rPr>
      <w:b/>
      <w:bCs/>
      <w:i w:val="0"/>
      <w:iCs w:val="0"/>
      <w:color w:val="000000"/>
    </w:rPr>
  </w:style>
  <w:style w:type="character" w:customStyle="1" w:styleId="FooterChar">
    <w:name w:val="Footer Char"/>
    <w:basedOn w:val="DefaultParagraphFont"/>
    <w:link w:val="Footer"/>
    <w:uiPriority w:val="99"/>
    <w:rsid w:val="00AF4B29"/>
    <w:rPr>
      <w:rFonts w:ascii="Book Antiqua" w:hAnsi="Book Antiqua"/>
      <w:sz w:val="24"/>
      <w:szCs w:val="24"/>
    </w:rPr>
  </w:style>
</w:styles>
</file>

<file path=word/webSettings.xml><?xml version="1.0" encoding="utf-8"?>
<w:webSettings xmlns:r="http://schemas.openxmlformats.org/officeDocument/2006/relationships" xmlns:w="http://schemas.openxmlformats.org/wordprocessingml/2006/main">
  <w:divs>
    <w:div w:id="1080754960">
      <w:bodyDiv w:val="1"/>
      <w:marLeft w:val="0"/>
      <w:marRight w:val="0"/>
      <w:marTop w:val="0"/>
      <w:marBottom w:val="0"/>
      <w:divBdr>
        <w:top w:val="none" w:sz="0" w:space="0" w:color="auto"/>
        <w:left w:val="none" w:sz="0" w:space="0" w:color="auto"/>
        <w:bottom w:val="none" w:sz="0" w:space="0" w:color="auto"/>
        <w:right w:val="none" w:sz="0" w:space="0" w:color="auto"/>
      </w:divBdr>
    </w:div>
    <w:div w:id="1151210574">
      <w:bodyDiv w:val="1"/>
      <w:marLeft w:val="0"/>
      <w:marRight w:val="0"/>
      <w:marTop w:val="0"/>
      <w:marBottom w:val="0"/>
      <w:divBdr>
        <w:top w:val="none" w:sz="0" w:space="0" w:color="auto"/>
        <w:left w:val="none" w:sz="0" w:space="0" w:color="auto"/>
        <w:bottom w:val="none" w:sz="0" w:space="0" w:color="auto"/>
        <w:right w:val="none" w:sz="0" w:space="0" w:color="auto"/>
      </w:divBdr>
    </w:div>
    <w:div w:id="1784229895">
      <w:bodyDiv w:val="1"/>
      <w:marLeft w:val="0"/>
      <w:marRight w:val="0"/>
      <w:marTop w:val="0"/>
      <w:marBottom w:val="0"/>
      <w:divBdr>
        <w:top w:val="none" w:sz="0" w:space="0" w:color="auto"/>
        <w:left w:val="none" w:sz="0" w:space="0" w:color="auto"/>
        <w:bottom w:val="none" w:sz="0" w:space="0" w:color="auto"/>
        <w:right w:val="none" w:sz="0" w:space="0" w:color="auto"/>
      </w:divBdr>
    </w:div>
    <w:div w:id="1859737836">
      <w:bodyDiv w:val="1"/>
      <w:marLeft w:val="0"/>
      <w:marRight w:val="0"/>
      <w:marTop w:val="0"/>
      <w:marBottom w:val="0"/>
      <w:divBdr>
        <w:top w:val="none" w:sz="0" w:space="0" w:color="auto"/>
        <w:left w:val="none" w:sz="0" w:space="0" w:color="auto"/>
        <w:bottom w:val="none" w:sz="0" w:space="0" w:color="auto"/>
        <w:right w:val="none" w:sz="0" w:space="0" w:color="auto"/>
      </w:divBdr>
    </w:div>
    <w:div w:id="214056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7E9D7-67E8-4712-9D28-A5CB73858D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2141</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lpstr>
    </vt:vector>
  </TitlesOfParts>
  <Company>Metropolitan Water District of Southern California</Company>
  <LinksUpToDate>false</LinksUpToDate>
  <CharactersWithSpaces>13919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u05235</dc:creator>
  <cp:lastModifiedBy>u09015</cp:lastModifiedBy>
  <cp:revision>3</cp:revision>
  <cp:lastPrinted>2010-12-15T00:11:00Z</cp:lastPrinted>
  <dcterms:created xsi:type="dcterms:W3CDTF">2010-12-15T00:39:00Z</dcterms:created>
  <dcterms:modified xsi:type="dcterms:W3CDTF">2010-12-15T00:40:00Z</dcterms:modified>
</cp:coreProperties>
</file>