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78A1" w:rsidRPr="00E33C6E" w:rsidRDefault="00B878A1" w:rsidP="0074697D">
      <w:pPr>
        <w:rPr>
          <w:rFonts w:ascii="Times New Roman" w:hAnsi="Times New Roman"/>
        </w:rPr>
      </w:pPr>
      <w:r>
        <w:rPr>
          <w:rFonts w:ascii="Times New Roman" w:hAnsi="Times New Roman"/>
        </w:rPr>
        <w:t>December 15</w:t>
      </w:r>
      <w:r w:rsidRPr="00E33C6E">
        <w:rPr>
          <w:rFonts w:ascii="Times New Roman" w:hAnsi="Times New Roman"/>
        </w:rPr>
        <w:t>, 2010</w:t>
      </w: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Kevin Kennedy</w:t>
      </w:r>
    </w:p>
    <w:p w:rsidR="00B878A1" w:rsidRPr="00E33C6E" w:rsidRDefault="00B878A1" w:rsidP="0074697D">
      <w:pPr>
        <w:rPr>
          <w:rFonts w:ascii="Times New Roman" w:hAnsi="Times New Roman"/>
        </w:rPr>
      </w:pPr>
      <w:r w:rsidRPr="00E33C6E">
        <w:rPr>
          <w:rFonts w:ascii="Times New Roman" w:hAnsi="Times New Roman"/>
        </w:rPr>
        <w:t>Assistant Executive Officer</w:t>
      </w:r>
    </w:p>
    <w:p w:rsidR="00B878A1" w:rsidRPr="00E33C6E" w:rsidRDefault="00B878A1" w:rsidP="0074697D">
      <w:pPr>
        <w:rPr>
          <w:rFonts w:ascii="Times New Roman" w:hAnsi="Times New Roman"/>
        </w:rPr>
      </w:pPr>
      <w:r w:rsidRPr="00E33C6E">
        <w:rPr>
          <w:rFonts w:ascii="Times New Roman" w:hAnsi="Times New Roman"/>
        </w:rPr>
        <w:t>California Air Resources Board</w:t>
      </w:r>
    </w:p>
    <w:p w:rsidR="00B878A1" w:rsidRPr="00E33C6E" w:rsidRDefault="00B878A1" w:rsidP="0074697D">
      <w:pPr>
        <w:rPr>
          <w:rFonts w:ascii="Times New Roman" w:hAnsi="Times New Roman"/>
        </w:rPr>
      </w:pPr>
      <w:r w:rsidRPr="00E33C6E">
        <w:rPr>
          <w:rFonts w:ascii="Times New Roman" w:hAnsi="Times New Roman"/>
        </w:rPr>
        <w:t>1001 I Street</w:t>
      </w:r>
    </w:p>
    <w:p w:rsidR="00B878A1" w:rsidRPr="00E33C6E" w:rsidRDefault="00B878A1" w:rsidP="0074697D">
      <w:pPr>
        <w:rPr>
          <w:rFonts w:ascii="Times New Roman" w:hAnsi="Times New Roman"/>
        </w:rPr>
      </w:pPr>
      <w:r w:rsidRPr="00E33C6E">
        <w:rPr>
          <w:rFonts w:ascii="Times New Roman" w:hAnsi="Times New Roman"/>
        </w:rPr>
        <w:t>Sacramento, California 95812</w:t>
      </w: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Subject: Proposed Greenhouse Gas Cap and Trade Regulation</w:t>
      </w: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Dear Mr. Kennedy:</w:t>
      </w: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Energy Independence No</w:t>
      </w:r>
      <w:r>
        <w:rPr>
          <w:rFonts w:ascii="Times New Roman" w:hAnsi="Times New Roman"/>
        </w:rPr>
        <w:t>w (EIN) recognizes the continued</w:t>
      </w:r>
      <w:r w:rsidRPr="00E33C6E">
        <w:rPr>
          <w:rFonts w:ascii="Times New Roman" w:hAnsi="Times New Roman"/>
        </w:rPr>
        <w:t xml:space="preserve"> leadership of the California Air Resources Board (CARB) and their development of revolutionary greenhouse gas (GHG) reduction policies and standards. Along with complimentary incentives, these GHG regulations will continue to create the market certainty required for California’s transformation to a low carbon economy based on clean, renewable technology. We appreciate the opportunity to comment on the proposed 2010 cap and trade regulation. </w:t>
      </w:r>
    </w:p>
    <w:p w:rsidR="00B878A1" w:rsidRPr="00E33C6E" w:rsidRDefault="00B878A1" w:rsidP="0074697D">
      <w:pPr>
        <w:rPr>
          <w:rFonts w:ascii="Times New Roman" w:hAnsi="Times New Roman"/>
        </w:rPr>
      </w:pPr>
    </w:p>
    <w:p w:rsidR="00B878A1" w:rsidRDefault="00B878A1" w:rsidP="0074697D">
      <w:pPr>
        <w:rPr>
          <w:rFonts w:ascii="Times New Roman" w:hAnsi="Times New Roman"/>
        </w:rPr>
      </w:pPr>
      <w:r w:rsidRPr="00E33C6E">
        <w:rPr>
          <w:rFonts w:ascii="Times New Roman" w:hAnsi="Times New Roman"/>
        </w:rPr>
        <w:t>We would first like to stress the opportunity that the cap and trade regulation presents to create a sustainable source of substantial funding for GHG reduction technologies, specifically in the transportation sector</w:t>
      </w:r>
      <w:r>
        <w:rPr>
          <w:rFonts w:ascii="Times New Roman" w:hAnsi="Times New Roman"/>
        </w:rPr>
        <w:t xml:space="preserve"> – the single largest source of GHG emissions in California by sector</w:t>
      </w:r>
      <w:r w:rsidRPr="00E33C6E">
        <w:rPr>
          <w:rFonts w:ascii="Times New Roman" w:hAnsi="Times New Roman"/>
        </w:rPr>
        <w:t xml:space="preserve">. </w:t>
      </w:r>
    </w:p>
    <w:p w:rsidR="00B878A1"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We support CARB’s proposal to require 100% auctioning of allowances in the transportation fuels sector once implemented in Phase</w:t>
      </w:r>
      <w:r>
        <w:rPr>
          <w:rFonts w:ascii="Times New Roman" w:hAnsi="Times New Roman"/>
        </w:rPr>
        <w:t>s</w:t>
      </w:r>
      <w:r w:rsidRPr="00E33C6E">
        <w:rPr>
          <w:rFonts w:ascii="Times New Roman" w:hAnsi="Times New Roman"/>
        </w:rPr>
        <w:t xml:space="preserve"> II and III. However, we </w:t>
      </w:r>
      <w:r>
        <w:rPr>
          <w:rFonts w:ascii="Times New Roman" w:hAnsi="Times New Roman"/>
        </w:rPr>
        <w:t>urge CARB to</w:t>
      </w:r>
      <w:r w:rsidRPr="00E33C6E">
        <w:rPr>
          <w:rFonts w:ascii="Times New Roman" w:hAnsi="Times New Roman"/>
        </w:rPr>
        <w:t xml:space="preserve"> ensure that the substantial revenue stream created by this process is invested back into the transportation sector and </w:t>
      </w:r>
      <w:r>
        <w:rPr>
          <w:rFonts w:ascii="Times New Roman" w:hAnsi="Times New Roman"/>
        </w:rPr>
        <w:t>is</w:t>
      </w:r>
      <w:r w:rsidRPr="00E33C6E">
        <w:rPr>
          <w:rFonts w:ascii="Times New Roman" w:hAnsi="Times New Roman"/>
        </w:rPr>
        <w:t xml:space="preserve"> utilized for GHG reduction measures. Broadly, these measures could include: funding for local governments to implement SB 375 and vehicle miles traveled reduction strategies, incentive funding for emerging clean vehicle technology, subsidies for alternative fuel infrastructure, and many others.</w:t>
      </w:r>
      <w:r w:rsidRPr="00E33C6E">
        <w:rPr>
          <w:rStyle w:val="FootnoteReference"/>
          <w:rFonts w:ascii="Times New Roman" w:hAnsi="Times New Roman"/>
        </w:rPr>
        <w:footnoteReference w:id="1"/>
      </w:r>
      <w:r w:rsidRPr="00E33C6E">
        <w:rPr>
          <w:rFonts w:ascii="Times New Roman" w:hAnsi="Times New Roman"/>
          <w:vertAlign w:val="superscript"/>
        </w:rPr>
        <w:t>,</w:t>
      </w:r>
      <w:r w:rsidRPr="00E33C6E">
        <w:rPr>
          <w:rStyle w:val="FootnoteReference"/>
          <w:rFonts w:ascii="Times New Roman" w:hAnsi="Times New Roman"/>
        </w:rPr>
        <w:footnoteReference w:id="2"/>
      </w:r>
      <w:r w:rsidRPr="00E33C6E">
        <w:rPr>
          <w:rFonts w:ascii="Times New Roman" w:hAnsi="Times New Roman"/>
        </w:rPr>
        <w:t xml:space="preserve"> While EIN recognizes that the California legislature is ultimately responsible for the allocation of funds, CARB should include stronger language and guidelines in the cap and trade regulation for the use of allowance auction revenue.</w:t>
      </w:r>
    </w:p>
    <w:p w:rsidR="00B878A1" w:rsidRPr="00E33C6E" w:rsidRDefault="00B878A1" w:rsidP="0074697D">
      <w:pPr>
        <w:rPr>
          <w:rFonts w:ascii="Times New Roman" w:hAnsi="Times New Roman"/>
        </w:rPr>
      </w:pPr>
    </w:p>
    <w:p w:rsidR="00B878A1" w:rsidRDefault="00B878A1" w:rsidP="0074697D">
      <w:pPr>
        <w:rPr>
          <w:rFonts w:ascii="Times New Roman" w:hAnsi="Times New Roman"/>
        </w:rPr>
      </w:pPr>
      <w:r w:rsidRPr="00E33C6E">
        <w:rPr>
          <w:rFonts w:ascii="Times New Roman" w:hAnsi="Times New Roman"/>
        </w:rPr>
        <w:t>In addition, EIN recommends that allowances for refineries and oil production require auctioning rather than</w:t>
      </w:r>
      <w:r>
        <w:rPr>
          <w:rFonts w:ascii="Times New Roman" w:hAnsi="Times New Roman"/>
        </w:rPr>
        <w:t xml:space="preserve"> CARB’s proposed free allocation</w:t>
      </w:r>
      <w:r w:rsidRPr="00E33C6E">
        <w:rPr>
          <w:rFonts w:ascii="Times New Roman" w:hAnsi="Times New Roman"/>
        </w:rPr>
        <w:t>. This would allow a more competitive environment for emerging clean technology in the sector and potentially create an additional revenue stream for the development and adoption of these clean technologies. EIN acknowledges the fact that some free allocation in this sect</w:t>
      </w:r>
      <w:r>
        <w:rPr>
          <w:rFonts w:ascii="Times New Roman" w:hAnsi="Times New Roman"/>
        </w:rPr>
        <w:t>or is needed to prevent leakage. The</w:t>
      </w:r>
      <w:r w:rsidRPr="00E33C6E">
        <w:rPr>
          <w:rFonts w:ascii="Times New Roman" w:hAnsi="Times New Roman"/>
        </w:rPr>
        <w:t xml:space="preserve"> Economic Allocation Ad</w:t>
      </w:r>
      <w:r>
        <w:rPr>
          <w:rFonts w:ascii="Times New Roman" w:hAnsi="Times New Roman"/>
        </w:rPr>
        <w:t>visory Committee found that only a small amount of free allowances may be needed to</w:t>
      </w:r>
      <w:r w:rsidRPr="00E33C6E">
        <w:rPr>
          <w:rFonts w:ascii="Times New Roman" w:hAnsi="Times New Roman"/>
        </w:rPr>
        <w:t xml:space="preserve"> address leakage</w:t>
      </w:r>
      <w:r>
        <w:rPr>
          <w:rFonts w:ascii="Times New Roman" w:hAnsi="Times New Roman"/>
        </w:rPr>
        <w:t>, but that further analysis is needed for the oil industry due to unique requirements for California fuel</w:t>
      </w:r>
      <w:r w:rsidRPr="00E33C6E">
        <w:rPr>
          <w:rFonts w:ascii="Times New Roman" w:hAnsi="Times New Roman"/>
        </w:rPr>
        <w:t>.</w:t>
      </w:r>
      <w:r w:rsidRPr="00E33C6E">
        <w:rPr>
          <w:rStyle w:val="FootnoteReference"/>
          <w:rFonts w:ascii="Times New Roman" w:hAnsi="Times New Roman"/>
        </w:rPr>
        <w:footnoteReference w:id="3"/>
      </w:r>
      <w:r w:rsidRPr="00E33C6E">
        <w:rPr>
          <w:rFonts w:ascii="Times New Roman" w:hAnsi="Times New Roman"/>
        </w:rPr>
        <w:t xml:space="preserve"> </w:t>
      </w:r>
    </w:p>
    <w:p w:rsidR="00B878A1" w:rsidRDefault="00B878A1" w:rsidP="0074697D">
      <w:pPr>
        <w:rPr>
          <w:rFonts w:ascii="Times New Roman" w:hAnsi="Times New Roman"/>
        </w:rPr>
      </w:pPr>
    </w:p>
    <w:p w:rsidR="00B878A1" w:rsidRDefault="00B878A1" w:rsidP="0074697D">
      <w:pPr>
        <w:rPr>
          <w:rFonts w:ascii="Times New Roman" w:hAnsi="Times New Roman"/>
        </w:rPr>
      </w:pPr>
      <w:r w:rsidRPr="00E33C6E">
        <w:rPr>
          <w:rFonts w:ascii="Times New Roman" w:hAnsi="Times New Roman"/>
        </w:rPr>
        <w:t>Furthermore, the amount of free allowances distributed in this sector should not be based on the amount of petroleum produced or refined as currently proposed. This will act as an incentive for refineries and oil producers to increase their throughput rather than invest in e</w:t>
      </w:r>
      <w:r>
        <w:rPr>
          <w:rFonts w:ascii="Times New Roman" w:hAnsi="Times New Roman"/>
        </w:rPr>
        <w:t>fficient or clean technology. Rather,</w:t>
      </w:r>
      <w:r w:rsidRPr="00E33C6E">
        <w:rPr>
          <w:rFonts w:ascii="Times New Roman" w:hAnsi="Times New Roman"/>
        </w:rPr>
        <w:t xml:space="preserve"> EIN recommends</w:t>
      </w:r>
      <w:r>
        <w:rPr>
          <w:rFonts w:ascii="Times New Roman" w:hAnsi="Times New Roman"/>
        </w:rPr>
        <w:t xml:space="preserve"> that allocations to the industry should be based on performance and that</w:t>
      </w:r>
      <w:r w:rsidRPr="00E33C6E">
        <w:rPr>
          <w:rFonts w:ascii="Times New Roman" w:hAnsi="Times New Roman"/>
        </w:rPr>
        <w:t xml:space="preserve"> allowance value</w:t>
      </w:r>
      <w:r>
        <w:rPr>
          <w:rFonts w:ascii="Times New Roman" w:hAnsi="Times New Roman"/>
        </w:rPr>
        <w:t xml:space="preserve"> should be used to help transition</w:t>
      </w:r>
      <w:r w:rsidRPr="00E33C6E">
        <w:rPr>
          <w:rFonts w:ascii="Times New Roman" w:hAnsi="Times New Roman"/>
        </w:rPr>
        <w:t xml:space="preserve"> the sector to more efficient and cleaner practices. </w:t>
      </w:r>
    </w:p>
    <w:p w:rsidR="00B878A1" w:rsidRDefault="00B878A1" w:rsidP="0074697D">
      <w:pPr>
        <w:rPr>
          <w:rFonts w:ascii="Times New Roman" w:hAnsi="Times New Roman"/>
        </w:rPr>
      </w:pPr>
    </w:p>
    <w:p w:rsidR="00B878A1" w:rsidRDefault="00B878A1" w:rsidP="0074697D">
      <w:pPr>
        <w:rPr>
          <w:rFonts w:ascii="Times New Roman" w:hAnsi="Times New Roman"/>
        </w:rPr>
      </w:pPr>
      <w:r>
        <w:rPr>
          <w:rFonts w:ascii="Times New Roman" w:hAnsi="Times New Roman"/>
        </w:rPr>
        <w:t xml:space="preserve">Thank you for the opportunity to submit these comments and for your consideration. </w:t>
      </w:r>
    </w:p>
    <w:p w:rsidR="00B878A1" w:rsidRDefault="00B878A1" w:rsidP="0074697D">
      <w:pPr>
        <w:rPr>
          <w:rFonts w:ascii="Times New Roman" w:hAnsi="Times New Roman"/>
        </w:rPr>
      </w:pPr>
    </w:p>
    <w:p w:rsidR="00B878A1" w:rsidRDefault="00B878A1" w:rsidP="0074697D">
      <w:pPr>
        <w:rPr>
          <w:rFonts w:ascii="Times New Roman" w:hAnsi="Times New Roman"/>
        </w:rPr>
      </w:pPr>
      <w:r>
        <w:rPr>
          <w:rFonts w:ascii="Times New Roman" w:hAnsi="Times New Roman"/>
        </w:rPr>
        <w:t>Sincerely,</w:t>
      </w:r>
    </w:p>
    <w:p w:rsidR="00B878A1" w:rsidRDefault="00B878A1" w:rsidP="0074697D">
      <w:pPr>
        <w:rPr>
          <w:rFonts w:ascii="Times New Roman" w:hAnsi="Times New Roman"/>
        </w:rPr>
      </w:pPr>
    </w:p>
    <w:p w:rsidR="00B878A1" w:rsidRDefault="00B878A1" w:rsidP="0074697D">
      <w:pPr>
        <w:rPr>
          <w:rFonts w:ascii="Times New Roman" w:hAnsi="Times New Roman"/>
        </w:rPr>
      </w:pPr>
      <w:r>
        <w:rPr>
          <w:rFonts w:ascii="Times New Roman" w:hAnsi="Times New Roman"/>
        </w:rPr>
        <w:t>Tyson Eckerle</w:t>
      </w:r>
    </w:p>
    <w:p w:rsidR="00B878A1" w:rsidRDefault="00B878A1" w:rsidP="0074697D">
      <w:pPr>
        <w:rPr>
          <w:rFonts w:ascii="Times New Roman" w:hAnsi="Times New Roman"/>
        </w:rPr>
      </w:pPr>
      <w:r>
        <w:rPr>
          <w:rFonts w:ascii="Times New Roman" w:hAnsi="Times New Roman"/>
        </w:rPr>
        <w:t>Associate Director, Energy Independence Now</w:t>
      </w: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p>
    <w:p w:rsidR="00B878A1" w:rsidRPr="00E33C6E" w:rsidRDefault="00B878A1" w:rsidP="0074697D">
      <w:pPr>
        <w:rPr>
          <w:rFonts w:ascii="Times New Roman" w:hAnsi="Times New Roman"/>
        </w:rPr>
      </w:pPr>
      <w:r w:rsidRPr="00E33C6E">
        <w:rPr>
          <w:rFonts w:ascii="Times New Roman" w:hAnsi="Times New Roman"/>
        </w:rPr>
        <w:t xml:space="preserve">     </w:t>
      </w:r>
    </w:p>
    <w:p w:rsidR="00B878A1" w:rsidRPr="00E33C6E" w:rsidRDefault="00B878A1" w:rsidP="0074697D">
      <w:pPr>
        <w:rPr>
          <w:rFonts w:ascii="Times New Roman" w:hAnsi="Times New Roman"/>
        </w:rPr>
      </w:pPr>
    </w:p>
    <w:p w:rsidR="00B878A1" w:rsidRPr="00E33C6E" w:rsidRDefault="00B878A1" w:rsidP="00737FBD">
      <w:pPr>
        <w:rPr>
          <w:rFonts w:ascii="Times New Roman" w:hAnsi="Times New Roman"/>
        </w:rPr>
      </w:pPr>
      <w:r w:rsidRPr="00E33C6E">
        <w:rPr>
          <w:rFonts w:ascii="Times New Roman" w:hAnsi="Times New Roman"/>
        </w:rPr>
        <w:t xml:space="preserve"> </w:t>
      </w:r>
    </w:p>
    <w:sectPr w:rsidR="00B878A1" w:rsidRPr="00E33C6E" w:rsidSect="00311A75">
      <w:headerReference w:type="default" r:id="rId7"/>
      <w:footerReference w:type="default" r:id="rId8"/>
      <w:pgSz w:w="12240" w:h="15840"/>
      <w:pgMar w:top="1714" w:right="1152" w:bottom="1440" w:left="1152" w:header="720" w:footer="86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78A1" w:rsidRDefault="00B878A1" w:rsidP="0074697D">
      <w:r>
        <w:separator/>
      </w:r>
    </w:p>
  </w:endnote>
  <w:endnote w:type="continuationSeparator" w:id="0">
    <w:p w:rsidR="00B878A1" w:rsidRDefault="00B878A1" w:rsidP="007469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panose1 w:val="00000000000000000000"/>
    <w:charset w:val="00"/>
    <w:family w:val="auto"/>
    <w:notTrueType/>
    <w:pitch w:val="variable"/>
    <w:sig w:usb0="00000003" w:usb1="00000000" w:usb2="00000000" w:usb3="00000000" w:csb0="00000001" w:csb1="00000000"/>
  </w:font>
  <w:font w:name="Spranq Eco Sans Regular">
    <w:altName w:val="Cambria"/>
    <w:panose1 w:val="00000000000000000000"/>
    <w:charset w:val="4D"/>
    <w:family w:val="roman"/>
    <w:notTrueType/>
    <w:pitch w:val="default"/>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A1" w:rsidRPr="003C4BF5" w:rsidRDefault="00B878A1" w:rsidP="0074697D">
    <w:pPr>
      <w:pStyle w:val="Footer"/>
      <w:ind w:left="-576" w:right="-576"/>
      <w:jc w:val="center"/>
      <w:rPr>
        <w:color w:val="000090"/>
        <w:sz w:val="24"/>
        <w:lang w:val="fr-FR"/>
      </w:rPr>
    </w:pPr>
    <w:r w:rsidRPr="003C4BF5">
      <w:rPr>
        <w:color w:val="000090"/>
        <w:sz w:val="24"/>
        <w:lang w:val="fr-FR"/>
      </w:rPr>
      <w:t>www.einow.org</w:t>
    </w:r>
  </w:p>
  <w:p w:rsidR="00B878A1" w:rsidRPr="003C4BF5" w:rsidRDefault="00B878A1" w:rsidP="0074697D">
    <w:pPr>
      <w:pStyle w:val="Footer"/>
      <w:ind w:left="-576" w:right="-576"/>
      <w:jc w:val="center"/>
      <w:rPr>
        <w:color w:val="000090"/>
        <w:sz w:val="20"/>
        <w:lang w:val="fr-FR"/>
      </w:rPr>
    </w:pPr>
    <w:r w:rsidRPr="003C4BF5">
      <w:rPr>
        <w:color w:val="000090"/>
        <w:sz w:val="20"/>
        <w:lang w:val="fr-FR"/>
      </w:rPr>
      <w:t>120 E. De La Guerra St., Suite B    Santa Barbara, CA   93101   805.899.3399   Fax 805.899.3388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8A1" w:rsidRDefault="00B878A1" w:rsidP="0074697D">
      <w:r>
        <w:separator/>
      </w:r>
    </w:p>
  </w:footnote>
  <w:footnote w:type="continuationSeparator" w:id="0">
    <w:p w:rsidR="00B878A1" w:rsidRDefault="00B878A1" w:rsidP="0074697D">
      <w:r>
        <w:continuationSeparator/>
      </w:r>
    </w:p>
  </w:footnote>
  <w:footnote w:id="1">
    <w:p w:rsidR="00B878A1" w:rsidRDefault="00B878A1">
      <w:pPr>
        <w:pStyle w:val="FootnoteText"/>
      </w:pPr>
      <w:r w:rsidRPr="00E33C6E">
        <w:rPr>
          <w:rStyle w:val="FootnoteReference"/>
          <w:rFonts w:ascii="Times New Roman" w:hAnsi="Times New Roman"/>
          <w:sz w:val="20"/>
        </w:rPr>
        <w:footnoteRef/>
      </w:r>
      <w:r w:rsidRPr="00E33C6E">
        <w:rPr>
          <w:rFonts w:ascii="Times New Roman" w:hAnsi="Times New Roman"/>
          <w:sz w:val="20"/>
        </w:rPr>
        <w:t xml:space="preserve"> Much of California’s current incentive funding for clean vehicle technology declines rapidly by 2015, when Phase II and the resulting auction revenue would begin. </w:t>
      </w:r>
    </w:p>
  </w:footnote>
  <w:footnote w:id="2">
    <w:p w:rsidR="00B878A1" w:rsidRDefault="00B878A1">
      <w:pPr>
        <w:pStyle w:val="FootnoteText"/>
      </w:pPr>
      <w:r w:rsidRPr="00E33C6E">
        <w:rPr>
          <w:rStyle w:val="FootnoteReference"/>
          <w:rFonts w:ascii="Times New Roman" w:hAnsi="Times New Roman"/>
          <w:sz w:val="20"/>
        </w:rPr>
        <w:footnoteRef/>
      </w:r>
      <w:r w:rsidRPr="00E33C6E">
        <w:rPr>
          <w:rFonts w:ascii="Times New Roman" w:hAnsi="Times New Roman"/>
          <w:sz w:val="20"/>
        </w:rPr>
        <w:t xml:space="preserve"> The EAAC report recognizes the need to fund local governments and regional agencies for land use and transportation related reductions as well as other critical investments. </w:t>
      </w:r>
    </w:p>
  </w:footnote>
  <w:footnote w:id="3">
    <w:p w:rsidR="00B878A1" w:rsidRDefault="00B878A1">
      <w:pPr>
        <w:pStyle w:val="FootnoteText"/>
      </w:pPr>
      <w:r w:rsidRPr="00E33C6E">
        <w:rPr>
          <w:rStyle w:val="FootnoteReference"/>
          <w:rFonts w:ascii="Times New Roman" w:hAnsi="Times New Roman"/>
          <w:sz w:val="20"/>
        </w:rPr>
        <w:footnoteRef/>
      </w:r>
      <w:r w:rsidRPr="00E33C6E">
        <w:rPr>
          <w:rFonts w:ascii="Times New Roman" w:hAnsi="Times New Roman"/>
          <w:sz w:val="20"/>
        </w:rPr>
        <w:t xml:space="preserve"> EAAC report, “Allocating Emissions Allowances Under California Cap-and-Trade Program” March 2010 (p.3)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8A1" w:rsidRDefault="00B878A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49" type="#_x0000_t75" alt="EIN Letter Logo 300dpi.jpg" style="position:absolute;margin-left:128.7pt;margin-top:-16.2pt;width:194.1pt;height:53.4pt;z-index:251660288;visibility:visible">
          <v:imagedata r:id="rId1" o:title=""/>
          <w10:wrap type="squar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15D7DCF"/>
    <w:multiLevelType w:val="hybridMultilevel"/>
    <w:tmpl w:val="6CB26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F50D5"/>
    <w:multiLevelType w:val="hybridMultilevel"/>
    <w:tmpl w:val="62249B5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25B248FC"/>
    <w:multiLevelType w:val="hybridMultilevel"/>
    <w:tmpl w:val="84729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DF7847"/>
    <w:multiLevelType w:val="hybridMultilevel"/>
    <w:tmpl w:val="B972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F12B64"/>
    <w:multiLevelType w:val="hybridMultilevel"/>
    <w:tmpl w:val="B090FD7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D1D0B5C"/>
    <w:multiLevelType w:val="hybridMultilevel"/>
    <w:tmpl w:val="D08C3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20"/>
  <w:drawingGridHorizontalSpacing w:val="360"/>
  <w:drawingGridVerticalSpacing w:val="360"/>
  <w:displayHorizontalDrawingGridEvery w:val="0"/>
  <w:displayVertic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19F9"/>
    <w:rsid w:val="001D16A4"/>
    <w:rsid w:val="002A7DC0"/>
    <w:rsid w:val="002F52C3"/>
    <w:rsid w:val="00311A75"/>
    <w:rsid w:val="00336EC2"/>
    <w:rsid w:val="003A19F9"/>
    <w:rsid w:val="003C4BF5"/>
    <w:rsid w:val="004816EC"/>
    <w:rsid w:val="00570CFB"/>
    <w:rsid w:val="00686B23"/>
    <w:rsid w:val="006C0867"/>
    <w:rsid w:val="00737FBD"/>
    <w:rsid w:val="0074697D"/>
    <w:rsid w:val="00A01903"/>
    <w:rsid w:val="00A576D2"/>
    <w:rsid w:val="00B878A1"/>
    <w:rsid w:val="00CD63E3"/>
    <w:rsid w:val="00D05A4B"/>
    <w:rsid w:val="00E177BD"/>
    <w:rsid w:val="00E33C6E"/>
    <w:rsid w:val="00E85DFE"/>
    <w:rsid w:val="00EB5486"/>
    <w:rsid w:val="00F43C9C"/>
    <w:rsid w:val="00FD5A0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rPr>
      <w:rFonts w:ascii="Lucida Grande" w:hAnsi="Lucida Grande"/>
      <w:sz w:val="18"/>
      <w:szCs w:val="18"/>
    </w:rPr>
  </w:style>
  <w:style w:type="character" w:customStyle="1" w:styleId="BalloonTextChar">
    <w:name w:val="Balloon Text Char"/>
    <w:basedOn w:val="DefaultParagraphFont"/>
    <w:link w:val="BalloonText"/>
    <w:uiPriority w:val="99"/>
    <w:semiHidden/>
    <w:locked/>
    <w:rPr>
      <w:rFonts w:ascii="Lucida Grande" w:hAnsi="Lucida Grande" w:cs="Times New Roman"/>
      <w:sz w:val="18"/>
      <w:szCs w:val="18"/>
    </w:rPr>
  </w:style>
  <w:style w:type="character" w:customStyle="1" w:styleId="BalloonTextChar6">
    <w:name w:val="Balloon Text Char6"/>
    <w:basedOn w:val="DefaultParagraphFont"/>
    <w:link w:val="BalloonText"/>
    <w:uiPriority w:val="99"/>
    <w:semiHidden/>
    <w:locked/>
    <w:rPr>
      <w:rFonts w:ascii="Lucida Grande" w:hAnsi="Lucida Grande" w:cs="Times New Roman"/>
      <w:sz w:val="18"/>
      <w:szCs w:val="18"/>
    </w:rPr>
  </w:style>
  <w:style w:type="character" w:customStyle="1" w:styleId="BalloonTextChar5">
    <w:name w:val="Balloon Text Char5"/>
    <w:basedOn w:val="DefaultParagraphFont"/>
    <w:link w:val="BalloonText"/>
    <w:uiPriority w:val="99"/>
    <w:semiHidden/>
    <w:locked/>
    <w:rPr>
      <w:rFonts w:ascii="Lucida Grande" w:hAnsi="Lucida Grande" w:cs="Times New Roman"/>
      <w:sz w:val="18"/>
      <w:szCs w:val="18"/>
    </w:rPr>
  </w:style>
  <w:style w:type="character" w:customStyle="1" w:styleId="BalloonTextChar4">
    <w:name w:val="Balloon Text Char4"/>
    <w:basedOn w:val="DefaultParagraphFont"/>
    <w:link w:val="BalloonText"/>
    <w:uiPriority w:val="99"/>
    <w:semiHidden/>
    <w:locked/>
    <w:rPr>
      <w:rFonts w:ascii="Lucida Grande" w:hAnsi="Lucida Grande" w:cs="Times New Roman"/>
      <w:sz w:val="18"/>
      <w:szCs w:val="18"/>
    </w:rPr>
  </w:style>
  <w:style w:type="character" w:customStyle="1" w:styleId="BalloonTextChar3">
    <w:name w:val="Balloon Text Char3"/>
    <w:basedOn w:val="DefaultParagraphFont"/>
    <w:link w:val="BalloonText"/>
    <w:uiPriority w:val="99"/>
    <w:semiHidden/>
    <w:locked/>
    <w:rPr>
      <w:rFonts w:ascii="Lucida Grande" w:hAnsi="Lucida Grande" w:cs="Times New Roman"/>
      <w:sz w:val="18"/>
      <w:szCs w:val="18"/>
    </w:rPr>
  </w:style>
  <w:style w:type="character" w:customStyle="1" w:styleId="BalloonTextChar2">
    <w:name w:val="Balloon Text Char2"/>
    <w:basedOn w:val="DefaultParagraphFont"/>
    <w:link w:val="BalloonText"/>
    <w:uiPriority w:val="99"/>
    <w:semiHidden/>
    <w:locked/>
    <w:rPr>
      <w:rFonts w:ascii="Lucida Grande" w:hAnsi="Lucida Grande" w:cs="Times New Roman"/>
      <w:sz w:val="18"/>
      <w:szCs w:val="18"/>
    </w:rPr>
  </w:style>
  <w:style w:type="paragraph" w:styleId="Header">
    <w:name w:val="header"/>
    <w:basedOn w:val="Normal"/>
    <w:link w:val="HeaderChar"/>
    <w:uiPriority w:val="99"/>
    <w:semiHidden/>
    <w:pPr>
      <w:tabs>
        <w:tab w:val="center" w:pos="4320"/>
        <w:tab w:val="right" w:pos="8640"/>
      </w:tabs>
    </w:pPr>
    <w:rPr>
      <w:rFonts w:ascii="Spranq Eco Sans Regular" w:hAnsi="Spranq Eco Sans Regular"/>
      <w:sz w:val="22"/>
    </w:rPr>
  </w:style>
  <w:style w:type="character" w:customStyle="1" w:styleId="HeaderChar">
    <w:name w:val="Header Char"/>
    <w:basedOn w:val="DefaultParagraphFont"/>
    <w:link w:val="Header"/>
    <w:uiPriority w:val="99"/>
    <w:semiHidden/>
    <w:locked/>
    <w:rPr>
      <w:rFonts w:ascii="Spranq Eco Sans Regular" w:hAnsi="Spranq Eco Sans Regular" w:cs="Times New Roman"/>
      <w:sz w:val="22"/>
    </w:rPr>
  </w:style>
  <w:style w:type="paragraph" w:styleId="Footer">
    <w:name w:val="footer"/>
    <w:basedOn w:val="Normal"/>
    <w:link w:val="FooterChar"/>
    <w:uiPriority w:val="99"/>
    <w:semiHidden/>
    <w:pPr>
      <w:tabs>
        <w:tab w:val="center" w:pos="4320"/>
        <w:tab w:val="right" w:pos="8640"/>
      </w:tabs>
    </w:pPr>
    <w:rPr>
      <w:rFonts w:ascii="Spranq Eco Sans Regular" w:hAnsi="Spranq Eco Sans Regular"/>
      <w:sz w:val="22"/>
    </w:rPr>
  </w:style>
  <w:style w:type="character" w:customStyle="1" w:styleId="FooterChar">
    <w:name w:val="Footer Char"/>
    <w:basedOn w:val="DefaultParagraphFont"/>
    <w:link w:val="Footer"/>
    <w:uiPriority w:val="99"/>
    <w:semiHidden/>
    <w:locked/>
    <w:rPr>
      <w:rFonts w:ascii="Spranq Eco Sans Regular" w:hAnsi="Spranq Eco Sans Regular" w:cs="Times New Roman"/>
      <w:sz w:val="22"/>
    </w:rPr>
  </w:style>
  <w:style w:type="character" w:styleId="Hyperlink">
    <w:name w:val="Hyperlink"/>
    <w:basedOn w:val="DefaultParagraphFont"/>
    <w:uiPriority w:val="99"/>
    <w:semiHidden/>
    <w:rPr>
      <w:rFonts w:cs="Times New Roman"/>
      <w:color w:val="0000FF"/>
      <w:u w:val="single"/>
    </w:rPr>
  </w:style>
  <w:style w:type="paragraph" w:styleId="ListParagraph">
    <w:name w:val="List Paragraph"/>
    <w:basedOn w:val="Normal"/>
    <w:uiPriority w:val="99"/>
    <w:qFormat/>
    <w:pPr>
      <w:ind w:left="720"/>
      <w:contextualSpacing/>
    </w:pPr>
  </w:style>
  <w:style w:type="character" w:styleId="CommentReference">
    <w:name w:val="annotation reference"/>
    <w:basedOn w:val="DefaultParagraphFont"/>
    <w:uiPriority w:val="99"/>
    <w:rPr>
      <w:rFonts w:cs="Times New Roman"/>
      <w:sz w:val="18"/>
      <w:szCs w:val="18"/>
    </w:rPr>
  </w:style>
  <w:style w:type="paragraph" w:styleId="CommentText">
    <w:name w:val="annotation text"/>
    <w:basedOn w:val="Normal"/>
    <w:link w:val="CommentTextChar"/>
    <w:uiPriority w:val="99"/>
  </w:style>
  <w:style w:type="character" w:customStyle="1" w:styleId="CommentTextChar">
    <w:name w:val="Comment Text Char"/>
    <w:basedOn w:val="DefaultParagraphFont"/>
    <w:link w:val="CommentText"/>
    <w:uiPriority w:val="99"/>
    <w:locked/>
    <w:rPr>
      <w:rFonts w:ascii="Cambria" w:eastAsia="Times New Roman" w:hAnsi="Cambria" w:cs="Times New Roman"/>
    </w:rPr>
  </w:style>
  <w:style w:type="paragraph" w:styleId="CommentSubject">
    <w:name w:val="annotation subject"/>
    <w:basedOn w:val="CommentText"/>
    <w:next w:val="CommentText"/>
    <w:link w:val="CommentSubjectChar"/>
    <w:uiPriority w:val="99"/>
    <w:rPr>
      <w:b/>
      <w:bCs/>
      <w:sz w:val="20"/>
      <w:szCs w:val="20"/>
    </w:rPr>
  </w:style>
  <w:style w:type="character" w:customStyle="1" w:styleId="CommentSubjectChar">
    <w:name w:val="Comment Subject Char"/>
    <w:basedOn w:val="CommentTextChar"/>
    <w:link w:val="CommentSubject"/>
    <w:uiPriority w:val="99"/>
    <w:locked/>
    <w:rPr>
      <w:b/>
      <w:bCs/>
      <w:sz w:val="20"/>
      <w:szCs w:val="20"/>
    </w:rPr>
  </w:style>
  <w:style w:type="character" w:customStyle="1" w:styleId="BalloonTextChar1">
    <w:name w:val="Balloon Text Char1"/>
    <w:basedOn w:val="DefaultParagraphFont"/>
    <w:link w:val="BalloonText"/>
    <w:uiPriority w:val="99"/>
    <w:locked/>
    <w:rPr>
      <w:rFonts w:ascii="Lucida Grande" w:eastAsia="Times New Roman" w:hAnsi="Lucida Grande" w:cs="Times New Roman"/>
      <w:sz w:val="18"/>
      <w:szCs w:val="18"/>
    </w:rPr>
  </w:style>
  <w:style w:type="paragraph" w:styleId="FootnoteText">
    <w:name w:val="footnote text"/>
    <w:basedOn w:val="Normal"/>
    <w:link w:val="FootnoteTextChar"/>
    <w:uiPriority w:val="99"/>
  </w:style>
  <w:style w:type="character" w:customStyle="1" w:styleId="FootnoteTextChar">
    <w:name w:val="Footnote Text Char"/>
    <w:basedOn w:val="DefaultParagraphFont"/>
    <w:link w:val="FootnoteText"/>
    <w:uiPriority w:val="99"/>
    <w:locked/>
    <w:rPr>
      <w:rFonts w:ascii="Cambria" w:eastAsia="Times New Roman" w:hAnsi="Cambria" w:cs="Times New Roman"/>
    </w:rPr>
  </w:style>
  <w:style w:type="character" w:styleId="FootnoteReference">
    <w:name w:val="footnote reference"/>
    <w:basedOn w:val="DefaultParagraphFont"/>
    <w:uiPriority w:val="99"/>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474</Words>
  <Characters>2706</Characters>
  <Application>Microsoft Office Outlook</Application>
  <DocSecurity>0</DocSecurity>
  <Lines>0</Lines>
  <Paragraphs>0</Paragraphs>
  <ScaleCrop>false</ScaleCrop>
  <Company>Innovo Energy Solutions Group, LLC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15, 2010</dc:title>
  <dc:subject/>
  <dc:creator>Tyson Eckerle</dc:creator>
  <cp:keywords/>
  <dc:description/>
  <cp:lastModifiedBy>arb</cp:lastModifiedBy>
  <cp:revision>2</cp:revision>
  <cp:lastPrinted>2010-10-26T23:59:00Z</cp:lastPrinted>
  <dcterms:created xsi:type="dcterms:W3CDTF">2010-12-16T01:00:00Z</dcterms:created>
  <dcterms:modified xsi:type="dcterms:W3CDTF">2010-12-16T01:00:00Z</dcterms:modified>
</cp:coreProperties>
</file>