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0B0" w:rsidRDefault="008A447C" w:rsidP="008A447C">
      <w:pPr>
        <w:jc w:val="center"/>
        <w:rPr>
          <w:sz w:val="22"/>
          <w:szCs w:val="22"/>
        </w:rPr>
      </w:pPr>
      <w:r w:rsidRPr="008A447C">
        <w:rPr>
          <w:sz w:val="22"/>
          <w:szCs w:val="22"/>
        </w:rPr>
        <w:drawing>
          <wp:inline distT="0" distB="0" distL="0" distR="0">
            <wp:extent cx="2000250" cy="521804"/>
            <wp:effectExtent l="19050" t="0" r="0" b="0"/>
            <wp:docPr id="1" name="Picture 2" descr="CalCA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CAN-logo.jpg"/>
                    <pic:cNvPicPr>
                      <a:picLocks noChangeAspect="1" noChangeArrowheads="1"/>
                    </pic:cNvPicPr>
                  </pic:nvPicPr>
                  <pic:blipFill>
                    <a:blip r:embed="rId6" cstate="print"/>
                    <a:srcRect/>
                    <a:stretch>
                      <a:fillRect/>
                    </a:stretch>
                  </pic:blipFill>
                  <pic:spPr bwMode="auto">
                    <a:xfrm>
                      <a:off x="0" y="0"/>
                      <a:ext cx="2000250" cy="521804"/>
                    </a:xfrm>
                    <a:prstGeom prst="rect">
                      <a:avLst/>
                    </a:prstGeom>
                    <a:noFill/>
                    <a:ln w="9525">
                      <a:noFill/>
                      <a:miter lim="800000"/>
                      <a:headEnd/>
                      <a:tailEnd/>
                    </a:ln>
                  </pic:spPr>
                </pic:pic>
              </a:graphicData>
            </a:graphic>
          </wp:inline>
        </w:drawing>
      </w:r>
      <w:r w:rsidRPr="008A447C">
        <w:rPr>
          <w:sz w:val="22"/>
          <w:szCs w:val="22"/>
        </w:rPr>
        <w:drawing>
          <wp:inline distT="0" distB="0" distL="0" distR="0">
            <wp:extent cx="1219200" cy="762000"/>
            <wp:effectExtent l="19050" t="0" r="0" b="0"/>
            <wp:docPr id="1141" name="Picture 10" descr="CAFF_logo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FF_logo_print"/>
                    <pic:cNvPicPr>
                      <a:picLocks noChangeAspect="1" noChangeArrowheads="1"/>
                    </pic:cNvPicPr>
                  </pic:nvPicPr>
                  <pic:blipFill>
                    <a:blip r:embed="rId7" cstate="print"/>
                    <a:srcRect/>
                    <a:stretch>
                      <a:fillRect/>
                    </a:stretch>
                  </pic:blipFill>
                  <pic:spPr bwMode="auto">
                    <a:xfrm>
                      <a:off x="0" y="0"/>
                      <a:ext cx="1219200" cy="762000"/>
                    </a:xfrm>
                    <a:prstGeom prst="rect">
                      <a:avLst/>
                    </a:prstGeom>
                    <a:noFill/>
                    <a:ln w="9525">
                      <a:noFill/>
                      <a:miter lim="800000"/>
                      <a:headEnd/>
                      <a:tailEnd/>
                    </a:ln>
                  </pic:spPr>
                </pic:pic>
              </a:graphicData>
            </a:graphic>
          </wp:inline>
        </w:drawing>
      </w:r>
      <w:r w:rsidRPr="008A447C">
        <w:rPr>
          <w:sz w:val="22"/>
          <w:szCs w:val="22"/>
        </w:rPr>
        <w:drawing>
          <wp:inline distT="0" distB="0" distL="0" distR="0">
            <wp:extent cx="1847850" cy="405886"/>
            <wp:effectExtent l="19050" t="0" r="0" b="0"/>
            <wp:docPr id="1125" name="Picture 11" descr="EFA 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FA logo copy"/>
                    <pic:cNvPicPr>
                      <a:picLocks noChangeAspect="1" noChangeArrowheads="1"/>
                    </pic:cNvPicPr>
                  </pic:nvPicPr>
                  <pic:blipFill>
                    <a:blip r:embed="rId8" cstate="print"/>
                    <a:srcRect/>
                    <a:stretch>
                      <a:fillRect/>
                    </a:stretch>
                  </pic:blipFill>
                  <pic:spPr bwMode="auto">
                    <a:xfrm>
                      <a:off x="0" y="0"/>
                      <a:ext cx="1847850" cy="405886"/>
                    </a:xfrm>
                    <a:prstGeom prst="rect">
                      <a:avLst/>
                    </a:prstGeom>
                    <a:noFill/>
                    <a:ln w="9525">
                      <a:noFill/>
                      <a:miter lim="800000"/>
                      <a:headEnd/>
                      <a:tailEnd/>
                    </a:ln>
                  </pic:spPr>
                </pic:pic>
              </a:graphicData>
            </a:graphic>
          </wp:inline>
        </w:drawing>
      </w:r>
    </w:p>
    <w:p w:rsidR="008A447C" w:rsidRDefault="008A447C" w:rsidP="008A447C">
      <w:pPr>
        <w:jc w:val="center"/>
        <w:rPr>
          <w:sz w:val="22"/>
          <w:szCs w:val="22"/>
        </w:rPr>
      </w:pPr>
      <w:r w:rsidRPr="008A447C">
        <w:rPr>
          <w:sz w:val="22"/>
          <w:szCs w:val="22"/>
        </w:rPr>
        <w:drawing>
          <wp:inline distT="0" distB="0" distL="0" distR="0">
            <wp:extent cx="742950" cy="901446"/>
            <wp:effectExtent l="19050" t="0" r="0" b="0"/>
            <wp:docPr id="24" name="Picture 24" descr="cco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cof_RGB"/>
                    <pic:cNvPicPr>
                      <a:picLocks noChangeAspect="1" noChangeArrowheads="1"/>
                    </pic:cNvPicPr>
                  </pic:nvPicPr>
                  <pic:blipFill>
                    <a:blip r:embed="rId9" cstate="print"/>
                    <a:srcRect/>
                    <a:stretch>
                      <a:fillRect/>
                    </a:stretch>
                  </pic:blipFill>
                  <pic:spPr bwMode="auto">
                    <a:xfrm>
                      <a:off x="0" y="0"/>
                      <a:ext cx="742950" cy="901446"/>
                    </a:xfrm>
                    <a:prstGeom prst="rect">
                      <a:avLst/>
                    </a:prstGeom>
                    <a:noFill/>
                    <a:ln w="9525">
                      <a:noFill/>
                      <a:miter lim="800000"/>
                      <a:headEnd/>
                      <a:tailEnd/>
                    </a:ln>
                  </pic:spPr>
                </pic:pic>
              </a:graphicData>
            </a:graphic>
          </wp:inline>
        </w:drawing>
      </w:r>
      <w:r>
        <w:rPr>
          <w:noProof/>
          <w:sz w:val="22"/>
          <w:szCs w:val="22"/>
        </w:rPr>
        <w:drawing>
          <wp:inline distT="0" distB="0" distL="0" distR="0">
            <wp:extent cx="1867393" cy="6477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67887" cy="647871"/>
                    </a:xfrm>
                    <a:prstGeom prst="rect">
                      <a:avLst/>
                    </a:prstGeom>
                    <a:noFill/>
                    <a:ln w="9525">
                      <a:noFill/>
                      <a:miter lim="800000"/>
                      <a:headEnd/>
                      <a:tailEnd/>
                    </a:ln>
                  </pic:spPr>
                </pic:pic>
              </a:graphicData>
            </a:graphic>
          </wp:inline>
        </w:drawing>
      </w:r>
      <w:r w:rsidRPr="008A447C">
        <w:rPr>
          <w:sz w:val="22"/>
          <w:szCs w:val="22"/>
        </w:rPr>
        <w:drawing>
          <wp:inline distT="0" distB="0" distL="0" distR="0">
            <wp:extent cx="1009650" cy="828431"/>
            <wp:effectExtent l="19050" t="0" r="0" b="0"/>
            <wp:docPr id="3" name="Picture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pic:cNvPicPr>
                      <a:picLocks noChangeAspect="1" noChangeArrowheads="1"/>
                    </pic:cNvPicPr>
                  </pic:nvPicPr>
                  <pic:blipFill>
                    <a:blip r:embed="rId11" cstate="print"/>
                    <a:srcRect/>
                    <a:stretch>
                      <a:fillRect/>
                    </a:stretch>
                  </pic:blipFill>
                  <pic:spPr bwMode="auto">
                    <a:xfrm>
                      <a:off x="0" y="0"/>
                      <a:ext cx="1014033" cy="832027"/>
                    </a:xfrm>
                    <a:prstGeom prst="rect">
                      <a:avLst/>
                    </a:prstGeom>
                    <a:noFill/>
                    <a:ln w="9525">
                      <a:noFill/>
                      <a:miter lim="800000"/>
                      <a:headEnd/>
                      <a:tailEnd/>
                    </a:ln>
                  </pic:spPr>
                </pic:pic>
              </a:graphicData>
            </a:graphic>
          </wp:inline>
        </w:drawing>
      </w:r>
    </w:p>
    <w:p w:rsidR="008A447C" w:rsidRDefault="008A447C" w:rsidP="00C03492">
      <w:pPr>
        <w:rPr>
          <w:sz w:val="22"/>
          <w:szCs w:val="22"/>
        </w:rPr>
      </w:pPr>
    </w:p>
    <w:p w:rsidR="00C03492" w:rsidRDefault="009D50B0" w:rsidP="00C03492">
      <w:pPr>
        <w:rPr>
          <w:sz w:val="22"/>
          <w:szCs w:val="22"/>
        </w:rPr>
      </w:pPr>
      <w:r>
        <w:rPr>
          <w:sz w:val="22"/>
          <w:szCs w:val="22"/>
        </w:rPr>
        <w:t>August 11, 2011</w:t>
      </w:r>
    </w:p>
    <w:p w:rsidR="00E20ACF" w:rsidRDefault="00E20ACF" w:rsidP="00C03492">
      <w:pPr>
        <w:rPr>
          <w:sz w:val="22"/>
          <w:szCs w:val="22"/>
        </w:rPr>
      </w:pPr>
    </w:p>
    <w:p w:rsidR="00C03492" w:rsidRDefault="00166AA3" w:rsidP="00C03492">
      <w:pPr>
        <w:rPr>
          <w:sz w:val="22"/>
          <w:szCs w:val="22"/>
        </w:rPr>
      </w:pPr>
      <w:r>
        <w:rPr>
          <w:sz w:val="22"/>
          <w:szCs w:val="22"/>
        </w:rPr>
        <w:t>Chairman Mary Nichols</w:t>
      </w:r>
      <w:r w:rsidR="008A447C">
        <w:rPr>
          <w:sz w:val="22"/>
          <w:szCs w:val="22"/>
        </w:rPr>
        <w:t xml:space="preserve"> and Members of the Board</w:t>
      </w:r>
    </w:p>
    <w:p w:rsidR="00C03492" w:rsidRPr="006C1B56" w:rsidRDefault="00C03492" w:rsidP="00C03492">
      <w:pPr>
        <w:tabs>
          <w:tab w:val="left" w:pos="3795"/>
        </w:tabs>
        <w:rPr>
          <w:rFonts w:ascii="Century Schoolbook" w:hAnsi="Century Schoolbook" w:cs="Calibri"/>
          <w:sz w:val="22"/>
          <w:szCs w:val="22"/>
        </w:rPr>
      </w:pPr>
      <w:r w:rsidRPr="006C1B56">
        <w:rPr>
          <w:rFonts w:ascii="Century Schoolbook" w:hAnsi="Century Schoolbook" w:cs="Calibri"/>
          <w:sz w:val="22"/>
          <w:szCs w:val="22"/>
        </w:rPr>
        <w:t>California Air Resources Board</w:t>
      </w:r>
    </w:p>
    <w:p w:rsidR="00C03492" w:rsidRPr="006C1B56" w:rsidRDefault="00C03492" w:rsidP="00C03492">
      <w:pPr>
        <w:rPr>
          <w:rFonts w:ascii="Century Schoolbook" w:hAnsi="Century Schoolbook" w:cs="Calibri"/>
          <w:sz w:val="22"/>
          <w:szCs w:val="22"/>
        </w:rPr>
      </w:pPr>
      <w:r w:rsidRPr="006C1B56">
        <w:rPr>
          <w:rFonts w:ascii="Century Schoolbook" w:hAnsi="Century Schoolbook" w:cs="Calibri"/>
          <w:sz w:val="22"/>
          <w:szCs w:val="22"/>
        </w:rPr>
        <w:t>1001 “I” Street,</w:t>
      </w:r>
    </w:p>
    <w:p w:rsidR="00C03492" w:rsidRPr="006C1B56" w:rsidRDefault="00C03492" w:rsidP="00C03492">
      <w:pPr>
        <w:rPr>
          <w:rFonts w:ascii="Century Schoolbook" w:hAnsi="Century Schoolbook" w:cs="Calibri"/>
          <w:sz w:val="22"/>
          <w:szCs w:val="22"/>
        </w:rPr>
      </w:pPr>
      <w:r w:rsidRPr="006C1B56">
        <w:rPr>
          <w:rFonts w:ascii="Century Schoolbook" w:hAnsi="Century Schoolbook" w:cs="Calibri"/>
          <w:sz w:val="22"/>
          <w:szCs w:val="22"/>
        </w:rPr>
        <w:t>Sacramento, CA  95812</w:t>
      </w:r>
    </w:p>
    <w:p w:rsidR="00C03492" w:rsidRPr="006C1B56" w:rsidRDefault="00C03492" w:rsidP="00C03492">
      <w:pPr>
        <w:rPr>
          <w:sz w:val="22"/>
          <w:szCs w:val="22"/>
        </w:rPr>
      </w:pPr>
    </w:p>
    <w:p w:rsidR="00C03492" w:rsidRPr="00C572B4" w:rsidRDefault="00C572B4" w:rsidP="00474BD8">
      <w:pPr>
        <w:rPr>
          <w:b/>
          <w:sz w:val="22"/>
          <w:szCs w:val="22"/>
        </w:rPr>
      </w:pPr>
      <w:r w:rsidRPr="00C572B4">
        <w:rPr>
          <w:b/>
          <w:sz w:val="22"/>
          <w:szCs w:val="22"/>
        </w:rPr>
        <w:t>RE</w:t>
      </w:r>
      <w:r w:rsidR="00C03492" w:rsidRPr="00C572B4">
        <w:rPr>
          <w:b/>
          <w:sz w:val="22"/>
          <w:szCs w:val="22"/>
        </w:rPr>
        <w:t xml:space="preserve">: </w:t>
      </w:r>
      <w:r w:rsidRPr="00C572B4">
        <w:rPr>
          <w:b/>
          <w:sz w:val="22"/>
          <w:szCs w:val="22"/>
        </w:rPr>
        <w:t>15 DAY MODIFICATIONS</w:t>
      </w:r>
      <w:r w:rsidR="00474BD8" w:rsidRPr="00C572B4">
        <w:rPr>
          <w:b/>
          <w:sz w:val="22"/>
          <w:szCs w:val="22"/>
        </w:rPr>
        <w:t>: CALIFORNIA CAP ON GREENHOUSE GAS EMISSIONS AND MARKET-BASED COMPLIANCE MECHANISMS</w:t>
      </w:r>
    </w:p>
    <w:p w:rsidR="00C03492" w:rsidRPr="006C1B56" w:rsidRDefault="00C03492" w:rsidP="00C03492">
      <w:pPr>
        <w:rPr>
          <w:sz w:val="22"/>
          <w:szCs w:val="22"/>
        </w:rPr>
      </w:pPr>
    </w:p>
    <w:p w:rsidR="00C03492" w:rsidRPr="006C1B56" w:rsidRDefault="00C03492" w:rsidP="00C03492">
      <w:pPr>
        <w:rPr>
          <w:sz w:val="22"/>
          <w:szCs w:val="22"/>
        </w:rPr>
      </w:pPr>
      <w:r>
        <w:rPr>
          <w:sz w:val="22"/>
          <w:szCs w:val="22"/>
        </w:rPr>
        <w:t>Dear</w:t>
      </w:r>
      <w:r w:rsidR="00166AA3">
        <w:rPr>
          <w:sz w:val="22"/>
          <w:szCs w:val="22"/>
        </w:rPr>
        <w:t xml:space="preserve"> Chairman Nichols</w:t>
      </w:r>
      <w:r w:rsidR="008A447C">
        <w:rPr>
          <w:sz w:val="22"/>
          <w:szCs w:val="22"/>
        </w:rPr>
        <w:t xml:space="preserve"> and Members of the Air Resources Board</w:t>
      </w:r>
      <w:r w:rsidR="00166AA3">
        <w:rPr>
          <w:sz w:val="22"/>
          <w:szCs w:val="22"/>
        </w:rPr>
        <w:t>,</w:t>
      </w:r>
    </w:p>
    <w:p w:rsidR="007F5A80" w:rsidRPr="006C1B56" w:rsidRDefault="007F5A80" w:rsidP="00C03492">
      <w:pPr>
        <w:rPr>
          <w:sz w:val="22"/>
          <w:szCs w:val="22"/>
        </w:rPr>
      </w:pPr>
    </w:p>
    <w:p w:rsidR="007F5A80" w:rsidRDefault="00C03492" w:rsidP="00C03492">
      <w:pPr>
        <w:rPr>
          <w:sz w:val="22"/>
          <w:szCs w:val="22"/>
        </w:rPr>
      </w:pPr>
      <w:r>
        <w:rPr>
          <w:sz w:val="22"/>
          <w:szCs w:val="22"/>
        </w:rPr>
        <w:t xml:space="preserve">On behalf of the </w:t>
      </w:r>
      <w:r w:rsidR="007F5A80">
        <w:rPr>
          <w:sz w:val="22"/>
          <w:szCs w:val="22"/>
        </w:rPr>
        <w:t>organizations listed</w:t>
      </w:r>
      <w:r w:rsidRPr="006C1B56">
        <w:rPr>
          <w:sz w:val="22"/>
          <w:szCs w:val="22"/>
        </w:rPr>
        <w:t xml:space="preserve">, we welcome the opportunity to comment </w:t>
      </w:r>
      <w:r w:rsidR="00474BD8">
        <w:rPr>
          <w:sz w:val="22"/>
          <w:szCs w:val="22"/>
        </w:rPr>
        <w:t>on the15-day modification</w:t>
      </w:r>
      <w:r w:rsidR="00E20ACF">
        <w:rPr>
          <w:sz w:val="22"/>
          <w:szCs w:val="22"/>
        </w:rPr>
        <w:t>s document</w:t>
      </w:r>
      <w:r w:rsidR="00474BD8">
        <w:rPr>
          <w:sz w:val="22"/>
          <w:szCs w:val="22"/>
        </w:rPr>
        <w:t xml:space="preserve"> to</w:t>
      </w:r>
      <w:r w:rsidR="007F5A80">
        <w:rPr>
          <w:sz w:val="22"/>
          <w:szCs w:val="22"/>
        </w:rPr>
        <w:t xml:space="preserve"> the </w:t>
      </w:r>
      <w:r w:rsidRPr="006C1B56">
        <w:rPr>
          <w:sz w:val="22"/>
          <w:szCs w:val="22"/>
        </w:rPr>
        <w:t>cap-and-</w:t>
      </w:r>
      <w:r w:rsidR="007F5A80">
        <w:rPr>
          <w:sz w:val="22"/>
          <w:szCs w:val="22"/>
        </w:rPr>
        <w:t>trade regulation</w:t>
      </w:r>
      <w:r w:rsidRPr="006C1B56">
        <w:rPr>
          <w:sz w:val="22"/>
          <w:szCs w:val="22"/>
        </w:rPr>
        <w:t xml:space="preserve">.  </w:t>
      </w:r>
      <w:r w:rsidR="008A447C">
        <w:rPr>
          <w:sz w:val="22"/>
          <w:szCs w:val="22"/>
        </w:rPr>
        <w:t xml:space="preserve">Our comments focus on </w:t>
      </w:r>
      <w:r w:rsidR="00C572B4">
        <w:rPr>
          <w:sz w:val="22"/>
          <w:szCs w:val="22"/>
        </w:rPr>
        <w:t xml:space="preserve">two </w:t>
      </w:r>
      <w:r w:rsidR="007F5A80">
        <w:rPr>
          <w:sz w:val="22"/>
          <w:szCs w:val="22"/>
        </w:rPr>
        <w:t xml:space="preserve">aspects of </w:t>
      </w:r>
      <w:r w:rsidR="00C572B4">
        <w:rPr>
          <w:sz w:val="22"/>
          <w:szCs w:val="22"/>
        </w:rPr>
        <w:t>the cap and trade regulation that are</w:t>
      </w:r>
      <w:r w:rsidR="008A447C">
        <w:rPr>
          <w:sz w:val="22"/>
          <w:szCs w:val="22"/>
        </w:rPr>
        <w:t xml:space="preserve"> critical</w:t>
      </w:r>
      <w:r w:rsidR="007F5A80">
        <w:rPr>
          <w:sz w:val="22"/>
          <w:szCs w:val="22"/>
        </w:rPr>
        <w:t xml:space="preserve"> California agriculture – the design and implementation of offsets credits and CARB’s recommendations to the legislature on the use of future allowance revenue.  </w:t>
      </w:r>
    </w:p>
    <w:p w:rsidR="007F5A80" w:rsidRPr="00380556" w:rsidRDefault="007F5A80" w:rsidP="00C03492">
      <w:pPr>
        <w:rPr>
          <w:b/>
          <w:sz w:val="22"/>
          <w:szCs w:val="22"/>
        </w:rPr>
      </w:pPr>
    </w:p>
    <w:p w:rsidR="007F5A80" w:rsidRPr="00D031CE" w:rsidRDefault="00D031CE" w:rsidP="00C03492">
      <w:pPr>
        <w:rPr>
          <w:b/>
          <w:sz w:val="22"/>
          <w:szCs w:val="22"/>
          <w:u w:val="single"/>
        </w:rPr>
      </w:pPr>
      <w:r w:rsidRPr="00D031CE">
        <w:rPr>
          <w:b/>
          <w:sz w:val="22"/>
          <w:szCs w:val="22"/>
          <w:u w:val="single"/>
        </w:rPr>
        <w:t xml:space="preserve">1. </w:t>
      </w:r>
      <w:r w:rsidR="007F5A80" w:rsidRPr="00D031CE">
        <w:rPr>
          <w:b/>
          <w:sz w:val="22"/>
          <w:szCs w:val="22"/>
          <w:u w:val="single"/>
        </w:rPr>
        <w:t>Off</w:t>
      </w:r>
      <w:r w:rsidR="000D239E">
        <w:rPr>
          <w:b/>
          <w:sz w:val="22"/>
          <w:szCs w:val="22"/>
          <w:u w:val="single"/>
        </w:rPr>
        <w:t>set C</w:t>
      </w:r>
      <w:r w:rsidR="00380556" w:rsidRPr="00D031CE">
        <w:rPr>
          <w:b/>
          <w:sz w:val="22"/>
          <w:szCs w:val="22"/>
          <w:u w:val="single"/>
        </w:rPr>
        <w:t>redits</w:t>
      </w:r>
    </w:p>
    <w:p w:rsidR="00380556" w:rsidRDefault="00380556" w:rsidP="00C03492">
      <w:pPr>
        <w:rPr>
          <w:sz w:val="22"/>
          <w:szCs w:val="22"/>
        </w:rPr>
      </w:pPr>
      <w:r>
        <w:rPr>
          <w:sz w:val="22"/>
          <w:szCs w:val="22"/>
        </w:rPr>
        <w:t xml:space="preserve">To ensure that the cap and trade program in California includes high quality offset credits that meet the goals of GHG emissions reductions, as laid out in AB 32, CARB must grapple with the complex </w:t>
      </w:r>
      <w:r w:rsidR="007D1B48">
        <w:rPr>
          <w:sz w:val="22"/>
          <w:szCs w:val="22"/>
        </w:rPr>
        <w:t xml:space="preserve">and dynamic </w:t>
      </w:r>
      <w:r>
        <w:rPr>
          <w:sz w:val="22"/>
          <w:szCs w:val="22"/>
        </w:rPr>
        <w:t xml:space="preserve">nature of diverse farming systems, avoid unintended negative </w:t>
      </w:r>
      <w:r w:rsidR="00E20ACF">
        <w:rPr>
          <w:sz w:val="22"/>
          <w:szCs w:val="22"/>
        </w:rPr>
        <w:t>incentives</w:t>
      </w:r>
      <w:r w:rsidR="00D70317">
        <w:rPr>
          <w:sz w:val="22"/>
          <w:szCs w:val="22"/>
        </w:rPr>
        <w:t>, seek to level the playing field for small and mid-scale producers</w:t>
      </w:r>
      <w:r w:rsidR="00B67B4B">
        <w:rPr>
          <w:sz w:val="22"/>
          <w:szCs w:val="22"/>
        </w:rPr>
        <w:t xml:space="preserve"> and </w:t>
      </w:r>
      <w:r w:rsidR="009C6DC6">
        <w:rPr>
          <w:sz w:val="22"/>
          <w:szCs w:val="22"/>
        </w:rPr>
        <w:t>support</w:t>
      </w:r>
      <w:r w:rsidR="00153DE2">
        <w:rPr>
          <w:sz w:val="22"/>
          <w:szCs w:val="22"/>
        </w:rPr>
        <w:t xml:space="preserve"> innovative, conservation oriented</w:t>
      </w:r>
      <w:r w:rsidR="009C6DC6">
        <w:rPr>
          <w:sz w:val="22"/>
          <w:szCs w:val="22"/>
        </w:rPr>
        <w:t xml:space="preserve"> California-based projects</w:t>
      </w:r>
      <w:r>
        <w:rPr>
          <w:sz w:val="22"/>
          <w:szCs w:val="22"/>
        </w:rPr>
        <w:t xml:space="preserve">.  </w:t>
      </w:r>
    </w:p>
    <w:p w:rsidR="00380556" w:rsidRDefault="00380556" w:rsidP="00C03492">
      <w:pPr>
        <w:rPr>
          <w:sz w:val="22"/>
          <w:szCs w:val="22"/>
        </w:rPr>
      </w:pPr>
    </w:p>
    <w:p w:rsidR="00380556" w:rsidRDefault="00FE21CA" w:rsidP="00C03492">
      <w:pPr>
        <w:rPr>
          <w:b/>
          <w:sz w:val="22"/>
          <w:szCs w:val="22"/>
        </w:rPr>
      </w:pPr>
      <w:r w:rsidRPr="00FC19A1">
        <w:rPr>
          <w:b/>
          <w:sz w:val="22"/>
          <w:szCs w:val="22"/>
        </w:rPr>
        <w:t xml:space="preserve">Section 95973(a)(2): </w:t>
      </w:r>
      <w:r w:rsidR="00380556" w:rsidRPr="00FC19A1">
        <w:rPr>
          <w:b/>
          <w:sz w:val="22"/>
          <w:szCs w:val="22"/>
        </w:rPr>
        <w:t>Additi</w:t>
      </w:r>
      <w:r w:rsidR="00E358D6">
        <w:rPr>
          <w:b/>
          <w:sz w:val="22"/>
          <w:szCs w:val="22"/>
        </w:rPr>
        <w:t>onality</w:t>
      </w:r>
    </w:p>
    <w:p w:rsidR="00380556" w:rsidRDefault="00C157BB" w:rsidP="00C03492">
      <w:pPr>
        <w:rPr>
          <w:sz w:val="22"/>
          <w:szCs w:val="22"/>
        </w:rPr>
      </w:pPr>
      <w:r>
        <w:rPr>
          <w:sz w:val="22"/>
          <w:szCs w:val="22"/>
        </w:rPr>
        <w:t>We are concerned that</w:t>
      </w:r>
      <w:r w:rsidR="00E358D6">
        <w:rPr>
          <w:sz w:val="22"/>
          <w:szCs w:val="22"/>
        </w:rPr>
        <w:t>, as described, the additionality</w:t>
      </w:r>
      <w:r>
        <w:rPr>
          <w:sz w:val="22"/>
          <w:szCs w:val="22"/>
        </w:rPr>
        <w:t xml:space="preserve"> requirements </w:t>
      </w:r>
      <w:r w:rsidR="00C572B4">
        <w:rPr>
          <w:sz w:val="22"/>
          <w:szCs w:val="22"/>
        </w:rPr>
        <w:t xml:space="preserve">of offset credits </w:t>
      </w:r>
      <w:r w:rsidR="00FE21CA">
        <w:rPr>
          <w:sz w:val="22"/>
          <w:szCs w:val="22"/>
        </w:rPr>
        <w:t>may lead to unintended</w:t>
      </w:r>
      <w:r>
        <w:rPr>
          <w:sz w:val="22"/>
          <w:szCs w:val="22"/>
        </w:rPr>
        <w:t>,</w:t>
      </w:r>
      <w:r w:rsidR="00FE21CA">
        <w:rPr>
          <w:sz w:val="22"/>
          <w:szCs w:val="22"/>
        </w:rPr>
        <w:t xml:space="preserve"> perverse incentives</w:t>
      </w:r>
      <w:r w:rsidR="00FF47B7">
        <w:rPr>
          <w:sz w:val="22"/>
          <w:szCs w:val="22"/>
        </w:rPr>
        <w:t>.</w:t>
      </w:r>
      <w:r w:rsidR="00FE21CA">
        <w:rPr>
          <w:sz w:val="22"/>
          <w:szCs w:val="22"/>
        </w:rPr>
        <w:t xml:space="preserve"> </w:t>
      </w:r>
      <w:r>
        <w:rPr>
          <w:sz w:val="22"/>
          <w:szCs w:val="22"/>
        </w:rPr>
        <w:t>We seek clarity from CARB on how it intends to avoid creating such negative incentives, which we describe in greater detail below.</w:t>
      </w:r>
    </w:p>
    <w:p w:rsidR="00FE21CA" w:rsidRDefault="00FE21CA" w:rsidP="00C03492">
      <w:pPr>
        <w:rPr>
          <w:sz w:val="22"/>
          <w:szCs w:val="22"/>
        </w:rPr>
      </w:pPr>
    </w:p>
    <w:p w:rsidR="00BB5321" w:rsidRDefault="00BB5321" w:rsidP="00582B93">
      <w:pPr>
        <w:rPr>
          <w:sz w:val="22"/>
          <w:szCs w:val="22"/>
        </w:rPr>
      </w:pPr>
      <w:r>
        <w:rPr>
          <w:sz w:val="22"/>
          <w:szCs w:val="22"/>
        </w:rPr>
        <w:t>If early adopters of</w:t>
      </w:r>
      <w:r w:rsidR="00582B93">
        <w:rPr>
          <w:sz w:val="22"/>
          <w:szCs w:val="22"/>
        </w:rPr>
        <w:t xml:space="preserve"> agricultural </w:t>
      </w:r>
      <w:r w:rsidR="00C04FD5">
        <w:rPr>
          <w:sz w:val="22"/>
          <w:szCs w:val="22"/>
        </w:rPr>
        <w:t xml:space="preserve">conservation </w:t>
      </w:r>
      <w:r w:rsidR="00B67B4B">
        <w:rPr>
          <w:sz w:val="22"/>
          <w:szCs w:val="22"/>
        </w:rPr>
        <w:t>practi</w:t>
      </w:r>
      <w:r w:rsidR="007D1B48">
        <w:rPr>
          <w:sz w:val="22"/>
          <w:szCs w:val="22"/>
        </w:rPr>
        <w:t>ces, which</w:t>
      </w:r>
      <w:r w:rsidR="00582B93">
        <w:rPr>
          <w:sz w:val="22"/>
          <w:szCs w:val="22"/>
        </w:rPr>
        <w:t xml:space="preserve"> demonstrate reduced GHG emissions</w:t>
      </w:r>
      <w:r w:rsidR="00C04FD5">
        <w:rPr>
          <w:sz w:val="22"/>
          <w:szCs w:val="22"/>
        </w:rPr>
        <w:t xml:space="preserve"> ben</w:t>
      </w:r>
      <w:r>
        <w:rPr>
          <w:sz w:val="22"/>
          <w:szCs w:val="22"/>
        </w:rPr>
        <w:t>efits,</w:t>
      </w:r>
      <w:r w:rsidR="00582B93">
        <w:rPr>
          <w:sz w:val="22"/>
          <w:szCs w:val="22"/>
        </w:rPr>
        <w:t xml:space="preserve"> are prohibited from receiving </w:t>
      </w:r>
      <w:r w:rsidR="00E358D6">
        <w:rPr>
          <w:sz w:val="22"/>
          <w:szCs w:val="22"/>
        </w:rPr>
        <w:t>o</w:t>
      </w:r>
      <w:r w:rsidR="00D031CE">
        <w:rPr>
          <w:sz w:val="22"/>
          <w:szCs w:val="22"/>
        </w:rPr>
        <w:t>ffset credits</w:t>
      </w:r>
      <w:r w:rsidR="00E20ACF">
        <w:rPr>
          <w:sz w:val="22"/>
          <w:szCs w:val="22"/>
        </w:rPr>
        <w:t xml:space="preserve">, </w:t>
      </w:r>
      <w:r w:rsidR="00D031CE">
        <w:rPr>
          <w:sz w:val="22"/>
          <w:szCs w:val="22"/>
        </w:rPr>
        <w:t>early adopters</w:t>
      </w:r>
      <w:r w:rsidR="00E20ACF">
        <w:rPr>
          <w:sz w:val="22"/>
          <w:szCs w:val="22"/>
        </w:rPr>
        <w:t xml:space="preserve"> may choose to</w:t>
      </w:r>
      <w:r w:rsidR="00582B93">
        <w:rPr>
          <w:sz w:val="22"/>
          <w:szCs w:val="22"/>
        </w:rPr>
        <w:t xml:space="preserve"> s</w:t>
      </w:r>
      <w:r w:rsidR="008A447C">
        <w:rPr>
          <w:sz w:val="22"/>
          <w:szCs w:val="22"/>
        </w:rPr>
        <w:t xml:space="preserve">top their </w:t>
      </w:r>
      <w:r w:rsidR="00E358D6">
        <w:rPr>
          <w:sz w:val="22"/>
          <w:szCs w:val="22"/>
        </w:rPr>
        <w:t>u</w:t>
      </w:r>
      <w:r w:rsidR="00D031CE">
        <w:rPr>
          <w:sz w:val="22"/>
          <w:szCs w:val="22"/>
        </w:rPr>
        <w:t>se of</w:t>
      </w:r>
      <w:r w:rsidR="00C572B4">
        <w:rPr>
          <w:sz w:val="22"/>
          <w:szCs w:val="22"/>
        </w:rPr>
        <w:t xml:space="preserve"> those</w:t>
      </w:r>
      <w:r w:rsidR="00D031CE">
        <w:rPr>
          <w:sz w:val="22"/>
          <w:szCs w:val="22"/>
        </w:rPr>
        <w:t xml:space="preserve"> </w:t>
      </w:r>
      <w:r w:rsidR="00E358D6">
        <w:rPr>
          <w:sz w:val="22"/>
          <w:szCs w:val="22"/>
        </w:rPr>
        <w:t>conservation</w:t>
      </w:r>
      <w:r w:rsidR="00582B93">
        <w:rPr>
          <w:sz w:val="22"/>
          <w:szCs w:val="22"/>
        </w:rPr>
        <w:t xml:space="preserve"> practice</w:t>
      </w:r>
      <w:r w:rsidR="00D031CE">
        <w:rPr>
          <w:sz w:val="22"/>
          <w:szCs w:val="22"/>
        </w:rPr>
        <w:t>s</w:t>
      </w:r>
      <w:r w:rsidR="00582B93">
        <w:rPr>
          <w:sz w:val="22"/>
          <w:szCs w:val="22"/>
        </w:rPr>
        <w:t xml:space="preserve"> so that they may</w:t>
      </w:r>
      <w:r w:rsidR="00C572B4">
        <w:rPr>
          <w:sz w:val="22"/>
          <w:szCs w:val="22"/>
        </w:rPr>
        <w:t>,</w:t>
      </w:r>
      <w:r w:rsidR="00582B93">
        <w:rPr>
          <w:sz w:val="22"/>
          <w:szCs w:val="22"/>
        </w:rPr>
        <w:t xml:space="preserve"> in the future</w:t>
      </w:r>
      <w:r w:rsidR="00C572B4">
        <w:rPr>
          <w:sz w:val="22"/>
          <w:szCs w:val="22"/>
        </w:rPr>
        <w:t>,</w:t>
      </w:r>
      <w:r w:rsidR="00582B93">
        <w:rPr>
          <w:sz w:val="22"/>
          <w:szCs w:val="22"/>
        </w:rPr>
        <w:t xml:space="preserve"> </w:t>
      </w:r>
      <w:r w:rsidR="00153DE2">
        <w:rPr>
          <w:sz w:val="22"/>
          <w:szCs w:val="22"/>
        </w:rPr>
        <w:t xml:space="preserve">re-establish those practices to then </w:t>
      </w:r>
      <w:r w:rsidR="00582B93">
        <w:rPr>
          <w:sz w:val="22"/>
          <w:szCs w:val="22"/>
        </w:rPr>
        <w:t>qu</w:t>
      </w:r>
      <w:r w:rsidR="00D031CE">
        <w:rPr>
          <w:sz w:val="22"/>
          <w:szCs w:val="22"/>
        </w:rPr>
        <w:t>alify for</w:t>
      </w:r>
      <w:r w:rsidR="00582B93">
        <w:rPr>
          <w:sz w:val="22"/>
          <w:szCs w:val="22"/>
        </w:rPr>
        <w:t xml:space="preserve"> offset credit</w:t>
      </w:r>
      <w:r w:rsidR="00D031CE">
        <w:rPr>
          <w:sz w:val="22"/>
          <w:szCs w:val="22"/>
        </w:rPr>
        <w:t>s</w:t>
      </w:r>
      <w:r w:rsidR="00582B93">
        <w:rPr>
          <w:sz w:val="22"/>
          <w:szCs w:val="22"/>
        </w:rPr>
        <w:t xml:space="preserve">.  To avoid penalizing early adopters of beneficial practices and creating </w:t>
      </w:r>
      <w:r w:rsidR="00FF47B7">
        <w:rPr>
          <w:sz w:val="22"/>
          <w:szCs w:val="22"/>
        </w:rPr>
        <w:t xml:space="preserve">such </w:t>
      </w:r>
      <w:r w:rsidR="00582B93">
        <w:rPr>
          <w:sz w:val="22"/>
          <w:szCs w:val="22"/>
        </w:rPr>
        <w:t xml:space="preserve">perverse incentives, CARB should establish that </w:t>
      </w:r>
      <w:r>
        <w:rPr>
          <w:sz w:val="22"/>
          <w:szCs w:val="22"/>
        </w:rPr>
        <w:t>additionality fo</w:t>
      </w:r>
      <w:r w:rsidR="00582B93">
        <w:rPr>
          <w:sz w:val="22"/>
          <w:szCs w:val="22"/>
        </w:rPr>
        <w:t>r agricultural offset protocols is determined by the common practice for the industry</w:t>
      </w:r>
      <w:r w:rsidR="00C04FD5">
        <w:rPr>
          <w:sz w:val="22"/>
          <w:szCs w:val="22"/>
        </w:rPr>
        <w:t xml:space="preserve"> and </w:t>
      </w:r>
      <w:r w:rsidR="00E358D6">
        <w:rPr>
          <w:sz w:val="22"/>
          <w:szCs w:val="22"/>
        </w:rPr>
        <w:t>should not include</w:t>
      </w:r>
      <w:r w:rsidR="00C04FD5">
        <w:rPr>
          <w:sz w:val="22"/>
          <w:szCs w:val="22"/>
        </w:rPr>
        <w:t xml:space="preserve"> a fixed date </w:t>
      </w:r>
      <w:r w:rsidR="00E358D6">
        <w:rPr>
          <w:sz w:val="22"/>
          <w:szCs w:val="22"/>
        </w:rPr>
        <w:t xml:space="preserve">requirement </w:t>
      </w:r>
      <w:r w:rsidR="00C04FD5">
        <w:rPr>
          <w:sz w:val="22"/>
          <w:szCs w:val="22"/>
        </w:rPr>
        <w:t>of when the practice was</w:t>
      </w:r>
      <w:r w:rsidR="00C572B4">
        <w:rPr>
          <w:sz w:val="22"/>
          <w:szCs w:val="22"/>
        </w:rPr>
        <w:t xml:space="preserve"> to be</w:t>
      </w:r>
      <w:r w:rsidR="00C04FD5">
        <w:rPr>
          <w:sz w:val="22"/>
          <w:szCs w:val="22"/>
        </w:rPr>
        <w:t xml:space="preserve"> established on the operation</w:t>
      </w:r>
      <w:r w:rsidR="00582B93">
        <w:rPr>
          <w:sz w:val="22"/>
          <w:szCs w:val="22"/>
        </w:rPr>
        <w:t xml:space="preserve">. </w:t>
      </w:r>
    </w:p>
    <w:p w:rsidR="00BB5321" w:rsidRDefault="00BB5321" w:rsidP="00582B93">
      <w:pPr>
        <w:rPr>
          <w:sz w:val="22"/>
          <w:szCs w:val="22"/>
        </w:rPr>
      </w:pPr>
    </w:p>
    <w:p w:rsidR="00BB5321" w:rsidRDefault="00BB5321" w:rsidP="00582B93">
      <w:pPr>
        <w:rPr>
          <w:sz w:val="22"/>
          <w:szCs w:val="22"/>
        </w:rPr>
      </w:pPr>
      <w:r>
        <w:rPr>
          <w:sz w:val="22"/>
          <w:szCs w:val="22"/>
        </w:rPr>
        <w:t xml:space="preserve">For example, </w:t>
      </w:r>
      <w:r w:rsidR="00582B93">
        <w:rPr>
          <w:sz w:val="22"/>
          <w:szCs w:val="22"/>
        </w:rPr>
        <w:t>the common practice for soi</w:t>
      </w:r>
      <w:r w:rsidR="00C04FD5">
        <w:rPr>
          <w:sz w:val="22"/>
          <w:szCs w:val="22"/>
        </w:rPr>
        <w:t>l management</w:t>
      </w:r>
      <w:r>
        <w:rPr>
          <w:sz w:val="22"/>
          <w:szCs w:val="22"/>
        </w:rPr>
        <w:t xml:space="preserve"> for a particular crop may be </w:t>
      </w:r>
      <w:r w:rsidR="00FF47B7">
        <w:rPr>
          <w:sz w:val="22"/>
          <w:szCs w:val="22"/>
        </w:rPr>
        <w:t>the use of synthetic fertilizer</w:t>
      </w:r>
      <w:r w:rsidR="007D1B48">
        <w:rPr>
          <w:sz w:val="22"/>
          <w:szCs w:val="22"/>
        </w:rPr>
        <w:t xml:space="preserve"> applications</w:t>
      </w:r>
      <w:r w:rsidR="00C04FD5">
        <w:rPr>
          <w:sz w:val="22"/>
          <w:szCs w:val="22"/>
        </w:rPr>
        <w:t>.  T</w:t>
      </w:r>
      <w:r w:rsidR="00582B93">
        <w:rPr>
          <w:sz w:val="22"/>
          <w:szCs w:val="22"/>
        </w:rPr>
        <w:t xml:space="preserve">hose who rely on </w:t>
      </w:r>
      <w:r>
        <w:rPr>
          <w:sz w:val="22"/>
          <w:szCs w:val="22"/>
        </w:rPr>
        <w:t xml:space="preserve">alternative </w:t>
      </w:r>
      <w:r w:rsidR="00582B93">
        <w:rPr>
          <w:sz w:val="22"/>
          <w:szCs w:val="22"/>
        </w:rPr>
        <w:t xml:space="preserve">soil management practices </w:t>
      </w:r>
      <w:r>
        <w:rPr>
          <w:sz w:val="22"/>
          <w:szCs w:val="22"/>
        </w:rPr>
        <w:t>(e.g. compost, cover crops, reduce</w:t>
      </w:r>
      <w:r w:rsidR="00C04FD5">
        <w:rPr>
          <w:sz w:val="22"/>
          <w:szCs w:val="22"/>
        </w:rPr>
        <w:t>d</w:t>
      </w:r>
      <w:r>
        <w:rPr>
          <w:sz w:val="22"/>
          <w:szCs w:val="22"/>
        </w:rPr>
        <w:t xml:space="preserve"> fertilizer use, etc.), which</w:t>
      </w:r>
      <w:r w:rsidR="00582B93">
        <w:rPr>
          <w:sz w:val="22"/>
          <w:szCs w:val="22"/>
        </w:rPr>
        <w:t xml:space="preserve"> are above the common practice</w:t>
      </w:r>
      <w:r>
        <w:rPr>
          <w:sz w:val="22"/>
          <w:szCs w:val="22"/>
        </w:rPr>
        <w:t xml:space="preserve"> in terms of demonstrated GHG emission reduction benefits</w:t>
      </w:r>
      <w:r w:rsidR="00582B93">
        <w:rPr>
          <w:sz w:val="22"/>
          <w:szCs w:val="22"/>
        </w:rPr>
        <w:t xml:space="preserve"> and meet the other offset protocol requirements</w:t>
      </w:r>
      <w:r>
        <w:rPr>
          <w:sz w:val="22"/>
          <w:szCs w:val="22"/>
        </w:rPr>
        <w:t xml:space="preserve">, should be eligible for the offset credit, regardless of when they began their use of the </w:t>
      </w:r>
      <w:r w:rsidR="00C04FD5">
        <w:rPr>
          <w:sz w:val="22"/>
          <w:szCs w:val="22"/>
        </w:rPr>
        <w:t xml:space="preserve">alternative </w:t>
      </w:r>
      <w:r>
        <w:rPr>
          <w:sz w:val="22"/>
          <w:szCs w:val="22"/>
        </w:rPr>
        <w:t>soil management practices.</w:t>
      </w:r>
      <w:r w:rsidR="00C572B4">
        <w:rPr>
          <w:sz w:val="22"/>
          <w:szCs w:val="22"/>
        </w:rPr>
        <w:t xml:space="preserve">  </w:t>
      </w:r>
    </w:p>
    <w:p w:rsidR="00153DE2" w:rsidRDefault="00153DE2" w:rsidP="00582B93">
      <w:pPr>
        <w:rPr>
          <w:sz w:val="22"/>
          <w:szCs w:val="22"/>
        </w:rPr>
      </w:pPr>
    </w:p>
    <w:p w:rsidR="00153DE2" w:rsidRDefault="00153DE2" w:rsidP="00582B93">
      <w:pPr>
        <w:rPr>
          <w:sz w:val="22"/>
          <w:szCs w:val="22"/>
        </w:rPr>
      </w:pPr>
    </w:p>
    <w:p w:rsidR="00C572B4" w:rsidRDefault="00C572B4" w:rsidP="00582B93">
      <w:pPr>
        <w:rPr>
          <w:sz w:val="22"/>
          <w:szCs w:val="22"/>
        </w:rPr>
      </w:pPr>
    </w:p>
    <w:p w:rsidR="00BB5321" w:rsidRPr="00A24E0D" w:rsidRDefault="00A24E0D" w:rsidP="00582B93">
      <w:pPr>
        <w:rPr>
          <w:b/>
          <w:sz w:val="22"/>
          <w:szCs w:val="22"/>
        </w:rPr>
      </w:pPr>
      <w:r w:rsidRPr="00A24E0D">
        <w:rPr>
          <w:b/>
          <w:sz w:val="22"/>
          <w:szCs w:val="22"/>
        </w:rPr>
        <w:lastRenderedPageBreak/>
        <w:t>Section 95977. Verification of GHG Emission Reductions</w:t>
      </w:r>
    </w:p>
    <w:p w:rsidR="00C04FD5" w:rsidRDefault="00A24E0D" w:rsidP="007F5A80">
      <w:pPr>
        <w:rPr>
          <w:sz w:val="22"/>
          <w:szCs w:val="22"/>
        </w:rPr>
      </w:pPr>
      <w:r>
        <w:rPr>
          <w:sz w:val="22"/>
          <w:szCs w:val="22"/>
        </w:rPr>
        <w:t>The marketplace</w:t>
      </w:r>
      <w:r w:rsidR="007F5A80" w:rsidRPr="00C03492">
        <w:rPr>
          <w:sz w:val="22"/>
          <w:szCs w:val="22"/>
        </w:rPr>
        <w:t xml:space="preserve"> tends toward simplified approaches to agricultural GHG mitigation—rewarding sing</w:t>
      </w:r>
      <w:r w:rsidR="00380556">
        <w:rPr>
          <w:sz w:val="22"/>
          <w:szCs w:val="22"/>
        </w:rPr>
        <w:t>le practices rather than</w:t>
      </w:r>
      <w:r w:rsidR="00FF47B7">
        <w:rPr>
          <w:sz w:val="22"/>
          <w:szCs w:val="22"/>
        </w:rPr>
        <w:t xml:space="preserve"> assessing</w:t>
      </w:r>
      <w:r w:rsidR="00380556">
        <w:rPr>
          <w:sz w:val="22"/>
          <w:szCs w:val="22"/>
        </w:rPr>
        <w:t xml:space="preserve"> </w:t>
      </w:r>
      <w:r w:rsidR="00C572B4">
        <w:rPr>
          <w:sz w:val="22"/>
          <w:szCs w:val="22"/>
        </w:rPr>
        <w:t xml:space="preserve">and rewarding </w:t>
      </w:r>
      <w:r w:rsidR="00380556">
        <w:rPr>
          <w:sz w:val="22"/>
          <w:szCs w:val="22"/>
        </w:rPr>
        <w:t xml:space="preserve">whole </w:t>
      </w:r>
      <w:r w:rsidR="00C572B4">
        <w:rPr>
          <w:sz w:val="22"/>
          <w:szCs w:val="22"/>
        </w:rPr>
        <w:t>farming system approaches</w:t>
      </w:r>
      <w:r w:rsidR="007F5A80" w:rsidRPr="00C03492">
        <w:rPr>
          <w:sz w:val="22"/>
          <w:szCs w:val="22"/>
        </w:rPr>
        <w:t>—which may not lead to overall GHG emissi</w:t>
      </w:r>
      <w:r w:rsidR="00380556">
        <w:rPr>
          <w:sz w:val="22"/>
          <w:szCs w:val="22"/>
        </w:rPr>
        <w:t>on reductions</w:t>
      </w:r>
      <w:r w:rsidR="007F5A80" w:rsidRPr="00C03492">
        <w:rPr>
          <w:sz w:val="22"/>
          <w:szCs w:val="22"/>
        </w:rPr>
        <w:t xml:space="preserve">. </w:t>
      </w:r>
      <w:r w:rsidR="00380556">
        <w:rPr>
          <w:sz w:val="22"/>
          <w:szCs w:val="22"/>
        </w:rPr>
        <w:t xml:space="preserve"> For example, </w:t>
      </w:r>
      <w:r w:rsidR="00C04FD5">
        <w:rPr>
          <w:sz w:val="22"/>
          <w:szCs w:val="22"/>
        </w:rPr>
        <w:t xml:space="preserve">altering </w:t>
      </w:r>
      <w:r w:rsidR="00D031CE">
        <w:rPr>
          <w:sz w:val="22"/>
          <w:szCs w:val="22"/>
        </w:rPr>
        <w:t xml:space="preserve">some </w:t>
      </w:r>
      <w:r w:rsidR="007D1B48">
        <w:rPr>
          <w:sz w:val="22"/>
          <w:szCs w:val="22"/>
        </w:rPr>
        <w:t xml:space="preserve">agricultural </w:t>
      </w:r>
      <w:r w:rsidR="00D031CE">
        <w:rPr>
          <w:sz w:val="22"/>
          <w:szCs w:val="22"/>
        </w:rPr>
        <w:t xml:space="preserve">management </w:t>
      </w:r>
      <w:r w:rsidR="00C572B4">
        <w:rPr>
          <w:sz w:val="22"/>
          <w:szCs w:val="22"/>
        </w:rPr>
        <w:t xml:space="preserve">practices to reduce GHG </w:t>
      </w:r>
      <w:r w:rsidR="007D1B48">
        <w:rPr>
          <w:sz w:val="22"/>
          <w:szCs w:val="22"/>
        </w:rPr>
        <w:t>emissions</w:t>
      </w:r>
      <w:r w:rsidR="00B67B4B">
        <w:rPr>
          <w:sz w:val="22"/>
          <w:szCs w:val="22"/>
        </w:rPr>
        <w:t xml:space="preserve"> may lead to changes in management practices elsewhere on the farm or ranch that could cause greater, unintended GHG emissions.  </w:t>
      </w:r>
    </w:p>
    <w:p w:rsidR="007D1B48" w:rsidRDefault="007D1B48" w:rsidP="007F5A80">
      <w:pPr>
        <w:rPr>
          <w:sz w:val="22"/>
          <w:szCs w:val="22"/>
        </w:rPr>
      </w:pPr>
    </w:p>
    <w:p w:rsidR="00A24E0D" w:rsidRDefault="0009659D" w:rsidP="007F5A80">
      <w:pPr>
        <w:rPr>
          <w:sz w:val="22"/>
          <w:szCs w:val="22"/>
        </w:rPr>
      </w:pPr>
      <w:r>
        <w:rPr>
          <w:sz w:val="22"/>
          <w:szCs w:val="22"/>
        </w:rPr>
        <w:t xml:space="preserve">To minimize the chance that agricultural offset credit protocols will fail to account for displaced </w:t>
      </w:r>
      <w:r w:rsidR="00166AA3">
        <w:rPr>
          <w:sz w:val="22"/>
          <w:szCs w:val="22"/>
        </w:rPr>
        <w:t xml:space="preserve"> GHG emissions within the agricultural</w:t>
      </w:r>
      <w:r>
        <w:rPr>
          <w:sz w:val="22"/>
          <w:szCs w:val="22"/>
        </w:rPr>
        <w:t xml:space="preserve"> operations, CARB should only adopt </w:t>
      </w:r>
      <w:r w:rsidR="00166AA3">
        <w:rPr>
          <w:sz w:val="22"/>
          <w:szCs w:val="22"/>
        </w:rPr>
        <w:t>offset protocols that account for the ful</w:t>
      </w:r>
      <w:r w:rsidR="007D1B48">
        <w:rPr>
          <w:sz w:val="22"/>
          <w:szCs w:val="22"/>
        </w:rPr>
        <w:t xml:space="preserve">l life cycle impacts of agricultural </w:t>
      </w:r>
      <w:r w:rsidR="00166AA3">
        <w:rPr>
          <w:sz w:val="22"/>
          <w:szCs w:val="22"/>
        </w:rPr>
        <w:t>practices</w:t>
      </w:r>
      <w:r w:rsidR="00153DE2">
        <w:rPr>
          <w:sz w:val="22"/>
          <w:szCs w:val="22"/>
        </w:rPr>
        <w:t xml:space="preserve"> on the entire operation</w:t>
      </w:r>
      <w:r w:rsidR="00166AA3">
        <w:rPr>
          <w:sz w:val="22"/>
          <w:szCs w:val="22"/>
        </w:rPr>
        <w:t>.</w:t>
      </w:r>
    </w:p>
    <w:p w:rsidR="00A24E0D" w:rsidRDefault="00A24E0D" w:rsidP="007F5A80">
      <w:pPr>
        <w:rPr>
          <w:sz w:val="22"/>
          <w:szCs w:val="22"/>
        </w:rPr>
      </w:pPr>
    </w:p>
    <w:p w:rsidR="00A24E0D" w:rsidRDefault="00B67B4B" w:rsidP="007F5A80">
      <w:pPr>
        <w:rPr>
          <w:b/>
          <w:sz w:val="22"/>
          <w:szCs w:val="22"/>
        </w:rPr>
      </w:pPr>
      <w:r>
        <w:rPr>
          <w:b/>
          <w:sz w:val="22"/>
          <w:szCs w:val="22"/>
        </w:rPr>
        <w:t>Impacts on Small and M</w:t>
      </w:r>
      <w:r w:rsidR="000D239E">
        <w:rPr>
          <w:b/>
          <w:sz w:val="22"/>
          <w:szCs w:val="22"/>
        </w:rPr>
        <w:t>id-S</w:t>
      </w:r>
      <w:r>
        <w:rPr>
          <w:b/>
          <w:sz w:val="22"/>
          <w:szCs w:val="22"/>
        </w:rPr>
        <w:t>ized F</w:t>
      </w:r>
      <w:r w:rsidR="00A24E0D" w:rsidRPr="00C04FD5">
        <w:rPr>
          <w:b/>
          <w:sz w:val="22"/>
          <w:szCs w:val="22"/>
        </w:rPr>
        <w:t>armers</w:t>
      </w:r>
      <w:r>
        <w:rPr>
          <w:b/>
          <w:sz w:val="22"/>
          <w:szCs w:val="22"/>
        </w:rPr>
        <w:t xml:space="preserve"> and Ranchers</w:t>
      </w:r>
    </w:p>
    <w:p w:rsidR="00C04FD5" w:rsidRDefault="00C04FD5" w:rsidP="007F5A80">
      <w:pPr>
        <w:rPr>
          <w:sz w:val="22"/>
          <w:szCs w:val="22"/>
        </w:rPr>
      </w:pPr>
      <w:r>
        <w:rPr>
          <w:sz w:val="22"/>
          <w:szCs w:val="22"/>
        </w:rPr>
        <w:t>Small and mid-scale agricultural producers</w:t>
      </w:r>
      <w:r w:rsidR="00B67B4B">
        <w:rPr>
          <w:sz w:val="22"/>
          <w:szCs w:val="22"/>
        </w:rPr>
        <w:t xml:space="preserve"> because of the size or nature of their operation</w:t>
      </w:r>
      <w:r>
        <w:rPr>
          <w:sz w:val="22"/>
          <w:szCs w:val="22"/>
        </w:rPr>
        <w:t xml:space="preserve"> may find that</w:t>
      </w:r>
      <w:r w:rsidR="00B67B4B">
        <w:rPr>
          <w:sz w:val="22"/>
          <w:szCs w:val="22"/>
        </w:rPr>
        <w:t>,</w:t>
      </w:r>
      <w:r w:rsidR="00153DE2">
        <w:rPr>
          <w:sz w:val="22"/>
          <w:szCs w:val="22"/>
        </w:rPr>
        <w:t xml:space="preserve"> </w:t>
      </w:r>
      <w:r>
        <w:rPr>
          <w:sz w:val="22"/>
          <w:szCs w:val="22"/>
        </w:rPr>
        <w:t xml:space="preserve">they </w:t>
      </w:r>
      <w:r w:rsidR="00153DE2">
        <w:rPr>
          <w:sz w:val="22"/>
          <w:szCs w:val="22"/>
        </w:rPr>
        <w:t>alone do not qualify for a sufficient number of offset credits to make the project application and verification process worthwhile</w:t>
      </w:r>
      <w:r>
        <w:rPr>
          <w:sz w:val="22"/>
          <w:szCs w:val="22"/>
        </w:rPr>
        <w:t>.  To avoid disadvantaging small and mid-scale producers in the marketplace, where they must compete on price for their commodities with larger competitors who</w:t>
      </w:r>
      <w:r w:rsidR="00B67B4B">
        <w:rPr>
          <w:sz w:val="22"/>
          <w:szCs w:val="22"/>
        </w:rPr>
        <w:t xml:space="preserve"> may benefit financially from the carbon market</w:t>
      </w:r>
      <w:r>
        <w:rPr>
          <w:sz w:val="22"/>
          <w:szCs w:val="22"/>
        </w:rPr>
        <w:t xml:space="preserve"> </w:t>
      </w:r>
      <w:r w:rsidR="007D1B48">
        <w:rPr>
          <w:sz w:val="22"/>
          <w:szCs w:val="22"/>
        </w:rPr>
        <w:t>and</w:t>
      </w:r>
      <w:r w:rsidR="00153DE2">
        <w:rPr>
          <w:sz w:val="22"/>
          <w:szCs w:val="22"/>
        </w:rPr>
        <w:t>,</w:t>
      </w:r>
      <w:r w:rsidR="007D1B48">
        <w:rPr>
          <w:sz w:val="22"/>
          <w:szCs w:val="22"/>
        </w:rPr>
        <w:t xml:space="preserve"> therefore</w:t>
      </w:r>
      <w:r w:rsidR="00153DE2">
        <w:rPr>
          <w:sz w:val="22"/>
          <w:szCs w:val="22"/>
        </w:rPr>
        <w:t>,</w:t>
      </w:r>
      <w:r w:rsidR="007D1B48">
        <w:rPr>
          <w:sz w:val="22"/>
          <w:szCs w:val="22"/>
        </w:rPr>
        <w:t xml:space="preserve"> could offer their commodities for lower prices than their</w:t>
      </w:r>
      <w:r w:rsidR="00153DE2">
        <w:rPr>
          <w:sz w:val="22"/>
          <w:szCs w:val="22"/>
        </w:rPr>
        <w:t xml:space="preserve"> smaller</w:t>
      </w:r>
      <w:r w:rsidR="007D1B48">
        <w:rPr>
          <w:sz w:val="22"/>
          <w:szCs w:val="22"/>
        </w:rPr>
        <w:t xml:space="preserve"> competitors, </w:t>
      </w:r>
      <w:r w:rsidR="00E358D6">
        <w:rPr>
          <w:sz w:val="22"/>
          <w:szCs w:val="22"/>
        </w:rPr>
        <w:t>CARB or the</w:t>
      </w:r>
      <w:r w:rsidR="00B67B4B">
        <w:rPr>
          <w:sz w:val="22"/>
          <w:szCs w:val="22"/>
        </w:rPr>
        <w:t xml:space="preserve"> state of California (through California Department of Food and Agriculture</w:t>
      </w:r>
      <w:r w:rsidR="00E358D6">
        <w:rPr>
          <w:sz w:val="22"/>
          <w:szCs w:val="22"/>
        </w:rPr>
        <w:t xml:space="preserve"> or the Department of Conservation) should consider </w:t>
      </w:r>
      <w:r w:rsidR="00B67B4B">
        <w:rPr>
          <w:sz w:val="22"/>
          <w:szCs w:val="22"/>
        </w:rPr>
        <w:t xml:space="preserve">other </w:t>
      </w:r>
      <w:r w:rsidR="00E358D6">
        <w:rPr>
          <w:sz w:val="22"/>
          <w:szCs w:val="22"/>
        </w:rPr>
        <w:t>ways to support innovative, conservation-oriented small and mid-scale producers who provide climate change mitigation benefits in California.  We describe in greater detail below how allowance revenue can be used to</w:t>
      </w:r>
      <w:r w:rsidR="00D031CE">
        <w:rPr>
          <w:sz w:val="22"/>
          <w:szCs w:val="22"/>
        </w:rPr>
        <w:t xml:space="preserve"> support these efforts.</w:t>
      </w:r>
    </w:p>
    <w:p w:rsidR="00DA2A09" w:rsidRDefault="00DA2A09" w:rsidP="007F5A80">
      <w:pPr>
        <w:rPr>
          <w:sz w:val="22"/>
          <w:szCs w:val="22"/>
        </w:rPr>
      </w:pPr>
    </w:p>
    <w:p w:rsidR="00DA2A09" w:rsidRPr="00DA2A09" w:rsidRDefault="00DA2A09" w:rsidP="007F5A80">
      <w:pPr>
        <w:rPr>
          <w:b/>
          <w:sz w:val="22"/>
          <w:szCs w:val="22"/>
        </w:rPr>
      </w:pPr>
      <w:r w:rsidRPr="00DA2A09">
        <w:rPr>
          <w:b/>
          <w:sz w:val="22"/>
          <w:szCs w:val="22"/>
        </w:rPr>
        <w:t xml:space="preserve">Prioritize </w:t>
      </w:r>
      <w:r w:rsidR="00B67B4B">
        <w:rPr>
          <w:b/>
          <w:sz w:val="22"/>
          <w:szCs w:val="22"/>
        </w:rPr>
        <w:t xml:space="preserve">Health and Environmental </w:t>
      </w:r>
      <w:r w:rsidRPr="00DA2A09">
        <w:rPr>
          <w:b/>
          <w:sz w:val="22"/>
          <w:szCs w:val="22"/>
        </w:rPr>
        <w:t>Co-Benefits to California</w:t>
      </w:r>
    </w:p>
    <w:p w:rsidR="00380556" w:rsidRDefault="00B67B4B" w:rsidP="007F5A80">
      <w:pPr>
        <w:rPr>
          <w:sz w:val="22"/>
          <w:szCs w:val="22"/>
        </w:rPr>
      </w:pPr>
      <w:r>
        <w:rPr>
          <w:sz w:val="22"/>
          <w:szCs w:val="22"/>
        </w:rPr>
        <w:t>W</w:t>
      </w:r>
      <w:r w:rsidR="00D031CE">
        <w:rPr>
          <w:sz w:val="22"/>
          <w:szCs w:val="22"/>
        </w:rPr>
        <w:t>e urge CARB to explore how it can give greater weight to offset credits from California agriculture compared to credits from other states and countries.  Many of the agricultural activities that provide reduce</w:t>
      </w:r>
      <w:r w:rsidR="00297B0D">
        <w:rPr>
          <w:sz w:val="22"/>
          <w:szCs w:val="22"/>
        </w:rPr>
        <w:t>d</w:t>
      </w:r>
      <w:r w:rsidR="00D031CE">
        <w:rPr>
          <w:sz w:val="22"/>
          <w:szCs w:val="22"/>
        </w:rPr>
        <w:t xml:space="preserve"> GHG emissions have additional environmental and health benefits such as improved air and water qua</w:t>
      </w:r>
      <w:r w:rsidR="00297B0D">
        <w:rPr>
          <w:sz w:val="22"/>
          <w:szCs w:val="22"/>
        </w:rPr>
        <w:t xml:space="preserve">lity.  California should seek to maximize those additional environmental and health benefits by structuring the offset credit market to </w:t>
      </w:r>
      <w:r w:rsidR="00166AA3">
        <w:rPr>
          <w:sz w:val="22"/>
          <w:szCs w:val="22"/>
        </w:rPr>
        <w:t>incentivize</w:t>
      </w:r>
      <w:r w:rsidR="00297B0D">
        <w:rPr>
          <w:sz w:val="22"/>
          <w:szCs w:val="22"/>
        </w:rPr>
        <w:t xml:space="preserve"> the use of credits from California first and outside of the state second.  </w:t>
      </w:r>
    </w:p>
    <w:p w:rsidR="00297B0D" w:rsidRDefault="00297B0D" w:rsidP="007F5A80">
      <w:pPr>
        <w:rPr>
          <w:sz w:val="22"/>
          <w:szCs w:val="22"/>
        </w:rPr>
      </w:pPr>
    </w:p>
    <w:p w:rsidR="00297B0D" w:rsidRPr="00DA2A09" w:rsidRDefault="00297B0D" w:rsidP="007F5A80">
      <w:pPr>
        <w:rPr>
          <w:b/>
          <w:sz w:val="22"/>
          <w:szCs w:val="22"/>
          <w:u w:val="single"/>
        </w:rPr>
      </w:pPr>
      <w:r w:rsidRPr="00DA2A09">
        <w:rPr>
          <w:b/>
          <w:sz w:val="22"/>
          <w:szCs w:val="22"/>
          <w:u w:val="single"/>
        </w:rPr>
        <w:t>2. Recommendations to the Legislature on Allowance Revenue</w:t>
      </w:r>
    </w:p>
    <w:p w:rsidR="00D031CE" w:rsidRDefault="00DA2A09" w:rsidP="007F5A80">
      <w:pPr>
        <w:rPr>
          <w:sz w:val="22"/>
          <w:szCs w:val="22"/>
        </w:rPr>
      </w:pPr>
      <w:r>
        <w:rPr>
          <w:sz w:val="22"/>
          <w:szCs w:val="22"/>
        </w:rPr>
        <w:t xml:space="preserve">At </w:t>
      </w:r>
      <w:r w:rsidR="009D50B0">
        <w:rPr>
          <w:sz w:val="22"/>
          <w:szCs w:val="22"/>
        </w:rPr>
        <w:t xml:space="preserve">the </w:t>
      </w:r>
      <w:r>
        <w:rPr>
          <w:sz w:val="22"/>
          <w:szCs w:val="22"/>
        </w:rPr>
        <w:t>December 2010</w:t>
      </w:r>
      <w:r w:rsidR="00474BD8">
        <w:rPr>
          <w:sz w:val="22"/>
          <w:szCs w:val="22"/>
        </w:rPr>
        <w:t xml:space="preserve"> </w:t>
      </w:r>
      <w:r w:rsidR="00297B0D">
        <w:rPr>
          <w:sz w:val="22"/>
          <w:szCs w:val="22"/>
        </w:rPr>
        <w:t xml:space="preserve">meeting, the </w:t>
      </w:r>
      <w:r>
        <w:rPr>
          <w:sz w:val="22"/>
          <w:szCs w:val="22"/>
        </w:rPr>
        <w:t xml:space="preserve">Air Resources </w:t>
      </w:r>
      <w:r w:rsidR="00297B0D">
        <w:rPr>
          <w:sz w:val="22"/>
          <w:szCs w:val="22"/>
        </w:rPr>
        <w:t xml:space="preserve">Board agreed to </w:t>
      </w:r>
      <w:r>
        <w:rPr>
          <w:sz w:val="22"/>
          <w:szCs w:val="22"/>
        </w:rPr>
        <w:t xml:space="preserve">include the EAAC recommendations on use of allowance revenue in the Board’s </w:t>
      </w:r>
      <w:r w:rsidR="00474BD8">
        <w:rPr>
          <w:sz w:val="22"/>
          <w:szCs w:val="22"/>
        </w:rPr>
        <w:t xml:space="preserve">final </w:t>
      </w:r>
      <w:r>
        <w:rPr>
          <w:sz w:val="22"/>
          <w:szCs w:val="22"/>
        </w:rPr>
        <w:t>recommendations to the legi</w:t>
      </w:r>
      <w:r w:rsidR="00474BD8">
        <w:rPr>
          <w:sz w:val="22"/>
          <w:szCs w:val="22"/>
        </w:rPr>
        <w:t>slature on how the state may allocate</w:t>
      </w:r>
      <w:r>
        <w:rPr>
          <w:sz w:val="22"/>
          <w:szCs w:val="22"/>
        </w:rPr>
        <w:t xml:space="preserve"> future allowance revenue. </w:t>
      </w:r>
      <w:r w:rsidR="00166AA3">
        <w:rPr>
          <w:sz w:val="22"/>
          <w:szCs w:val="22"/>
        </w:rPr>
        <w:t xml:space="preserve"> We strongly urge the Board to include the EAAC recommendations in its final recommendations to the legislature on allowance revenue allocation.  The EAAC recommendations are in keeping with other interagency and </w:t>
      </w:r>
      <w:r w:rsidR="00E20ACF">
        <w:rPr>
          <w:sz w:val="22"/>
          <w:szCs w:val="22"/>
        </w:rPr>
        <w:t>advisory groups recommendations on allowance revenue,</w:t>
      </w:r>
      <w:r w:rsidR="00166AA3">
        <w:rPr>
          <w:sz w:val="22"/>
          <w:szCs w:val="22"/>
        </w:rPr>
        <w:t xml:space="preserve"> particularly on how allowance revenue can support California agriculture in addressing climate change. </w:t>
      </w:r>
    </w:p>
    <w:p w:rsidR="00D031CE" w:rsidRDefault="00D031CE" w:rsidP="007F5A80">
      <w:pPr>
        <w:rPr>
          <w:sz w:val="22"/>
          <w:szCs w:val="22"/>
        </w:rPr>
      </w:pPr>
    </w:p>
    <w:p w:rsidR="00B67B4B" w:rsidRDefault="00D70317" w:rsidP="00D70317">
      <w:pPr>
        <w:rPr>
          <w:b/>
          <w:sz w:val="22"/>
          <w:szCs w:val="22"/>
        </w:rPr>
      </w:pPr>
      <w:r>
        <w:rPr>
          <w:b/>
          <w:sz w:val="22"/>
          <w:szCs w:val="22"/>
        </w:rPr>
        <w:t xml:space="preserve">EAAC, AgCAT and  ETAAC </w:t>
      </w:r>
      <w:r w:rsidR="00C03492" w:rsidRPr="006C1B56">
        <w:rPr>
          <w:b/>
          <w:sz w:val="22"/>
          <w:szCs w:val="22"/>
        </w:rPr>
        <w:t>Recommend Investments in GHG Emissions Strategies in Agriculture</w:t>
      </w:r>
    </w:p>
    <w:p w:rsidR="00D70317" w:rsidRPr="00B67B4B" w:rsidRDefault="00D70317" w:rsidP="00D70317">
      <w:pPr>
        <w:rPr>
          <w:b/>
          <w:sz w:val="22"/>
          <w:szCs w:val="22"/>
        </w:rPr>
      </w:pPr>
      <w:r w:rsidRPr="006C1B56">
        <w:rPr>
          <w:rFonts w:cs="Arial"/>
          <w:sz w:val="22"/>
          <w:szCs w:val="22"/>
        </w:rPr>
        <w:t>In their final report to the Governor, the Economic and Allocation Advisory Committee</w:t>
      </w:r>
      <w:r>
        <w:rPr>
          <w:rFonts w:cs="Arial"/>
          <w:sz w:val="22"/>
          <w:szCs w:val="22"/>
        </w:rPr>
        <w:t xml:space="preserve"> (EAAC)</w:t>
      </w:r>
      <w:r w:rsidRPr="006C1B56">
        <w:rPr>
          <w:rFonts w:cs="Arial"/>
          <w:sz w:val="22"/>
          <w:szCs w:val="22"/>
        </w:rPr>
        <w:t xml:space="preserve"> recommended investing a portion of allowance revenue in biological carbon sequestration activities in agriculture and forestry</w:t>
      </w:r>
      <w:r w:rsidRPr="006C1B56">
        <w:rPr>
          <w:rStyle w:val="FootnoteReference"/>
          <w:rFonts w:cs="Arial"/>
          <w:sz w:val="22"/>
          <w:szCs w:val="22"/>
        </w:rPr>
        <w:footnoteReference w:id="1"/>
      </w:r>
      <w:r w:rsidRPr="006C1B56">
        <w:rPr>
          <w:rFonts w:cs="Arial"/>
          <w:sz w:val="22"/>
          <w:szCs w:val="22"/>
        </w:rPr>
        <w:t xml:space="preserve">.  </w:t>
      </w:r>
      <w:r>
        <w:rPr>
          <w:rFonts w:cs="Arial"/>
          <w:sz w:val="22"/>
          <w:szCs w:val="22"/>
        </w:rPr>
        <w:t>Their recommendations were echoed by other advisory bodies for AB 32.</w:t>
      </w:r>
    </w:p>
    <w:p w:rsidR="00D70317" w:rsidRPr="006C1B56" w:rsidRDefault="00D70317" w:rsidP="00D70317">
      <w:pPr>
        <w:rPr>
          <w:rFonts w:cs="Arial"/>
          <w:sz w:val="22"/>
          <w:szCs w:val="22"/>
        </w:rPr>
      </w:pPr>
    </w:p>
    <w:p w:rsidR="00C03492" w:rsidRPr="006C1B56" w:rsidRDefault="00C03492" w:rsidP="00C03492">
      <w:pPr>
        <w:rPr>
          <w:sz w:val="22"/>
          <w:szCs w:val="22"/>
        </w:rPr>
      </w:pPr>
      <w:r w:rsidRPr="006C1B56">
        <w:rPr>
          <w:sz w:val="22"/>
          <w:szCs w:val="22"/>
        </w:rPr>
        <w:t>In 2008, as part of the AB 32 Scoping Plan, the Agriculture Climate Action Team (AgCAT) and the Economic and Technology Advancement Advisory Committee (ETAAC) reviewed agricultural practices that may reduce GHG emissions and sequester atmospheric carbon in soils</w:t>
      </w:r>
      <w:r w:rsidRPr="006C1B56">
        <w:rPr>
          <w:rStyle w:val="FootnoteReference"/>
          <w:sz w:val="22"/>
          <w:szCs w:val="22"/>
        </w:rPr>
        <w:footnoteReference w:id="2"/>
      </w:r>
      <w:r w:rsidRPr="006C1B56">
        <w:rPr>
          <w:sz w:val="22"/>
          <w:szCs w:val="22"/>
        </w:rPr>
        <w:t>.  They found that through a variety of practices California agriculture may reduce GHG emissions between 9.1 to 16.7 MMTCOe.</w:t>
      </w:r>
    </w:p>
    <w:p w:rsidR="00C03492" w:rsidRPr="006C1B56" w:rsidRDefault="00C03492" w:rsidP="00C03492">
      <w:pPr>
        <w:rPr>
          <w:sz w:val="22"/>
          <w:szCs w:val="22"/>
        </w:rPr>
      </w:pPr>
    </w:p>
    <w:p w:rsidR="00C03492" w:rsidRPr="006C1B56" w:rsidRDefault="00C03492" w:rsidP="00C03492">
      <w:pPr>
        <w:rPr>
          <w:sz w:val="22"/>
          <w:szCs w:val="22"/>
        </w:rPr>
      </w:pPr>
      <w:r w:rsidRPr="006C1B56">
        <w:rPr>
          <w:sz w:val="22"/>
          <w:szCs w:val="22"/>
        </w:rPr>
        <w:t>The AgCAT and ETAAC recommended funding additional research, technical assistance and financial incentives to achieve GHG emission reductions in California agriculture.  The ETAAC report noted:</w:t>
      </w:r>
    </w:p>
    <w:p w:rsidR="00C03492" w:rsidRDefault="00C03492" w:rsidP="00C03492">
      <w:pPr>
        <w:ind w:left="720"/>
        <w:rPr>
          <w:sz w:val="22"/>
          <w:szCs w:val="22"/>
        </w:rPr>
      </w:pPr>
    </w:p>
    <w:p w:rsidR="00C03492" w:rsidRPr="006C1B56" w:rsidRDefault="00C03492" w:rsidP="00C03492">
      <w:pPr>
        <w:ind w:left="720"/>
        <w:rPr>
          <w:sz w:val="22"/>
          <w:szCs w:val="22"/>
        </w:rPr>
      </w:pPr>
      <w:r w:rsidRPr="006C1B56">
        <w:rPr>
          <w:sz w:val="22"/>
          <w:szCs w:val="22"/>
        </w:rPr>
        <w:t xml:space="preserve">While the carbon cycle returns the majority of this carbon to the atmosphere, sequestering a portion of this carbon or converting it into renewable energy, fuels or permanent products, would translate into a significant reduction of California’s carbon footprint.  Thus, the agricultural sector also offers the opportunity to reduce GHG emission reductions through the capture of carbon and/or production of renewable low-carbon fuels.  Other specific farm-related GHG emission sources can also be controlled and mitigated.  </w:t>
      </w:r>
      <w:r w:rsidRPr="006C1B56">
        <w:rPr>
          <w:b/>
          <w:bCs/>
          <w:sz w:val="22"/>
          <w:szCs w:val="22"/>
        </w:rPr>
        <w:t>Yet a concerted research, development and demonstration (RD&amp;D) effort and new regulatory incentives and programs will be needed to meet the GHG emission reduction goals in AB 32</w:t>
      </w:r>
      <w:r w:rsidRPr="006C1B56">
        <w:rPr>
          <w:rStyle w:val="FootnoteReference"/>
          <w:b/>
          <w:bCs/>
          <w:sz w:val="22"/>
          <w:szCs w:val="22"/>
        </w:rPr>
        <w:footnoteReference w:id="3"/>
      </w:r>
      <w:r w:rsidRPr="006C1B56">
        <w:rPr>
          <w:b/>
          <w:bCs/>
          <w:sz w:val="22"/>
          <w:szCs w:val="22"/>
        </w:rPr>
        <w:t>.</w:t>
      </w:r>
    </w:p>
    <w:p w:rsidR="00D70317" w:rsidRDefault="00D70317" w:rsidP="00C03492">
      <w:pPr>
        <w:rPr>
          <w:rFonts w:cs="Arial"/>
          <w:sz w:val="22"/>
          <w:szCs w:val="22"/>
        </w:rPr>
      </w:pPr>
    </w:p>
    <w:p w:rsidR="00C03492" w:rsidRDefault="00C03492" w:rsidP="00C03492">
      <w:pPr>
        <w:rPr>
          <w:sz w:val="22"/>
          <w:szCs w:val="22"/>
        </w:rPr>
      </w:pPr>
      <w:r w:rsidRPr="006C1B56">
        <w:rPr>
          <w:sz w:val="22"/>
          <w:szCs w:val="22"/>
        </w:rPr>
        <w:t>The Western Climate Initiative Partners</w:t>
      </w:r>
      <w:r w:rsidR="00D70317">
        <w:rPr>
          <w:sz w:val="22"/>
          <w:szCs w:val="22"/>
        </w:rPr>
        <w:t xml:space="preserve"> also</w:t>
      </w:r>
      <w:r w:rsidRPr="006C1B56">
        <w:rPr>
          <w:sz w:val="22"/>
          <w:szCs w:val="22"/>
        </w:rPr>
        <w:t xml:space="preserve"> suggest that one of the public purposes of allowance revenue could be promoting emission reductions and sequestration in agriculture</w:t>
      </w:r>
      <w:r w:rsidRPr="006C1B56">
        <w:rPr>
          <w:rStyle w:val="FootnoteReference"/>
          <w:sz w:val="22"/>
          <w:szCs w:val="22"/>
        </w:rPr>
        <w:footnoteReference w:id="4"/>
      </w:r>
      <w:r w:rsidRPr="006C1B56">
        <w:rPr>
          <w:sz w:val="22"/>
          <w:szCs w:val="22"/>
        </w:rPr>
        <w:t xml:space="preserve">.  </w:t>
      </w:r>
    </w:p>
    <w:p w:rsidR="009C6DC6" w:rsidRPr="006C1B56" w:rsidRDefault="009C6DC6" w:rsidP="00C03492">
      <w:pPr>
        <w:rPr>
          <w:sz w:val="22"/>
          <w:szCs w:val="22"/>
        </w:rPr>
      </w:pPr>
    </w:p>
    <w:p w:rsidR="00C03492" w:rsidRPr="006C1B56" w:rsidRDefault="00C03492" w:rsidP="00C03492">
      <w:pPr>
        <w:rPr>
          <w:b/>
          <w:sz w:val="22"/>
          <w:szCs w:val="22"/>
        </w:rPr>
      </w:pPr>
      <w:r w:rsidRPr="006C1B56">
        <w:rPr>
          <w:b/>
          <w:sz w:val="22"/>
          <w:szCs w:val="22"/>
        </w:rPr>
        <w:t>Investments in California Agriculture</w:t>
      </w:r>
    </w:p>
    <w:p w:rsidR="00C03492" w:rsidRPr="006C1B56" w:rsidRDefault="00C03492" w:rsidP="00C03492">
      <w:pPr>
        <w:rPr>
          <w:sz w:val="22"/>
          <w:szCs w:val="22"/>
        </w:rPr>
      </w:pPr>
      <w:r w:rsidRPr="006C1B56">
        <w:rPr>
          <w:sz w:val="22"/>
          <w:szCs w:val="22"/>
        </w:rPr>
        <w:t>We</w:t>
      </w:r>
      <w:r w:rsidR="00474BD8">
        <w:rPr>
          <w:sz w:val="22"/>
          <w:szCs w:val="22"/>
        </w:rPr>
        <w:t xml:space="preserve"> cannot rely entirely on the </w:t>
      </w:r>
      <w:r w:rsidRPr="006C1B56">
        <w:rPr>
          <w:sz w:val="22"/>
          <w:szCs w:val="22"/>
        </w:rPr>
        <w:t xml:space="preserve">carbon markets to achieve GHG emission reductions in agriculture.  The marketplace lacks adequate </w:t>
      </w:r>
      <w:r>
        <w:rPr>
          <w:sz w:val="22"/>
          <w:szCs w:val="22"/>
        </w:rPr>
        <w:t xml:space="preserve">funding for </w:t>
      </w:r>
      <w:r w:rsidRPr="006C1B56">
        <w:rPr>
          <w:sz w:val="22"/>
          <w:szCs w:val="22"/>
        </w:rPr>
        <w:t xml:space="preserve">research to understand opportunities within farming systems to achieve GHG emission reduction. Translating research findings into real opportunities for California agriculture to provide voluntary GHG reductions requires technical assistance. In some cases, when transition costs may be high, financial incentives for farmers are essential. Allowance revenue can turn research into opportunities for certain agricultural activities to help meet the state’s GHG targets.  </w:t>
      </w:r>
      <w:r w:rsidR="009C6DC6">
        <w:rPr>
          <w:sz w:val="22"/>
          <w:szCs w:val="22"/>
        </w:rPr>
        <w:t xml:space="preserve">And for small and mid-scale </w:t>
      </w:r>
      <w:r w:rsidR="00166AA3">
        <w:rPr>
          <w:sz w:val="22"/>
          <w:szCs w:val="22"/>
        </w:rPr>
        <w:t>California</w:t>
      </w:r>
      <w:r w:rsidR="009C6DC6">
        <w:rPr>
          <w:sz w:val="22"/>
          <w:szCs w:val="22"/>
        </w:rPr>
        <w:t xml:space="preserve"> farmers and ranchers who may not benefit </w:t>
      </w:r>
      <w:r w:rsidR="00166AA3">
        <w:rPr>
          <w:sz w:val="22"/>
          <w:szCs w:val="22"/>
        </w:rPr>
        <w:t>significantly</w:t>
      </w:r>
      <w:r w:rsidR="009C6DC6">
        <w:rPr>
          <w:sz w:val="22"/>
          <w:szCs w:val="22"/>
        </w:rPr>
        <w:t xml:space="preserve"> from the carbon market because of the size or nature of their operation, state-oriented conservation programs may be a more viable alternative to assist them in reducing barriers to on-farm conservation efforts.</w:t>
      </w:r>
    </w:p>
    <w:p w:rsidR="00C03492" w:rsidRPr="006C1B56" w:rsidRDefault="00C03492" w:rsidP="00C03492">
      <w:pPr>
        <w:rPr>
          <w:sz w:val="22"/>
          <w:szCs w:val="22"/>
        </w:rPr>
      </w:pPr>
    </w:p>
    <w:p w:rsidR="00C03492" w:rsidRDefault="00474BD8" w:rsidP="00C03492">
      <w:pPr>
        <w:rPr>
          <w:sz w:val="22"/>
          <w:szCs w:val="22"/>
        </w:rPr>
      </w:pPr>
      <w:r>
        <w:rPr>
          <w:sz w:val="22"/>
          <w:szCs w:val="22"/>
        </w:rPr>
        <w:t>We strongly urge the Board to support</w:t>
      </w:r>
      <w:r w:rsidR="00C03492" w:rsidRPr="006C1B56">
        <w:rPr>
          <w:sz w:val="22"/>
          <w:szCs w:val="22"/>
        </w:rPr>
        <w:t xml:space="preserve"> the recommendations of </w:t>
      </w:r>
      <w:r>
        <w:rPr>
          <w:sz w:val="22"/>
          <w:szCs w:val="22"/>
        </w:rPr>
        <w:t xml:space="preserve">EAAC as well as the AgCAT and ETACC </w:t>
      </w:r>
      <w:r w:rsidR="00C03492" w:rsidRPr="006C1B56">
        <w:rPr>
          <w:sz w:val="22"/>
          <w:szCs w:val="22"/>
        </w:rPr>
        <w:t xml:space="preserve">by including </w:t>
      </w:r>
      <w:r>
        <w:rPr>
          <w:sz w:val="22"/>
          <w:szCs w:val="22"/>
        </w:rPr>
        <w:t xml:space="preserve">in its recommendations to the legislature </w:t>
      </w:r>
      <w:r w:rsidR="00C03492" w:rsidRPr="006C1B56">
        <w:rPr>
          <w:sz w:val="22"/>
          <w:szCs w:val="22"/>
        </w:rPr>
        <w:t xml:space="preserve">competitive grants for research, technical assistance and financial incentives for agricultural practices that reduce GHG emissions and sequester atmospheric carbon while providing environmental </w:t>
      </w:r>
      <w:r>
        <w:rPr>
          <w:sz w:val="22"/>
          <w:szCs w:val="22"/>
        </w:rPr>
        <w:t xml:space="preserve">and health </w:t>
      </w:r>
      <w:r w:rsidR="00C03492" w:rsidRPr="006C1B56">
        <w:rPr>
          <w:sz w:val="22"/>
          <w:szCs w:val="22"/>
        </w:rPr>
        <w:t xml:space="preserve">cobenefits.  </w:t>
      </w:r>
    </w:p>
    <w:p w:rsidR="00153DE2" w:rsidRDefault="00153DE2" w:rsidP="00C03492">
      <w:pPr>
        <w:rPr>
          <w:sz w:val="22"/>
          <w:szCs w:val="22"/>
        </w:rPr>
      </w:pPr>
    </w:p>
    <w:p w:rsidR="00153DE2" w:rsidRDefault="00153DE2" w:rsidP="00C03492">
      <w:pPr>
        <w:rPr>
          <w:sz w:val="22"/>
          <w:szCs w:val="22"/>
        </w:rPr>
      </w:pPr>
      <w:r>
        <w:rPr>
          <w:sz w:val="22"/>
          <w:szCs w:val="22"/>
        </w:rPr>
        <w:t xml:space="preserve">The agriculture community in California has climate solutions to offer.  And a well-designed cap and trade program could play a role in incentivizing the industry in ways that could deliver multiple environmental and healths benefits and support California’s diverse rural economies.  </w:t>
      </w:r>
    </w:p>
    <w:p w:rsidR="00474BD8" w:rsidRDefault="00474BD8" w:rsidP="00C03492">
      <w:pPr>
        <w:rPr>
          <w:sz w:val="22"/>
          <w:szCs w:val="22"/>
        </w:rPr>
      </w:pPr>
    </w:p>
    <w:p w:rsidR="00474BD8" w:rsidRDefault="00474BD8" w:rsidP="00C03492">
      <w:pPr>
        <w:rPr>
          <w:sz w:val="22"/>
          <w:szCs w:val="22"/>
        </w:rPr>
      </w:pPr>
      <w:r>
        <w:rPr>
          <w:sz w:val="22"/>
          <w:szCs w:val="22"/>
        </w:rPr>
        <w:t>Sincerely,</w:t>
      </w:r>
    </w:p>
    <w:p w:rsidR="007D1B48" w:rsidRDefault="007D1B48" w:rsidP="00C03492">
      <w:pPr>
        <w:rPr>
          <w:sz w:val="22"/>
          <w:szCs w:val="22"/>
        </w:rPr>
      </w:pPr>
    </w:p>
    <w:p w:rsidR="007D1B48" w:rsidRDefault="007D1B48" w:rsidP="00C03492">
      <w:pPr>
        <w:rPr>
          <w:sz w:val="22"/>
          <w:szCs w:val="22"/>
        </w:rPr>
      </w:pPr>
    </w:p>
    <w:p w:rsidR="0009659D" w:rsidRDefault="0009659D" w:rsidP="0009659D">
      <w:pPr>
        <w:rPr>
          <w:sz w:val="22"/>
          <w:szCs w:val="22"/>
        </w:rPr>
      </w:pPr>
      <w:r>
        <w:rPr>
          <w:sz w:val="22"/>
          <w:szCs w:val="22"/>
        </w:rPr>
        <w:t>Claudia Reid</w:t>
      </w:r>
      <w:r>
        <w:rPr>
          <w:sz w:val="22"/>
          <w:szCs w:val="22"/>
        </w:rPr>
        <w:tab/>
      </w:r>
      <w:r>
        <w:rPr>
          <w:sz w:val="22"/>
          <w:szCs w:val="22"/>
        </w:rPr>
        <w:tab/>
      </w:r>
      <w:r>
        <w:rPr>
          <w:sz w:val="22"/>
          <w:szCs w:val="22"/>
        </w:rPr>
        <w:tab/>
      </w:r>
      <w:r>
        <w:rPr>
          <w:sz w:val="22"/>
          <w:szCs w:val="22"/>
        </w:rPr>
        <w:tab/>
      </w:r>
      <w:r>
        <w:rPr>
          <w:sz w:val="22"/>
          <w:szCs w:val="22"/>
        </w:rPr>
        <w:tab/>
      </w:r>
      <w:r>
        <w:rPr>
          <w:sz w:val="22"/>
          <w:szCs w:val="22"/>
        </w:rPr>
        <w:tab/>
        <w:t>David Runsten</w:t>
      </w:r>
    </w:p>
    <w:p w:rsidR="0009659D" w:rsidRDefault="007D1B48" w:rsidP="0009659D">
      <w:pPr>
        <w:rPr>
          <w:sz w:val="22"/>
          <w:szCs w:val="22"/>
        </w:rPr>
      </w:pPr>
      <w:r>
        <w:rPr>
          <w:sz w:val="22"/>
          <w:szCs w:val="22"/>
        </w:rPr>
        <w:t>Policy and Program Director</w:t>
      </w:r>
      <w:r w:rsidR="0009659D">
        <w:rPr>
          <w:sz w:val="22"/>
          <w:szCs w:val="22"/>
        </w:rPr>
        <w:tab/>
      </w:r>
      <w:r w:rsidR="0009659D">
        <w:rPr>
          <w:sz w:val="22"/>
          <w:szCs w:val="22"/>
        </w:rPr>
        <w:tab/>
      </w:r>
      <w:r w:rsidR="0009659D">
        <w:rPr>
          <w:sz w:val="22"/>
          <w:szCs w:val="22"/>
        </w:rPr>
        <w:tab/>
      </w:r>
      <w:r w:rsidR="0009659D">
        <w:rPr>
          <w:sz w:val="22"/>
          <w:szCs w:val="22"/>
        </w:rPr>
        <w:tab/>
        <w:t>Policy Director</w:t>
      </w:r>
    </w:p>
    <w:p w:rsidR="0009659D" w:rsidRDefault="007D1B48" w:rsidP="0009659D">
      <w:pPr>
        <w:rPr>
          <w:sz w:val="22"/>
          <w:szCs w:val="22"/>
        </w:rPr>
      </w:pPr>
      <w:r>
        <w:rPr>
          <w:sz w:val="22"/>
          <w:szCs w:val="22"/>
        </w:rPr>
        <w:t>California Certified Organic Farmers (CCOF)</w:t>
      </w:r>
      <w:r w:rsidR="0009659D">
        <w:rPr>
          <w:sz w:val="22"/>
          <w:szCs w:val="22"/>
        </w:rPr>
        <w:tab/>
      </w:r>
      <w:r w:rsidR="0009659D">
        <w:rPr>
          <w:sz w:val="22"/>
          <w:szCs w:val="22"/>
        </w:rPr>
        <w:tab/>
        <w:t>Community Alliance with Family Farmers</w:t>
      </w:r>
    </w:p>
    <w:p w:rsidR="0009659D" w:rsidRDefault="0009659D" w:rsidP="00C03492">
      <w:pPr>
        <w:rPr>
          <w:sz w:val="22"/>
          <w:szCs w:val="22"/>
        </w:rPr>
      </w:pPr>
    </w:p>
    <w:p w:rsidR="0009659D" w:rsidRDefault="0009659D" w:rsidP="0009659D">
      <w:pPr>
        <w:rPr>
          <w:sz w:val="22"/>
          <w:szCs w:val="22"/>
        </w:rPr>
      </w:pPr>
      <w:r>
        <w:rPr>
          <w:sz w:val="22"/>
          <w:szCs w:val="22"/>
        </w:rPr>
        <w:t>Jeanne Merrill</w:t>
      </w:r>
      <w:r>
        <w:rPr>
          <w:sz w:val="22"/>
          <w:szCs w:val="22"/>
        </w:rPr>
        <w:tab/>
      </w:r>
      <w:r>
        <w:rPr>
          <w:sz w:val="22"/>
          <w:szCs w:val="22"/>
        </w:rPr>
        <w:tab/>
      </w:r>
      <w:r>
        <w:rPr>
          <w:sz w:val="22"/>
          <w:szCs w:val="22"/>
        </w:rPr>
        <w:tab/>
      </w:r>
      <w:r>
        <w:rPr>
          <w:sz w:val="22"/>
          <w:szCs w:val="22"/>
        </w:rPr>
        <w:tab/>
      </w:r>
      <w:r>
        <w:rPr>
          <w:sz w:val="22"/>
          <w:szCs w:val="22"/>
        </w:rPr>
        <w:tab/>
      </w:r>
      <w:r>
        <w:rPr>
          <w:sz w:val="22"/>
          <w:szCs w:val="22"/>
        </w:rPr>
        <w:tab/>
        <w:t>Ken Dickerson</w:t>
      </w:r>
    </w:p>
    <w:p w:rsidR="0009659D" w:rsidRDefault="0009659D" w:rsidP="0009659D">
      <w:pPr>
        <w:rPr>
          <w:sz w:val="22"/>
          <w:szCs w:val="22"/>
        </w:rPr>
      </w:pPr>
      <w:r>
        <w:rPr>
          <w:sz w:val="22"/>
          <w:szCs w:val="22"/>
        </w:rPr>
        <w:t>Policy Director</w:t>
      </w:r>
      <w:r>
        <w:rPr>
          <w:sz w:val="22"/>
          <w:szCs w:val="22"/>
        </w:rPr>
        <w:tab/>
      </w:r>
      <w:r>
        <w:rPr>
          <w:sz w:val="22"/>
          <w:szCs w:val="22"/>
        </w:rPr>
        <w:tab/>
      </w:r>
      <w:r>
        <w:rPr>
          <w:sz w:val="22"/>
          <w:szCs w:val="22"/>
        </w:rPr>
        <w:tab/>
      </w:r>
      <w:r>
        <w:rPr>
          <w:sz w:val="22"/>
          <w:szCs w:val="22"/>
        </w:rPr>
        <w:tab/>
      </w:r>
      <w:r>
        <w:rPr>
          <w:sz w:val="22"/>
          <w:szCs w:val="22"/>
        </w:rPr>
        <w:tab/>
      </w:r>
      <w:r>
        <w:rPr>
          <w:sz w:val="22"/>
          <w:szCs w:val="22"/>
        </w:rPr>
        <w:tab/>
        <w:t>Executive Director</w:t>
      </w:r>
    </w:p>
    <w:p w:rsidR="0009659D" w:rsidRDefault="00153DE2" w:rsidP="0009659D">
      <w:pPr>
        <w:rPr>
          <w:sz w:val="22"/>
          <w:szCs w:val="22"/>
        </w:rPr>
      </w:pPr>
      <w:r>
        <w:rPr>
          <w:sz w:val="22"/>
          <w:szCs w:val="22"/>
        </w:rPr>
        <w:t>California Climate and</w:t>
      </w:r>
      <w:r w:rsidR="0009659D">
        <w:rPr>
          <w:sz w:val="22"/>
          <w:szCs w:val="22"/>
        </w:rPr>
        <w:t xml:space="preserve"> Agriculture Network </w:t>
      </w:r>
      <w:r w:rsidR="0009659D">
        <w:rPr>
          <w:sz w:val="22"/>
          <w:szCs w:val="22"/>
        </w:rPr>
        <w:tab/>
      </w:r>
      <w:r w:rsidR="0009659D">
        <w:rPr>
          <w:sz w:val="22"/>
          <w:szCs w:val="22"/>
        </w:rPr>
        <w:tab/>
        <w:t>Ecological Farming Association</w:t>
      </w:r>
    </w:p>
    <w:p w:rsidR="0009659D" w:rsidRDefault="0009659D" w:rsidP="0009659D">
      <w:pPr>
        <w:rPr>
          <w:sz w:val="22"/>
          <w:szCs w:val="22"/>
        </w:rPr>
      </w:pPr>
    </w:p>
    <w:p w:rsidR="0009659D" w:rsidRDefault="007D1B48" w:rsidP="0009659D">
      <w:pPr>
        <w:rPr>
          <w:sz w:val="22"/>
          <w:szCs w:val="22"/>
        </w:rPr>
      </w:pPr>
      <w:r>
        <w:rPr>
          <w:sz w:val="22"/>
          <w:szCs w:val="22"/>
        </w:rPr>
        <w:t>Rebecca Spector</w:t>
      </w:r>
      <w:r w:rsidR="0009659D">
        <w:rPr>
          <w:sz w:val="22"/>
          <w:szCs w:val="22"/>
        </w:rPr>
        <w:tab/>
      </w:r>
      <w:r w:rsidR="0009659D">
        <w:rPr>
          <w:sz w:val="22"/>
          <w:szCs w:val="22"/>
        </w:rPr>
        <w:tab/>
      </w:r>
      <w:r w:rsidR="0009659D">
        <w:rPr>
          <w:sz w:val="22"/>
          <w:szCs w:val="22"/>
        </w:rPr>
        <w:tab/>
      </w:r>
      <w:r w:rsidR="0009659D">
        <w:rPr>
          <w:sz w:val="22"/>
          <w:szCs w:val="22"/>
        </w:rPr>
        <w:tab/>
      </w:r>
      <w:r w:rsidR="0009659D">
        <w:rPr>
          <w:sz w:val="22"/>
          <w:szCs w:val="22"/>
        </w:rPr>
        <w:tab/>
        <w:t>Dave Henson</w:t>
      </w:r>
    </w:p>
    <w:p w:rsidR="007D1B48" w:rsidRDefault="007D1B48" w:rsidP="007D1B48">
      <w:pPr>
        <w:rPr>
          <w:sz w:val="22"/>
          <w:szCs w:val="22"/>
        </w:rPr>
      </w:pPr>
      <w:r>
        <w:rPr>
          <w:sz w:val="22"/>
          <w:szCs w:val="22"/>
        </w:rPr>
        <w:t>West Coast Director</w:t>
      </w:r>
      <w:r w:rsidR="0009659D">
        <w:rPr>
          <w:sz w:val="22"/>
          <w:szCs w:val="22"/>
        </w:rPr>
        <w:tab/>
      </w:r>
      <w:r w:rsidR="0009659D">
        <w:rPr>
          <w:sz w:val="22"/>
          <w:szCs w:val="22"/>
        </w:rPr>
        <w:tab/>
      </w:r>
      <w:r w:rsidR="0009659D">
        <w:rPr>
          <w:sz w:val="22"/>
          <w:szCs w:val="22"/>
        </w:rPr>
        <w:tab/>
      </w:r>
      <w:r w:rsidR="0009659D">
        <w:rPr>
          <w:sz w:val="22"/>
          <w:szCs w:val="22"/>
        </w:rPr>
        <w:tab/>
      </w:r>
      <w:r w:rsidR="0009659D">
        <w:rPr>
          <w:sz w:val="22"/>
          <w:szCs w:val="22"/>
        </w:rPr>
        <w:tab/>
        <w:t>Executive Director</w:t>
      </w:r>
    </w:p>
    <w:p w:rsidR="007D1B48" w:rsidRPr="00C03492" w:rsidRDefault="007D1B48" w:rsidP="00C03492">
      <w:pPr>
        <w:rPr>
          <w:sz w:val="22"/>
          <w:szCs w:val="22"/>
        </w:rPr>
      </w:pPr>
      <w:r>
        <w:rPr>
          <w:sz w:val="22"/>
          <w:szCs w:val="22"/>
        </w:rPr>
        <w:t>Center for Food Safety</w:t>
      </w:r>
      <w:r w:rsidR="0009659D">
        <w:rPr>
          <w:sz w:val="22"/>
          <w:szCs w:val="22"/>
        </w:rPr>
        <w:tab/>
      </w:r>
      <w:r w:rsidR="0009659D">
        <w:rPr>
          <w:sz w:val="22"/>
          <w:szCs w:val="22"/>
        </w:rPr>
        <w:tab/>
      </w:r>
      <w:r w:rsidR="0009659D">
        <w:rPr>
          <w:sz w:val="22"/>
          <w:szCs w:val="22"/>
        </w:rPr>
        <w:tab/>
      </w:r>
      <w:r w:rsidR="0009659D">
        <w:rPr>
          <w:sz w:val="22"/>
          <w:szCs w:val="22"/>
        </w:rPr>
        <w:tab/>
      </w:r>
      <w:r w:rsidR="0009659D">
        <w:rPr>
          <w:sz w:val="22"/>
          <w:szCs w:val="22"/>
        </w:rPr>
        <w:tab/>
      </w:r>
      <w:r w:rsidR="00153DE2">
        <w:rPr>
          <w:sz w:val="22"/>
          <w:szCs w:val="22"/>
        </w:rPr>
        <w:t>Occidental Arts &amp; Ecology Center</w:t>
      </w:r>
    </w:p>
    <w:sectPr w:rsidR="007D1B48" w:rsidRPr="00C03492" w:rsidSect="0009659D">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9EF" w:rsidRDefault="005409EF" w:rsidP="00C03492">
      <w:r>
        <w:separator/>
      </w:r>
    </w:p>
  </w:endnote>
  <w:endnote w:type="continuationSeparator" w:id="0">
    <w:p w:rsidR="005409EF" w:rsidRDefault="005409EF" w:rsidP="00C034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altName w:val="Century"/>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9EF" w:rsidRDefault="005409EF" w:rsidP="00C03492">
      <w:r>
        <w:separator/>
      </w:r>
    </w:p>
  </w:footnote>
  <w:footnote w:type="continuationSeparator" w:id="0">
    <w:p w:rsidR="005409EF" w:rsidRDefault="005409EF" w:rsidP="00C03492">
      <w:r>
        <w:continuationSeparator/>
      </w:r>
    </w:p>
  </w:footnote>
  <w:footnote w:id="1">
    <w:p w:rsidR="00D70317" w:rsidRDefault="00D70317" w:rsidP="00D70317">
      <w:pPr>
        <w:pStyle w:val="FootnoteText"/>
      </w:pPr>
      <w:r>
        <w:rPr>
          <w:rStyle w:val="FootnoteReference"/>
        </w:rPr>
        <w:footnoteRef/>
      </w:r>
      <w:r>
        <w:t xml:space="preserve"> See pages 33, 54 &amp; 55.  EAAC. March 2010.  Allocating Emissions Allowances under a California Cap-and-Trade Program.  </w:t>
      </w:r>
      <w:hyperlink r:id="rId1" w:history="1">
        <w:r w:rsidRPr="004168A1">
          <w:rPr>
            <w:rStyle w:val="Hyperlink"/>
          </w:rPr>
          <w:t>http://www.climatechange.ca.gov/eaac/documents/eaac_reports/2010-03-22_EAAC_Allocation_Report_Final.pdf</w:t>
        </w:r>
      </w:hyperlink>
    </w:p>
  </w:footnote>
  <w:footnote w:id="2">
    <w:p w:rsidR="00C03492" w:rsidRDefault="00C03492" w:rsidP="00C03492">
      <w:pPr>
        <w:pStyle w:val="FootnoteText"/>
      </w:pPr>
      <w:r>
        <w:rPr>
          <w:rStyle w:val="FootnoteReference"/>
        </w:rPr>
        <w:footnoteRef/>
      </w:r>
      <w:r>
        <w:t xml:space="preserve"> Agriculture Climate Action Team. December 2008. Agriculture Sector Write-Up for Public Distribution.  AB 32 Scoping Plan. </w:t>
      </w:r>
      <w:hyperlink r:id="rId2" w:history="1">
        <w:r>
          <w:rPr>
            <w:rStyle w:val="Hyperlink"/>
          </w:rPr>
          <w:t>http://climatechange.ca.gov/climate_action_team/reports/CAT_subgroup_reports/Ag_Sector_Summary_and_Analyses.pdf</w:t>
        </w:r>
      </w:hyperlink>
    </w:p>
    <w:p w:rsidR="00C03492" w:rsidRDefault="00C03492" w:rsidP="00C03492">
      <w:pPr>
        <w:pStyle w:val="FootnoteText"/>
      </w:pPr>
      <w:r>
        <w:t xml:space="preserve">ETAAC.  February 11, 2008. Recommendations of the Economic and Technology Advancement Advisory Committee (ETAAC).  Final Report.  A Report to the California Air Resources Board.  Chair: Alan Lloyd Vice Chair: Bob Epstein. </w:t>
      </w:r>
      <w:hyperlink r:id="rId3" w:history="1">
        <w:r>
          <w:rPr>
            <w:rStyle w:val="Hyperlink"/>
          </w:rPr>
          <w:t>http://www.arb.ca.gov/cc/etaac/ETAACFinalReport2-11-08.pdf</w:t>
        </w:r>
      </w:hyperlink>
    </w:p>
  </w:footnote>
  <w:footnote w:id="3">
    <w:p w:rsidR="00C03492" w:rsidRDefault="00C03492" w:rsidP="00C03492">
      <w:pPr>
        <w:pStyle w:val="FootnoteText"/>
      </w:pPr>
      <w:r>
        <w:rPr>
          <w:rStyle w:val="FootnoteReference"/>
        </w:rPr>
        <w:footnoteRef/>
      </w:r>
      <w:r>
        <w:t xml:space="preserve"> Page 6-1. ETAAC report. 2008. </w:t>
      </w:r>
    </w:p>
  </w:footnote>
  <w:footnote w:id="4">
    <w:p w:rsidR="00C03492" w:rsidRDefault="00C03492" w:rsidP="00C03492">
      <w:pPr>
        <w:pStyle w:val="FootnoteText"/>
      </w:pPr>
      <w:r>
        <w:rPr>
          <w:rStyle w:val="FootnoteReference"/>
        </w:rPr>
        <w:footnoteRef/>
      </w:r>
      <w:r>
        <w:t xml:space="preserve"> AB 32 Scoping Plan.  December 2008.  Appendix D: September 23, 2008. WCI Design Recommendations (page 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03492"/>
    <w:rsid w:val="0009659D"/>
    <w:rsid w:val="000D239E"/>
    <w:rsid w:val="00153DE2"/>
    <w:rsid w:val="00166AA3"/>
    <w:rsid w:val="002218FA"/>
    <w:rsid w:val="00297B0D"/>
    <w:rsid w:val="00334479"/>
    <w:rsid w:val="00380556"/>
    <w:rsid w:val="00474BD8"/>
    <w:rsid w:val="005409EF"/>
    <w:rsid w:val="00582B93"/>
    <w:rsid w:val="0060493D"/>
    <w:rsid w:val="007D1B48"/>
    <w:rsid w:val="007F5A80"/>
    <w:rsid w:val="008A447C"/>
    <w:rsid w:val="009C6DC6"/>
    <w:rsid w:val="009D50B0"/>
    <w:rsid w:val="00A02057"/>
    <w:rsid w:val="00A24E0D"/>
    <w:rsid w:val="00B67B4B"/>
    <w:rsid w:val="00BB5321"/>
    <w:rsid w:val="00C03492"/>
    <w:rsid w:val="00C04FD5"/>
    <w:rsid w:val="00C157BB"/>
    <w:rsid w:val="00C51D87"/>
    <w:rsid w:val="00C572B4"/>
    <w:rsid w:val="00D031CE"/>
    <w:rsid w:val="00D70317"/>
    <w:rsid w:val="00DA2A09"/>
    <w:rsid w:val="00E20ACF"/>
    <w:rsid w:val="00E358D6"/>
    <w:rsid w:val="00FC19A1"/>
    <w:rsid w:val="00FE21CA"/>
    <w:rsid w:val="00FF47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4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03492"/>
    <w:rPr>
      <w:sz w:val="20"/>
      <w:szCs w:val="20"/>
    </w:rPr>
  </w:style>
  <w:style w:type="character" w:customStyle="1" w:styleId="FootnoteTextChar">
    <w:name w:val="Footnote Text Char"/>
    <w:basedOn w:val="DefaultParagraphFont"/>
    <w:link w:val="FootnoteText"/>
    <w:semiHidden/>
    <w:rsid w:val="00C03492"/>
    <w:rPr>
      <w:rFonts w:ascii="Times New Roman" w:eastAsia="Times New Roman" w:hAnsi="Times New Roman" w:cs="Times New Roman"/>
      <w:sz w:val="20"/>
      <w:szCs w:val="20"/>
    </w:rPr>
  </w:style>
  <w:style w:type="character" w:styleId="FootnoteReference">
    <w:name w:val="footnote reference"/>
    <w:basedOn w:val="DefaultParagraphFont"/>
    <w:semiHidden/>
    <w:rsid w:val="00C03492"/>
    <w:rPr>
      <w:vertAlign w:val="superscript"/>
    </w:rPr>
  </w:style>
  <w:style w:type="character" w:styleId="Hyperlink">
    <w:name w:val="Hyperlink"/>
    <w:basedOn w:val="DefaultParagraphFont"/>
    <w:semiHidden/>
    <w:rsid w:val="00C03492"/>
    <w:rPr>
      <w:color w:val="0000FF"/>
      <w:u w:val="single"/>
    </w:rPr>
  </w:style>
  <w:style w:type="paragraph" w:styleId="BalloonText">
    <w:name w:val="Balloon Text"/>
    <w:basedOn w:val="Normal"/>
    <w:link w:val="BalloonTextChar"/>
    <w:uiPriority w:val="99"/>
    <w:semiHidden/>
    <w:unhideWhenUsed/>
    <w:rsid w:val="008A447C"/>
    <w:rPr>
      <w:rFonts w:ascii="Tahoma" w:hAnsi="Tahoma" w:cs="Tahoma"/>
      <w:sz w:val="16"/>
      <w:szCs w:val="16"/>
    </w:rPr>
  </w:style>
  <w:style w:type="character" w:customStyle="1" w:styleId="BalloonTextChar">
    <w:name w:val="Balloon Text Char"/>
    <w:basedOn w:val="DefaultParagraphFont"/>
    <w:link w:val="BalloonText"/>
    <w:uiPriority w:val="99"/>
    <w:semiHidden/>
    <w:rsid w:val="008A447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www.arb.ca.gov/cc/etaac/ETAACFinalReport2-11-08.pdf" TargetMode="External"/><Relationship Id="rId2" Type="http://schemas.openxmlformats.org/officeDocument/2006/relationships/hyperlink" Target="http://climatechange.ca.gov/climate_action_team/reports/CAT_subgroup_reports/Ag_Sector_Summary_and_Analyses.pdf" TargetMode="External"/><Relationship Id="rId1" Type="http://schemas.openxmlformats.org/officeDocument/2006/relationships/hyperlink" Target="http://www.climatechange.ca.gov/eaac/documents/eaac_reports/2010-03-22_EAAC_Allocation_Report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jeannemerrill</dc:creator>
  <cp:lastModifiedBy>jeannemerrill</cp:lastModifiedBy>
  <cp:revision>2</cp:revision>
  <dcterms:created xsi:type="dcterms:W3CDTF">2011-08-11T22:54:00Z</dcterms:created>
  <dcterms:modified xsi:type="dcterms:W3CDTF">2011-08-11T22:54:00Z</dcterms:modified>
</cp:coreProperties>
</file>