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CA" w:rsidRDefault="00A02BCA" w:rsidP="00035886"/>
    <w:p w:rsidR="00A02BCA" w:rsidRDefault="00A02BCA" w:rsidP="00035886"/>
    <w:p w:rsidR="00276F09" w:rsidRDefault="007B2FBD" w:rsidP="00035886">
      <w:r>
        <w:t xml:space="preserve">In the cap and trade regulation, </w:t>
      </w:r>
      <w:r w:rsidR="00D87A2C">
        <w:t>CARB’s</w:t>
      </w:r>
      <w:r w:rsidR="00B67854">
        <w:t xml:space="preserve"> definition of Replacement Electricity provides an important linkage between the </w:t>
      </w:r>
      <w:r w:rsidR="009A4625">
        <w:t xml:space="preserve">variable </w:t>
      </w:r>
      <w:r w:rsidR="00B67854">
        <w:t>renewable resource output and</w:t>
      </w:r>
      <w:r w:rsidR="00D87A2C">
        <w:t xml:space="preserve"> the GHG attribute associated with</w:t>
      </w:r>
      <w:r w:rsidR="00B67854">
        <w:t xml:space="preserve"> energy im</w:t>
      </w:r>
      <w:r w:rsidR="00D87A2C">
        <w:t>ported into California</w:t>
      </w:r>
      <w:r w:rsidR="00B67854">
        <w:t xml:space="preserve">.  </w:t>
      </w:r>
      <w:r w:rsidR="00276F09">
        <w:t>Section 95802 (a</w:t>
      </w:r>
      <w:proofErr w:type="gramStart"/>
      <w:r w:rsidR="00276F09">
        <w:t>)(</w:t>
      </w:r>
      <w:proofErr w:type="gramEnd"/>
      <w:r w:rsidR="00276F09">
        <w:t>237), page A-39</w:t>
      </w:r>
      <w:r w:rsidR="00B67854">
        <w:t xml:space="preserve"> states:</w:t>
      </w:r>
    </w:p>
    <w:p w:rsidR="00B67854" w:rsidRDefault="00B67854" w:rsidP="00B67854">
      <w:pPr>
        <w:ind w:left="720"/>
      </w:pPr>
    </w:p>
    <w:p w:rsidR="00B67854" w:rsidRPr="00B67854" w:rsidRDefault="00B67854" w:rsidP="00B67854">
      <w:pPr>
        <w:autoSpaceDE w:val="0"/>
        <w:autoSpaceDN w:val="0"/>
        <w:adjustRightInd w:val="0"/>
        <w:ind w:left="720"/>
        <w:rPr>
          <w:rFonts w:ascii="ArialMT" w:eastAsiaTheme="minorHAnsi" w:hAnsi="ArialMT" w:cs="ArialMT"/>
          <w:sz w:val="20"/>
          <w:szCs w:val="20"/>
        </w:rPr>
      </w:pPr>
      <w:r w:rsidRPr="00B67854">
        <w:rPr>
          <w:rFonts w:ascii="ArialMT" w:eastAsiaTheme="minorHAnsi" w:hAnsi="ArialMT" w:cs="ArialMT"/>
          <w:sz w:val="20"/>
          <w:szCs w:val="20"/>
        </w:rPr>
        <w:t>(237) “Replacement Electricity” means electricity delivered to a first point of</w:t>
      </w:r>
    </w:p>
    <w:p w:rsidR="00B67854" w:rsidRPr="00B67854" w:rsidRDefault="00B67854" w:rsidP="00B67854">
      <w:pPr>
        <w:autoSpaceDE w:val="0"/>
        <w:autoSpaceDN w:val="0"/>
        <w:adjustRightInd w:val="0"/>
        <w:ind w:left="720"/>
        <w:rPr>
          <w:rFonts w:ascii="ArialMT" w:eastAsiaTheme="minorHAnsi" w:hAnsi="ArialMT" w:cs="ArialMT"/>
          <w:sz w:val="20"/>
          <w:szCs w:val="20"/>
        </w:rPr>
      </w:pPr>
      <w:proofErr w:type="gramStart"/>
      <w:r w:rsidRPr="00B67854">
        <w:rPr>
          <w:rFonts w:ascii="ArialMT" w:eastAsiaTheme="minorHAnsi" w:hAnsi="ArialMT" w:cs="ArialMT"/>
          <w:sz w:val="20"/>
          <w:szCs w:val="20"/>
        </w:rPr>
        <w:t>delivery</w:t>
      </w:r>
      <w:proofErr w:type="gramEnd"/>
      <w:r w:rsidRPr="00B67854">
        <w:rPr>
          <w:rFonts w:ascii="ArialMT" w:eastAsiaTheme="minorHAnsi" w:hAnsi="ArialMT" w:cs="ArialMT"/>
          <w:sz w:val="20"/>
          <w:szCs w:val="20"/>
        </w:rPr>
        <w:t xml:space="preserve"> in California to replace electricity from variable renewable</w:t>
      </w:r>
    </w:p>
    <w:p w:rsidR="00B67854" w:rsidRPr="00B67854" w:rsidRDefault="00B67854" w:rsidP="00B67854">
      <w:pPr>
        <w:autoSpaceDE w:val="0"/>
        <w:autoSpaceDN w:val="0"/>
        <w:adjustRightInd w:val="0"/>
        <w:ind w:left="720"/>
        <w:rPr>
          <w:rFonts w:ascii="ArialMT" w:eastAsiaTheme="minorHAnsi" w:hAnsi="ArialMT" w:cs="ArialMT"/>
          <w:sz w:val="20"/>
          <w:szCs w:val="20"/>
        </w:rPr>
      </w:pPr>
      <w:proofErr w:type="gramStart"/>
      <w:r w:rsidRPr="00B67854">
        <w:rPr>
          <w:rFonts w:ascii="ArialMT" w:eastAsiaTheme="minorHAnsi" w:hAnsi="ArialMT" w:cs="ArialMT"/>
          <w:sz w:val="20"/>
          <w:szCs w:val="20"/>
        </w:rPr>
        <w:t>resources</w:t>
      </w:r>
      <w:proofErr w:type="gramEnd"/>
      <w:r w:rsidRPr="00B67854">
        <w:rPr>
          <w:rFonts w:ascii="ArialMT" w:eastAsiaTheme="minorHAnsi" w:hAnsi="ArialMT" w:cs="ArialMT"/>
          <w:sz w:val="20"/>
          <w:szCs w:val="20"/>
        </w:rPr>
        <w:t xml:space="preserve"> in order to meet hourly load requirements. The electricity</w:t>
      </w:r>
    </w:p>
    <w:p w:rsidR="00B67854" w:rsidRPr="00B67854" w:rsidRDefault="00B67854" w:rsidP="00B67854">
      <w:pPr>
        <w:autoSpaceDE w:val="0"/>
        <w:autoSpaceDN w:val="0"/>
        <w:adjustRightInd w:val="0"/>
        <w:ind w:left="720"/>
        <w:rPr>
          <w:rFonts w:ascii="ArialMT" w:eastAsiaTheme="minorHAnsi" w:hAnsi="ArialMT" w:cs="ArialMT"/>
          <w:sz w:val="20"/>
          <w:szCs w:val="20"/>
        </w:rPr>
      </w:pPr>
      <w:proofErr w:type="gramStart"/>
      <w:r w:rsidRPr="00B67854">
        <w:rPr>
          <w:rFonts w:ascii="ArialMT" w:eastAsiaTheme="minorHAnsi" w:hAnsi="ArialMT" w:cs="ArialMT"/>
          <w:sz w:val="20"/>
          <w:szCs w:val="20"/>
        </w:rPr>
        <w:t>generated</w:t>
      </w:r>
      <w:proofErr w:type="gramEnd"/>
      <w:r w:rsidRPr="00B67854">
        <w:rPr>
          <w:rFonts w:ascii="ArialMT" w:eastAsiaTheme="minorHAnsi" w:hAnsi="ArialMT" w:cs="ArialMT"/>
          <w:sz w:val="20"/>
          <w:szCs w:val="20"/>
        </w:rPr>
        <w:t xml:space="preserve"> by the variable renewable energy facility and purchased by</w:t>
      </w:r>
    </w:p>
    <w:p w:rsidR="00B67854" w:rsidRPr="00B67854" w:rsidRDefault="00B67854" w:rsidP="00B67854">
      <w:pPr>
        <w:autoSpaceDE w:val="0"/>
        <w:autoSpaceDN w:val="0"/>
        <w:adjustRightInd w:val="0"/>
        <w:ind w:left="720"/>
        <w:rPr>
          <w:rFonts w:ascii="ArialMT" w:eastAsiaTheme="minorHAnsi" w:hAnsi="ArialMT" w:cs="ArialMT"/>
          <w:sz w:val="20"/>
          <w:szCs w:val="20"/>
        </w:rPr>
      </w:pPr>
      <w:proofErr w:type="gramStart"/>
      <w:r w:rsidRPr="00B67854">
        <w:rPr>
          <w:rFonts w:ascii="ArialMT" w:eastAsiaTheme="minorHAnsi" w:hAnsi="ArialMT" w:cs="ArialMT"/>
          <w:sz w:val="20"/>
          <w:szCs w:val="20"/>
        </w:rPr>
        <w:t>the</w:t>
      </w:r>
      <w:proofErr w:type="gramEnd"/>
      <w:r w:rsidRPr="00B67854">
        <w:rPr>
          <w:rFonts w:ascii="ArialMT" w:eastAsiaTheme="minorHAnsi" w:hAnsi="ArialMT" w:cs="ArialMT"/>
          <w:sz w:val="20"/>
          <w:szCs w:val="20"/>
        </w:rPr>
        <w:t xml:space="preserve"> first deliverer is not required to meet direct delivery requirements.</w:t>
      </w:r>
    </w:p>
    <w:p w:rsidR="00B67854" w:rsidRPr="00B67854" w:rsidRDefault="00B67854" w:rsidP="00B67854">
      <w:pPr>
        <w:autoSpaceDE w:val="0"/>
        <w:autoSpaceDN w:val="0"/>
        <w:adjustRightInd w:val="0"/>
        <w:ind w:left="720"/>
        <w:rPr>
          <w:rFonts w:ascii="ArialMT" w:eastAsiaTheme="minorHAnsi" w:hAnsi="ArialMT" w:cs="ArialMT"/>
          <w:sz w:val="20"/>
          <w:szCs w:val="20"/>
        </w:rPr>
      </w:pPr>
      <w:r w:rsidRPr="00B67854">
        <w:rPr>
          <w:rFonts w:ascii="ArialMT" w:eastAsiaTheme="minorHAnsi" w:hAnsi="ArialMT" w:cs="ArialMT"/>
          <w:sz w:val="20"/>
          <w:szCs w:val="20"/>
        </w:rPr>
        <w:t xml:space="preserve">The physical location of the variable renewable energy facility </w:t>
      </w:r>
      <w:proofErr w:type="spellStart"/>
      <w:r w:rsidRPr="00B67854">
        <w:rPr>
          <w:rFonts w:ascii="ArialMT" w:eastAsiaTheme="minorHAnsi" w:hAnsi="ArialMT" w:cs="ArialMT"/>
          <w:sz w:val="20"/>
          <w:szCs w:val="20"/>
        </w:rPr>
        <w:t>busbar</w:t>
      </w:r>
      <w:proofErr w:type="spellEnd"/>
    </w:p>
    <w:p w:rsidR="00B67854" w:rsidRPr="00B67854" w:rsidRDefault="00B67854" w:rsidP="00B67854">
      <w:pPr>
        <w:autoSpaceDE w:val="0"/>
        <w:autoSpaceDN w:val="0"/>
        <w:adjustRightInd w:val="0"/>
        <w:ind w:left="720"/>
        <w:rPr>
          <w:rFonts w:ascii="ArialMT" w:eastAsiaTheme="minorHAnsi" w:hAnsi="ArialMT" w:cs="ArialMT"/>
          <w:sz w:val="20"/>
          <w:szCs w:val="20"/>
        </w:rPr>
      </w:pPr>
      <w:proofErr w:type="gramStart"/>
      <w:r w:rsidRPr="00B67854">
        <w:rPr>
          <w:rFonts w:ascii="ArialMT" w:eastAsiaTheme="minorHAnsi" w:hAnsi="ArialMT" w:cs="ArialMT"/>
          <w:sz w:val="20"/>
          <w:szCs w:val="20"/>
        </w:rPr>
        <w:t>and</w:t>
      </w:r>
      <w:proofErr w:type="gramEnd"/>
      <w:r w:rsidRPr="00B67854">
        <w:rPr>
          <w:rFonts w:ascii="ArialMT" w:eastAsiaTheme="minorHAnsi" w:hAnsi="ArialMT" w:cs="ArialMT"/>
          <w:sz w:val="20"/>
          <w:szCs w:val="20"/>
        </w:rPr>
        <w:t xml:space="preserve"> the first point of receipt on the NERC E-tag for the replacement</w:t>
      </w:r>
    </w:p>
    <w:p w:rsidR="00B67854" w:rsidRPr="00B67854" w:rsidRDefault="00B67854" w:rsidP="00B67854">
      <w:pPr>
        <w:ind w:left="720"/>
        <w:rPr>
          <w:rFonts w:ascii="ArialMT" w:eastAsiaTheme="minorHAnsi" w:hAnsi="ArialMT" w:cs="ArialMT"/>
          <w:sz w:val="20"/>
          <w:szCs w:val="20"/>
        </w:rPr>
      </w:pPr>
      <w:proofErr w:type="gramStart"/>
      <w:r w:rsidRPr="00B67854">
        <w:rPr>
          <w:rFonts w:ascii="ArialMT" w:eastAsiaTheme="minorHAnsi" w:hAnsi="ArialMT" w:cs="ArialMT"/>
          <w:sz w:val="20"/>
          <w:szCs w:val="20"/>
        </w:rPr>
        <w:t>electricity</w:t>
      </w:r>
      <w:proofErr w:type="gramEnd"/>
      <w:r w:rsidRPr="00B67854">
        <w:rPr>
          <w:rFonts w:ascii="ArialMT" w:eastAsiaTheme="minorHAnsi" w:hAnsi="ArialMT" w:cs="ArialMT"/>
          <w:sz w:val="20"/>
          <w:szCs w:val="20"/>
        </w:rPr>
        <w:t xml:space="preserve"> must be located in the same Balancing Authority Area.</w:t>
      </w:r>
      <w:r w:rsidR="00035886">
        <w:rPr>
          <w:rFonts w:ascii="ArialMT" w:eastAsiaTheme="minorHAnsi" w:hAnsi="ArialMT" w:cs="ArialMT"/>
          <w:sz w:val="20"/>
          <w:szCs w:val="20"/>
        </w:rPr>
        <w:t>”</w:t>
      </w:r>
    </w:p>
    <w:p w:rsidR="00B67854" w:rsidRDefault="00B67854" w:rsidP="00B67854">
      <w:pPr>
        <w:ind w:left="1440"/>
        <w:rPr>
          <w:rFonts w:ascii="ArialMT" w:eastAsiaTheme="minorHAnsi" w:hAnsi="ArialMT" w:cs="ArialMT"/>
        </w:rPr>
      </w:pPr>
    </w:p>
    <w:p w:rsidR="00B67854" w:rsidRDefault="00FC2679" w:rsidP="00B67854">
      <w:r>
        <w:tab/>
        <w:t>CARB’s</w:t>
      </w:r>
      <w:r w:rsidR="00B67854">
        <w:t xml:space="preserve"> definition provides a reasoned compromise between opposing options on the treatment of imported power GHG emissions.  The options include unrestricted attributio</w:t>
      </w:r>
      <w:r w:rsidR="00F07A0C">
        <w:t>n of the</w:t>
      </w:r>
      <w:r w:rsidR="009A4625">
        <w:t xml:space="preserve"> variable</w:t>
      </w:r>
      <w:r w:rsidR="00C60CB2">
        <w:t xml:space="preserve"> renewable emission rate</w:t>
      </w:r>
      <w:r w:rsidR="00B67854">
        <w:t xml:space="preserve"> to otherwise</w:t>
      </w:r>
      <w:r w:rsidR="00D87A2C">
        <w:t xml:space="preserve"> largely</w:t>
      </w:r>
      <w:r w:rsidR="00B67854">
        <w:t xml:space="preserve"> fossil-based imports to California, or only </w:t>
      </w:r>
      <w:r w:rsidR="00F07A0C">
        <w:t>allowing attribution where the power is contemporaneously and directly delivered to California, as verified via e-Tags.  The above definition provides the market with flexibility in firming and shaping</w:t>
      </w:r>
      <w:r w:rsidR="009A4625">
        <w:t xml:space="preserve"> inherently variable</w:t>
      </w:r>
      <w:r w:rsidR="00F07A0C">
        <w:t xml:space="preserve"> renewable deliveries temporally from the host balancing authority, while</w:t>
      </w:r>
      <w:r w:rsidR="00D87A2C">
        <w:t xml:space="preserve"> retaining verifiable</w:t>
      </w:r>
      <w:r w:rsidR="009A4625">
        <w:t xml:space="preserve"> delivery from</w:t>
      </w:r>
      <w:r w:rsidR="00F07A0C">
        <w:t xml:space="preserve"> the renewable host balancing authority to California.  </w:t>
      </w:r>
      <w:r w:rsidR="00FE1E61">
        <w:t xml:space="preserve"> This is a reasonable compromise that provides market flexibility while maintaining the integrity of emissions tracking and assignment. </w:t>
      </w:r>
      <w:r w:rsidR="00B67854">
        <w:t xml:space="preserve"> </w:t>
      </w:r>
      <w:r w:rsidR="00D87A2C">
        <w:t>CARB’s additional restrictions ensuring the appropriate use of the renewable GHG attribute include requiring that the</w:t>
      </w:r>
      <w:r w:rsidR="009A4625">
        <w:t xml:space="preserve"> replacement electricity</w:t>
      </w:r>
      <w:r w:rsidR="00D87A2C">
        <w:t xml:space="preserve"> not</w:t>
      </w:r>
      <w:r w:rsidR="009A4625">
        <w:t xml:space="preserve"> to</w:t>
      </w:r>
      <w:r w:rsidR="00D87A2C">
        <w:t xml:space="preserve"> exceed the amount reported for the</w:t>
      </w:r>
      <w:r w:rsidR="009A4625">
        <w:t xml:space="preserve"> variable</w:t>
      </w:r>
      <w:r w:rsidR="00D87A2C">
        <w:t xml:space="preserve"> renewable resource, t</w:t>
      </w:r>
      <w:r w:rsidR="00C60CB2">
        <w:t xml:space="preserve">hat the replaced electricity </w:t>
      </w:r>
      <w:r w:rsidR="00D87A2C">
        <w:t>not have an emission rate credit greater than the default import emission rate</w:t>
      </w:r>
      <w:r w:rsidR="007B1C60">
        <w:t>, and that the importer have a contract with both the variable renewable resource and the power exported from the host balancing authority</w:t>
      </w:r>
      <w:r w:rsidR="00D87A2C">
        <w:t>.</w:t>
      </w:r>
    </w:p>
    <w:p w:rsidR="007F3D06" w:rsidRDefault="007F3D06" w:rsidP="00035886">
      <w:r>
        <w:br/>
      </w:r>
    </w:p>
    <w:p w:rsidR="00675AF8" w:rsidRDefault="00675AF8" w:rsidP="00675AF8">
      <w:pPr>
        <w:pStyle w:val="ListParagraph"/>
      </w:pPr>
    </w:p>
    <w:p w:rsidR="00675AF8" w:rsidRPr="00675AF8" w:rsidRDefault="00443996" w:rsidP="00675AF8">
      <w:pPr>
        <w:pStyle w:val="ListParagraph"/>
        <w:rPr>
          <w:color w:val="4F81BD" w:themeColor="accent1"/>
        </w:rPr>
      </w:pPr>
      <w:r>
        <w:rPr>
          <w:color w:val="4F81BD" w:themeColor="accent1"/>
          <w:sz w:val="23"/>
          <w:szCs w:val="23"/>
        </w:rPr>
        <w:t xml:space="preserve"> </w:t>
      </w:r>
    </w:p>
    <w:sectPr w:rsidR="00675AF8" w:rsidRPr="00675AF8" w:rsidSect="00A34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B1" w:rsidRDefault="008137B1" w:rsidP="002A6FE0">
      <w:r>
        <w:separator/>
      </w:r>
    </w:p>
  </w:endnote>
  <w:endnote w:type="continuationSeparator" w:id="0">
    <w:p w:rsidR="008137B1" w:rsidRDefault="008137B1" w:rsidP="002A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E0" w:rsidRDefault="002A6F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E0" w:rsidRDefault="002A6F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E0" w:rsidRDefault="002A6F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B1" w:rsidRDefault="008137B1" w:rsidP="002A6FE0">
      <w:r>
        <w:separator/>
      </w:r>
    </w:p>
  </w:footnote>
  <w:footnote w:type="continuationSeparator" w:id="0">
    <w:p w:rsidR="008137B1" w:rsidRDefault="008137B1" w:rsidP="002A6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E0" w:rsidRDefault="002A6F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E0" w:rsidRDefault="002A6FE0" w:rsidP="002A6FE0">
    <w:pPr>
      <w:pStyle w:val="Default"/>
    </w:pPr>
  </w:p>
  <w:p w:rsidR="002A6FE0" w:rsidRPr="002A6FE0" w:rsidRDefault="002A6FE0" w:rsidP="002A6FE0">
    <w:pPr>
      <w:pStyle w:val="Default"/>
      <w:rPr>
        <w:rFonts w:ascii="Arial" w:hAnsi="Arial" w:cs="Arial"/>
        <w:sz w:val="28"/>
        <w:szCs w:val="28"/>
      </w:rPr>
    </w:pPr>
    <w:r w:rsidRPr="002A6FE0">
      <w:rPr>
        <w:rFonts w:ascii="Arial" w:hAnsi="Arial" w:cs="Arial"/>
        <w:b/>
        <w:bCs/>
        <w:sz w:val="28"/>
        <w:szCs w:val="28"/>
      </w:rPr>
      <w:t>Comments of Sempra Generation</w:t>
    </w:r>
  </w:p>
  <w:p w:rsidR="00D64F17" w:rsidRPr="00D64F17" w:rsidRDefault="002A6FE0" w:rsidP="002A6FE0">
    <w:pPr>
      <w:pStyle w:val="Default"/>
      <w:rPr>
        <w:rFonts w:ascii="Arial" w:hAnsi="Arial" w:cs="Arial"/>
        <w:b/>
        <w:bCs/>
        <w:sz w:val="28"/>
        <w:szCs w:val="28"/>
      </w:rPr>
    </w:pPr>
    <w:r w:rsidRPr="002A6FE0">
      <w:rPr>
        <w:rFonts w:ascii="Arial" w:hAnsi="Arial" w:cs="Arial"/>
        <w:b/>
        <w:bCs/>
        <w:sz w:val="28"/>
        <w:szCs w:val="28"/>
      </w:rPr>
      <w:t xml:space="preserve">On the California Air Resources Board’s </w:t>
    </w:r>
  </w:p>
  <w:p w:rsidR="002A6FE0" w:rsidRPr="002A6FE0" w:rsidRDefault="002A6FE0" w:rsidP="002A6FE0">
    <w:pPr>
      <w:pStyle w:val="Default"/>
      <w:rPr>
        <w:rFonts w:ascii="Arial" w:hAnsi="Arial" w:cs="Arial"/>
        <w:sz w:val="28"/>
        <w:szCs w:val="28"/>
      </w:rPr>
    </w:pPr>
    <w:r w:rsidRPr="002A6FE0">
      <w:rPr>
        <w:rFonts w:ascii="Arial" w:hAnsi="Arial" w:cs="Arial"/>
        <w:b/>
        <w:bCs/>
        <w:sz w:val="28"/>
        <w:szCs w:val="28"/>
      </w:rPr>
      <w:t xml:space="preserve">Modified Regulation Order </w:t>
    </w:r>
  </w:p>
  <w:p w:rsidR="002A6FE0" w:rsidRDefault="002A6FE0" w:rsidP="002A6FE0">
    <w:pPr>
      <w:pStyle w:val="Default"/>
      <w:rPr>
        <w:rFonts w:ascii="Arial" w:hAnsi="Arial" w:cs="Arial"/>
        <w:b/>
        <w:bCs/>
        <w:sz w:val="28"/>
        <w:szCs w:val="28"/>
      </w:rPr>
    </w:pPr>
    <w:r w:rsidRPr="002A6FE0">
      <w:rPr>
        <w:rFonts w:ascii="Arial" w:hAnsi="Arial" w:cs="Arial"/>
        <w:b/>
        <w:bCs/>
        <w:sz w:val="28"/>
        <w:szCs w:val="28"/>
      </w:rPr>
      <w:t>For a California Cap and Trade Program</w:t>
    </w:r>
  </w:p>
  <w:p w:rsidR="002A6FE0" w:rsidRPr="002A6FE0" w:rsidRDefault="002A6FE0" w:rsidP="002A6FE0">
    <w:pPr>
      <w:pStyle w:val="Default"/>
      <w:rPr>
        <w:rFonts w:ascii="Arial" w:hAnsi="Arial" w:cs="Arial"/>
      </w:rPr>
    </w:pPr>
    <w:r>
      <w:rPr>
        <w:rFonts w:ascii="Arial" w:hAnsi="Arial" w:cs="Arial"/>
        <w:b/>
        <w:bCs/>
        <w:sz w:val="28"/>
        <w:szCs w:val="28"/>
      </w:rPr>
      <w:t>August 11, 2011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E0" w:rsidRDefault="002A6F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3E87"/>
    <w:multiLevelType w:val="hybridMultilevel"/>
    <w:tmpl w:val="893A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B0997"/>
    <w:multiLevelType w:val="hybridMultilevel"/>
    <w:tmpl w:val="77CAED92"/>
    <w:lvl w:ilvl="0" w:tplc="3C7A979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9D2"/>
    <w:rsid w:val="00016933"/>
    <w:rsid w:val="00035886"/>
    <w:rsid w:val="00124D73"/>
    <w:rsid w:val="001A7448"/>
    <w:rsid w:val="001C31ED"/>
    <w:rsid w:val="001E2222"/>
    <w:rsid w:val="00276F09"/>
    <w:rsid w:val="002A6FE0"/>
    <w:rsid w:val="0031038E"/>
    <w:rsid w:val="003D119D"/>
    <w:rsid w:val="00413FCA"/>
    <w:rsid w:val="00443996"/>
    <w:rsid w:val="004E3968"/>
    <w:rsid w:val="004F69C0"/>
    <w:rsid w:val="0051400B"/>
    <w:rsid w:val="00560A0E"/>
    <w:rsid w:val="005C5100"/>
    <w:rsid w:val="00652229"/>
    <w:rsid w:val="00675AF8"/>
    <w:rsid w:val="007B1C60"/>
    <w:rsid w:val="007B2FBD"/>
    <w:rsid w:val="007F3D06"/>
    <w:rsid w:val="008137B1"/>
    <w:rsid w:val="00822A94"/>
    <w:rsid w:val="00900053"/>
    <w:rsid w:val="009778D0"/>
    <w:rsid w:val="009A4625"/>
    <w:rsid w:val="00A02BCA"/>
    <w:rsid w:val="00A13BB7"/>
    <w:rsid w:val="00A34A4F"/>
    <w:rsid w:val="00A360DA"/>
    <w:rsid w:val="00A809D2"/>
    <w:rsid w:val="00A85184"/>
    <w:rsid w:val="00B66222"/>
    <w:rsid w:val="00B67854"/>
    <w:rsid w:val="00BD27C6"/>
    <w:rsid w:val="00C05D7D"/>
    <w:rsid w:val="00C60CB2"/>
    <w:rsid w:val="00C9292A"/>
    <w:rsid w:val="00D27570"/>
    <w:rsid w:val="00D64F17"/>
    <w:rsid w:val="00D8298B"/>
    <w:rsid w:val="00D87A2C"/>
    <w:rsid w:val="00E35E92"/>
    <w:rsid w:val="00F07A0C"/>
    <w:rsid w:val="00FC2679"/>
    <w:rsid w:val="00FE1E61"/>
    <w:rsid w:val="00FE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4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6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FE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A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6FE0"/>
    <w:rPr>
      <w:rFonts w:eastAsiaTheme="minorEastAsia"/>
      <w:sz w:val="24"/>
      <w:szCs w:val="24"/>
    </w:rPr>
  </w:style>
  <w:style w:type="paragraph" w:customStyle="1" w:styleId="Default">
    <w:name w:val="Default"/>
    <w:rsid w:val="002A6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Sempra Global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sbailey</dc:creator>
  <cp:lastModifiedBy>sbailey</cp:lastModifiedBy>
  <cp:revision>21</cp:revision>
  <cp:lastPrinted>2011-08-02T18:19:00Z</cp:lastPrinted>
  <dcterms:created xsi:type="dcterms:W3CDTF">2011-07-13T15:53:00Z</dcterms:created>
  <dcterms:modified xsi:type="dcterms:W3CDTF">2011-08-11T23:07:00Z</dcterms:modified>
</cp:coreProperties>
</file>