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EE5" w:rsidRPr="008D0802" w:rsidRDefault="003D6EE5">
      <w:pPr>
        <w:rPr>
          <w:rFonts w:ascii="Arial" w:hAnsi="Arial" w:cs="Arial"/>
        </w:rPr>
      </w:pPr>
      <w:r w:rsidRPr="008D0802">
        <w:rPr>
          <w:rFonts w:ascii="Arial" w:hAnsi="Arial" w:cs="Arial"/>
        </w:rPr>
        <w:t>August 1</w:t>
      </w:r>
      <w:r w:rsidR="00FC1D90" w:rsidRPr="008D0802">
        <w:rPr>
          <w:rFonts w:ascii="Arial" w:hAnsi="Arial" w:cs="Arial"/>
        </w:rPr>
        <w:t>1</w:t>
      </w:r>
      <w:r w:rsidRPr="008D0802">
        <w:rPr>
          <w:rFonts w:ascii="Arial" w:hAnsi="Arial" w:cs="Arial"/>
        </w:rPr>
        <w:t>, 2011</w:t>
      </w:r>
    </w:p>
    <w:p w:rsidR="003D6EE5" w:rsidRPr="008D0802" w:rsidRDefault="003D6EE5">
      <w:pPr>
        <w:rPr>
          <w:rFonts w:ascii="Arial" w:hAnsi="Arial" w:cs="Arial"/>
        </w:rPr>
      </w:pPr>
    </w:p>
    <w:p w:rsidR="00FC1D90" w:rsidRPr="008D0802" w:rsidRDefault="00FC1D90">
      <w:pPr>
        <w:rPr>
          <w:rFonts w:ascii="Arial" w:hAnsi="Arial" w:cs="Arial"/>
        </w:rPr>
      </w:pPr>
      <w:r w:rsidRPr="008D0802">
        <w:rPr>
          <w:rFonts w:ascii="Arial" w:hAnsi="Arial" w:cs="Arial"/>
        </w:rPr>
        <w:t xml:space="preserve">Chair </w:t>
      </w:r>
      <w:r w:rsidR="000E690C" w:rsidRPr="008D0802">
        <w:rPr>
          <w:rFonts w:ascii="Arial" w:hAnsi="Arial" w:cs="Arial"/>
        </w:rPr>
        <w:t>Mary Nichols</w:t>
      </w:r>
    </w:p>
    <w:p w:rsidR="005C3D63" w:rsidRPr="008D0802" w:rsidRDefault="005C3D63">
      <w:pPr>
        <w:rPr>
          <w:rFonts w:ascii="Arial" w:hAnsi="Arial" w:cs="Arial"/>
        </w:rPr>
      </w:pPr>
      <w:r w:rsidRPr="008D0802">
        <w:rPr>
          <w:rFonts w:ascii="Arial" w:hAnsi="Arial" w:cs="Arial"/>
        </w:rPr>
        <w:t>C</w:t>
      </w:r>
      <w:r w:rsidR="00FC1D90" w:rsidRPr="008D0802">
        <w:rPr>
          <w:rFonts w:ascii="Arial" w:hAnsi="Arial" w:cs="Arial"/>
        </w:rPr>
        <w:t>alifornia</w:t>
      </w:r>
      <w:r w:rsidRPr="008D0802">
        <w:rPr>
          <w:rFonts w:ascii="Arial" w:hAnsi="Arial" w:cs="Arial"/>
        </w:rPr>
        <w:t xml:space="preserve"> Air Resources Board</w:t>
      </w:r>
    </w:p>
    <w:p w:rsidR="005C3D63" w:rsidRPr="008D0802" w:rsidRDefault="005C3D63">
      <w:pPr>
        <w:rPr>
          <w:rFonts w:ascii="Arial" w:hAnsi="Arial" w:cs="Arial"/>
        </w:rPr>
      </w:pPr>
      <w:r w:rsidRPr="008D0802">
        <w:rPr>
          <w:rFonts w:ascii="Arial" w:hAnsi="Arial" w:cs="Arial"/>
        </w:rPr>
        <w:t>P.O. Box 2815</w:t>
      </w:r>
    </w:p>
    <w:p w:rsidR="005C3D63" w:rsidRPr="008D0802" w:rsidRDefault="005C3D63">
      <w:pPr>
        <w:rPr>
          <w:rFonts w:ascii="Arial" w:hAnsi="Arial" w:cs="Arial"/>
        </w:rPr>
      </w:pPr>
      <w:r w:rsidRPr="008D0802">
        <w:rPr>
          <w:rFonts w:ascii="Arial" w:hAnsi="Arial" w:cs="Arial"/>
        </w:rPr>
        <w:t>Sacramento, CA  95812</w:t>
      </w:r>
    </w:p>
    <w:p w:rsidR="005C3D63" w:rsidRPr="008D0802" w:rsidRDefault="005C3D63">
      <w:pPr>
        <w:rPr>
          <w:rFonts w:ascii="Arial" w:hAnsi="Arial" w:cs="Arial"/>
        </w:rPr>
      </w:pPr>
    </w:p>
    <w:p w:rsidR="005C3D63" w:rsidRPr="008D0802" w:rsidRDefault="005C3D63" w:rsidP="000E690C">
      <w:pPr>
        <w:ind w:left="576" w:hanging="576"/>
        <w:rPr>
          <w:rFonts w:ascii="Arial" w:hAnsi="Arial" w:cs="Arial"/>
          <w:b/>
        </w:rPr>
      </w:pPr>
      <w:r w:rsidRPr="008D0802">
        <w:rPr>
          <w:rFonts w:ascii="Arial" w:hAnsi="Arial" w:cs="Arial"/>
          <w:b/>
          <w:smallCaps/>
        </w:rPr>
        <w:t>R</w:t>
      </w:r>
      <w:r w:rsidRPr="008D0802">
        <w:rPr>
          <w:rFonts w:ascii="Arial" w:hAnsi="Arial" w:cs="Arial"/>
          <w:b/>
        </w:rPr>
        <w:t>e</w:t>
      </w:r>
      <w:r w:rsidRPr="008D0802">
        <w:rPr>
          <w:rFonts w:ascii="Arial" w:hAnsi="Arial" w:cs="Arial"/>
          <w:smallCaps/>
        </w:rPr>
        <w:t>:</w:t>
      </w:r>
      <w:r w:rsidR="000E690C" w:rsidRPr="008D0802">
        <w:rPr>
          <w:rFonts w:ascii="Arial" w:hAnsi="Arial" w:cs="Arial"/>
        </w:rPr>
        <w:t xml:space="preserve">   </w:t>
      </w:r>
      <w:r w:rsidRPr="008D0802">
        <w:rPr>
          <w:rFonts w:ascii="Arial" w:hAnsi="Arial" w:cs="Arial"/>
          <w:b/>
        </w:rPr>
        <w:t xml:space="preserve">Comments on </w:t>
      </w:r>
      <w:r w:rsidR="00FC1D90" w:rsidRPr="008D0802">
        <w:rPr>
          <w:rFonts w:ascii="Arial" w:hAnsi="Arial" w:cs="Arial"/>
          <w:b/>
        </w:rPr>
        <w:t>Inclusion of MSW Combustion in 15-day Changes</w:t>
      </w:r>
      <w:r w:rsidR="00E70606" w:rsidRPr="008D0802">
        <w:rPr>
          <w:rFonts w:ascii="Arial" w:hAnsi="Arial" w:cs="Arial"/>
          <w:b/>
        </w:rPr>
        <w:t xml:space="preserve"> to AB 32 Cap-and-Trade Regulation</w:t>
      </w:r>
    </w:p>
    <w:p w:rsidR="00E70606" w:rsidRPr="008D0802" w:rsidRDefault="00E70606">
      <w:pPr>
        <w:rPr>
          <w:rFonts w:ascii="Arial" w:hAnsi="Arial" w:cs="Arial"/>
        </w:rPr>
      </w:pPr>
    </w:p>
    <w:p w:rsidR="005C3D63" w:rsidRPr="008D0802" w:rsidRDefault="005C3D63">
      <w:pPr>
        <w:rPr>
          <w:rFonts w:ascii="Arial" w:hAnsi="Arial" w:cs="Arial"/>
        </w:rPr>
      </w:pPr>
      <w:r w:rsidRPr="008D0802">
        <w:rPr>
          <w:rFonts w:ascii="Arial" w:hAnsi="Arial" w:cs="Arial"/>
        </w:rPr>
        <w:t>Dear Chair Nichols:</w:t>
      </w:r>
    </w:p>
    <w:p w:rsidR="005C3D63" w:rsidRPr="008D0802" w:rsidRDefault="005C3D63">
      <w:pPr>
        <w:rPr>
          <w:rFonts w:ascii="Arial" w:hAnsi="Arial" w:cs="Arial"/>
        </w:rPr>
      </w:pPr>
    </w:p>
    <w:p w:rsidR="00532A2B" w:rsidRDefault="008D0802" w:rsidP="00532A2B">
      <w:pPr>
        <w:rPr>
          <w:rFonts w:ascii="Arial" w:hAnsi="Arial" w:cs="Arial"/>
        </w:rPr>
      </w:pPr>
      <w:r w:rsidRPr="008D0802">
        <w:rPr>
          <w:rFonts w:ascii="Arial" w:hAnsi="Arial" w:cs="Arial"/>
        </w:rPr>
        <w:t xml:space="preserve">The undersigned organizations would like to </w:t>
      </w:r>
      <w:r w:rsidR="00F23A21">
        <w:rPr>
          <w:rFonts w:ascii="Arial" w:hAnsi="Arial" w:cs="Arial"/>
        </w:rPr>
        <w:t>support</w:t>
      </w:r>
      <w:r w:rsidR="005577CD">
        <w:rPr>
          <w:rFonts w:ascii="Arial" w:hAnsi="Arial" w:cs="Arial"/>
        </w:rPr>
        <w:t xml:space="preserve"> </w:t>
      </w:r>
      <w:r w:rsidR="00F23A21">
        <w:rPr>
          <w:rFonts w:ascii="Arial" w:hAnsi="Arial" w:cs="Arial"/>
        </w:rPr>
        <w:t xml:space="preserve">the decision </w:t>
      </w:r>
      <w:r w:rsidR="005577CD">
        <w:rPr>
          <w:rFonts w:ascii="Arial" w:hAnsi="Arial" w:cs="Arial"/>
        </w:rPr>
        <w:t>not to exempt the emissions from the combustion of municipal solid waste from</w:t>
      </w:r>
      <w:r w:rsidR="00594EFB">
        <w:rPr>
          <w:rFonts w:ascii="Arial" w:hAnsi="Arial" w:cs="Arial"/>
        </w:rPr>
        <w:t xml:space="preserve"> having to hold compliance obligations under </w:t>
      </w:r>
      <w:r w:rsidR="005577CD">
        <w:rPr>
          <w:rFonts w:ascii="Arial" w:hAnsi="Arial" w:cs="Arial"/>
        </w:rPr>
        <w:t>the cap-and-trade program</w:t>
      </w:r>
      <w:r w:rsidR="00C62A3B">
        <w:rPr>
          <w:rFonts w:ascii="Arial" w:hAnsi="Arial" w:cs="Arial"/>
        </w:rPr>
        <w:t>. The July 7</w:t>
      </w:r>
      <w:r w:rsidR="00C62A3B" w:rsidRPr="00C62A3B">
        <w:rPr>
          <w:rFonts w:ascii="Arial" w:hAnsi="Arial" w:cs="Arial"/>
          <w:vertAlign w:val="superscript"/>
        </w:rPr>
        <w:t>th</w:t>
      </w:r>
      <w:r w:rsidR="00C62A3B">
        <w:rPr>
          <w:rFonts w:ascii="Arial" w:hAnsi="Arial" w:cs="Arial"/>
        </w:rPr>
        <w:t xml:space="preserve"> discussion draft contained a</w:t>
      </w:r>
      <w:r w:rsidR="00594EFB">
        <w:rPr>
          <w:rFonts w:ascii="Arial" w:hAnsi="Arial" w:cs="Arial"/>
        </w:rPr>
        <w:t xml:space="preserve"> categorical exemption for municipal solid waste incinerators, a significant and arbitrary change for which no public process had been held, and, while this was subsequently removed, we urge you not to include this exemption in any future changes to this regulation.</w:t>
      </w:r>
    </w:p>
    <w:p w:rsidR="00594EFB" w:rsidRDefault="00594EFB" w:rsidP="00532A2B">
      <w:pPr>
        <w:rPr>
          <w:rFonts w:ascii="Arial" w:hAnsi="Arial" w:cs="Arial"/>
        </w:rPr>
      </w:pPr>
    </w:p>
    <w:p w:rsidR="00594EFB" w:rsidRDefault="00594EFB" w:rsidP="00594EFB">
      <w:pPr>
        <w:rPr>
          <w:rFonts w:ascii="Arial" w:hAnsi="Arial" w:cs="Arial"/>
        </w:rPr>
      </w:pPr>
      <w:r>
        <w:rPr>
          <w:rFonts w:ascii="Arial" w:hAnsi="Arial" w:cs="Arial"/>
        </w:rPr>
        <w:t>While very little explanation was given for the exclusion of incinerators, the document accompanying the discussion draft stated that “</w:t>
      </w:r>
      <w:r w:rsidRPr="00594EFB">
        <w:rPr>
          <w:rFonts w:ascii="Arial" w:hAnsi="Arial" w:cs="Arial"/>
        </w:rPr>
        <w:t>including emissions from these facilities in cap-and-trade</w:t>
      </w:r>
      <w:r>
        <w:rPr>
          <w:rFonts w:ascii="Arial" w:hAnsi="Arial" w:cs="Arial"/>
        </w:rPr>
        <w:t xml:space="preserve"> </w:t>
      </w:r>
      <w:r w:rsidRPr="00594EFB">
        <w:rPr>
          <w:rFonts w:ascii="Arial" w:hAnsi="Arial" w:cs="Arial"/>
        </w:rPr>
        <w:t>would cause statewide GHG emissions to increase as a result of diversion of</w:t>
      </w:r>
      <w:r>
        <w:rPr>
          <w:rFonts w:ascii="Arial" w:hAnsi="Arial" w:cs="Arial"/>
        </w:rPr>
        <w:t xml:space="preserve"> </w:t>
      </w:r>
      <w:r w:rsidRPr="00594EFB">
        <w:rPr>
          <w:rFonts w:ascii="Arial" w:hAnsi="Arial" w:cs="Arial"/>
        </w:rPr>
        <w:t>waste to landfills. This exclusion is based on staff’s analysis of the potential</w:t>
      </w:r>
      <w:r>
        <w:rPr>
          <w:rFonts w:ascii="Arial" w:hAnsi="Arial" w:cs="Arial"/>
        </w:rPr>
        <w:t xml:space="preserve"> </w:t>
      </w:r>
      <w:r w:rsidRPr="00594EFB">
        <w:rPr>
          <w:rFonts w:ascii="Arial" w:hAnsi="Arial" w:cs="Arial"/>
        </w:rPr>
        <w:t>economic impacts created by a cap-and-trade program and the potential</w:t>
      </w:r>
      <w:r>
        <w:rPr>
          <w:rFonts w:ascii="Arial" w:hAnsi="Arial" w:cs="Arial"/>
        </w:rPr>
        <w:t xml:space="preserve"> </w:t>
      </w:r>
      <w:r w:rsidRPr="00594EFB">
        <w:rPr>
          <w:rFonts w:ascii="Arial" w:hAnsi="Arial" w:cs="Arial"/>
        </w:rPr>
        <w:t>increase in methane emissions resulting from diversion of waste to landfills even</w:t>
      </w:r>
      <w:r>
        <w:rPr>
          <w:rFonts w:ascii="Arial" w:hAnsi="Arial" w:cs="Arial"/>
        </w:rPr>
        <w:t xml:space="preserve"> </w:t>
      </w:r>
      <w:r w:rsidRPr="00594EFB">
        <w:rPr>
          <w:rFonts w:ascii="Arial" w:hAnsi="Arial" w:cs="Arial"/>
        </w:rPr>
        <w:t>after the implementation of early action measures.</w:t>
      </w:r>
      <w:r>
        <w:rPr>
          <w:rFonts w:ascii="Arial" w:hAnsi="Arial" w:cs="Arial"/>
        </w:rPr>
        <w:t xml:space="preserve">” Despite repeatedly asking for the release of staff’s analysis </w:t>
      </w:r>
      <w:r w:rsidR="00A1307E">
        <w:rPr>
          <w:rFonts w:ascii="Arial" w:hAnsi="Arial" w:cs="Arial"/>
        </w:rPr>
        <w:t xml:space="preserve">that supported the above conclusion, </w:t>
      </w:r>
      <w:r>
        <w:rPr>
          <w:rFonts w:ascii="Arial" w:hAnsi="Arial" w:cs="Arial"/>
        </w:rPr>
        <w:t>we have yet to see a</w:t>
      </w:r>
      <w:r w:rsidR="00A1307E">
        <w:rPr>
          <w:rFonts w:ascii="Arial" w:hAnsi="Arial" w:cs="Arial"/>
        </w:rPr>
        <w:t>ny information. T</w:t>
      </w:r>
      <w:r>
        <w:rPr>
          <w:rFonts w:ascii="Arial" w:hAnsi="Arial" w:cs="Arial"/>
        </w:rPr>
        <w:t>hus</w:t>
      </w:r>
      <w:r w:rsidR="00AD2B42">
        <w:rPr>
          <w:rFonts w:ascii="Arial" w:hAnsi="Arial" w:cs="Arial"/>
        </w:rPr>
        <w:t>,</w:t>
      </w:r>
      <w:r>
        <w:rPr>
          <w:rFonts w:ascii="Arial" w:hAnsi="Arial" w:cs="Arial"/>
        </w:rPr>
        <w:t xml:space="preserve"> we are unable to analyze the staff</w:t>
      </w:r>
      <w:r w:rsidR="00AD2B42">
        <w:rPr>
          <w:rFonts w:ascii="Arial" w:hAnsi="Arial" w:cs="Arial"/>
        </w:rPr>
        <w:t>’s basis for the original decision</w:t>
      </w:r>
      <w:r>
        <w:rPr>
          <w:rFonts w:ascii="Arial" w:hAnsi="Arial" w:cs="Arial"/>
        </w:rPr>
        <w:t xml:space="preserve">. </w:t>
      </w:r>
    </w:p>
    <w:p w:rsidR="00594EFB" w:rsidRDefault="00594EFB" w:rsidP="00594EFB">
      <w:pPr>
        <w:rPr>
          <w:rFonts w:ascii="Arial" w:hAnsi="Arial" w:cs="Arial"/>
        </w:rPr>
      </w:pPr>
    </w:p>
    <w:p w:rsidR="00594EFB" w:rsidRDefault="00594EFB" w:rsidP="00594EFB">
      <w:pPr>
        <w:rPr>
          <w:rFonts w:ascii="Arial" w:hAnsi="Arial" w:cs="Arial"/>
        </w:rPr>
      </w:pPr>
      <w:r>
        <w:rPr>
          <w:rFonts w:ascii="Arial" w:hAnsi="Arial" w:cs="Arial"/>
        </w:rPr>
        <w:t xml:space="preserve">Nonetheless, based on the limited information available to us at this time and the industry-supplied </w:t>
      </w:r>
      <w:r w:rsidR="00A1307E">
        <w:rPr>
          <w:rFonts w:ascii="Arial" w:hAnsi="Arial" w:cs="Arial"/>
        </w:rPr>
        <w:t>data</w:t>
      </w:r>
      <w:r>
        <w:rPr>
          <w:rFonts w:ascii="Arial" w:hAnsi="Arial" w:cs="Arial"/>
        </w:rPr>
        <w:t xml:space="preserve"> that was posted on the ARB website, it appears that the conclusion was underpinned by the concept that an increase in the cost of incineration will lead to</w:t>
      </w:r>
      <w:r w:rsidR="00A1307E">
        <w:rPr>
          <w:rFonts w:ascii="Arial" w:hAnsi="Arial" w:cs="Arial"/>
        </w:rPr>
        <w:t xml:space="preserve"> a significant amount of</w:t>
      </w:r>
      <w:r>
        <w:rPr>
          <w:rFonts w:ascii="Arial" w:hAnsi="Arial" w:cs="Arial"/>
        </w:rPr>
        <w:t xml:space="preserve"> material being landfilled. We disagree with this conclusion for </w:t>
      </w:r>
      <w:r w:rsidR="00790ED8">
        <w:rPr>
          <w:rFonts w:ascii="Arial" w:hAnsi="Arial" w:cs="Arial"/>
        </w:rPr>
        <w:t>3 primary reasons:</w:t>
      </w:r>
    </w:p>
    <w:p w:rsidR="00594EFB" w:rsidRDefault="00790ED8" w:rsidP="00594EFB">
      <w:pPr>
        <w:pStyle w:val="ListParagraph"/>
        <w:numPr>
          <w:ilvl w:val="0"/>
          <w:numId w:val="11"/>
        </w:numPr>
        <w:rPr>
          <w:rFonts w:ascii="Arial" w:hAnsi="Arial" w:cs="Arial"/>
        </w:rPr>
      </w:pPr>
      <w:r>
        <w:rPr>
          <w:rFonts w:ascii="Arial" w:hAnsi="Arial" w:cs="Arial"/>
          <w:u w:val="single"/>
        </w:rPr>
        <w:t>GHG Benefits of Increased Recycling not Included</w:t>
      </w:r>
      <w:r>
        <w:rPr>
          <w:rFonts w:ascii="Arial" w:hAnsi="Arial" w:cs="Arial"/>
        </w:rPr>
        <w:t xml:space="preserve"> </w:t>
      </w:r>
      <w:r>
        <w:rPr>
          <w:rFonts w:ascii="Arial" w:hAnsi="Arial" w:cs="Arial"/>
        </w:rPr>
        <w:br/>
        <w:t>T</w:t>
      </w:r>
      <w:r w:rsidR="00594EFB">
        <w:rPr>
          <w:rFonts w:ascii="Arial" w:hAnsi="Arial" w:cs="Arial"/>
        </w:rPr>
        <w:t>he analysis assumes that incineration and landfilling are the only end-of-life management option for California’s waste stream. In fact, disposal competes directly with recycling and composting—technologies that are being promoted as part of AB 32 implementation because of their greenhouse gas reduction benefits. In fact,</w:t>
      </w:r>
      <w:r w:rsidR="000C614E">
        <w:rPr>
          <w:rFonts w:ascii="Arial" w:hAnsi="Arial" w:cs="Arial"/>
        </w:rPr>
        <w:t xml:space="preserve"> any increase in the cost of incineration will contribute to the financial</w:t>
      </w:r>
      <w:r w:rsidR="00594EFB">
        <w:rPr>
          <w:rFonts w:ascii="Arial" w:hAnsi="Arial" w:cs="Arial"/>
        </w:rPr>
        <w:t xml:space="preserve"> viability of expanding recycling and composting, and the greenhouse gas benefits of diverting material from incineration to recycling do not appear to have been considered.</w:t>
      </w:r>
    </w:p>
    <w:p w:rsidR="00594EFB" w:rsidRDefault="00790ED8" w:rsidP="00594EFB">
      <w:pPr>
        <w:pStyle w:val="ListParagraph"/>
        <w:numPr>
          <w:ilvl w:val="0"/>
          <w:numId w:val="11"/>
        </w:numPr>
        <w:rPr>
          <w:rFonts w:ascii="Arial" w:hAnsi="Arial" w:cs="Arial"/>
        </w:rPr>
      </w:pPr>
      <w:r>
        <w:rPr>
          <w:rFonts w:ascii="Arial" w:hAnsi="Arial" w:cs="Arial"/>
          <w:u w:val="single"/>
        </w:rPr>
        <w:t xml:space="preserve">Competition with Other Diversion not Landfills </w:t>
      </w:r>
      <w:r>
        <w:rPr>
          <w:rFonts w:ascii="Arial" w:hAnsi="Arial" w:cs="Arial"/>
          <w:u w:val="single"/>
        </w:rPr>
        <w:br/>
      </w:r>
      <w:r w:rsidR="000C614E">
        <w:rPr>
          <w:rFonts w:ascii="Arial" w:hAnsi="Arial" w:cs="Arial"/>
        </w:rPr>
        <w:t xml:space="preserve">Given the fact that a significant portion of the material sent to transformation facilities </w:t>
      </w:r>
      <w:r w:rsidR="000C614E">
        <w:rPr>
          <w:rFonts w:ascii="Arial" w:hAnsi="Arial" w:cs="Arial"/>
        </w:rPr>
        <w:lastRenderedPageBreak/>
        <w:t xml:space="preserve">counts as diversion under the state’s waste reduction and recycling law, these facilities largely compete with other diversion technologies not landfills. </w:t>
      </w:r>
      <w:r w:rsidR="00594EFB">
        <w:rPr>
          <w:rFonts w:ascii="Arial" w:hAnsi="Arial" w:cs="Arial"/>
        </w:rPr>
        <w:t xml:space="preserve">Under AB 939, local governments are required to divert 50% of the material they generate, and transformation is allowed to count as 10% of this diversion. Since local governments are using these facilities to comply with AB 939, they would likely send their material to the cheapest “diversion facility”, whether that means continuing to send material to transformation or to the next cheapest form of diversion, recycling and composting. This is evidenced by the fact that most of the existing incinerators are more expensive than surrounding landfills and receive waste from jurisdictions that </w:t>
      </w:r>
      <w:r w:rsidR="00B42393">
        <w:rPr>
          <w:rFonts w:ascii="Arial" w:hAnsi="Arial" w:cs="Arial"/>
        </w:rPr>
        <w:t>have closer landfill options</w:t>
      </w:r>
      <w:r w:rsidR="00594EFB">
        <w:rPr>
          <w:rFonts w:ascii="Arial" w:hAnsi="Arial" w:cs="Arial"/>
        </w:rPr>
        <w:t>. Furthermore, the inelasticity of incinerator demand caused by diversion credit has also been shown by the fact that the tonnage that went to these facilities only decreased slightly during the economic downturn, compared to the very significant decrease in landfilling.</w:t>
      </w:r>
    </w:p>
    <w:p w:rsidR="005E4DAB" w:rsidRPr="005E4DAB" w:rsidRDefault="005E4DAB" w:rsidP="00594EFB">
      <w:pPr>
        <w:pStyle w:val="ListParagraph"/>
        <w:numPr>
          <w:ilvl w:val="0"/>
          <w:numId w:val="11"/>
        </w:numPr>
        <w:rPr>
          <w:rFonts w:ascii="Arial" w:hAnsi="Arial" w:cs="Arial"/>
        </w:rPr>
      </w:pPr>
      <w:r>
        <w:rPr>
          <w:rFonts w:ascii="Arial" w:hAnsi="Arial" w:cs="Arial"/>
          <w:u w:val="single"/>
        </w:rPr>
        <w:t>Level Playing Field</w:t>
      </w:r>
    </w:p>
    <w:p w:rsidR="00594EFB" w:rsidRPr="00594EFB" w:rsidRDefault="00594EFB" w:rsidP="005E4DAB">
      <w:pPr>
        <w:pStyle w:val="ListParagraph"/>
        <w:rPr>
          <w:rFonts w:ascii="Arial" w:hAnsi="Arial" w:cs="Arial"/>
        </w:rPr>
      </w:pPr>
      <w:r>
        <w:rPr>
          <w:rFonts w:ascii="Arial" w:hAnsi="Arial" w:cs="Arial"/>
        </w:rPr>
        <w:t xml:space="preserve">The industry’s argument that they need to be exempt from cap-and-trade to ensure a level playing field with their competitors is incorrect because </w:t>
      </w:r>
      <w:r w:rsidR="00A1307E">
        <w:rPr>
          <w:rFonts w:ascii="Arial" w:hAnsi="Arial" w:cs="Arial"/>
        </w:rPr>
        <w:t>l</w:t>
      </w:r>
      <w:r>
        <w:rPr>
          <w:rFonts w:ascii="Arial" w:hAnsi="Arial" w:cs="Arial"/>
        </w:rPr>
        <w:t>andfills are already subject to direct regulation under an</w:t>
      </w:r>
      <w:r w:rsidR="00A1307E">
        <w:rPr>
          <w:rFonts w:ascii="Arial" w:hAnsi="Arial" w:cs="Arial"/>
        </w:rPr>
        <w:t xml:space="preserve"> AB 32</w:t>
      </w:r>
      <w:r>
        <w:rPr>
          <w:rFonts w:ascii="Arial" w:hAnsi="Arial" w:cs="Arial"/>
        </w:rPr>
        <w:t xml:space="preserve"> Early Action Measure</w:t>
      </w:r>
      <w:r w:rsidR="00A1307E">
        <w:rPr>
          <w:rFonts w:ascii="Arial" w:hAnsi="Arial" w:cs="Arial"/>
        </w:rPr>
        <w:t xml:space="preserve">. Even </w:t>
      </w:r>
      <w:r>
        <w:rPr>
          <w:rFonts w:ascii="Arial" w:hAnsi="Arial" w:cs="Arial"/>
        </w:rPr>
        <w:t xml:space="preserve">recycling facilities, such as material recovery facilities, are energy-intensive and would be </w:t>
      </w:r>
      <w:r w:rsidR="005E4DAB">
        <w:rPr>
          <w:rFonts w:ascii="Arial" w:hAnsi="Arial" w:cs="Arial"/>
        </w:rPr>
        <w:t>substantially</w:t>
      </w:r>
      <w:r>
        <w:rPr>
          <w:rFonts w:ascii="Arial" w:hAnsi="Arial" w:cs="Arial"/>
        </w:rPr>
        <w:t xml:space="preserve"> impacted by increases in energy costs that might result from </w:t>
      </w:r>
      <w:r w:rsidR="00A1307E">
        <w:rPr>
          <w:rFonts w:ascii="Arial" w:hAnsi="Arial" w:cs="Arial"/>
        </w:rPr>
        <w:t>AB 32</w:t>
      </w:r>
      <w:r>
        <w:rPr>
          <w:rFonts w:ascii="Arial" w:hAnsi="Arial" w:cs="Arial"/>
        </w:rPr>
        <w:t xml:space="preserve">. </w:t>
      </w:r>
    </w:p>
    <w:p w:rsidR="00532A2B" w:rsidRPr="00594EFB" w:rsidRDefault="00532A2B" w:rsidP="00532A2B">
      <w:pPr>
        <w:rPr>
          <w:rFonts w:ascii="Arial" w:hAnsi="Arial" w:cs="Arial"/>
        </w:rPr>
      </w:pPr>
    </w:p>
    <w:p w:rsidR="00594EFB" w:rsidRDefault="00594EFB" w:rsidP="00594EFB">
      <w:pPr>
        <w:rPr>
          <w:rFonts w:ascii="Arial" w:hAnsi="Arial" w:cs="Arial"/>
        </w:rPr>
      </w:pPr>
      <w:r>
        <w:rPr>
          <w:rFonts w:ascii="Arial" w:hAnsi="Arial" w:cs="Arial"/>
        </w:rPr>
        <w:t>In addition to the impact of an incinerator exemption on the state’s waste reduction efforts, this change would likely result in adverse environmental impacts and localized health concerns that were not examined as part of the original environmental review or alternatives analysis. As this issue progresses, we look forward to reviewing and commenting on any additional analysis that your staff has performed, and we hope that future decisions on this issue will be made with the benefit of public input.</w:t>
      </w:r>
    </w:p>
    <w:p w:rsidR="00594EFB" w:rsidRDefault="00594EFB" w:rsidP="00594EFB">
      <w:pPr>
        <w:rPr>
          <w:rFonts w:ascii="Arial" w:hAnsi="Arial" w:cs="Arial"/>
        </w:rPr>
      </w:pPr>
    </w:p>
    <w:p w:rsidR="00594EFB" w:rsidRDefault="00594EFB" w:rsidP="00594EFB">
      <w:pPr>
        <w:rPr>
          <w:rFonts w:ascii="Arial" w:hAnsi="Arial" w:cs="Arial"/>
        </w:rPr>
      </w:pPr>
      <w:r>
        <w:rPr>
          <w:rFonts w:ascii="Arial" w:hAnsi="Arial" w:cs="Arial"/>
        </w:rPr>
        <w:t>Sincerely,</w:t>
      </w:r>
    </w:p>
    <w:p w:rsidR="005151A1" w:rsidRDefault="005151A1" w:rsidP="005151A1">
      <w:pPr>
        <w:tabs>
          <w:tab w:val="left" w:pos="4320"/>
          <w:tab w:val="left" w:pos="4410"/>
        </w:tabs>
        <w:rPr>
          <w:rFonts w:ascii="Arial" w:hAnsi="Arial" w:cs="Arial"/>
        </w:rPr>
      </w:pPr>
    </w:p>
    <w:p w:rsidR="005151A1" w:rsidRDefault="005151A1" w:rsidP="005151A1">
      <w:pPr>
        <w:tabs>
          <w:tab w:val="left" w:pos="4320"/>
          <w:tab w:val="left" w:pos="4410"/>
        </w:tabs>
        <w:rPr>
          <w:rFonts w:ascii="Arial" w:hAnsi="Arial" w:cs="Arial"/>
        </w:rPr>
        <w:sectPr w:rsidR="005151A1" w:rsidSect="0018598B">
          <w:headerReference w:type="default" r:id="rId9"/>
          <w:footerReference w:type="default" r:id="rId10"/>
          <w:headerReference w:type="first" r:id="rId11"/>
          <w:pgSz w:w="12240" w:h="15840" w:code="1"/>
          <w:pgMar w:top="1440" w:right="1584" w:bottom="1440" w:left="1584" w:header="720" w:footer="576" w:gutter="0"/>
          <w:cols w:space="720"/>
          <w:titlePg/>
          <w:docGrid w:linePitch="360"/>
        </w:sectPr>
      </w:pPr>
    </w:p>
    <w:p w:rsidR="005151A1" w:rsidRPr="001C0DF5" w:rsidRDefault="005151A1" w:rsidP="005151A1">
      <w:pPr>
        <w:tabs>
          <w:tab w:val="left" w:pos="4320"/>
          <w:tab w:val="left" w:pos="4410"/>
        </w:tabs>
        <w:rPr>
          <w:rFonts w:ascii="Arial" w:hAnsi="Arial" w:cs="Arial"/>
        </w:rPr>
      </w:pPr>
      <w:r w:rsidRPr="001C0DF5">
        <w:rPr>
          <w:rFonts w:ascii="Arial" w:hAnsi="Arial" w:cs="Arial"/>
        </w:rPr>
        <w:lastRenderedPageBreak/>
        <w:t xml:space="preserve">Andy Katz </w:t>
      </w:r>
      <w:r>
        <w:rPr>
          <w:rFonts w:ascii="Arial" w:hAnsi="Arial" w:cs="Arial"/>
        </w:rPr>
        <w:tab/>
      </w:r>
    </w:p>
    <w:p w:rsidR="005151A1" w:rsidRPr="001C0DF5" w:rsidRDefault="005151A1" w:rsidP="005151A1">
      <w:pPr>
        <w:tabs>
          <w:tab w:val="left" w:pos="4410"/>
        </w:tabs>
        <w:rPr>
          <w:rFonts w:ascii="Arial" w:hAnsi="Arial" w:cs="Arial"/>
        </w:rPr>
      </w:pPr>
      <w:r w:rsidRPr="001C0DF5">
        <w:rPr>
          <w:rFonts w:ascii="Arial" w:hAnsi="Arial" w:cs="Arial"/>
        </w:rPr>
        <w:t>Government Relations Director</w:t>
      </w:r>
    </w:p>
    <w:p w:rsidR="005151A1" w:rsidRDefault="005151A1" w:rsidP="005151A1">
      <w:pPr>
        <w:rPr>
          <w:rFonts w:ascii="Arial" w:hAnsi="Arial" w:cs="Arial"/>
        </w:rPr>
      </w:pPr>
      <w:r w:rsidRPr="001C0DF5">
        <w:rPr>
          <w:rFonts w:ascii="Arial" w:hAnsi="Arial" w:cs="Arial"/>
        </w:rPr>
        <w:t>Breathe California</w:t>
      </w:r>
    </w:p>
    <w:p w:rsidR="00594EFB" w:rsidRDefault="00594EFB" w:rsidP="001C0DF5">
      <w:pPr>
        <w:tabs>
          <w:tab w:val="left" w:pos="4320"/>
        </w:tabs>
        <w:rPr>
          <w:rFonts w:ascii="Arial" w:hAnsi="Arial" w:cs="Arial"/>
        </w:rPr>
      </w:pPr>
    </w:p>
    <w:p w:rsidR="00594EFB" w:rsidRDefault="001C0DF5" w:rsidP="001C0DF5">
      <w:pPr>
        <w:tabs>
          <w:tab w:val="left" w:pos="-4950"/>
          <w:tab w:val="left" w:pos="4320"/>
          <w:tab w:val="left" w:pos="5040"/>
        </w:tabs>
        <w:rPr>
          <w:rFonts w:ascii="Arial" w:hAnsi="Arial" w:cs="Arial"/>
        </w:rPr>
      </w:pPr>
      <w:r>
        <w:rPr>
          <w:rFonts w:ascii="Arial" w:hAnsi="Arial" w:cs="Arial"/>
        </w:rPr>
        <w:t>Nick Lapis</w:t>
      </w:r>
    </w:p>
    <w:p w:rsidR="00594EFB" w:rsidRDefault="001C0DF5" w:rsidP="001C0DF5">
      <w:pPr>
        <w:tabs>
          <w:tab w:val="left" w:pos="4320"/>
          <w:tab w:val="left" w:pos="5040"/>
        </w:tabs>
        <w:rPr>
          <w:rFonts w:ascii="Arial" w:hAnsi="Arial" w:cs="Arial"/>
        </w:rPr>
      </w:pPr>
      <w:r>
        <w:rPr>
          <w:rFonts w:ascii="Arial" w:hAnsi="Arial" w:cs="Arial"/>
        </w:rPr>
        <w:t>Legislative Coordinator</w:t>
      </w:r>
    </w:p>
    <w:p w:rsidR="00594EFB" w:rsidRDefault="00594EFB" w:rsidP="001C0DF5">
      <w:pPr>
        <w:tabs>
          <w:tab w:val="left" w:pos="4320"/>
          <w:tab w:val="left" w:pos="5040"/>
        </w:tabs>
        <w:rPr>
          <w:rFonts w:ascii="Arial" w:hAnsi="Arial" w:cs="Arial"/>
        </w:rPr>
      </w:pPr>
      <w:r>
        <w:rPr>
          <w:rFonts w:ascii="Arial" w:hAnsi="Arial" w:cs="Arial"/>
        </w:rPr>
        <w:t xml:space="preserve">Californians </w:t>
      </w:r>
      <w:proofErr w:type="gramStart"/>
      <w:r>
        <w:rPr>
          <w:rFonts w:ascii="Arial" w:hAnsi="Arial" w:cs="Arial"/>
        </w:rPr>
        <w:t>Against</w:t>
      </w:r>
      <w:proofErr w:type="gramEnd"/>
      <w:r>
        <w:rPr>
          <w:rFonts w:ascii="Arial" w:hAnsi="Arial" w:cs="Arial"/>
        </w:rPr>
        <w:t xml:space="preserve"> Waste</w:t>
      </w:r>
    </w:p>
    <w:p w:rsidR="005151A1" w:rsidRDefault="005151A1" w:rsidP="005151A1">
      <w:pPr>
        <w:rPr>
          <w:rFonts w:ascii="Arial" w:hAnsi="Arial" w:cs="Arial"/>
        </w:rPr>
      </w:pPr>
    </w:p>
    <w:p w:rsidR="005151A1" w:rsidRPr="001C0DF5" w:rsidRDefault="005151A1" w:rsidP="005151A1">
      <w:pPr>
        <w:rPr>
          <w:rFonts w:ascii="Arial" w:hAnsi="Arial" w:cs="Arial"/>
        </w:rPr>
      </w:pPr>
      <w:r w:rsidRPr="001C0DF5">
        <w:rPr>
          <w:rFonts w:ascii="Arial" w:hAnsi="Arial" w:cs="Arial"/>
        </w:rPr>
        <w:t xml:space="preserve">Brian </w:t>
      </w:r>
      <w:proofErr w:type="spellStart"/>
      <w:r w:rsidRPr="001C0DF5">
        <w:rPr>
          <w:rFonts w:ascii="Arial" w:hAnsi="Arial" w:cs="Arial"/>
        </w:rPr>
        <w:t>Nowicki</w:t>
      </w:r>
      <w:proofErr w:type="spellEnd"/>
    </w:p>
    <w:p w:rsidR="005151A1" w:rsidRPr="001C0DF5" w:rsidRDefault="005151A1" w:rsidP="005151A1">
      <w:pPr>
        <w:rPr>
          <w:rFonts w:ascii="Arial" w:hAnsi="Arial" w:cs="Arial"/>
        </w:rPr>
      </w:pPr>
      <w:r w:rsidRPr="001C0DF5">
        <w:rPr>
          <w:rFonts w:ascii="Arial" w:hAnsi="Arial" w:cs="Arial"/>
        </w:rPr>
        <w:t>California Climate Policy Director</w:t>
      </w:r>
    </w:p>
    <w:p w:rsidR="005151A1" w:rsidRDefault="005151A1" w:rsidP="005151A1">
      <w:pPr>
        <w:rPr>
          <w:rFonts w:ascii="Arial" w:hAnsi="Arial" w:cs="Arial"/>
        </w:rPr>
      </w:pPr>
      <w:r w:rsidRPr="001C0DF5">
        <w:rPr>
          <w:rFonts w:ascii="Arial" w:hAnsi="Arial" w:cs="Arial"/>
        </w:rPr>
        <w:t>Center for Biological Diversity</w:t>
      </w:r>
    </w:p>
    <w:p w:rsidR="005151A1" w:rsidRDefault="005151A1" w:rsidP="005151A1">
      <w:pPr>
        <w:rPr>
          <w:rFonts w:ascii="Arial" w:hAnsi="Arial" w:cs="Arial"/>
        </w:rPr>
      </w:pPr>
    </w:p>
    <w:p w:rsidR="005151A1" w:rsidRPr="001D2AB4" w:rsidRDefault="005151A1" w:rsidP="005151A1">
      <w:pPr>
        <w:rPr>
          <w:rFonts w:ascii="Arial" w:hAnsi="Arial" w:cs="Arial"/>
        </w:rPr>
      </w:pPr>
      <w:r w:rsidRPr="001D2AB4">
        <w:rPr>
          <w:rFonts w:ascii="Arial" w:hAnsi="Arial" w:cs="Arial"/>
        </w:rPr>
        <w:t xml:space="preserve">Timothy J. O'Connor </w:t>
      </w:r>
    </w:p>
    <w:p w:rsidR="005151A1" w:rsidRPr="001D2AB4" w:rsidRDefault="005151A1" w:rsidP="005151A1">
      <w:pPr>
        <w:rPr>
          <w:rFonts w:ascii="Arial" w:hAnsi="Arial" w:cs="Arial"/>
        </w:rPr>
      </w:pPr>
      <w:r>
        <w:rPr>
          <w:rFonts w:ascii="Arial" w:hAnsi="Arial" w:cs="Arial"/>
        </w:rPr>
        <w:t xml:space="preserve">CA </w:t>
      </w:r>
      <w:bookmarkStart w:id="0" w:name="_GoBack"/>
      <w:bookmarkEnd w:id="0"/>
      <w:r w:rsidRPr="001D2AB4">
        <w:rPr>
          <w:rFonts w:ascii="Arial" w:hAnsi="Arial" w:cs="Arial"/>
        </w:rPr>
        <w:t>Climate and Energy Initiative</w:t>
      </w:r>
      <w:r>
        <w:rPr>
          <w:rFonts w:ascii="Arial" w:hAnsi="Arial" w:cs="Arial"/>
        </w:rPr>
        <w:t xml:space="preserve"> Director</w:t>
      </w:r>
    </w:p>
    <w:p w:rsidR="005151A1" w:rsidRPr="00594EFB" w:rsidRDefault="005151A1" w:rsidP="005151A1">
      <w:pPr>
        <w:rPr>
          <w:rFonts w:ascii="Arial" w:hAnsi="Arial" w:cs="Arial"/>
        </w:rPr>
      </w:pPr>
      <w:r w:rsidRPr="001D2AB4">
        <w:rPr>
          <w:rFonts w:ascii="Arial" w:hAnsi="Arial" w:cs="Arial"/>
        </w:rPr>
        <w:t>Environmental Defense Fund</w:t>
      </w:r>
    </w:p>
    <w:p w:rsidR="00594EFB" w:rsidRDefault="00594EFB" w:rsidP="00532A2B">
      <w:pPr>
        <w:rPr>
          <w:rFonts w:ascii="Arial" w:hAnsi="Arial" w:cs="Arial"/>
        </w:rPr>
      </w:pPr>
    </w:p>
    <w:p w:rsidR="001C0DF5" w:rsidRDefault="005151A1" w:rsidP="001C0DF5">
      <w:pPr>
        <w:tabs>
          <w:tab w:val="left" w:pos="4320"/>
          <w:tab w:val="left" w:pos="5040"/>
        </w:tabs>
        <w:rPr>
          <w:rFonts w:ascii="Arial" w:hAnsi="Arial" w:cs="Arial"/>
        </w:rPr>
      </w:pPr>
      <w:r>
        <w:rPr>
          <w:rFonts w:ascii="Arial" w:hAnsi="Arial" w:cs="Arial"/>
        </w:rPr>
        <w:br w:type="column"/>
      </w:r>
      <w:r w:rsidR="001C0DF5">
        <w:rPr>
          <w:rFonts w:ascii="Arial" w:hAnsi="Arial" w:cs="Arial"/>
        </w:rPr>
        <w:lastRenderedPageBreak/>
        <w:t>Monica Wilson</w:t>
      </w:r>
    </w:p>
    <w:p w:rsidR="001C0DF5" w:rsidRDefault="001C0DF5" w:rsidP="001C0DF5">
      <w:pPr>
        <w:tabs>
          <w:tab w:val="left" w:pos="4320"/>
          <w:tab w:val="left" w:pos="5040"/>
        </w:tabs>
        <w:rPr>
          <w:rFonts w:ascii="Arial" w:hAnsi="Arial" w:cs="Arial"/>
        </w:rPr>
      </w:pPr>
      <w:r w:rsidRPr="001C0DF5">
        <w:rPr>
          <w:rFonts w:ascii="Arial" w:hAnsi="Arial" w:cs="Arial"/>
        </w:rPr>
        <w:t>US and Canada Program</w:t>
      </w:r>
      <w:r>
        <w:rPr>
          <w:rFonts w:ascii="Arial" w:hAnsi="Arial" w:cs="Arial"/>
        </w:rPr>
        <w:t xml:space="preserve"> Director</w:t>
      </w:r>
    </w:p>
    <w:p w:rsidR="001C0DF5" w:rsidRDefault="001C0DF5" w:rsidP="001C0DF5">
      <w:pPr>
        <w:tabs>
          <w:tab w:val="left" w:pos="4320"/>
          <w:tab w:val="left" w:pos="5040"/>
        </w:tabs>
        <w:rPr>
          <w:rFonts w:ascii="Arial" w:hAnsi="Arial" w:cs="Arial"/>
        </w:rPr>
      </w:pPr>
      <w:r w:rsidRPr="001C0DF5">
        <w:rPr>
          <w:rFonts w:ascii="Arial" w:hAnsi="Arial" w:cs="Arial"/>
        </w:rPr>
        <w:t>Global Alliance for Incinerator Alternatives</w:t>
      </w:r>
    </w:p>
    <w:p w:rsidR="001C0DF5" w:rsidRDefault="001C0DF5" w:rsidP="00532A2B">
      <w:pPr>
        <w:rPr>
          <w:rFonts w:ascii="Arial" w:hAnsi="Arial" w:cs="Arial"/>
        </w:rPr>
      </w:pPr>
    </w:p>
    <w:p w:rsidR="00E54E71" w:rsidRPr="00E54E71" w:rsidRDefault="00E54E71" w:rsidP="00E54E71">
      <w:pPr>
        <w:rPr>
          <w:rFonts w:ascii="Arial" w:hAnsi="Arial" w:cs="Arial"/>
        </w:rPr>
      </w:pPr>
      <w:r w:rsidRPr="00E54E71">
        <w:rPr>
          <w:rFonts w:ascii="Arial" w:hAnsi="Arial" w:cs="Arial"/>
        </w:rPr>
        <w:t xml:space="preserve">Jim </w:t>
      </w:r>
      <w:proofErr w:type="spellStart"/>
      <w:r w:rsidRPr="00E54E71">
        <w:rPr>
          <w:rFonts w:ascii="Arial" w:hAnsi="Arial" w:cs="Arial"/>
        </w:rPr>
        <w:t>Metropulos</w:t>
      </w:r>
      <w:proofErr w:type="spellEnd"/>
    </w:p>
    <w:p w:rsidR="00E54E71" w:rsidRPr="00E54E71" w:rsidRDefault="00E54E71" w:rsidP="00E54E71">
      <w:pPr>
        <w:rPr>
          <w:rFonts w:ascii="Arial" w:hAnsi="Arial" w:cs="Arial"/>
        </w:rPr>
      </w:pPr>
      <w:r w:rsidRPr="00E54E71">
        <w:rPr>
          <w:rFonts w:ascii="Arial" w:hAnsi="Arial" w:cs="Arial"/>
        </w:rPr>
        <w:t>Senior Advocate</w:t>
      </w:r>
    </w:p>
    <w:p w:rsidR="00E54E71" w:rsidRDefault="00E54E71" w:rsidP="00E54E71">
      <w:pPr>
        <w:rPr>
          <w:rFonts w:ascii="Arial" w:hAnsi="Arial" w:cs="Arial"/>
        </w:rPr>
      </w:pPr>
      <w:r w:rsidRPr="00E54E71">
        <w:rPr>
          <w:rFonts w:ascii="Arial" w:hAnsi="Arial" w:cs="Arial"/>
        </w:rPr>
        <w:t>Sierra Club California</w:t>
      </w:r>
    </w:p>
    <w:p w:rsidR="00032F57" w:rsidRDefault="00032F57" w:rsidP="00E54E71">
      <w:pPr>
        <w:rPr>
          <w:rFonts w:ascii="Arial" w:hAnsi="Arial" w:cs="Arial"/>
        </w:rPr>
      </w:pPr>
    </w:p>
    <w:p w:rsidR="00032F57" w:rsidRDefault="00032F57" w:rsidP="00032F57">
      <w:pPr>
        <w:rPr>
          <w:rFonts w:ascii="Arial" w:hAnsi="Arial" w:cs="Arial"/>
        </w:rPr>
      </w:pPr>
      <w:r>
        <w:rPr>
          <w:rFonts w:ascii="Arial" w:hAnsi="Arial" w:cs="Arial"/>
        </w:rPr>
        <w:t>Peter Miller</w:t>
      </w:r>
    </w:p>
    <w:p w:rsidR="00032F57" w:rsidRPr="00032F57" w:rsidRDefault="00032F57" w:rsidP="00032F57">
      <w:pPr>
        <w:rPr>
          <w:rFonts w:ascii="Arial" w:hAnsi="Arial" w:cs="Arial"/>
        </w:rPr>
      </w:pPr>
      <w:r w:rsidRPr="00032F57">
        <w:rPr>
          <w:rFonts w:ascii="Arial" w:hAnsi="Arial" w:cs="Arial"/>
        </w:rPr>
        <w:t>Senior Scientist</w:t>
      </w:r>
    </w:p>
    <w:p w:rsidR="00032F57" w:rsidRDefault="00032F57" w:rsidP="00032F57">
      <w:pPr>
        <w:rPr>
          <w:rFonts w:ascii="Arial" w:hAnsi="Arial" w:cs="Arial"/>
        </w:rPr>
      </w:pPr>
      <w:r w:rsidRPr="00032F57">
        <w:rPr>
          <w:rFonts w:ascii="Arial" w:hAnsi="Arial" w:cs="Arial"/>
        </w:rPr>
        <w:t>Natural Resources Defense Council</w:t>
      </w:r>
    </w:p>
    <w:p w:rsidR="005151A1" w:rsidRDefault="005151A1">
      <w:pPr>
        <w:rPr>
          <w:rFonts w:ascii="Arial" w:hAnsi="Arial" w:cs="Arial"/>
        </w:rPr>
        <w:sectPr w:rsidR="005151A1" w:rsidSect="005151A1">
          <w:type w:val="continuous"/>
          <w:pgSz w:w="12240" w:h="15840" w:code="1"/>
          <w:pgMar w:top="1440" w:right="1584" w:bottom="1440" w:left="1584" w:header="720" w:footer="576" w:gutter="0"/>
          <w:cols w:num="2" w:space="288"/>
          <w:titlePg/>
          <w:docGrid w:linePitch="360"/>
        </w:sectPr>
      </w:pPr>
    </w:p>
    <w:p w:rsidR="005151A1" w:rsidRPr="00594EFB" w:rsidRDefault="005151A1">
      <w:pPr>
        <w:rPr>
          <w:rFonts w:ascii="Arial" w:hAnsi="Arial" w:cs="Arial"/>
        </w:rPr>
      </w:pPr>
    </w:p>
    <w:sectPr w:rsidR="005151A1" w:rsidRPr="00594EFB" w:rsidSect="005151A1">
      <w:type w:val="continuous"/>
      <w:pgSz w:w="12240" w:h="15840" w:code="1"/>
      <w:pgMar w:top="1440" w:right="1584" w:bottom="1440" w:left="1584"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B4" w:rsidRDefault="001D2AB4" w:rsidP="00D405ED">
      <w:r>
        <w:separator/>
      </w:r>
    </w:p>
  </w:endnote>
  <w:endnote w:type="continuationSeparator" w:id="0">
    <w:p w:rsidR="001D2AB4" w:rsidRDefault="001D2AB4" w:rsidP="00D4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638554"/>
      <w:docPartObj>
        <w:docPartGallery w:val="Page Numbers (Bottom of Page)"/>
        <w:docPartUnique/>
      </w:docPartObj>
    </w:sdtPr>
    <w:sdtEndPr>
      <w:rPr>
        <w:noProof/>
      </w:rPr>
    </w:sdtEndPr>
    <w:sdtContent>
      <w:p w:rsidR="001D2AB4" w:rsidRDefault="001D2AB4">
        <w:pPr>
          <w:pStyle w:val="Footer"/>
          <w:jc w:val="right"/>
        </w:pPr>
        <w:r>
          <w:fldChar w:fldCharType="begin"/>
        </w:r>
        <w:r>
          <w:instrText xml:space="preserve"> PAGE   \* MERGEFORMAT </w:instrText>
        </w:r>
        <w:r>
          <w:fldChar w:fldCharType="separate"/>
        </w:r>
        <w:r w:rsidR="005151A1">
          <w:rPr>
            <w:noProof/>
          </w:rPr>
          <w:t>2</w:t>
        </w:r>
        <w:r>
          <w:rPr>
            <w:noProof/>
          </w:rPr>
          <w:fldChar w:fldCharType="end"/>
        </w:r>
      </w:p>
    </w:sdtContent>
  </w:sdt>
  <w:p w:rsidR="001D2AB4" w:rsidRDefault="001D2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B4" w:rsidRDefault="001D2AB4" w:rsidP="00D405ED">
      <w:r>
        <w:separator/>
      </w:r>
    </w:p>
  </w:footnote>
  <w:footnote w:type="continuationSeparator" w:id="0">
    <w:p w:rsidR="001D2AB4" w:rsidRDefault="001D2AB4" w:rsidP="00D40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B4" w:rsidRDefault="001D2AB4">
    <w:pPr>
      <w:pStyle w:val="Header"/>
    </w:pPr>
  </w:p>
  <w:p w:rsidR="001D2AB4" w:rsidRDefault="001D2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A1" w:rsidRPr="001C0DF5" w:rsidRDefault="005151A1" w:rsidP="001C0DF5">
    <w:pPr>
      <w:pStyle w:val="Header"/>
      <w:spacing w:line="264" w:lineRule="auto"/>
      <w:jc w:val="right"/>
      <w:rPr>
        <w:rFonts w:ascii="Garamond" w:hAnsi="Garamond"/>
        <w:b/>
        <w:sz w:val="23"/>
        <w:szCs w:val="23"/>
      </w:rPr>
    </w:pPr>
    <w:r w:rsidRPr="001C0DF5">
      <w:rPr>
        <w:rFonts w:ascii="Garamond" w:hAnsi="Garamond"/>
        <w:b/>
        <w:sz w:val="23"/>
        <w:szCs w:val="23"/>
      </w:rPr>
      <w:t>Breathe California</w:t>
    </w:r>
  </w:p>
  <w:p w:rsidR="005151A1" w:rsidRPr="001C0DF5" w:rsidRDefault="005151A1" w:rsidP="001C0DF5">
    <w:pPr>
      <w:pStyle w:val="Header"/>
      <w:spacing w:line="264" w:lineRule="auto"/>
      <w:jc w:val="right"/>
      <w:rPr>
        <w:rFonts w:ascii="Garamond" w:hAnsi="Garamond"/>
        <w:b/>
        <w:sz w:val="23"/>
        <w:szCs w:val="23"/>
      </w:rPr>
    </w:pPr>
    <w:r w:rsidRPr="001C0DF5">
      <w:rPr>
        <w:rFonts w:ascii="Garamond" w:hAnsi="Garamond"/>
        <w:b/>
        <w:sz w:val="23"/>
        <w:szCs w:val="23"/>
      </w:rPr>
      <w:t>Californians Against Waste</w:t>
    </w:r>
  </w:p>
  <w:p w:rsidR="005151A1" w:rsidRDefault="005151A1" w:rsidP="001C0DF5">
    <w:pPr>
      <w:pStyle w:val="Header"/>
      <w:spacing w:line="264" w:lineRule="auto"/>
      <w:jc w:val="right"/>
      <w:rPr>
        <w:rFonts w:ascii="Garamond" w:hAnsi="Garamond"/>
        <w:b/>
        <w:sz w:val="23"/>
        <w:szCs w:val="23"/>
      </w:rPr>
    </w:pPr>
    <w:r w:rsidRPr="001C0DF5">
      <w:rPr>
        <w:rFonts w:ascii="Garamond" w:hAnsi="Garamond"/>
        <w:b/>
        <w:sz w:val="23"/>
        <w:szCs w:val="23"/>
      </w:rPr>
      <w:t>Center for Biological Diversity</w:t>
    </w:r>
  </w:p>
  <w:p w:rsidR="005151A1" w:rsidRDefault="005151A1" w:rsidP="001C0DF5">
    <w:pPr>
      <w:pStyle w:val="Header"/>
      <w:spacing w:line="264" w:lineRule="auto"/>
      <w:jc w:val="right"/>
      <w:rPr>
        <w:rFonts w:ascii="Garamond" w:hAnsi="Garamond"/>
        <w:b/>
        <w:sz w:val="23"/>
        <w:szCs w:val="23"/>
      </w:rPr>
    </w:pPr>
    <w:r w:rsidRPr="005151A1">
      <w:rPr>
        <w:rFonts w:ascii="Garamond" w:hAnsi="Garamond"/>
        <w:b/>
        <w:sz w:val="23"/>
        <w:szCs w:val="23"/>
      </w:rPr>
      <w:t>Environmental Defense Fund</w:t>
    </w:r>
  </w:p>
  <w:p w:rsidR="005151A1" w:rsidRPr="001C0DF5" w:rsidRDefault="005151A1" w:rsidP="001C0DF5">
    <w:pPr>
      <w:pStyle w:val="Header"/>
      <w:spacing w:line="264" w:lineRule="auto"/>
      <w:jc w:val="right"/>
      <w:rPr>
        <w:rFonts w:ascii="Garamond" w:hAnsi="Garamond"/>
        <w:b/>
        <w:sz w:val="23"/>
        <w:szCs w:val="23"/>
      </w:rPr>
    </w:pPr>
    <w:r w:rsidRPr="001C0DF5">
      <w:rPr>
        <w:rFonts w:ascii="Garamond" w:hAnsi="Garamond"/>
        <w:b/>
        <w:sz w:val="23"/>
        <w:szCs w:val="23"/>
      </w:rPr>
      <w:t>Global Alliance for Incinerator Alternatives</w:t>
    </w:r>
  </w:p>
  <w:p w:rsidR="005151A1" w:rsidRDefault="005151A1" w:rsidP="001C0DF5">
    <w:pPr>
      <w:pStyle w:val="Header"/>
      <w:spacing w:line="264" w:lineRule="auto"/>
      <w:jc w:val="right"/>
      <w:rPr>
        <w:rFonts w:ascii="Garamond" w:hAnsi="Garamond"/>
        <w:b/>
        <w:sz w:val="23"/>
        <w:szCs w:val="23"/>
      </w:rPr>
    </w:pPr>
    <w:r>
      <w:rPr>
        <w:rFonts w:ascii="Garamond" w:hAnsi="Garamond"/>
        <w:b/>
        <w:sz w:val="23"/>
        <w:szCs w:val="23"/>
      </w:rPr>
      <w:t>Natural Resources Defense Council</w:t>
    </w:r>
  </w:p>
  <w:p w:rsidR="005151A1" w:rsidRDefault="005151A1" w:rsidP="001C0DF5">
    <w:pPr>
      <w:pStyle w:val="Header"/>
      <w:spacing w:line="264" w:lineRule="auto"/>
      <w:jc w:val="right"/>
      <w:rPr>
        <w:rFonts w:ascii="Garamond" w:hAnsi="Garamond"/>
        <w:b/>
        <w:sz w:val="23"/>
        <w:szCs w:val="23"/>
      </w:rPr>
    </w:pPr>
    <w:r>
      <w:rPr>
        <w:rFonts w:ascii="Garamond" w:hAnsi="Garamond"/>
        <w:b/>
        <w:sz w:val="23"/>
        <w:szCs w:val="23"/>
      </w:rPr>
      <w:t>Sierra Club California</w:t>
    </w:r>
  </w:p>
  <w:p w:rsidR="001D2AB4" w:rsidRPr="008D0802" w:rsidRDefault="001D2AB4" w:rsidP="008D0802">
    <w:pPr>
      <w:pStyle w:val="Header"/>
      <w:spacing w:line="264" w:lineRule="auto"/>
      <w:jc w:val="right"/>
      <w:rPr>
        <w:rFonts w:ascii="Garamond" w:hAnsi="Garamond"/>
        <w:b/>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113"/>
    <w:multiLevelType w:val="hybridMultilevel"/>
    <w:tmpl w:val="CFAA51EA"/>
    <w:lvl w:ilvl="0" w:tplc="CFBCDAA2">
      <w:start w:val="1"/>
      <w:numFmt w:val="bullet"/>
      <w:lvlText w:val=""/>
      <w:lvlJc w:val="left"/>
      <w:pPr>
        <w:ind w:left="360" w:hanging="360"/>
      </w:pPr>
      <w:rPr>
        <w:rFonts w:ascii="Wingdings" w:hAnsi="Wingdings" w:hint="default"/>
        <w:color w:val="595959" w:themeColor="text1" w:themeTint="A6"/>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853E2D"/>
    <w:multiLevelType w:val="hybridMultilevel"/>
    <w:tmpl w:val="F6ACC17A"/>
    <w:lvl w:ilvl="0" w:tplc="CFBCDAA2">
      <w:start w:val="1"/>
      <w:numFmt w:val="bullet"/>
      <w:lvlText w:val=""/>
      <w:lvlJc w:val="left"/>
      <w:pPr>
        <w:ind w:left="360" w:hanging="360"/>
      </w:pPr>
      <w:rPr>
        <w:rFonts w:ascii="Wingdings" w:hAnsi="Wingdings" w:hint="default"/>
        <w:color w:val="595959" w:themeColor="text1" w:themeTint="A6"/>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B63D4"/>
    <w:multiLevelType w:val="hybridMultilevel"/>
    <w:tmpl w:val="DEFC2002"/>
    <w:lvl w:ilvl="0" w:tplc="34620276">
      <w:start w:val="1"/>
      <w:numFmt w:val="decimal"/>
      <w:lvlText w:val="(%1)"/>
      <w:lvlJc w:val="left"/>
      <w:pPr>
        <w:ind w:left="108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C3173"/>
    <w:multiLevelType w:val="hybridMultilevel"/>
    <w:tmpl w:val="A8F2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5078A7"/>
    <w:multiLevelType w:val="hybridMultilevel"/>
    <w:tmpl w:val="C838A180"/>
    <w:lvl w:ilvl="0" w:tplc="515C853E">
      <w:start w:val="1"/>
      <w:numFmt w:val="bullet"/>
      <w:lvlText w:val=""/>
      <w:lvlJc w:val="left"/>
      <w:pPr>
        <w:ind w:left="360" w:hanging="360"/>
      </w:pPr>
      <w:rPr>
        <w:rFonts w:ascii="Wingdings" w:hAnsi="Wingdings" w:hint="default"/>
        <w:color w:val="808080"/>
      </w:rPr>
    </w:lvl>
    <w:lvl w:ilvl="1" w:tplc="3E1C036E">
      <w:start w:val="1"/>
      <w:numFmt w:val="decimal"/>
      <w:lvlText w:val="(%2)"/>
      <w:lvlJc w:val="left"/>
      <w:pPr>
        <w:ind w:left="1080" w:hanging="360"/>
      </w:pPr>
      <w:rPr>
        <w:rFonts w:asciiTheme="minorHAnsi" w:eastAsia="Times New Roman" w:hAnsiTheme="minorHAnsi" w:cstheme="minorHAnsi"/>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B86CB14E">
      <w:start w:val="2"/>
      <w:numFmt w:val="decimal"/>
      <w:lvlText w:val="(%5)"/>
      <w:lvlJc w:val="left"/>
      <w:pPr>
        <w:ind w:left="3240" w:hanging="360"/>
      </w:pPr>
      <w:rPr>
        <w:rFonts w:eastAsia="Times New Roman" w:hint="default"/>
      </w:rPr>
    </w:lvl>
    <w:lvl w:ilvl="5" w:tplc="2A684A7E">
      <w:start w:val="1"/>
      <w:numFmt w:val="upperLetter"/>
      <w:lvlText w:val="(%6)"/>
      <w:lvlJc w:val="left"/>
      <w:pPr>
        <w:ind w:left="3960" w:hanging="360"/>
      </w:pPr>
      <w:rPr>
        <w:rFonts w:eastAsia="Times New Roman"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89705A"/>
    <w:multiLevelType w:val="hybridMultilevel"/>
    <w:tmpl w:val="4A84339C"/>
    <w:lvl w:ilvl="0" w:tplc="53B0F8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C90CD0"/>
    <w:multiLevelType w:val="hybridMultilevel"/>
    <w:tmpl w:val="95E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E015A"/>
    <w:multiLevelType w:val="hybridMultilevel"/>
    <w:tmpl w:val="23AC05FE"/>
    <w:lvl w:ilvl="0" w:tplc="CFBCDAA2">
      <w:start w:val="1"/>
      <w:numFmt w:val="bullet"/>
      <w:lvlText w:val=""/>
      <w:lvlJc w:val="left"/>
      <w:pPr>
        <w:ind w:left="360" w:hanging="360"/>
      </w:pPr>
      <w:rPr>
        <w:rFonts w:ascii="Wingdings" w:hAnsi="Wingdings" w:hint="default"/>
        <w:color w:val="595959" w:themeColor="text1" w:themeTint="A6"/>
        <w:sz w:val="1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605C1B"/>
    <w:multiLevelType w:val="hybridMultilevel"/>
    <w:tmpl w:val="A2FC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9C1377"/>
    <w:multiLevelType w:val="hybridMultilevel"/>
    <w:tmpl w:val="DEE8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F63D29"/>
    <w:multiLevelType w:val="hybridMultilevel"/>
    <w:tmpl w:val="5050863A"/>
    <w:lvl w:ilvl="0" w:tplc="9ECA1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2"/>
  </w:num>
  <w:num w:numId="7">
    <w:abstractNumId w:val="10"/>
  </w:num>
  <w:num w:numId="8">
    <w:abstractNumId w:val="6"/>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EA"/>
    <w:rsid w:val="000022FC"/>
    <w:rsid w:val="000066EA"/>
    <w:rsid w:val="00032F57"/>
    <w:rsid w:val="00064B6D"/>
    <w:rsid w:val="0008745B"/>
    <w:rsid w:val="000A2345"/>
    <w:rsid w:val="000C1EAF"/>
    <w:rsid w:val="000C2524"/>
    <w:rsid w:val="000C52ED"/>
    <w:rsid w:val="000C614E"/>
    <w:rsid w:val="000D334C"/>
    <w:rsid w:val="000E2F23"/>
    <w:rsid w:val="000E690C"/>
    <w:rsid w:val="001076CF"/>
    <w:rsid w:val="00117246"/>
    <w:rsid w:val="001209DB"/>
    <w:rsid w:val="00127192"/>
    <w:rsid w:val="00142B69"/>
    <w:rsid w:val="0015473E"/>
    <w:rsid w:val="00162098"/>
    <w:rsid w:val="00166DA6"/>
    <w:rsid w:val="00170524"/>
    <w:rsid w:val="001722E8"/>
    <w:rsid w:val="00180F4D"/>
    <w:rsid w:val="0018598B"/>
    <w:rsid w:val="00186092"/>
    <w:rsid w:val="001875F0"/>
    <w:rsid w:val="001978BB"/>
    <w:rsid w:val="001B5402"/>
    <w:rsid w:val="001C0DF5"/>
    <w:rsid w:val="001D2AB4"/>
    <w:rsid w:val="00200B21"/>
    <w:rsid w:val="00200B90"/>
    <w:rsid w:val="002055B6"/>
    <w:rsid w:val="00207FFC"/>
    <w:rsid w:val="002A4412"/>
    <w:rsid w:val="002A56D0"/>
    <w:rsid w:val="002D3282"/>
    <w:rsid w:val="002D728C"/>
    <w:rsid w:val="002F7176"/>
    <w:rsid w:val="0030466B"/>
    <w:rsid w:val="00313FCF"/>
    <w:rsid w:val="00314765"/>
    <w:rsid w:val="003215E9"/>
    <w:rsid w:val="00334577"/>
    <w:rsid w:val="003346D8"/>
    <w:rsid w:val="003452CB"/>
    <w:rsid w:val="0035131F"/>
    <w:rsid w:val="00392FA0"/>
    <w:rsid w:val="00397EE4"/>
    <w:rsid w:val="003A05AB"/>
    <w:rsid w:val="003A1D30"/>
    <w:rsid w:val="003B33B8"/>
    <w:rsid w:val="003C410F"/>
    <w:rsid w:val="003D6EE5"/>
    <w:rsid w:val="003F57CB"/>
    <w:rsid w:val="00402927"/>
    <w:rsid w:val="004128FE"/>
    <w:rsid w:val="004343F1"/>
    <w:rsid w:val="0047771B"/>
    <w:rsid w:val="004A5848"/>
    <w:rsid w:val="004B1187"/>
    <w:rsid w:val="004B610A"/>
    <w:rsid w:val="004D2EC2"/>
    <w:rsid w:val="004D655A"/>
    <w:rsid w:val="004F5FAE"/>
    <w:rsid w:val="004F78AD"/>
    <w:rsid w:val="005151A1"/>
    <w:rsid w:val="00532A2B"/>
    <w:rsid w:val="00532C0E"/>
    <w:rsid w:val="005406A2"/>
    <w:rsid w:val="005455A6"/>
    <w:rsid w:val="005577CD"/>
    <w:rsid w:val="00563749"/>
    <w:rsid w:val="00577525"/>
    <w:rsid w:val="005858A0"/>
    <w:rsid w:val="00594EFB"/>
    <w:rsid w:val="00597AFD"/>
    <w:rsid w:val="005A1365"/>
    <w:rsid w:val="005A1DF6"/>
    <w:rsid w:val="005A1E16"/>
    <w:rsid w:val="005B3285"/>
    <w:rsid w:val="005B3462"/>
    <w:rsid w:val="005B355B"/>
    <w:rsid w:val="005B4947"/>
    <w:rsid w:val="005C3D63"/>
    <w:rsid w:val="005E4DAB"/>
    <w:rsid w:val="00605FF7"/>
    <w:rsid w:val="00622526"/>
    <w:rsid w:val="00665D4E"/>
    <w:rsid w:val="00681124"/>
    <w:rsid w:val="006A1425"/>
    <w:rsid w:val="006D3DBB"/>
    <w:rsid w:val="006D5670"/>
    <w:rsid w:val="006F0389"/>
    <w:rsid w:val="006F2CB0"/>
    <w:rsid w:val="007005DE"/>
    <w:rsid w:val="00712AC9"/>
    <w:rsid w:val="00717316"/>
    <w:rsid w:val="00727B28"/>
    <w:rsid w:val="0074684D"/>
    <w:rsid w:val="007860D6"/>
    <w:rsid w:val="00790ED8"/>
    <w:rsid w:val="007C4627"/>
    <w:rsid w:val="007D7945"/>
    <w:rsid w:val="007F1565"/>
    <w:rsid w:val="007F4A3E"/>
    <w:rsid w:val="008227C3"/>
    <w:rsid w:val="00872AB7"/>
    <w:rsid w:val="00874934"/>
    <w:rsid w:val="00875C1C"/>
    <w:rsid w:val="00877F47"/>
    <w:rsid w:val="00881554"/>
    <w:rsid w:val="008840AE"/>
    <w:rsid w:val="008A4D58"/>
    <w:rsid w:val="008B1EE4"/>
    <w:rsid w:val="008B25F4"/>
    <w:rsid w:val="008D0802"/>
    <w:rsid w:val="008D5837"/>
    <w:rsid w:val="008D7E8E"/>
    <w:rsid w:val="0091205B"/>
    <w:rsid w:val="00936063"/>
    <w:rsid w:val="00946EF2"/>
    <w:rsid w:val="009A17E8"/>
    <w:rsid w:val="009B4B73"/>
    <w:rsid w:val="009C03AE"/>
    <w:rsid w:val="009D6F3D"/>
    <w:rsid w:val="00A1307E"/>
    <w:rsid w:val="00A314A7"/>
    <w:rsid w:val="00A42CBE"/>
    <w:rsid w:val="00A42E75"/>
    <w:rsid w:val="00A446DE"/>
    <w:rsid w:val="00A736BC"/>
    <w:rsid w:val="00A85750"/>
    <w:rsid w:val="00AA2476"/>
    <w:rsid w:val="00AB436F"/>
    <w:rsid w:val="00AD2B42"/>
    <w:rsid w:val="00AD3922"/>
    <w:rsid w:val="00AD65CC"/>
    <w:rsid w:val="00AF3268"/>
    <w:rsid w:val="00B41C45"/>
    <w:rsid w:val="00B42393"/>
    <w:rsid w:val="00B70341"/>
    <w:rsid w:val="00BA03D2"/>
    <w:rsid w:val="00BA0E06"/>
    <w:rsid w:val="00BA3581"/>
    <w:rsid w:val="00BB1C75"/>
    <w:rsid w:val="00BE537A"/>
    <w:rsid w:val="00C3339A"/>
    <w:rsid w:val="00C51371"/>
    <w:rsid w:val="00C62A3B"/>
    <w:rsid w:val="00C63130"/>
    <w:rsid w:val="00C738D1"/>
    <w:rsid w:val="00CE36A0"/>
    <w:rsid w:val="00CE621C"/>
    <w:rsid w:val="00D1230F"/>
    <w:rsid w:val="00D348D9"/>
    <w:rsid w:val="00D405ED"/>
    <w:rsid w:val="00D45A33"/>
    <w:rsid w:val="00D617EE"/>
    <w:rsid w:val="00D7456E"/>
    <w:rsid w:val="00D804EE"/>
    <w:rsid w:val="00DA51A8"/>
    <w:rsid w:val="00DE373F"/>
    <w:rsid w:val="00DF4165"/>
    <w:rsid w:val="00DF7A69"/>
    <w:rsid w:val="00E05B0B"/>
    <w:rsid w:val="00E153F7"/>
    <w:rsid w:val="00E4367D"/>
    <w:rsid w:val="00E46EB9"/>
    <w:rsid w:val="00E54E71"/>
    <w:rsid w:val="00E70606"/>
    <w:rsid w:val="00E7135C"/>
    <w:rsid w:val="00E9391E"/>
    <w:rsid w:val="00EB2CAC"/>
    <w:rsid w:val="00EB2DAA"/>
    <w:rsid w:val="00ED6A8A"/>
    <w:rsid w:val="00EF3E4B"/>
    <w:rsid w:val="00F0406D"/>
    <w:rsid w:val="00F07E0D"/>
    <w:rsid w:val="00F200A1"/>
    <w:rsid w:val="00F23A21"/>
    <w:rsid w:val="00F31AC1"/>
    <w:rsid w:val="00F707FB"/>
    <w:rsid w:val="00F70D0B"/>
    <w:rsid w:val="00F86AA1"/>
    <w:rsid w:val="00F97C6F"/>
    <w:rsid w:val="00FC1D90"/>
    <w:rsid w:val="00FD6B94"/>
    <w:rsid w:val="00FF2E94"/>
    <w:rsid w:val="00FF4EF5"/>
    <w:rsid w:val="00FF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ED"/>
    <w:pPr>
      <w:ind w:left="720"/>
      <w:contextualSpacing/>
    </w:pPr>
  </w:style>
  <w:style w:type="paragraph" w:styleId="Header">
    <w:name w:val="header"/>
    <w:basedOn w:val="Normal"/>
    <w:link w:val="HeaderChar"/>
    <w:uiPriority w:val="99"/>
    <w:unhideWhenUsed/>
    <w:rsid w:val="00D405ED"/>
    <w:pPr>
      <w:tabs>
        <w:tab w:val="center" w:pos="4680"/>
        <w:tab w:val="right" w:pos="9360"/>
      </w:tabs>
    </w:pPr>
  </w:style>
  <w:style w:type="character" w:customStyle="1" w:styleId="HeaderChar">
    <w:name w:val="Header Char"/>
    <w:basedOn w:val="DefaultParagraphFont"/>
    <w:link w:val="Header"/>
    <w:uiPriority w:val="99"/>
    <w:rsid w:val="00D405ED"/>
  </w:style>
  <w:style w:type="paragraph" w:styleId="Footer">
    <w:name w:val="footer"/>
    <w:basedOn w:val="Normal"/>
    <w:link w:val="FooterChar"/>
    <w:uiPriority w:val="99"/>
    <w:unhideWhenUsed/>
    <w:rsid w:val="00D405ED"/>
    <w:pPr>
      <w:tabs>
        <w:tab w:val="center" w:pos="4680"/>
        <w:tab w:val="right" w:pos="9360"/>
      </w:tabs>
    </w:pPr>
  </w:style>
  <w:style w:type="character" w:customStyle="1" w:styleId="FooterChar">
    <w:name w:val="Footer Char"/>
    <w:basedOn w:val="DefaultParagraphFont"/>
    <w:link w:val="Footer"/>
    <w:uiPriority w:val="99"/>
    <w:rsid w:val="00D405ED"/>
  </w:style>
  <w:style w:type="paragraph" w:styleId="BalloonText">
    <w:name w:val="Balloon Text"/>
    <w:basedOn w:val="Normal"/>
    <w:link w:val="BalloonTextChar"/>
    <w:uiPriority w:val="99"/>
    <w:semiHidden/>
    <w:unhideWhenUsed/>
    <w:rsid w:val="00D405ED"/>
    <w:rPr>
      <w:rFonts w:ascii="Tahoma" w:hAnsi="Tahoma" w:cs="Tahoma"/>
      <w:sz w:val="16"/>
      <w:szCs w:val="16"/>
    </w:rPr>
  </w:style>
  <w:style w:type="character" w:customStyle="1" w:styleId="BalloonTextChar">
    <w:name w:val="Balloon Text Char"/>
    <w:basedOn w:val="DefaultParagraphFont"/>
    <w:link w:val="BalloonText"/>
    <w:uiPriority w:val="99"/>
    <w:semiHidden/>
    <w:rsid w:val="00D405ED"/>
    <w:rPr>
      <w:rFonts w:ascii="Tahoma" w:hAnsi="Tahoma" w:cs="Tahoma"/>
      <w:sz w:val="16"/>
      <w:szCs w:val="16"/>
    </w:rPr>
  </w:style>
  <w:style w:type="character" w:styleId="CommentReference">
    <w:name w:val="annotation reference"/>
    <w:basedOn w:val="DefaultParagraphFont"/>
    <w:uiPriority w:val="99"/>
    <w:semiHidden/>
    <w:unhideWhenUsed/>
    <w:rsid w:val="002A56D0"/>
    <w:rPr>
      <w:sz w:val="16"/>
      <w:szCs w:val="16"/>
    </w:rPr>
  </w:style>
  <w:style w:type="paragraph" w:styleId="CommentText">
    <w:name w:val="annotation text"/>
    <w:basedOn w:val="Normal"/>
    <w:link w:val="CommentTextChar"/>
    <w:uiPriority w:val="99"/>
    <w:semiHidden/>
    <w:unhideWhenUsed/>
    <w:rsid w:val="002A56D0"/>
    <w:rPr>
      <w:sz w:val="20"/>
      <w:szCs w:val="20"/>
    </w:rPr>
  </w:style>
  <w:style w:type="character" w:customStyle="1" w:styleId="CommentTextChar">
    <w:name w:val="Comment Text Char"/>
    <w:basedOn w:val="DefaultParagraphFont"/>
    <w:link w:val="CommentText"/>
    <w:uiPriority w:val="99"/>
    <w:semiHidden/>
    <w:rsid w:val="002A56D0"/>
    <w:rPr>
      <w:sz w:val="20"/>
      <w:szCs w:val="20"/>
    </w:rPr>
  </w:style>
  <w:style w:type="paragraph" w:styleId="CommentSubject">
    <w:name w:val="annotation subject"/>
    <w:basedOn w:val="CommentText"/>
    <w:next w:val="CommentText"/>
    <w:link w:val="CommentSubjectChar"/>
    <w:uiPriority w:val="99"/>
    <w:semiHidden/>
    <w:unhideWhenUsed/>
    <w:rsid w:val="002A56D0"/>
    <w:rPr>
      <w:b/>
      <w:bCs/>
    </w:rPr>
  </w:style>
  <w:style w:type="character" w:customStyle="1" w:styleId="CommentSubjectChar">
    <w:name w:val="Comment Subject Char"/>
    <w:basedOn w:val="CommentTextChar"/>
    <w:link w:val="CommentSubject"/>
    <w:uiPriority w:val="99"/>
    <w:semiHidden/>
    <w:rsid w:val="002A56D0"/>
    <w:rPr>
      <w:b/>
      <w:bCs/>
      <w:sz w:val="20"/>
      <w:szCs w:val="20"/>
    </w:rPr>
  </w:style>
  <w:style w:type="paragraph" w:styleId="NoSpacing">
    <w:name w:val="No Spacing"/>
    <w:uiPriority w:val="1"/>
    <w:qFormat/>
    <w:rsid w:val="00FF2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ED"/>
    <w:pPr>
      <w:ind w:left="720"/>
      <w:contextualSpacing/>
    </w:pPr>
  </w:style>
  <w:style w:type="paragraph" w:styleId="Header">
    <w:name w:val="header"/>
    <w:basedOn w:val="Normal"/>
    <w:link w:val="HeaderChar"/>
    <w:uiPriority w:val="99"/>
    <w:unhideWhenUsed/>
    <w:rsid w:val="00D405ED"/>
    <w:pPr>
      <w:tabs>
        <w:tab w:val="center" w:pos="4680"/>
        <w:tab w:val="right" w:pos="9360"/>
      </w:tabs>
    </w:pPr>
  </w:style>
  <w:style w:type="character" w:customStyle="1" w:styleId="HeaderChar">
    <w:name w:val="Header Char"/>
    <w:basedOn w:val="DefaultParagraphFont"/>
    <w:link w:val="Header"/>
    <w:uiPriority w:val="99"/>
    <w:rsid w:val="00D405ED"/>
  </w:style>
  <w:style w:type="paragraph" w:styleId="Footer">
    <w:name w:val="footer"/>
    <w:basedOn w:val="Normal"/>
    <w:link w:val="FooterChar"/>
    <w:uiPriority w:val="99"/>
    <w:unhideWhenUsed/>
    <w:rsid w:val="00D405ED"/>
    <w:pPr>
      <w:tabs>
        <w:tab w:val="center" w:pos="4680"/>
        <w:tab w:val="right" w:pos="9360"/>
      </w:tabs>
    </w:pPr>
  </w:style>
  <w:style w:type="character" w:customStyle="1" w:styleId="FooterChar">
    <w:name w:val="Footer Char"/>
    <w:basedOn w:val="DefaultParagraphFont"/>
    <w:link w:val="Footer"/>
    <w:uiPriority w:val="99"/>
    <w:rsid w:val="00D405ED"/>
  </w:style>
  <w:style w:type="paragraph" w:styleId="BalloonText">
    <w:name w:val="Balloon Text"/>
    <w:basedOn w:val="Normal"/>
    <w:link w:val="BalloonTextChar"/>
    <w:uiPriority w:val="99"/>
    <w:semiHidden/>
    <w:unhideWhenUsed/>
    <w:rsid w:val="00D405ED"/>
    <w:rPr>
      <w:rFonts w:ascii="Tahoma" w:hAnsi="Tahoma" w:cs="Tahoma"/>
      <w:sz w:val="16"/>
      <w:szCs w:val="16"/>
    </w:rPr>
  </w:style>
  <w:style w:type="character" w:customStyle="1" w:styleId="BalloonTextChar">
    <w:name w:val="Balloon Text Char"/>
    <w:basedOn w:val="DefaultParagraphFont"/>
    <w:link w:val="BalloonText"/>
    <w:uiPriority w:val="99"/>
    <w:semiHidden/>
    <w:rsid w:val="00D405ED"/>
    <w:rPr>
      <w:rFonts w:ascii="Tahoma" w:hAnsi="Tahoma" w:cs="Tahoma"/>
      <w:sz w:val="16"/>
      <w:szCs w:val="16"/>
    </w:rPr>
  </w:style>
  <w:style w:type="character" w:styleId="CommentReference">
    <w:name w:val="annotation reference"/>
    <w:basedOn w:val="DefaultParagraphFont"/>
    <w:uiPriority w:val="99"/>
    <w:semiHidden/>
    <w:unhideWhenUsed/>
    <w:rsid w:val="002A56D0"/>
    <w:rPr>
      <w:sz w:val="16"/>
      <w:szCs w:val="16"/>
    </w:rPr>
  </w:style>
  <w:style w:type="paragraph" w:styleId="CommentText">
    <w:name w:val="annotation text"/>
    <w:basedOn w:val="Normal"/>
    <w:link w:val="CommentTextChar"/>
    <w:uiPriority w:val="99"/>
    <w:semiHidden/>
    <w:unhideWhenUsed/>
    <w:rsid w:val="002A56D0"/>
    <w:rPr>
      <w:sz w:val="20"/>
      <w:szCs w:val="20"/>
    </w:rPr>
  </w:style>
  <w:style w:type="character" w:customStyle="1" w:styleId="CommentTextChar">
    <w:name w:val="Comment Text Char"/>
    <w:basedOn w:val="DefaultParagraphFont"/>
    <w:link w:val="CommentText"/>
    <w:uiPriority w:val="99"/>
    <w:semiHidden/>
    <w:rsid w:val="002A56D0"/>
    <w:rPr>
      <w:sz w:val="20"/>
      <w:szCs w:val="20"/>
    </w:rPr>
  </w:style>
  <w:style w:type="paragraph" w:styleId="CommentSubject">
    <w:name w:val="annotation subject"/>
    <w:basedOn w:val="CommentText"/>
    <w:next w:val="CommentText"/>
    <w:link w:val="CommentSubjectChar"/>
    <w:uiPriority w:val="99"/>
    <w:semiHidden/>
    <w:unhideWhenUsed/>
    <w:rsid w:val="002A56D0"/>
    <w:rPr>
      <w:b/>
      <w:bCs/>
    </w:rPr>
  </w:style>
  <w:style w:type="character" w:customStyle="1" w:styleId="CommentSubjectChar">
    <w:name w:val="Comment Subject Char"/>
    <w:basedOn w:val="CommentTextChar"/>
    <w:link w:val="CommentSubject"/>
    <w:uiPriority w:val="99"/>
    <w:semiHidden/>
    <w:rsid w:val="002A56D0"/>
    <w:rPr>
      <w:b/>
      <w:bCs/>
      <w:sz w:val="20"/>
      <w:szCs w:val="20"/>
    </w:rPr>
  </w:style>
  <w:style w:type="paragraph" w:styleId="NoSpacing">
    <w:name w:val="No Spacing"/>
    <w:uiPriority w:val="1"/>
    <w:qFormat/>
    <w:rsid w:val="00FF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1350">
      <w:bodyDiv w:val="1"/>
      <w:marLeft w:val="0"/>
      <w:marRight w:val="0"/>
      <w:marTop w:val="0"/>
      <w:marBottom w:val="0"/>
      <w:divBdr>
        <w:top w:val="none" w:sz="0" w:space="0" w:color="auto"/>
        <w:left w:val="none" w:sz="0" w:space="0" w:color="auto"/>
        <w:bottom w:val="none" w:sz="0" w:space="0" w:color="auto"/>
        <w:right w:val="none" w:sz="0" w:space="0" w:color="auto"/>
      </w:divBdr>
    </w:div>
    <w:div w:id="468937564">
      <w:bodyDiv w:val="1"/>
      <w:marLeft w:val="0"/>
      <w:marRight w:val="0"/>
      <w:marTop w:val="0"/>
      <w:marBottom w:val="0"/>
      <w:divBdr>
        <w:top w:val="none" w:sz="0" w:space="0" w:color="auto"/>
        <w:left w:val="none" w:sz="0" w:space="0" w:color="auto"/>
        <w:bottom w:val="none" w:sz="0" w:space="0" w:color="auto"/>
        <w:right w:val="none" w:sz="0" w:space="0" w:color="auto"/>
      </w:divBdr>
    </w:div>
    <w:div w:id="7112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02C8-0820-4D12-985F-E7EEBCF3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Haya;Dan Kalb</dc:creator>
  <cp:lastModifiedBy>Nick Lapis</cp:lastModifiedBy>
  <cp:revision>4</cp:revision>
  <cp:lastPrinted>2011-08-11T19:00:00Z</cp:lastPrinted>
  <dcterms:created xsi:type="dcterms:W3CDTF">2011-08-11T20:34:00Z</dcterms:created>
  <dcterms:modified xsi:type="dcterms:W3CDTF">2011-08-11T22:56:00Z</dcterms:modified>
</cp:coreProperties>
</file>