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9CC" w:rsidRPr="000724D5" w:rsidRDefault="00A64769" w:rsidP="002C79B7">
      <w:pPr>
        <w:tabs>
          <w:tab w:val="left" w:pos="2215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May 1</w:t>
      </w:r>
      <w:r w:rsidR="00272D2C">
        <w:rPr>
          <w:rFonts w:cs="Arial"/>
          <w:sz w:val="21"/>
          <w:szCs w:val="21"/>
        </w:rPr>
        <w:t>1</w:t>
      </w:r>
      <w:r>
        <w:rPr>
          <w:rFonts w:cs="Arial"/>
          <w:sz w:val="21"/>
          <w:szCs w:val="21"/>
        </w:rPr>
        <w:t>, 2018</w:t>
      </w:r>
      <w:r w:rsidR="00334544" w:rsidRPr="000724D5">
        <w:rPr>
          <w:rFonts w:cs="Arial"/>
          <w:sz w:val="21"/>
          <w:szCs w:val="21"/>
        </w:rPr>
        <w:tab/>
      </w:r>
    </w:p>
    <w:p w:rsidR="000069CC" w:rsidRPr="000724D5" w:rsidRDefault="000069CC" w:rsidP="002C79B7">
      <w:pPr>
        <w:rPr>
          <w:rFonts w:cs="Arial"/>
          <w:sz w:val="21"/>
          <w:szCs w:val="21"/>
        </w:rPr>
      </w:pPr>
    </w:p>
    <w:p w:rsidR="00E05E7C" w:rsidRPr="000724D5" w:rsidRDefault="00E05E7C" w:rsidP="002C79B7">
      <w:pPr>
        <w:rPr>
          <w:rFonts w:cs="Arial"/>
          <w:sz w:val="21"/>
          <w:szCs w:val="21"/>
        </w:rPr>
      </w:pPr>
    </w:p>
    <w:p w:rsidR="00387492" w:rsidRPr="000724D5" w:rsidRDefault="00B45295" w:rsidP="002C79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Clerk of the Board</w:t>
      </w:r>
    </w:p>
    <w:p w:rsidR="00387492" w:rsidRPr="000724D5" w:rsidRDefault="00387492" w:rsidP="002C79B7">
      <w:pPr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California Air Resources Board</w:t>
      </w:r>
    </w:p>
    <w:p w:rsidR="00387492" w:rsidRDefault="00B45295" w:rsidP="002C79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1001 I Street</w:t>
      </w:r>
    </w:p>
    <w:p w:rsidR="00B45295" w:rsidRPr="000724D5" w:rsidRDefault="00B45295" w:rsidP="002C79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Sacramento, California 95814</w:t>
      </w:r>
    </w:p>
    <w:p w:rsidR="003F0F00" w:rsidRPr="000724D5" w:rsidRDefault="003F0F00" w:rsidP="002C79B7">
      <w:pPr>
        <w:rPr>
          <w:rFonts w:cs="Arial"/>
          <w:sz w:val="21"/>
          <w:szCs w:val="21"/>
        </w:rPr>
      </w:pPr>
    </w:p>
    <w:p w:rsidR="000069CC" w:rsidRPr="000724D5" w:rsidRDefault="00E05E7C" w:rsidP="002C79B7">
      <w:pPr>
        <w:rPr>
          <w:rFonts w:cs="Arial"/>
          <w:bCs/>
          <w:sz w:val="21"/>
          <w:szCs w:val="21"/>
        </w:rPr>
      </w:pPr>
      <w:r w:rsidRPr="000724D5">
        <w:rPr>
          <w:rFonts w:cs="Arial"/>
          <w:sz w:val="21"/>
          <w:szCs w:val="21"/>
        </w:rPr>
        <w:t>Re:</w:t>
      </w:r>
      <w:r w:rsidR="00E8045E" w:rsidRPr="000724D5">
        <w:rPr>
          <w:rFonts w:cs="Arial"/>
          <w:sz w:val="21"/>
          <w:szCs w:val="21"/>
        </w:rPr>
        <w:t>  </w:t>
      </w:r>
      <w:r w:rsidR="008117F4" w:rsidRPr="000724D5">
        <w:rPr>
          <w:rFonts w:cs="Arial"/>
          <w:sz w:val="21"/>
          <w:szCs w:val="21"/>
        </w:rPr>
        <w:t xml:space="preserve"> </w:t>
      </w:r>
      <w:r w:rsidR="00387492" w:rsidRPr="000724D5">
        <w:rPr>
          <w:rFonts w:cs="Arial"/>
          <w:bCs/>
          <w:sz w:val="21"/>
          <w:szCs w:val="21"/>
        </w:rPr>
        <w:t>California Air</w:t>
      </w:r>
      <w:r w:rsidR="006B7999" w:rsidRPr="000724D5">
        <w:rPr>
          <w:rFonts w:cs="Arial"/>
          <w:bCs/>
          <w:sz w:val="21"/>
          <w:szCs w:val="21"/>
        </w:rPr>
        <w:t xml:space="preserve"> Resources Board (</w:t>
      </w:r>
      <w:r w:rsidR="00387492" w:rsidRPr="000724D5">
        <w:rPr>
          <w:rFonts w:cs="Arial"/>
          <w:bCs/>
          <w:sz w:val="21"/>
          <w:szCs w:val="21"/>
        </w:rPr>
        <w:t xml:space="preserve">ARB) </w:t>
      </w:r>
      <w:r w:rsidR="00A64769">
        <w:rPr>
          <w:rFonts w:cs="Arial"/>
          <w:bCs/>
          <w:sz w:val="21"/>
          <w:szCs w:val="21"/>
        </w:rPr>
        <w:t>Public Hearing to Consider Proposed Amendments to California Emission Control System Warranty Regulations and Maintenance Provisions for 2022 and Subsequent Model Year On-Road Heavy-Duty Diesel Vehicles With Gross Vehicle Weight Ratings Greater than 14,000 Pounds and Heavy-Duty Diesel Engines in Such Vehicles</w:t>
      </w:r>
    </w:p>
    <w:p w:rsidR="00E8045E" w:rsidRPr="000724D5" w:rsidRDefault="00E8045E" w:rsidP="002C79B7">
      <w:pPr>
        <w:rPr>
          <w:rFonts w:cs="Arial"/>
          <w:bCs/>
          <w:sz w:val="21"/>
          <w:szCs w:val="21"/>
        </w:rPr>
      </w:pPr>
    </w:p>
    <w:p w:rsidR="00E8045E" w:rsidRPr="000724D5" w:rsidRDefault="00E8045E" w:rsidP="002C79B7">
      <w:pPr>
        <w:rPr>
          <w:rFonts w:cs="Arial"/>
          <w:sz w:val="21"/>
          <w:szCs w:val="21"/>
        </w:rPr>
      </w:pPr>
    </w:p>
    <w:p w:rsidR="000069CC" w:rsidRPr="000724D5" w:rsidRDefault="000069CC" w:rsidP="002C79B7">
      <w:pPr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Dear</w:t>
      </w:r>
      <w:r w:rsidR="00CC02B0" w:rsidRPr="000724D5">
        <w:rPr>
          <w:rFonts w:cs="Arial"/>
          <w:sz w:val="21"/>
          <w:szCs w:val="21"/>
        </w:rPr>
        <w:t xml:space="preserve"> </w:t>
      </w:r>
      <w:r w:rsidR="00B45295">
        <w:rPr>
          <w:rFonts w:cs="Arial"/>
          <w:sz w:val="21"/>
          <w:szCs w:val="21"/>
        </w:rPr>
        <w:t>Clerk</w:t>
      </w:r>
      <w:r w:rsidRPr="000724D5">
        <w:rPr>
          <w:rFonts w:cs="Arial"/>
          <w:sz w:val="21"/>
          <w:szCs w:val="21"/>
        </w:rPr>
        <w:t>:</w:t>
      </w:r>
    </w:p>
    <w:p w:rsidR="000069CC" w:rsidRPr="000724D5" w:rsidRDefault="000069CC" w:rsidP="002C79B7">
      <w:pPr>
        <w:rPr>
          <w:rFonts w:cs="Arial"/>
          <w:sz w:val="21"/>
          <w:szCs w:val="21"/>
        </w:rPr>
      </w:pPr>
    </w:p>
    <w:p w:rsidR="00CC02B0" w:rsidRPr="000724D5" w:rsidRDefault="00CC02B0" w:rsidP="002C79B7">
      <w:pPr>
        <w:pStyle w:val="Default"/>
        <w:rPr>
          <w:rFonts w:ascii="Arial" w:hAnsi="Arial" w:cs="Arial"/>
          <w:sz w:val="21"/>
          <w:szCs w:val="21"/>
        </w:rPr>
      </w:pPr>
    </w:p>
    <w:p w:rsidR="009A2CC3" w:rsidRDefault="006220FC" w:rsidP="009A2CC3">
      <w:pPr>
        <w:spacing w:after="200"/>
        <w:ind w:right="0"/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BorgWarner is a global product leader in clean and efficient technology solutions for combustion, hybrid</w:t>
      </w:r>
      <w:r w:rsidR="00EE417C" w:rsidRPr="000724D5">
        <w:rPr>
          <w:rFonts w:cs="Arial"/>
          <w:sz w:val="21"/>
          <w:szCs w:val="21"/>
        </w:rPr>
        <w:t>,</w:t>
      </w:r>
      <w:r w:rsidRPr="000724D5">
        <w:rPr>
          <w:rFonts w:cs="Arial"/>
          <w:sz w:val="21"/>
          <w:szCs w:val="21"/>
        </w:rPr>
        <w:t xml:space="preserve"> and electric vehicles. 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With manufacturing and technical facilities </w:t>
      </w:r>
      <w:r w:rsidR="00EE417C" w:rsidRPr="000724D5">
        <w:rPr>
          <w:rStyle w:val="A0"/>
          <w:rFonts w:cs="Arial"/>
          <w:b w:val="0"/>
          <w:bCs w:val="0"/>
          <w:sz w:val="21"/>
          <w:szCs w:val="21"/>
        </w:rPr>
        <w:t>across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 6</w:t>
      </w:r>
      <w:r w:rsidR="00A64769">
        <w:rPr>
          <w:rStyle w:val="A0"/>
          <w:rFonts w:cs="Arial"/>
          <w:b w:val="0"/>
          <w:bCs w:val="0"/>
          <w:sz w:val="21"/>
          <w:szCs w:val="21"/>
        </w:rPr>
        <w:t xml:space="preserve">7 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>locations in 1</w:t>
      </w:r>
      <w:r w:rsidR="00A64769">
        <w:rPr>
          <w:rStyle w:val="A0"/>
          <w:rFonts w:cs="Arial"/>
          <w:b w:val="0"/>
          <w:bCs w:val="0"/>
          <w:sz w:val="21"/>
          <w:szCs w:val="21"/>
        </w:rPr>
        <w:t>8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 countries, </w:t>
      </w:r>
      <w:r w:rsidR="00065728" w:rsidRPr="000724D5">
        <w:rPr>
          <w:rStyle w:val="A0"/>
          <w:rFonts w:cs="Arial"/>
          <w:b w:val="0"/>
          <w:bCs w:val="0"/>
          <w:sz w:val="21"/>
          <w:szCs w:val="21"/>
        </w:rPr>
        <w:t>we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 employ approximately 2</w:t>
      </w:r>
      <w:r w:rsidR="00A64769">
        <w:rPr>
          <w:rStyle w:val="A0"/>
          <w:rFonts w:cs="Arial"/>
          <w:b w:val="0"/>
          <w:bCs w:val="0"/>
          <w:sz w:val="21"/>
          <w:szCs w:val="21"/>
        </w:rPr>
        <w:t>9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,000 </w:t>
      </w:r>
      <w:r w:rsidR="00065728" w:rsidRPr="000724D5">
        <w:rPr>
          <w:rStyle w:val="A0"/>
          <w:rFonts w:cs="Arial"/>
          <w:b w:val="0"/>
          <w:bCs w:val="0"/>
          <w:sz w:val="21"/>
          <w:szCs w:val="21"/>
        </w:rPr>
        <w:t xml:space="preserve">people 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worldwide. BorgWarner has evolved from a powertrain supplier to a </w:t>
      </w:r>
      <w:r w:rsidR="003713ED">
        <w:rPr>
          <w:rStyle w:val="A0"/>
          <w:rFonts w:cs="Arial"/>
          <w:b w:val="0"/>
          <w:bCs w:val="0"/>
          <w:sz w:val="21"/>
          <w:szCs w:val="21"/>
        </w:rPr>
        <w:t xml:space="preserve">vehicle </w:t>
      </w:r>
      <w:r w:rsidR="00F45AF2" w:rsidRPr="000724D5">
        <w:rPr>
          <w:rStyle w:val="A0"/>
          <w:rFonts w:cs="Arial"/>
          <w:b w:val="0"/>
          <w:bCs w:val="0"/>
          <w:sz w:val="21"/>
          <w:szCs w:val="21"/>
        </w:rPr>
        <w:t xml:space="preserve">propulsion company that is playing a major role in creating our vision of a clean energy-efficient world. </w:t>
      </w:r>
      <w:r w:rsidR="00F45AF2" w:rsidRPr="000724D5">
        <w:rPr>
          <w:rFonts w:cs="Arial"/>
          <w:sz w:val="21"/>
          <w:szCs w:val="21"/>
        </w:rPr>
        <w:t xml:space="preserve">  </w:t>
      </w:r>
      <w:r w:rsidR="005C253D">
        <w:rPr>
          <w:rFonts w:cs="Arial"/>
          <w:sz w:val="21"/>
          <w:szCs w:val="21"/>
        </w:rPr>
        <w:t>We are</w:t>
      </w:r>
      <w:r w:rsidR="006B7999" w:rsidRPr="000724D5">
        <w:rPr>
          <w:rFonts w:cs="Arial"/>
          <w:sz w:val="21"/>
          <w:szCs w:val="21"/>
        </w:rPr>
        <w:t xml:space="preserve"> a U.S.-headquartered</w:t>
      </w:r>
      <w:r w:rsidR="00030405" w:rsidRPr="000724D5">
        <w:rPr>
          <w:rFonts w:cs="Arial"/>
          <w:sz w:val="21"/>
          <w:szCs w:val="21"/>
        </w:rPr>
        <w:t xml:space="preserve"> company</w:t>
      </w:r>
      <w:r w:rsidR="006B7999" w:rsidRPr="000724D5">
        <w:rPr>
          <w:rFonts w:cs="Arial"/>
          <w:sz w:val="21"/>
          <w:szCs w:val="21"/>
        </w:rPr>
        <w:t xml:space="preserve"> with 6,300 people in 16 manufacturing and technical centers in eight states across the United States</w:t>
      </w:r>
      <w:r w:rsidR="005C253D">
        <w:rPr>
          <w:rFonts w:cs="Arial"/>
          <w:sz w:val="21"/>
          <w:szCs w:val="21"/>
        </w:rPr>
        <w:t>.</w:t>
      </w:r>
      <w:r w:rsidR="00386035">
        <w:rPr>
          <w:rFonts w:cs="Arial"/>
          <w:sz w:val="21"/>
          <w:szCs w:val="21"/>
        </w:rPr>
        <w:t xml:space="preserve"> </w:t>
      </w:r>
      <w:r w:rsidR="005C253D">
        <w:rPr>
          <w:rFonts w:cs="Arial"/>
          <w:sz w:val="21"/>
          <w:szCs w:val="21"/>
        </w:rPr>
        <w:t>Our</w:t>
      </w:r>
      <w:r w:rsidR="006B7999" w:rsidRPr="000724D5">
        <w:rPr>
          <w:rFonts w:cs="Arial"/>
          <w:sz w:val="21"/>
          <w:szCs w:val="21"/>
        </w:rPr>
        <w:t xml:space="preserve"> technologies deliver innovative propulsion </w:t>
      </w:r>
      <w:r w:rsidR="00065728" w:rsidRPr="000724D5">
        <w:rPr>
          <w:rFonts w:cs="Arial"/>
          <w:sz w:val="21"/>
          <w:szCs w:val="21"/>
        </w:rPr>
        <w:t>solutions</w:t>
      </w:r>
      <w:r w:rsidR="006B7999" w:rsidRPr="000724D5">
        <w:rPr>
          <w:rFonts w:cs="Arial"/>
          <w:sz w:val="21"/>
          <w:szCs w:val="21"/>
        </w:rPr>
        <w:t xml:space="preserve"> that improve fuel economy, emissions</w:t>
      </w:r>
      <w:r w:rsidR="00065728" w:rsidRPr="000724D5">
        <w:rPr>
          <w:rFonts w:cs="Arial"/>
          <w:sz w:val="21"/>
          <w:szCs w:val="21"/>
        </w:rPr>
        <w:t>,</w:t>
      </w:r>
      <w:r w:rsidR="006B7999" w:rsidRPr="000724D5">
        <w:rPr>
          <w:rFonts w:cs="Arial"/>
          <w:sz w:val="21"/>
          <w:szCs w:val="21"/>
        </w:rPr>
        <w:t xml:space="preserve"> and performance in vehicles globally.  BorgWarner’s </w:t>
      </w:r>
      <w:r w:rsidR="005C253D">
        <w:rPr>
          <w:rFonts w:cs="Arial"/>
          <w:sz w:val="21"/>
          <w:szCs w:val="21"/>
        </w:rPr>
        <w:t>v</w:t>
      </w:r>
      <w:r w:rsidR="006B7999" w:rsidRPr="000724D5">
        <w:rPr>
          <w:rFonts w:cs="Arial"/>
          <w:sz w:val="21"/>
          <w:szCs w:val="21"/>
        </w:rPr>
        <w:t xml:space="preserve">ision of a </w:t>
      </w:r>
      <w:r w:rsidR="005C253D">
        <w:rPr>
          <w:rFonts w:cs="Arial"/>
          <w:sz w:val="21"/>
          <w:szCs w:val="21"/>
        </w:rPr>
        <w:t>c</w:t>
      </w:r>
      <w:r w:rsidR="006B7999" w:rsidRPr="000724D5">
        <w:rPr>
          <w:rFonts w:cs="Arial"/>
          <w:sz w:val="21"/>
          <w:szCs w:val="21"/>
        </w:rPr>
        <w:t>lean, energy-efficient world ali</w:t>
      </w:r>
      <w:r w:rsidR="00B97A5C" w:rsidRPr="000724D5">
        <w:rPr>
          <w:rFonts w:cs="Arial"/>
          <w:sz w:val="21"/>
          <w:szCs w:val="21"/>
        </w:rPr>
        <w:t xml:space="preserve">gns with the goals of </w:t>
      </w:r>
      <w:r w:rsidR="006B7999" w:rsidRPr="000724D5">
        <w:rPr>
          <w:rFonts w:cs="Arial"/>
          <w:sz w:val="21"/>
          <w:szCs w:val="21"/>
        </w:rPr>
        <w:t xml:space="preserve">ARB in reducing vehicle emissions and </w:t>
      </w:r>
      <w:r w:rsidR="00F00D09" w:rsidRPr="000724D5">
        <w:rPr>
          <w:rFonts w:cs="Arial"/>
          <w:sz w:val="21"/>
          <w:szCs w:val="21"/>
        </w:rPr>
        <w:t>greenhouse gas (</w:t>
      </w:r>
      <w:r w:rsidR="006B7999" w:rsidRPr="000724D5">
        <w:rPr>
          <w:rFonts w:cs="Arial"/>
          <w:sz w:val="21"/>
          <w:szCs w:val="21"/>
        </w:rPr>
        <w:t>GHG</w:t>
      </w:r>
      <w:r w:rsidR="00F00D09" w:rsidRPr="000724D5">
        <w:rPr>
          <w:rFonts w:cs="Arial"/>
          <w:sz w:val="21"/>
          <w:szCs w:val="21"/>
        </w:rPr>
        <w:t>)</w:t>
      </w:r>
      <w:r w:rsidR="006B7999" w:rsidRPr="000724D5">
        <w:rPr>
          <w:rFonts w:cs="Arial"/>
          <w:sz w:val="21"/>
          <w:szCs w:val="21"/>
        </w:rPr>
        <w:t xml:space="preserve">.  </w:t>
      </w:r>
    </w:p>
    <w:p w:rsidR="005A7B93" w:rsidRDefault="00A64769" w:rsidP="009A2CC3">
      <w:pPr>
        <w:spacing w:after="200"/>
        <w:ind w:right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As a follow up to our September </w:t>
      </w:r>
      <w:r w:rsidR="00DF6526">
        <w:rPr>
          <w:rFonts w:cs="Arial"/>
          <w:sz w:val="21"/>
          <w:szCs w:val="21"/>
        </w:rPr>
        <w:t xml:space="preserve">8, </w:t>
      </w:r>
      <w:r>
        <w:rPr>
          <w:rFonts w:cs="Arial"/>
          <w:sz w:val="21"/>
          <w:szCs w:val="21"/>
        </w:rPr>
        <w:t xml:space="preserve">2017 letter and in preparation for </w:t>
      </w:r>
      <w:r w:rsidR="00C47D81">
        <w:rPr>
          <w:rFonts w:cs="Arial"/>
          <w:sz w:val="21"/>
          <w:szCs w:val="21"/>
        </w:rPr>
        <w:t xml:space="preserve">the </w:t>
      </w:r>
      <w:r w:rsidR="009A2CC3">
        <w:rPr>
          <w:rFonts w:cs="Arial"/>
          <w:sz w:val="21"/>
          <w:szCs w:val="21"/>
        </w:rPr>
        <w:t xml:space="preserve">upcoming </w:t>
      </w:r>
      <w:r>
        <w:rPr>
          <w:rFonts w:cs="Arial"/>
          <w:sz w:val="21"/>
          <w:szCs w:val="21"/>
        </w:rPr>
        <w:t xml:space="preserve">hearing, BorgWarner would like to </w:t>
      </w:r>
      <w:r w:rsidR="00C47D81">
        <w:rPr>
          <w:rFonts w:cs="Arial"/>
          <w:sz w:val="21"/>
          <w:szCs w:val="21"/>
        </w:rPr>
        <w:t xml:space="preserve">propose that ARB clarify and </w:t>
      </w:r>
      <w:r w:rsidR="00C946D6">
        <w:rPr>
          <w:rFonts w:cs="Arial"/>
          <w:sz w:val="21"/>
          <w:szCs w:val="21"/>
        </w:rPr>
        <w:t>classify</w:t>
      </w:r>
      <w:r w:rsidR="00C47D81">
        <w:rPr>
          <w:rFonts w:cs="Arial"/>
          <w:sz w:val="21"/>
          <w:szCs w:val="21"/>
        </w:rPr>
        <w:t xml:space="preserve"> </w:t>
      </w:r>
      <w:r w:rsidR="009A2CC3">
        <w:rPr>
          <w:rFonts w:cs="Arial"/>
          <w:sz w:val="21"/>
          <w:szCs w:val="21"/>
        </w:rPr>
        <w:t>t</w:t>
      </w:r>
      <w:r w:rsidR="00CE4947">
        <w:rPr>
          <w:rFonts w:cs="Arial"/>
          <w:sz w:val="21"/>
          <w:szCs w:val="21"/>
        </w:rPr>
        <w:t xml:space="preserve">urbocharger </w:t>
      </w:r>
      <w:r w:rsidR="00C47D81">
        <w:rPr>
          <w:rFonts w:cs="Arial"/>
          <w:sz w:val="21"/>
          <w:szCs w:val="21"/>
        </w:rPr>
        <w:t xml:space="preserve">and exhaust gas recirculation </w:t>
      </w:r>
      <w:r w:rsidR="00E63B15">
        <w:rPr>
          <w:rFonts w:cs="Arial"/>
          <w:sz w:val="21"/>
          <w:szCs w:val="21"/>
        </w:rPr>
        <w:t xml:space="preserve">(EGR) </w:t>
      </w:r>
      <w:r w:rsidR="00CE4947">
        <w:rPr>
          <w:rFonts w:cs="Arial"/>
          <w:sz w:val="21"/>
          <w:szCs w:val="21"/>
        </w:rPr>
        <w:t>electronic actuators</w:t>
      </w:r>
      <w:r w:rsidR="009A2CC3">
        <w:rPr>
          <w:rFonts w:cs="Arial"/>
          <w:sz w:val="21"/>
          <w:szCs w:val="21"/>
        </w:rPr>
        <w:t xml:space="preserve"> </w:t>
      </w:r>
      <w:r w:rsidR="00504277">
        <w:rPr>
          <w:rFonts w:cs="Arial"/>
          <w:sz w:val="21"/>
          <w:szCs w:val="21"/>
        </w:rPr>
        <w:t xml:space="preserve">and sensors </w:t>
      </w:r>
      <w:r w:rsidR="009A2CC3">
        <w:rPr>
          <w:rFonts w:cs="Arial"/>
          <w:sz w:val="21"/>
          <w:szCs w:val="21"/>
        </w:rPr>
        <w:t>with electronic control unit, sensors, and a</w:t>
      </w:r>
      <w:r w:rsidR="00C47D81">
        <w:rPr>
          <w:rFonts w:cs="Arial"/>
          <w:sz w:val="21"/>
          <w:szCs w:val="21"/>
        </w:rPr>
        <w:t xml:space="preserve">ctuators with </w:t>
      </w:r>
      <w:r w:rsidR="00C56D32">
        <w:rPr>
          <w:rFonts w:cs="Arial"/>
          <w:sz w:val="21"/>
          <w:szCs w:val="21"/>
        </w:rPr>
        <w:t xml:space="preserve">the </w:t>
      </w:r>
      <w:r w:rsidR="00C47D81">
        <w:rPr>
          <w:rFonts w:cs="Arial"/>
          <w:sz w:val="21"/>
          <w:szCs w:val="21"/>
        </w:rPr>
        <w:t>proposed</w:t>
      </w:r>
      <w:r w:rsidR="009A2CC3">
        <w:rPr>
          <w:rFonts w:cs="Arial"/>
          <w:sz w:val="21"/>
          <w:szCs w:val="21"/>
        </w:rPr>
        <w:t xml:space="preserve"> minimum repair/replacement intervals</w:t>
      </w:r>
      <w:r w:rsidR="00C47D81">
        <w:rPr>
          <w:rFonts w:cs="Arial"/>
          <w:sz w:val="21"/>
          <w:szCs w:val="21"/>
        </w:rPr>
        <w:t xml:space="preserve"> as described below.</w:t>
      </w:r>
    </w:p>
    <w:p w:rsidR="00C47D81" w:rsidRDefault="00C47D81" w:rsidP="002C79B7">
      <w:pPr>
        <w:rPr>
          <w:rFonts w:cs="Arial"/>
          <w:sz w:val="21"/>
          <w:szCs w:val="21"/>
        </w:rPr>
      </w:pPr>
    </w:p>
    <w:tbl>
      <w:tblPr>
        <w:tblStyle w:val="TableGrid1"/>
        <w:tblW w:w="8995" w:type="dxa"/>
        <w:jc w:val="center"/>
        <w:tblLook w:val="04A0" w:firstRow="1" w:lastRow="0" w:firstColumn="1" w:lastColumn="0" w:noHBand="0" w:noVBand="1"/>
      </w:tblPr>
      <w:tblGrid>
        <w:gridCol w:w="2875"/>
        <w:gridCol w:w="2160"/>
        <w:gridCol w:w="2160"/>
        <w:gridCol w:w="1800"/>
      </w:tblGrid>
      <w:tr w:rsidR="00C47D81" w:rsidRPr="00446B76" w:rsidTr="001673CD">
        <w:trPr>
          <w:trHeight w:val="674"/>
          <w:jc w:val="center"/>
        </w:trPr>
        <w:tc>
          <w:tcPr>
            <w:tcW w:w="2875" w:type="dxa"/>
            <w:vMerge w:val="restart"/>
            <w:vAlign w:val="center"/>
          </w:tcPr>
          <w:p w:rsidR="00C47D81" w:rsidRPr="00446B76" w:rsidRDefault="00C47D81" w:rsidP="001673CD">
            <w:pPr>
              <w:keepNext/>
              <w:keepLines/>
              <w:spacing w:line="276" w:lineRule="auto"/>
              <w:jc w:val="center"/>
              <w:rPr>
                <w:b/>
                <w:bCs/>
                <w:sz w:val="20"/>
                <w:u w:val="single"/>
              </w:rPr>
            </w:pPr>
            <w:r w:rsidRPr="00446B76">
              <w:rPr>
                <w:b/>
                <w:bCs/>
                <w:sz w:val="20"/>
                <w:u w:val="single"/>
              </w:rPr>
              <w:t>Component or System</w:t>
            </w:r>
          </w:p>
        </w:tc>
        <w:tc>
          <w:tcPr>
            <w:tcW w:w="6120" w:type="dxa"/>
            <w:gridSpan w:val="3"/>
            <w:vAlign w:val="center"/>
          </w:tcPr>
          <w:p w:rsidR="00C47D81" w:rsidRPr="00446B76" w:rsidRDefault="00C47D81" w:rsidP="001673CD">
            <w:pPr>
              <w:keepNext/>
              <w:keepLines/>
              <w:spacing w:line="276" w:lineRule="auto"/>
              <w:jc w:val="center"/>
              <w:rPr>
                <w:b/>
                <w:bCs/>
                <w:sz w:val="20"/>
                <w:u w:val="single"/>
              </w:rPr>
            </w:pPr>
            <w:r w:rsidRPr="00446B76">
              <w:rPr>
                <w:b/>
                <w:bCs/>
                <w:sz w:val="20"/>
                <w:u w:val="single"/>
              </w:rPr>
              <w:t>Minimum</w:t>
            </w:r>
            <w:r>
              <w:rPr>
                <w:b/>
                <w:bCs/>
                <w:sz w:val="20"/>
                <w:u w:val="single"/>
              </w:rPr>
              <w:t xml:space="preserve"> </w:t>
            </w:r>
            <w:r w:rsidRPr="00446B76">
              <w:rPr>
                <w:b/>
                <w:bCs/>
                <w:sz w:val="20"/>
                <w:u w:val="single"/>
              </w:rPr>
              <w:t>Repair / Replacement Interval</w:t>
            </w:r>
          </w:p>
        </w:tc>
      </w:tr>
      <w:tr w:rsidR="00C47D81" w:rsidRPr="00446B76" w:rsidTr="001673CD">
        <w:trPr>
          <w:trHeight w:val="674"/>
          <w:jc w:val="center"/>
        </w:trPr>
        <w:tc>
          <w:tcPr>
            <w:tcW w:w="2875" w:type="dxa"/>
            <w:vMerge/>
            <w:vAlign w:val="center"/>
            <w:hideMark/>
          </w:tcPr>
          <w:p w:rsidR="00C47D81" w:rsidRPr="00446B76" w:rsidRDefault="00C47D81" w:rsidP="001673CD">
            <w:pPr>
              <w:keepNext/>
              <w:keepLines/>
              <w:spacing w:line="276" w:lineRule="auto"/>
              <w:jc w:val="center"/>
              <w:rPr>
                <w:b/>
                <w:bCs/>
                <w:sz w:val="20"/>
                <w:u w:val="single"/>
              </w:rPr>
            </w:pPr>
          </w:p>
        </w:tc>
        <w:tc>
          <w:tcPr>
            <w:tcW w:w="2160" w:type="dxa"/>
            <w:vAlign w:val="center"/>
            <w:hideMark/>
          </w:tcPr>
          <w:p w:rsidR="00C47D81" w:rsidRPr="00446B76" w:rsidRDefault="00C47D81" w:rsidP="001673CD">
            <w:pPr>
              <w:keepNext/>
              <w:keepLines/>
              <w:spacing w:line="276" w:lineRule="auto"/>
              <w:jc w:val="center"/>
              <w:rPr>
                <w:b/>
                <w:bCs/>
                <w:sz w:val="20"/>
                <w:u w:val="single"/>
              </w:rPr>
            </w:pPr>
            <w:r w:rsidRPr="00084050">
              <w:rPr>
                <w:b/>
                <w:bCs/>
                <w:sz w:val="18"/>
                <w:szCs w:val="18"/>
                <w:u w:val="single"/>
              </w:rPr>
              <w:t>Light Heavy-Duty Diesel Engine</w:t>
            </w:r>
            <w:r w:rsidRPr="00446B76">
              <w:rPr>
                <w:b/>
                <w:bCs/>
                <w:sz w:val="20"/>
                <w:u w:val="single"/>
              </w:rPr>
              <w:br/>
            </w:r>
            <w:r w:rsidRPr="00084050">
              <w:rPr>
                <w:b/>
                <w:bCs/>
                <w:sz w:val="12"/>
                <w:szCs w:val="12"/>
                <w:u w:val="single"/>
              </w:rPr>
              <w:t xml:space="preserve">14,000 lbs. &lt; GVWR </w:t>
            </w:r>
            <w:r w:rsidRPr="00084050">
              <w:rPr>
                <w:rFonts w:cs="Arial"/>
                <w:b/>
                <w:bCs/>
                <w:sz w:val="12"/>
                <w:szCs w:val="12"/>
                <w:u w:val="single"/>
              </w:rPr>
              <w:t>≤</w:t>
            </w:r>
            <w:r w:rsidRPr="00084050">
              <w:rPr>
                <w:b/>
                <w:bCs/>
                <w:sz w:val="12"/>
                <w:szCs w:val="12"/>
                <w:u w:val="single"/>
              </w:rPr>
              <w:t xml:space="preserve"> 19,500 lbs.</w:t>
            </w:r>
          </w:p>
        </w:tc>
        <w:tc>
          <w:tcPr>
            <w:tcW w:w="2160" w:type="dxa"/>
            <w:vAlign w:val="center"/>
          </w:tcPr>
          <w:p w:rsidR="00C47D81" w:rsidRPr="00446B76" w:rsidRDefault="00C47D81" w:rsidP="001673CD">
            <w:pPr>
              <w:keepNext/>
              <w:keepLines/>
              <w:spacing w:line="276" w:lineRule="auto"/>
              <w:jc w:val="center"/>
              <w:rPr>
                <w:b/>
                <w:bCs/>
                <w:sz w:val="20"/>
                <w:u w:val="single"/>
              </w:rPr>
            </w:pPr>
            <w:r w:rsidRPr="00084050">
              <w:rPr>
                <w:b/>
                <w:bCs/>
                <w:sz w:val="18"/>
                <w:szCs w:val="18"/>
                <w:u w:val="single"/>
              </w:rPr>
              <w:t>Medium Heavy-Duty Diesel Engine</w:t>
            </w:r>
            <w:r w:rsidRPr="00084050">
              <w:rPr>
                <w:b/>
                <w:bCs/>
                <w:sz w:val="19"/>
                <w:szCs w:val="19"/>
                <w:u w:val="single"/>
              </w:rPr>
              <w:br/>
            </w:r>
            <w:r w:rsidRPr="00084050">
              <w:rPr>
                <w:b/>
                <w:bCs/>
                <w:sz w:val="12"/>
                <w:szCs w:val="12"/>
                <w:u w:val="single"/>
              </w:rPr>
              <w:t xml:space="preserve">19,500 lbs. &lt; GVWR </w:t>
            </w:r>
            <w:r w:rsidRPr="00084050">
              <w:rPr>
                <w:rFonts w:cs="Arial"/>
                <w:b/>
                <w:bCs/>
                <w:sz w:val="12"/>
                <w:szCs w:val="12"/>
                <w:u w:val="single"/>
              </w:rPr>
              <w:t>≤</w:t>
            </w:r>
            <w:r w:rsidRPr="00084050">
              <w:rPr>
                <w:b/>
                <w:bCs/>
                <w:sz w:val="12"/>
                <w:szCs w:val="12"/>
                <w:u w:val="single"/>
              </w:rPr>
              <w:t xml:space="preserve"> 33,000 lbs.</w:t>
            </w:r>
          </w:p>
        </w:tc>
        <w:tc>
          <w:tcPr>
            <w:tcW w:w="1800" w:type="dxa"/>
            <w:vAlign w:val="center"/>
          </w:tcPr>
          <w:p w:rsidR="00C47D81" w:rsidRPr="00446B76" w:rsidRDefault="00C47D81" w:rsidP="001673CD">
            <w:pPr>
              <w:keepNext/>
              <w:keepLines/>
              <w:spacing w:line="276" w:lineRule="auto"/>
              <w:jc w:val="center"/>
              <w:rPr>
                <w:b/>
                <w:bCs/>
                <w:sz w:val="20"/>
                <w:u w:val="single"/>
              </w:rPr>
            </w:pPr>
            <w:r w:rsidRPr="00084050">
              <w:rPr>
                <w:b/>
                <w:bCs/>
                <w:sz w:val="18"/>
                <w:szCs w:val="18"/>
                <w:u w:val="single"/>
              </w:rPr>
              <w:t>Heavy Heavy-Duty Diesel Engine</w:t>
            </w:r>
            <w:r w:rsidRPr="00446B76">
              <w:rPr>
                <w:b/>
                <w:bCs/>
                <w:sz w:val="20"/>
                <w:u w:val="single"/>
              </w:rPr>
              <w:br/>
            </w:r>
            <w:r w:rsidRPr="00084050">
              <w:rPr>
                <w:b/>
                <w:bCs/>
                <w:sz w:val="12"/>
                <w:szCs w:val="12"/>
                <w:u w:val="single"/>
              </w:rPr>
              <w:t>GVWR &gt; 33,000 lbs.</w:t>
            </w:r>
          </w:p>
        </w:tc>
      </w:tr>
    </w:tbl>
    <w:p w:rsidR="00C47D81" w:rsidRDefault="00C47D81" w:rsidP="002C79B7">
      <w:pPr>
        <w:rPr>
          <w:b/>
          <w:bCs/>
          <w:sz w:val="20"/>
          <w:u w:val="single"/>
        </w:rPr>
      </w:pPr>
    </w:p>
    <w:tbl>
      <w:tblPr>
        <w:tblStyle w:val="TableGrid1"/>
        <w:tblW w:w="8995" w:type="dxa"/>
        <w:jc w:val="center"/>
        <w:tblLook w:val="04A0" w:firstRow="1" w:lastRow="0" w:firstColumn="1" w:lastColumn="0" w:noHBand="0" w:noVBand="1"/>
      </w:tblPr>
      <w:tblGrid>
        <w:gridCol w:w="2875"/>
        <w:gridCol w:w="2160"/>
        <w:gridCol w:w="2160"/>
        <w:gridCol w:w="1800"/>
      </w:tblGrid>
      <w:tr w:rsidR="00C47D81" w:rsidRPr="007B31C6" w:rsidTr="001673CD">
        <w:trPr>
          <w:trHeight w:hRule="exact" w:val="576"/>
          <w:jc w:val="center"/>
        </w:trPr>
        <w:tc>
          <w:tcPr>
            <w:tcW w:w="2875" w:type="dxa"/>
            <w:vAlign w:val="center"/>
            <w:hideMark/>
          </w:tcPr>
          <w:p w:rsidR="00C47D81" w:rsidRPr="00084050" w:rsidRDefault="00C47D81" w:rsidP="001673CD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  <w:u w:val="single"/>
              </w:rPr>
            </w:pPr>
            <w:r w:rsidRPr="00084050">
              <w:rPr>
                <w:sz w:val="14"/>
                <w:szCs w:val="14"/>
                <w:u w:val="single"/>
              </w:rPr>
              <w:t>Electronic Control Unit, Sensors, and Actuators</w:t>
            </w:r>
          </w:p>
        </w:tc>
        <w:tc>
          <w:tcPr>
            <w:tcW w:w="2160" w:type="dxa"/>
            <w:noWrap/>
            <w:vAlign w:val="center"/>
            <w:hideMark/>
          </w:tcPr>
          <w:p w:rsidR="00C47D81" w:rsidRPr="007B31C6" w:rsidRDefault="00C47D81" w:rsidP="001673CD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  <w:u w:val="single"/>
              </w:rPr>
            </w:pPr>
            <w:r w:rsidRPr="007B31C6">
              <w:rPr>
                <w:sz w:val="14"/>
                <w:szCs w:val="14"/>
                <w:u w:val="single"/>
              </w:rPr>
              <w:t>100,000 miles, or</w:t>
            </w:r>
            <w:r w:rsidRPr="007B31C6">
              <w:rPr>
                <w:sz w:val="14"/>
                <w:szCs w:val="14"/>
                <w:u w:val="single"/>
              </w:rPr>
              <w:br/>
              <w:t>3,000 hours</w:t>
            </w:r>
          </w:p>
        </w:tc>
        <w:tc>
          <w:tcPr>
            <w:tcW w:w="2160" w:type="dxa"/>
            <w:vAlign w:val="center"/>
          </w:tcPr>
          <w:p w:rsidR="00C47D81" w:rsidRPr="007B31C6" w:rsidRDefault="00C47D81" w:rsidP="001673CD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  <w:u w:val="single"/>
              </w:rPr>
            </w:pPr>
            <w:r w:rsidRPr="007B31C6">
              <w:rPr>
                <w:sz w:val="14"/>
                <w:szCs w:val="14"/>
                <w:u w:val="single"/>
              </w:rPr>
              <w:t>150,000 miles, or</w:t>
            </w:r>
            <w:r w:rsidRPr="007B31C6">
              <w:rPr>
                <w:sz w:val="14"/>
                <w:szCs w:val="14"/>
                <w:u w:val="single"/>
              </w:rPr>
              <w:br/>
              <w:t>4,500 hours</w:t>
            </w:r>
          </w:p>
        </w:tc>
        <w:tc>
          <w:tcPr>
            <w:tcW w:w="1800" w:type="dxa"/>
            <w:vAlign w:val="center"/>
          </w:tcPr>
          <w:p w:rsidR="00C47D81" w:rsidRPr="007B31C6" w:rsidRDefault="00C47D81" w:rsidP="001673CD">
            <w:pPr>
              <w:keepNext/>
              <w:keepLines/>
              <w:spacing w:line="276" w:lineRule="auto"/>
              <w:jc w:val="center"/>
              <w:rPr>
                <w:sz w:val="14"/>
                <w:szCs w:val="14"/>
                <w:u w:val="single"/>
              </w:rPr>
            </w:pPr>
            <w:r w:rsidRPr="007B31C6">
              <w:rPr>
                <w:sz w:val="14"/>
                <w:szCs w:val="14"/>
                <w:u w:val="single"/>
              </w:rPr>
              <w:t>150,000 miles, or</w:t>
            </w:r>
            <w:r w:rsidRPr="007B31C6">
              <w:rPr>
                <w:sz w:val="14"/>
                <w:szCs w:val="14"/>
                <w:u w:val="single"/>
              </w:rPr>
              <w:br/>
              <w:t>4,500 hours, or 5 years</w:t>
            </w:r>
          </w:p>
        </w:tc>
      </w:tr>
    </w:tbl>
    <w:p w:rsidR="00C47D81" w:rsidRDefault="00C47D81" w:rsidP="002C79B7">
      <w:pPr>
        <w:rPr>
          <w:b/>
          <w:bCs/>
          <w:sz w:val="20"/>
          <w:u w:val="single"/>
        </w:rPr>
      </w:pPr>
    </w:p>
    <w:p w:rsidR="00E63B15" w:rsidRPr="00E63B15" w:rsidRDefault="00E63B15" w:rsidP="00E63B15">
      <w:r>
        <w:rPr>
          <w:rFonts w:cs="Arial"/>
          <w:sz w:val="21"/>
          <w:szCs w:val="21"/>
        </w:rPr>
        <w:t xml:space="preserve">Turbocharger and exhaust gas recirculation (EGR) electronic actuators </w:t>
      </w:r>
      <w:r w:rsidR="00504277">
        <w:rPr>
          <w:rFonts w:cs="Arial"/>
          <w:sz w:val="21"/>
          <w:szCs w:val="21"/>
        </w:rPr>
        <w:t xml:space="preserve">and sensors </w:t>
      </w:r>
      <w:r>
        <w:rPr>
          <w:rFonts w:cs="Arial"/>
          <w:sz w:val="21"/>
          <w:szCs w:val="21"/>
        </w:rPr>
        <w:t xml:space="preserve">are </w:t>
      </w:r>
      <w:r w:rsidRPr="00E63B15">
        <w:t>highly dynamic devices and critical to the emissions performance of the engine</w:t>
      </w:r>
      <w:r w:rsidR="00C946D6">
        <w:t>. E</w:t>
      </w:r>
      <w:r w:rsidRPr="00E63B15">
        <w:t xml:space="preserve">nabling maintenance by repair or replacement of the actuator would ensure the emission </w:t>
      </w:r>
      <w:r w:rsidRPr="00E63B15">
        <w:lastRenderedPageBreak/>
        <w:t xml:space="preserve">performance of the engine remains within </w:t>
      </w:r>
      <w:r w:rsidR="00C946D6">
        <w:t xml:space="preserve">its </w:t>
      </w:r>
      <w:r w:rsidRPr="00E63B15">
        <w:t>limits. The EGR and turbocharger actuators are easily accessible and relatively inexpensive. As such, extending their warranty coverage beyond the distances shown in your table is unwarranted. In addition</w:t>
      </w:r>
      <w:r w:rsidR="00C946D6">
        <w:t>,</w:t>
      </w:r>
      <w:r w:rsidRPr="00E63B15">
        <w:t xml:space="preserve"> replacing an external component by itself means the integrity of the air and EGR system would be maintained </w:t>
      </w:r>
      <w:r w:rsidR="003713ED">
        <w:t>thereby</w:t>
      </w:r>
      <w:r w:rsidRPr="00E63B15">
        <w:t xml:space="preserve"> avoiding collateral damage. </w:t>
      </w:r>
    </w:p>
    <w:p w:rsidR="00E63B15" w:rsidRDefault="00E63B15" w:rsidP="002C79B7">
      <w:pPr>
        <w:rPr>
          <w:rFonts w:cs="Arial"/>
          <w:sz w:val="21"/>
          <w:szCs w:val="21"/>
        </w:rPr>
      </w:pPr>
    </w:p>
    <w:p w:rsidR="001A6D79" w:rsidRDefault="001A6D79" w:rsidP="002C79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T</w:t>
      </w:r>
      <w:r w:rsidR="009A2CC3">
        <w:rPr>
          <w:rFonts w:cs="Arial"/>
          <w:sz w:val="21"/>
          <w:szCs w:val="21"/>
        </w:rPr>
        <w:t>hese part</w:t>
      </w:r>
      <w:r>
        <w:rPr>
          <w:rFonts w:cs="Arial"/>
          <w:sz w:val="21"/>
          <w:szCs w:val="21"/>
        </w:rPr>
        <w:t>s</w:t>
      </w:r>
      <w:r w:rsidR="009A2CC3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should </w:t>
      </w:r>
      <w:r w:rsidR="009A2CC3">
        <w:rPr>
          <w:rFonts w:cs="Arial"/>
          <w:sz w:val="21"/>
          <w:szCs w:val="21"/>
        </w:rPr>
        <w:t>not be included with the turbocharger or EGR system as “Not replaceable</w:t>
      </w:r>
      <w:r w:rsidR="00C946D6">
        <w:rPr>
          <w:rFonts w:cs="Arial"/>
          <w:sz w:val="21"/>
          <w:szCs w:val="21"/>
        </w:rPr>
        <w:t>.</w:t>
      </w:r>
      <w:r w:rsidR="009A2CC3">
        <w:rPr>
          <w:rFonts w:cs="Arial"/>
          <w:sz w:val="21"/>
          <w:szCs w:val="21"/>
        </w:rPr>
        <w:t>”</w:t>
      </w:r>
    </w:p>
    <w:p w:rsidR="001A6D79" w:rsidRDefault="001A6D79" w:rsidP="002C79B7">
      <w:pPr>
        <w:rPr>
          <w:rFonts w:cs="Arial"/>
          <w:sz w:val="21"/>
          <w:szCs w:val="21"/>
        </w:rPr>
      </w:pPr>
    </w:p>
    <w:p w:rsidR="00C47D81" w:rsidRDefault="00E63B15" w:rsidP="002C79B7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However, i</w:t>
      </w:r>
      <w:r w:rsidR="00B60563">
        <w:rPr>
          <w:rFonts w:cs="Arial"/>
          <w:sz w:val="21"/>
          <w:szCs w:val="21"/>
        </w:rPr>
        <w:t>t is important to understand, i</w:t>
      </w:r>
      <w:r w:rsidR="00D209A4">
        <w:rPr>
          <w:rFonts w:cs="Arial"/>
          <w:sz w:val="21"/>
          <w:szCs w:val="21"/>
        </w:rPr>
        <w:t>n some cases</w:t>
      </w:r>
      <w:r w:rsidR="00B60563">
        <w:rPr>
          <w:rFonts w:cs="Arial"/>
          <w:sz w:val="21"/>
          <w:szCs w:val="21"/>
        </w:rPr>
        <w:t>,</w:t>
      </w:r>
      <w:r w:rsidR="00D209A4">
        <w:rPr>
          <w:rFonts w:cs="Arial"/>
          <w:sz w:val="21"/>
          <w:szCs w:val="21"/>
        </w:rPr>
        <w:t xml:space="preserve"> the </w:t>
      </w:r>
      <w:r w:rsidR="00B60563">
        <w:rPr>
          <w:rFonts w:cs="Arial"/>
          <w:sz w:val="21"/>
          <w:szCs w:val="21"/>
        </w:rPr>
        <w:t xml:space="preserve">EGR </w:t>
      </w:r>
      <w:r w:rsidR="00D209A4">
        <w:rPr>
          <w:rFonts w:cs="Arial"/>
          <w:sz w:val="21"/>
          <w:szCs w:val="21"/>
        </w:rPr>
        <w:t xml:space="preserve">electronic actuator </w:t>
      </w:r>
      <w:r w:rsidR="00B60563">
        <w:rPr>
          <w:rFonts w:cs="Arial"/>
          <w:sz w:val="21"/>
          <w:szCs w:val="21"/>
        </w:rPr>
        <w:t>is</w:t>
      </w:r>
      <w:r w:rsidR="00D209A4">
        <w:rPr>
          <w:rFonts w:cs="Arial"/>
          <w:sz w:val="21"/>
          <w:szCs w:val="21"/>
        </w:rPr>
        <w:t xml:space="preserve"> integrated with the EGR valve</w:t>
      </w:r>
      <w:r w:rsidR="00B60563">
        <w:rPr>
          <w:rFonts w:cs="Arial"/>
          <w:sz w:val="21"/>
          <w:szCs w:val="21"/>
        </w:rPr>
        <w:t xml:space="preserve">. In </w:t>
      </w:r>
      <w:r w:rsidR="00D209A4">
        <w:rPr>
          <w:rFonts w:cs="Arial"/>
          <w:sz w:val="21"/>
          <w:szCs w:val="21"/>
        </w:rPr>
        <w:t>these cases</w:t>
      </w:r>
      <w:r w:rsidR="00B60563">
        <w:rPr>
          <w:rFonts w:cs="Arial"/>
          <w:sz w:val="21"/>
          <w:szCs w:val="21"/>
        </w:rPr>
        <w:t>,</w:t>
      </w:r>
      <w:r w:rsidR="00D209A4">
        <w:rPr>
          <w:rFonts w:cs="Arial"/>
          <w:sz w:val="21"/>
          <w:szCs w:val="21"/>
        </w:rPr>
        <w:t xml:space="preserve"> the entire </w:t>
      </w:r>
      <w:r w:rsidR="00B60563">
        <w:rPr>
          <w:rFonts w:cs="Arial"/>
          <w:sz w:val="21"/>
          <w:szCs w:val="21"/>
        </w:rPr>
        <w:t xml:space="preserve">EGR </w:t>
      </w:r>
      <w:r w:rsidR="00D209A4">
        <w:rPr>
          <w:rFonts w:cs="Arial"/>
          <w:sz w:val="21"/>
          <w:szCs w:val="21"/>
        </w:rPr>
        <w:t xml:space="preserve">assembly </w:t>
      </w:r>
      <w:r w:rsidR="00B60563">
        <w:rPr>
          <w:rFonts w:cs="Arial"/>
          <w:sz w:val="21"/>
          <w:szCs w:val="21"/>
        </w:rPr>
        <w:t xml:space="preserve">(EGR electronic actuator and EGR valve) </w:t>
      </w:r>
      <w:r w:rsidR="00D209A4">
        <w:rPr>
          <w:rFonts w:cs="Arial"/>
          <w:sz w:val="21"/>
          <w:szCs w:val="21"/>
        </w:rPr>
        <w:t>would need to be replaced according to the intervals described above.</w:t>
      </w:r>
      <w:r w:rsidR="004243CD">
        <w:rPr>
          <w:rFonts w:cs="Arial"/>
          <w:sz w:val="21"/>
          <w:szCs w:val="21"/>
        </w:rPr>
        <w:t xml:space="preserve"> Note: There </w:t>
      </w:r>
      <w:r>
        <w:rPr>
          <w:rFonts w:cs="Arial"/>
          <w:sz w:val="21"/>
          <w:szCs w:val="21"/>
        </w:rPr>
        <w:t>are</w:t>
      </w:r>
      <w:r w:rsidR="004243CD">
        <w:rPr>
          <w:rFonts w:cs="Arial"/>
          <w:sz w:val="21"/>
          <w:szCs w:val="21"/>
        </w:rPr>
        <w:t xml:space="preserve"> no inte</w:t>
      </w:r>
      <w:r>
        <w:rPr>
          <w:rFonts w:cs="Arial"/>
          <w:sz w:val="21"/>
          <w:szCs w:val="21"/>
        </w:rPr>
        <w:t>gration issues with turbocharger actuators or sensors</w:t>
      </w:r>
      <w:r w:rsidR="004243CD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 xml:space="preserve"> These parts can be changed without changing the turbocharger.</w:t>
      </w:r>
    </w:p>
    <w:p w:rsidR="009A2CC3" w:rsidRDefault="009A2CC3" w:rsidP="002C79B7">
      <w:pPr>
        <w:rPr>
          <w:rFonts w:cs="Arial"/>
          <w:sz w:val="21"/>
          <w:szCs w:val="21"/>
        </w:rPr>
      </w:pPr>
    </w:p>
    <w:p w:rsidR="00A150C7" w:rsidRPr="000724D5" w:rsidRDefault="00A503B0" w:rsidP="002C79B7">
      <w:pPr>
        <w:spacing w:after="200"/>
        <w:ind w:right="0"/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We appreciate this opportunity to provide ARB with our perspective.</w:t>
      </w:r>
      <w:r w:rsidR="00A150C7" w:rsidRPr="000724D5">
        <w:rPr>
          <w:rFonts w:cs="Arial"/>
          <w:sz w:val="21"/>
          <w:szCs w:val="21"/>
        </w:rPr>
        <w:t xml:space="preserve"> </w:t>
      </w:r>
      <w:r w:rsidR="00E03CA6" w:rsidRPr="000724D5">
        <w:rPr>
          <w:rFonts w:cs="Arial"/>
          <w:sz w:val="21"/>
          <w:szCs w:val="21"/>
        </w:rPr>
        <w:t xml:space="preserve"> Please let me know if you have any questions.  Thank you for your consideration.</w:t>
      </w:r>
    </w:p>
    <w:p w:rsidR="006D064D" w:rsidRPr="000724D5" w:rsidRDefault="006D064D" w:rsidP="002C79B7">
      <w:pPr>
        <w:rPr>
          <w:rFonts w:cs="Arial"/>
          <w:sz w:val="21"/>
          <w:szCs w:val="21"/>
        </w:rPr>
      </w:pPr>
    </w:p>
    <w:p w:rsidR="000356D4" w:rsidRPr="000724D5" w:rsidRDefault="000356D4" w:rsidP="002C79B7">
      <w:pPr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Sincerely,</w:t>
      </w:r>
    </w:p>
    <w:p w:rsidR="000356D4" w:rsidRPr="000724D5" w:rsidRDefault="002A46E3" w:rsidP="002C79B7">
      <w:pPr>
        <w:rPr>
          <w:rFonts w:cs="Arial"/>
          <w:sz w:val="21"/>
          <w:szCs w:val="21"/>
        </w:rPr>
      </w:pPr>
      <w:r w:rsidRPr="000724D5">
        <w:rPr>
          <w:rFonts w:cs="Arial"/>
          <w:noProof/>
          <w:sz w:val="21"/>
          <w:szCs w:val="21"/>
          <w:lang w:eastAsia="zh-CN" w:bidi="th-TH"/>
        </w:rPr>
        <w:drawing>
          <wp:inline distT="0" distB="0" distL="0" distR="0" wp14:anchorId="77AAD92B" wp14:editId="705A4985">
            <wp:extent cx="1652848" cy="47977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ika sig.pf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74" cy="4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6D4" w:rsidRPr="000724D5" w:rsidRDefault="00532BCD" w:rsidP="002C79B7">
      <w:pPr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Erika Nielsen</w:t>
      </w:r>
    </w:p>
    <w:p w:rsidR="00532BCD" w:rsidRPr="000724D5" w:rsidRDefault="00532BCD" w:rsidP="002C79B7">
      <w:pPr>
        <w:rPr>
          <w:rFonts w:cs="Arial"/>
          <w:sz w:val="21"/>
          <w:szCs w:val="21"/>
        </w:rPr>
      </w:pPr>
      <w:r w:rsidRPr="000724D5">
        <w:rPr>
          <w:rFonts w:cs="Arial"/>
          <w:sz w:val="21"/>
          <w:szCs w:val="21"/>
        </w:rPr>
        <w:t>Director, Global Government Affairs</w:t>
      </w:r>
    </w:p>
    <w:p w:rsidR="00532BCD" w:rsidRPr="00B45295" w:rsidRDefault="00532BCD" w:rsidP="002C79B7">
      <w:pPr>
        <w:rPr>
          <w:rFonts w:cs="Arial"/>
          <w:sz w:val="21"/>
          <w:szCs w:val="21"/>
        </w:rPr>
      </w:pPr>
      <w:r w:rsidRPr="00B45295">
        <w:rPr>
          <w:rFonts w:cs="Arial"/>
          <w:sz w:val="21"/>
          <w:szCs w:val="21"/>
        </w:rPr>
        <w:t>BorgWarner Inc.</w:t>
      </w:r>
    </w:p>
    <w:p w:rsidR="00532BCD" w:rsidRPr="00B45295" w:rsidRDefault="00532BCD" w:rsidP="002C79B7">
      <w:pPr>
        <w:rPr>
          <w:rFonts w:cs="Arial"/>
          <w:sz w:val="21"/>
          <w:szCs w:val="21"/>
        </w:rPr>
      </w:pPr>
      <w:r w:rsidRPr="00B45295">
        <w:rPr>
          <w:rFonts w:cs="Arial"/>
          <w:sz w:val="21"/>
          <w:szCs w:val="21"/>
        </w:rPr>
        <w:t>enielsen@borgwarner.com</w:t>
      </w:r>
      <w:r w:rsidR="0069150B" w:rsidRPr="00B45295">
        <w:rPr>
          <w:rFonts w:cs="Arial"/>
          <w:sz w:val="21"/>
          <w:szCs w:val="21"/>
        </w:rPr>
        <w:t xml:space="preserve"> </w:t>
      </w:r>
    </w:p>
    <w:p w:rsidR="00532BCD" w:rsidRPr="00B45295" w:rsidRDefault="00532BCD" w:rsidP="002C79B7">
      <w:pPr>
        <w:rPr>
          <w:rFonts w:cs="Arial"/>
          <w:sz w:val="21"/>
          <w:szCs w:val="21"/>
        </w:rPr>
      </w:pPr>
      <w:r w:rsidRPr="00B45295">
        <w:rPr>
          <w:rFonts w:cs="Arial"/>
          <w:sz w:val="21"/>
          <w:szCs w:val="21"/>
        </w:rPr>
        <w:t>Tel: 248-754-0422</w:t>
      </w:r>
    </w:p>
    <w:p w:rsidR="000069CC" w:rsidRPr="00B45295" w:rsidRDefault="000069CC" w:rsidP="002C79B7">
      <w:pPr>
        <w:rPr>
          <w:rFonts w:cs="Arial"/>
          <w:sz w:val="21"/>
          <w:szCs w:val="21"/>
        </w:rPr>
      </w:pPr>
    </w:p>
    <w:p w:rsidR="00CC02B0" w:rsidRPr="00B45295" w:rsidRDefault="00CC02B0" w:rsidP="002C79B7">
      <w:pPr>
        <w:rPr>
          <w:rFonts w:cs="Arial"/>
          <w:sz w:val="21"/>
          <w:szCs w:val="21"/>
        </w:rPr>
      </w:pPr>
    </w:p>
    <w:p w:rsidR="00CC02B0" w:rsidRPr="00B45295" w:rsidRDefault="00CC02B0" w:rsidP="002C79B7">
      <w:pPr>
        <w:rPr>
          <w:rFonts w:cs="Arial"/>
          <w:sz w:val="21"/>
          <w:szCs w:val="21"/>
        </w:rPr>
      </w:pPr>
      <w:r w:rsidRPr="00B45295">
        <w:rPr>
          <w:rFonts w:cs="Arial"/>
          <w:sz w:val="21"/>
          <w:szCs w:val="21"/>
        </w:rPr>
        <w:t xml:space="preserve">Cc: </w:t>
      </w:r>
      <w:r w:rsidR="00B45295">
        <w:rPr>
          <w:rFonts w:cs="Arial"/>
          <w:sz w:val="21"/>
          <w:szCs w:val="21"/>
        </w:rPr>
        <w:t xml:space="preserve">Jeff Lowry, </w:t>
      </w:r>
      <w:r w:rsidRPr="00B45295">
        <w:rPr>
          <w:rFonts w:cs="Arial"/>
          <w:sz w:val="21"/>
          <w:szCs w:val="21"/>
        </w:rPr>
        <w:t>Ronald Haste</w:t>
      </w:r>
      <w:bookmarkStart w:id="0" w:name="_GoBack"/>
      <w:bookmarkEnd w:id="0"/>
    </w:p>
    <w:sectPr w:rsidR="00CC02B0" w:rsidRPr="00B45295" w:rsidSect="00E96F5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985" w:right="1440" w:bottom="1440" w:left="1440" w:header="540" w:footer="72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6D" w:rsidRDefault="007E246D" w:rsidP="003937BB">
      <w:r>
        <w:separator/>
      </w:r>
    </w:p>
  </w:endnote>
  <w:endnote w:type="continuationSeparator" w:id="0">
    <w:p w:rsidR="007E246D" w:rsidRDefault="007E246D" w:rsidP="0039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1"/>
        <w:szCs w:val="21"/>
      </w:rPr>
      <w:id w:val="17222458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65B" w:rsidRPr="0029365B" w:rsidRDefault="0029365B">
        <w:pPr>
          <w:pStyle w:val="Footer"/>
          <w:jc w:val="center"/>
          <w:rPr>
            <w:sz w:val="21"/>
            <w:szCs w:val="21"/>
          </w:rPr>
        </w:pPr>
        <w:r w:rsidRPr="0029365B">
          <w:rPr>
            <w:sz w:val="21"/>
            <w:szCs w:val="21"/>
          </w:rPr>
          <w:fldChar w:fldCharType="begin"/>
        </w:r>
        <w:r w:rsidRPr="0029365B">
          <w:rPr>
            <w:sz w:val="21"/>
            <w:szCs w:val="21"/>
          </w:rPr>
          <w:instrText xml:space="preserve"> PAGE   \* MERGEFORMAT </w:instrText>
        </w:r>
        <w:r w:rsidRPr="0029365B">
          <w:rPr>
            <w:sz w:val="21"/>
            <w:szCs w:val="21"/>
          </w:rPr>
          <w:fldChar w:fldCharType="separate"/>
        </w:r>
        <w:r w:rsidR="00B45295">
          <w:rPr>
            <w:noProof/>
            <w:sz w:val="21"/>
            <w:szCs w:val="21"/>
          </w:rPr>
          <w:t>2</w:t>
        </w:r>
        <w:r w:rsidRPr="0029365B">
          <w:rPr>
            <w:noProof/>
            <w:sz w:val="21"/>
            <w:szCs w:val="21"/>
          </w:rPr>
          <w:fldChar w:fldCharType="end"/>
        </w:r>
      </w:p>
    </w:sdtContent>
  </w:sdt>
  <w:p w:rsidR="0029365B" w:rsidRPr="0029365B" w:rsidRDefault="0029365B">
    <w:pPr>
      <w:pStyle w:val="Foo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CF" w:rsidRPr="005C7B5A" w:rsidRDefault="00756FCF" w:rsidP="003937BB">
    <w:pPr>
      <w:pStyle w:val="Footer"/>
      <w:rPr>
        <w:color w:val="505050"/>
        <w:sz w:val="14"/>
      </w:rPr>
    </w:pPr>
  </w:p>
  <w:p w:rsidR="00756FCF" w:rsidRPr="00DB489D" w:rsidRDefault="00756FCF" w:rsidP="003937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6D" w:rsidRDefault="007E246D" w:rsidP="003937BB">
      <w:r>
        <w:separator/>
      </w:r>
    </w:p>
  </w:footnote>
  <w:footnote w:type="continuationSeparator" w:id="0">
    <w:p w:rsidR="007E246D" w:rsidRDefault="007E246D" w:rsidP="0039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4968"/>
      <w:gridCol w:w="3978"/>
    </w:tblGrid>
    <w:tr w:rsidR="00756FCF">
      <w:tc>
        <w:tcPr>
          <w:tcW w:w="4968" w:type="dxa"/>
        </w:tcPr>
        <w:p w:rsidR="00756FCF" w:rsidRDefault="00756FCF" w:rsidP="003937BB"/>
      </w:tc>
      <w:tc>
        <w:tcPr>
          <w:tcW w:w="3978" w:type="dxa"/>
        </w:tcPr>
        <w:p w:rsidR="00756FCF" w:rsidRDefault="00756FCF" w:rsidP="003937BB">
          <w:r>
            <w:rPr>
              <w:noProof/>
              <w:lang w:eastAsia="zh-CN" w:bidi="th-TH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114300</wp:posOffset>
                </wp:positionV>
                <wp:extent cx="2014855" cy="254000"/>
                <wp:effectExtent l="19050" t="0" r="4445" b="0"/>
                <wp:wrapSquare wrapText="bothSides"/>
                <wp:docPr id="2" name="Picture 35" descr="BorgWarner 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BorgWarner 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485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56FCF">
      <w:trPr>
        <w:trHeight w:hRule="exact" w:val="576"/>
      </w:trPr>
      <w:tc>
        <w:tcPr>
          <w:tcW w:w="4968" w:type="dxa"/>
        </w:tcPr>
        <w:p w:rsidR="00756FCF" w:rsidRDefault="00756FCF" w:rsidP="003937BB"/>
      </w:tc>
      <w:tc>
        <w:tcPr>
          <w:tcW w:w="3978" w:type="dxa"/>
        </w:tcPr>
        <w:p w:rsidR="00756FCF" w:rsidRDefault="00756FCF" w:rsidP="003937BB"/>
      </w:tc>
    </w:tr>
  </w:tbl>
  <w:p w:rsidR="00756FCF" w:rsidRDefault="00756FCF" w:rsidP="003937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5" w:type="dxa"/>
      <w:tblBorders>
        <w:top w:val="single" w:sz="4" w:space="0" w:color="auto"/>
      </w:tblBorders>
      <w:tblLayout w:type="fixed"/>
      <w:tblCellMar>
        <w:top w:w="144" w:type="dxa"/>
        <w:left w:w="115" w:type="dxa"/>
        <w:right w:w="115" w:type="dxa"/>
      </w:tblCellMar>
      <w:tblLook w:val="00A0" w:firstRow="1" w:lastRow="0" w:firstColumn="1" w:lastColumn="0" w:noHBand="0" w:noVBand="0"/>
    </w:tblPr>
    <w:tblGrid>
      <w:gridCol w:w="1800"/>
      <w:gridCol w:w="3060"/>
      <w:gridCol w:w="1890"/>
      <w:gridCol w:w="1800"/>
      <w:gridCol w:w="1915"/>
    </w:tblGrid>
    <w:tr w:rsidR="00756FCF" w:rsidRPr="005C7B5A">
      <w:trPr>
        <w:trHeight w:hRule="exact" w:val="1253"/>
      </w:trPr>
      <w:tc>
        <w:tcPr>
          <w:tcW w:w="1800" w:type="dxa"/>
          <w:tcBorders>
            <w:top w:val="single" w:sz="4" w:space="0" w:color="505050"/>
          </w:tcBorders>
        </w:tcPr>
        <w:p w:rsidR="00756FCF" w:rsidRPr="005C7B5A" w:rsidRDefault="00756FCF" w:rsidP="00E56F79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>BorgWarner Inc.</w:t>
          </w:r>
        </w:p>
        <w:p w:rsidR="00756FCF" w:rsidRPr="005C7B5A" w:rsidRDefault="00756FCF" w:rsidP="00E56F79">
          <w:pPr>
            <w:rPr>
              <w:color w:val="505050"/>
              <w:sz w:val="14"/>
            </w:rPr>
          </w:pPr>
        </w:p>
      </w:tc>
      <w:tc>
        <w:tcPr>
          <w:tcW w:w="3060" w:type="dxa"/>
          <w:tcBorders>
            <w:top w:val="single" w:sz="4" w:space="0" w:color="505050"/>
          </w:tcBorders>
          <w:tcMar>
            <w:left w:w="72" w:type="dxa"/>
            <w:right w:w="0" w:type="dxa"/>
          </w:tcMar>
        </w:tcPr>
        <w:p w:rsidR="00756FCF" w:rsidRPr="005C7B5A" w:rsidRDefault="00756FCF" w:rsidP="00E56F79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 xml:space="preserve">   </w:t>
          </w:r>
        </w:p>
      </w:tc>
      <w:tc>
        <w:tcPr>
          <w:tcW w:w="1890" w:type="dxa"/>
          <w:tcBorders>
            <w:top w:val="single" w:sz="4" w:space="0" w:color="505050"/>
          </w:tcBorders>
          <w:tcMar>
            <w:left w:w="0" w:type="dxa"/>
            <w:right w:w="0" w:type="dxa"/>
          </w:tcMar>
        </w:tcPr>
        <w:p w:rsidR="00756FCF" w:rsidRPr="005C7B5A" w:rsidRDefault="00756FCF" w:rsidP="00E56F79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>World Headquarters</w:t>
          </w:r>
        </w:p>
      </w:tc>
      <w:tc>
        <w:tcPr>
          <w:tcW w:w="1800" w:type="dxa"/>
          <w:tcBorders>
            <w:top w:val="single" w:sz="4" w:space="0" w:color="505050"/>
          </w:tcBorders>
          <w:tcMar>
            <w:left w:w="0" w:type="dxa"/>
          </w:tcMar>
        </w:tcPr>
        <w:p w:rsidR="00756FCF" w:rsidRPr="005C7B5A" w:rsidRDefault="00756FCF" w:rsidP="00E56F79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>3850 Hamlin Road</w:t>
          </w:r>
        </w:p>
        <w:p w:rsidR="00756FCF" w:rsidRPr="005C7B5A" w:rsidRDefault="00756FCF" w:rsidP="00E56F79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>Auburn Hills</w:t>
          </w:r>
        </w:p>
        <w:p w:rsidR="00756FCF" w:rsidRPr="005C7B5A" w:rsidRDefault="00756FCF" w:rsidP="00E56F79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>Michigan 48326, USA</w:t>
          </w:r>
        </w:p>
      </w:tc>
      <w:tc>
        <w:tcPr>
          <w:tcW w:w="1915" w:type="dxa"/>
          <w:tcBorders>
            <w:top w:val="single" w:sz="4" w:space="0" w:color="505050"/>
          </w:tcBorders>
          <w:shd w:val="clear" w:color="auto" w:fill="auto"/>
          <w:tcMar>
            <w:left w:w="72" w:type="dxa"/>
          </w:tcMar>
        </w:tcPr>
        <w:p w:rsidR="00756FCF" w:rsidRPr="005C7B5A" w:rsidRDefault="00756FCF" w:rsidP="005D6B22">
          <w:pPr>
            <w:rPr>
              <w:color w:val="505050"/>
              <w:sz w:val="14"/>
            </w:rPr>
          </w:pPr>
          <w:r w:rsidRPr="005C7B5A">
            <w:rPr>
              <w:color w:val="505050"/>
              <w:sz w:val="14"/>
            </w:rPr>
            <w:t>Tel: +1 248-754-</w:t>
          </w:r>
          <w:r w:rsidR="005D6B22">
            <w:rPr>
              <w:color w:val="505050"/>
              <w:sz w:val="14"/>
            </w:rPr>
            <w:t>0422</w:t>
          </w:r>
        </w:p>
      </w:tc>
    </w:tr>
    <w:tr w:rsidR="00756FCF">
      <w:trPr>
        <w:trHeight w:hRule="exact" w:val="648"/>
      </w:trPr>
      <w:tc>
        <w:tcPr>
          <w:tcW w:w="4860" w:type="dxa"/>
          <w:gridSpan w:val="2"/>
          <w:vAlign w:val="bottom"/>
        </w:tcPr>
        <w:p w:rsidR="00756FCF" w:rsidRDefault="00756FCF" w:rsidP="003937BB"/>
      </w:tc>
      <w:tc>
        <w:tcPr>
          <w:tcW w:w="5605" w:type="dxa"/>
          <w:gridSpan w:val="3"/>
          <w:tcMar>
            <w:top w:w="0" w:type="dxa"/>
            <w:left w:w="0" w:type="dxa"/>
            <w:right w:w="0" w:type="dxa"/>
          </w:tcMar>
        </w:tcPr>
        <w:p w:rsidR="00756FCF" w:rsidRDefault="00756FCF" w:rsidP="003937BB">
          <w:r>
            <w:rPr>
              <w:noProof/>
              <w:lang w:eastAsia="zh-CN" w:bidi="th-TH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2008505" cy="254000"/>
                <wp:effectExtent l="19050" t="0" r="0" b="0"/>
                <wp:wrapTopAndBottom/>
                <wp:docPr id="12" name="Picture 34" descr="BorgWarner Logo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 descr="BorgWarner Logo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505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56FCF" w:rsidRDefault="00756FCF" w:rsidP="003937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2BF9"/>
    <w:multiLevelType w:val="hybridMultilevel"/>
    <w:tmpl w:val="756AEDC4"/>
    <w:lvl w:ilvl="0" w:tplc="59020E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C6F"/>
    <w:multiLevelType w:val="hybridMultilevel"/>
    <w:tmpl w:val="FFC6E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318C2"/>
    <w:multiLevelType w:val="hybridMultilevel"/>
    <w:tmpl w:val="03EE1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B54D0"/>
    <w:multiLevelType w:val="hybridMultilevel"/>
    <w:tmpl w:val="4B32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0519A"/>
    <w:multiLevelType w:val="hybridMultilevel"/>
    <w:tmpl w:val="2210492E"/>
    <w:lvl w:ilvl="0" w:tplc="3F04F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1E12"/>
    <w:multiLevelType w:val="hybridMultilevel"/>
    <w:tmpl w:val="3426F6D0"/>
    <w:lvl w:ilvl="0" w:tplc="59020E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D6028"/>
    <w:multiLevelType w:val="hybridMultilevel"/>
    <w:tmpl w:val="5D3C1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B19A3"/>
    <w:multiLevelType w:val="hybridMultilevel"/>
    <w:tmpl w:val="7B8E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87D6A"/>
    <w:multiLevelType w:val="hybridMultilevel"/>
    <w:tmpl w:val="CC18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2190"/>
    <w:multiLevelType w:val="hybridMultilevel"/>
    <w:tmpl w:val="B496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7433"/>
    <w:multiLevelType w:val="hybridMultilevel"/>
    <w:tmpl w:val="7B8E8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C7BF4"/>
    <w:multiLevelType w:val="hybridMultilevel"/>
    <w:tmpl w:val="0F28F1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513BC"/>
    <w:multiLevelType w:val="hybridMultilevel"/>
    <w:tmpl w:val="B0B49D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C13E97"/>
    <w:multiLevelType w:val="hybridMultilevel"/>
    <w:tmpl w:val="A396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90C9D"/>
    <w:multiLevelType w:val="hybridMultilevel"/>
    <w:tmpl w:val="C7E65362"/>
    <w:lvl w:ilvl="0" w:tplc="58C2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4319F4"/>
    <w:multiLevelType w:val="hybridMultilevel"/>
    <w:tmpl w:val="D314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9B04">
      <w:start w:val="1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B7CAD"/>
    <w:multiLevelType w:val="hybridMultilevel"/>
    <w:tmpl w:val="5A1A3224"/>
    <w:lvl w:ilvl="0" w:tplc="59020E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A00C6D"/>
    <w:multiLevelType w:val="hybridMultilevel"/>
    <w:tmpl w:val="631C7EB8"/>
    <w:lvl w:ilvl="0" w:tplc="FA5AF34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4238AE"/>
    <w:multiLevelType w:val="hybridMultilevel"/>
    <w:tmpl w:val="7578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9B196C"/>
    <w:multiLevelType w:val="hybridMultilevel"/>
    <w:tmpl w:val="AF04A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B9101E"/>
    <w:multiLevelType w:val="hybridMultilevel"/>
    <w:tmpl w:val="11E4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EC73D3"/>
    <w:multiLevelType w:val="hybridMultilevel"/>
    <w:tmpl w:val="48E25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12965"/>
    <w:multiLevelType w:val="hybridMultilevel"/>
    <w:tmpl w:val="7764B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11477"/>
    <w:multiLevelType w:val="hybridMultilevel"/>
    <w:tmpl w:val="B680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105C0"/>
    <w:multiLevelType w:val="hybridMultilevel"/>
    <w:tmpl w:val="7032AF38"/>
    <w:lvl w:ilvl="0" w:tplc="D598D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C0EFA"/>
    <w:multiLevelType w:val="hybridMultilevel"/>
    <w:tmpl w:val="C860A932"/>
    <w:lvl w:ilvl="0" w:tplc="A37C3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01D6E"/>
    <w:multiLevelType w:val="hybridMultilevel"/>
    <w:tmpl w:val="5AE217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63D07"/>
    <w:multiLevelType w:val="hybridMultilevel"/>
    <w:tmpl w:val="72A0F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FD6459"/>
    <w:multiLevelType w:val="hybridMultilevel"/>
    <w:tmpl w:val="127EE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90650"/>
    <w:multiLevelType w:val="hybridMultilevel"/>
    <w:tmpl w:val="C5A03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8"/>
  </w:num>
  <w:num w:numId="5">
    <w:abstractNumId w:val="9"/>
  </w:num>
  <w:num w:numId="6">
    <w:abstractNumId w:val="14"/>
  </w:num>
  <w:num w:numId="7">
    <w:abstractNumId w:val="4"/>
  </w:num>
  <w:num w:numId="8">
    <w:abstractNumId w:val="24"/>
  </w:num>
  <w:num w:numId="9">
    <w:abstractNumId w:val="22"/>
  </w:num>
  <w:num w:numId="10">
    <w:abstractNumId w:val="7"/>
  </w:num>
  <w:num w:numId="11">
    <w:abstractNumId w:val="10"/>
  </w:num>
  <w:num w:numId="12">
    <w:abstractNumId w:val="2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27"/>
  </w:num>
  <w:num w:numId="17">
    <w:abstractNumId w:val="6"/>
  </w:num>
  <w:num w:numId="18">
    <w:abstractNumId w:val="17"/>
  </w:num>
  <w:num w:numId="19">
    <w:abstractNumId w:val="15"/>
  </w:num>
  <w:num w:numId="20">
    <w:abstractNumId w:val="26"/>
  </w:num>
  <w:num w:numId="21">
    <w:abstractNumId w:val="13"/>
  </w:num>
  <w:num w:numId="22">
    <w:abstractNumId w:val="21"/>
  </w:num>
  <w:num w:numId="23">
    <w:abstractNumId w:val="19"/>
  </w:num>
  <w:num w:numId="24">
    <w:abstractNumId w:val="29"/>
  </w:num>
  <w:num w:numId="25">
    <w:abstractNumId w:val="11"/>
  </w:num>
  <w:num w:numId="26">
    <w:abstractNumId w:val="8"/>
  </w:num>
  <w:num w:numId="27">
    <w:abstractNumId w:val="5"/>
  </w:num>
  <w:num w:numId="28">
    <w:abstractNumId w:val="0"/>
  </w:num>
  <w:num w:numId="29">
    <w:abstractNumId w:val="28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llett, Scott (WHQ)">
    <w15:presenceInfo w15:providerId="AD" w15:userId="S-1-5-21-2887528263-1007100251-665815801-39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179"/>
    <w:rsid w:val="00006258"/>
    <w:rsid w:val="000069CC"/>
    <w:rsid w:val="00010C8F"/>
    <w:rsid w:val="00011411"/>
    <w:rsid w:val="00011B32"/>
    <w:rsid w:val="000144E0"/>
    <w:rsid w:val="00027ADA"/>
    <w:rsid w:val="00030405"/>
    <w:rsid w:val="0003135F"/>
    <w:rsid w:val="000356D4"/>
    <w:rsid w:val="000460B7"/>
    <w:rsid w:val="00053193"/>
    <w:rsid w:val="00054B9E"/>
    <w:rsid w:val="00056783"/>
    <w:rsid w:val="00057CFB"/>
    <w:rsid w:val="00060222"/>
    <w:rsid w:val="00065728"/>
    <w:rsid w:val="00066D66"/>
    <w:rsid w:val="000724D5"/>
    <w:rsid w:val="00072CE6"/>
    <w:rsid w:val="00073A23"/>
    <w:rsid w:val="00080A88"/>
    <w:rsid w:val="00081741"/>
    <w:rsid w:val="000958DE"/>
    <w:rsid w:val="00095E19"/>
    <w:rsid w:val="00097142"/>
    <w:rsid w:val="000A03C4"/>
    <w:rsid w:val="000A2744"/>
    <w:rsid w:val="000A3EAD"/>
    <w:rsid w:val="000A4B48"/>
    <w:rsid w:val="000B25C8"/>
    <w:rsid w:val="000D17A6"/>
    <w:rsid w:val="000D4C20"/>
    <w:rsid w:val="000E0562"/>
    <w:rsid w:val="000E2D9D"/>
    <w:rsid w:val="000E36B5"/>
    <w:rsid w:val="000F0721"/>
    <w:rsid w:val="000F19AE"/>
    <w:rsid w:val="000F612A"/>
    <w:rsid w:val="00110B3C"/>
    <w:rsid w:val="00112495"/>
    <w:rsid w:val="0012042A"/>
    <w:rsid w:val="0012233F"/>
    <w:rsid w:val="001263B5"/>
    <w:rsid w:val="001271F3"/>
    <w:rsid w:val="0015099E"/>
    <w:rsid w:val="00154AED"/>
    <w:rsid w:val="001566F2"/>
    <w:rsid w:val="001625FE"/>
    <w:rsid w:val="00172ECF"/>
    <w:rsid w:val="00173E8C"/>
    <w:rsid w:val="001807AE"/>
    <w:rsid w:val="00181F3C"/>
    <w:rsid w:val="00183C47"/>
    <w:rsid w:val="00195977"/>
    <w:rsid w:val="001A15F4"/>
    <w:rsid w:val="001A3FB9"/>
    <w:rsid w:val="001A6D79"/>
    <w:rsid w:val="001B723C"/>
    <w:rsid w:val="001C0F1D"/>
    <w:rsid w:val="001D58F9"/>
    <w:rsid w:val="001D7A70"/>
    <w:rsid w:val="001E3167"/>
    <w:rsid w:val="001E6A4F"/>
    <w:rsid w:val="001F2174"/>
    <w:rsid w:val="002033B1"/>
    <w:rsid w:val="00205E97"/>
    <w:rsid w:val="00214A56"/>
    <w:rsid w:val="00224BA4"/>
    <w:rsid w:val="00241743"/>
    <w:rsid w:val="002422C0"/>
    <w:rsid w:val="0024773C"/>
    <w:rsid w:val="002651AC"/>
    <w:rsid w:val="0027024D"/>
    <w:rsid w:val="002714FC"/>
    <w:rsid w:val="00272D2C"/>
    <w:rsid w:val="0027603A"/>
    <w:rsid w:val="0029365B"/>
    <w:rsid w:val="002A18BB"/>
    <w:rsid w:val="002A20DF"/>
    <w:rsid w:val="002A37E7"/>
    <w:rsid w:val="002A46E3"/>
    <w:rsid w:val="002B30C7"/>
    <w:rsid w:val="002B67AB"/>
    <w:rsid w:val="002C076B"/>
    <w:rsid w:val="002C4120"/>
    <w:rsid w:val="002C68C0"/>
    <w:rsid w:val="002C79B7"/>
    <w:rsid w:val="002D7AC5"/>
    <w:rsid w:val="002E2563"/>
    <w:rsid w:val="002E7E0F"/>
    <w:rsid w:val="002F7503"/>
    <w:rsid w:val="00304E95"/>
    <w:rsid w:val="0030547B"/>
    <w:rsid w:val="00306142"/>
    <w:rsid w:val="0031016A"/>
    <w:rsid w:val="00314B12"/>
    <w:rsid w:val="0032147B"/>
    <w:rsid w:val="0032284E"/>
    <w:rsid w:val="0033264B"/>
    <w:rsid w:val="00334544"/>
    <w:rsid w:val="003348DC"/>
    <w:rsid w:val="00351600"/>
    <w:rsid w:val="00362547"/>
    <w:rsid w:val="003713D8"/>
    <w:rsid w:val="003713ED"/>
    <w:rsid w:val="00374219"/>
    <w:rsid w:val="003751B6"/>
    <w:rsid w:val="00382028"/>
    <w:rsid w:val="0038422A"/>
    <w:rsid w:val="0038453B"/>
    <w:rsid w:val="00385AD9"/>
    <w:rsid w:val="00386035"/>
    <w:rsid w:val="00387492"/>
    <w:rsid w:val="00393143"/>
    <w:rsid w:val="003937BB"/>
    <w:rsid w:val="0039388C"/>
    <w:rsid w:val="003952AC"/>
    <w:rsid w:val="003A75D9"/>
    <w:rsid w:val="003B359E"/>
    <w:rsid w:val="003C14A5"/>
    <w:rsid w:val="003C5682"/>
    <w:rsid w:val="003C5903"/>
    <w:rsid w:val="003D73A3"/>
    <w:rsid w:val="003E7DBC"/>
    <w:rsid w:val="003F0F00"/>
    <w:rsid w:val="003F1B86"/>
    <w:rsid w:val="00407763"/>
    <w:rsid w:val="004078A5"/>
    <w:rsid w:val="004141AA"/>
    <w:rsid w:val="00421C4A"/>
    <w:rsid w:val="004243CD"/>
    <w:rsid w:val="00430B2B"/>
    <w:rsid w:val="004339C6"/>
    <w:rsid w:val="00444CEF"/>
    <w:rsid w:val="00445C00"/>
    <w:rsid w:val="00450EF9"/>
    <w:rsid w:val="00452B45"/>
    <w:rsid w:val="00473A2F"/>
    <w:rsid w:val="00482D4A"/>
    <w:rsid w:val="00484131"/>
    <w:rsid w:val="00492BEF"/>
    <w:rsid w:val="0049373E"/>
    <w:rsid w:val="00494F1C"/>
    <w:rsid w:val="00494F7B"/>
    <w:rsid w:val="004A08D0"/>
    <w:rsid w:val="004B6BCF"/>
    <w:rsid w:val="005016CC"/>
    <w:rsid w:val="00503AAA"/>
    <w:rsid w:val="00504277"/>
    <w:rsid w:val="005071E4"/>
    <w:rsid w:val="00510CD4"/>
    <w:rsid w:val="00513BC7"/>
    <w:rsid w:val="00514DDB"/>
    <w:rsid w:val="00532BCD"/>
    <w:rsid w:val="00533F1F"/>
    <w:rsid w:val="0054475C"/>
    <w:rsid w:val="00550BDE"/>
    <w:rsid w:val="005528A7"/>
    <w:rsid w:val="00552B90"/>
    <w:rsid w:val="00555449"/>
    <w:rsid w:val="0055718B"/>
    <w:rsid w:val="00557E9F"/>
    <w:rsid w:val="00564DF2"/>
    <w:rsid w:val="005654E1"/>
    <w:rsid w:val="005737FF"/>
    <w:rsid w:val="00573A20"/>
    <w:rsid w:val="0058082D"/>
    <w:rsid w:val="0058266C"/>
    <w:rsid w:val="005859F7"/>
    <w:rsid w:val="00591F81"/>
    <w:rsid w:val="00596328"/>
    <w:rsid w:val="00597DD4"/>
    <w:rsid w:val="005A60F0"/>
    <w:rsid w:val="005A7B93"/>
    <w:rsid w:val="005B02A1"/>
    <w:rsid w:val="005B13D0"/>
    <w:rsid w:val="005B21BC"/>
    <w:rsid w:val="005C03FC"/>
    <w:rsid w:val="005C1C86"/>
    <w:rsid w:val="005C1F59"/>
    <w:rsid w:val="005C253D"/>
    <w:rsid w:val="005C31DC"/>
    <w:rsid w:val="005C64DE"/>
    <w:rsid w:val="005C7B5A"/>
    <w:rsid w:val="005D6B22"/>
    <w:rsid w:val="005E05CB"/>
    <w:rsid w:val="005F06C3"/>
    <w:rsid w:val="00610C3E"/>
    <w:rsid w:val="00613F35"/>
    <w:rsid w:val="00621D35"/>
    <w:rsid w:val="006220FC"/>
    <w:rsid w:val="006229A5"/>
    <w:rsid w:val="00624E91"/>
    <w:rsid w:val="006255FD"/>
    <w:rsid w:val="00636A68"/>
    <w:rsid w:val="00655A5F"/>
    <w:rsid w:val="006570B3"/>
    <w:rsid w:val="006612FC"/>
    <w:rsid w:val="006635E5"/>
    <w:rsid w:val="006700A0"/>
    <w:rsid w:val="006768E7"/>
    <w:rsid w:val="00682E08"/>
    <w:rsid w:val="00685E10"/>
    <w:rsid w:val="00686906"/>
    <w:rsid w:val="0069150B"/>
    <w:rsid w:val="006B085A"/>
    <w:rsid w:val="006B4125"/>
    <w:rsid w:val="006B66DB"/>
    <w:rsid w:val="006B6C93"/>
    <w:rsid w:val="006B7999"/>
    <w:rsid w:val="006C225E"/>
    <w:rsid w:val="006C3C7A"/>
    <w:rsid w:val="006D064D"/>
    <w:rsid w:val="006D27F7"/>
    <w:rsid w:val="006E72C6"/>
    <w:rsid w:val="006F49FE"/>
    <w:rsid w:val="006F5373"/>
    <w:rsid w:val="00704E73"/>
    <w:rsid w:val="00710377"/>
    <w:rsid w:val="007138DC"/>
    <w:rsid w:val="007156C9"/>
    <w:rsid w:val="007170D6"/>
    <w:rsid w:val="0073257B"/>
    <w:rsid w:val="00732AE9"/>
    <w:rsid w:val="00736D3C"/>
    <w:rsid w:val="00744F4D"/>
    <w:rsid w:val="00756FCF"/>
    <w:rsid w:val="007639BF"/>
    <w:rsid w:val="00767945"/>
    <w:rsid w:val="0078008F"/>
    <w:rsid w:val="00791FDE"/>
    <w:rsid w:val="00793AC7"/>
    <w:rsid w:val="007A0E52"/>
    <w:rsid w:val="007A5919"/>
    <w:rsid w:val="007B3F67"/>
    <w:rsid w:val="007C0E4B"/>
    <w:rsid w:val="007C40E8"/>
    <w:rsid w:val="007C61A4"/>
    <w:rsid w:val="007D1C89"/>
    <w:rsid w:val="007D484E"/>
    <w:rsid w:val="007E246D"/>
    <w:rsid w:val="007E36FF"/>
    <w:rsid w:val="007E5F22"/>
    <w:rsid w:val="007E755E"/>
    <w:rsid w:val="007F053E"/>
    <w:rsid w:val="007F16B0"/>
    <w:rsid w:val="007F1802"/>
    <w:rsid w:val="00803667"/>
    <w:rsid w:val="008117F4"/>
    <w:rsid w:val="0085433C"/>
    <w:rsid w:val="0086063F"/>
    <w:rsid w:val="00860F8D"/>
    <w:rsid w:val="00866CDD"/>
    <w:rsid w:val="008778DF"/>
    <w:rsid w:val="008838DC"/>
    <w:rsid w:val="00883CD9"/>
    <w:rsid w:val="008863CA"/>
    <w:rsid w:val="00896FB7"/>
    <w:rsid w:val="00897537"/>
    <w:rsid w:val="008979B1"/>
    <w:rsid w:val="008A3A60"/>
    <w:rsid w:val="008A464A"/>
    <w:rsid w:val="008B15DC"/>
    <w:rsid w:val="008B1632"/>
    <w:rsid w:val="008B68C0"/>
    <w:rsid w:val="008C7A3A"/>
    <w:rsid w:val="008E1F50"/>
    <w:rsid w:val="008F1370"/>
    <w:rsid w:val="008F2AEC"/>
    <w:rsid w:val="008F528A"/>
    <w:rsid w:val="0090022B"/>
    <w:rsid w:val="009002B2"/>
    <w:rsid w:val="00914DB8"/>
    <w:rsid w:val="0092711F"/>
    <w:rsid w:val="009321D8"/>
    <w:rsid w:val="00934160"/>
    <w:rsid w:val="00946DBE"/>
    <w:rsid w:val="00955CE8"/>
    <w:rsid w:val="009577F5"/>
    <w:rsid w:val="00960855"/>
    <w:rsid w:val="00972F29"/>
    <w:rsid w:val="00980C58"/>
    <w:rsid w:val="009848F6"/>
    <w:rsid w:val="0099005E"/>
    <w:rsid w:val="00991821"/>
    <w:rsid w:val="00994246"/>
    <w:rsid w:val="009A0A24"/>
    <w:rsid w:val="009A2CC3"/>
    <w:rsid w:val="009A41FC"/>
    <w:rsid w:val="009A677D"/>
    <w:rsid w:val="009B055A"/>
    <w:rsid w:val="009B2D56"/>
    <w:rsid w:val="009C2DAF"/>
    <w:rsid w:val="009D46EF"/>
    <w:rsid w:val="009F550B"/>
    <w:rsid w:val="009F7C68"/>
    <w:rsid w:val="00A00AD5"/>
    <w:rsid w:val="00A047D8"/>
    <w:rsid w:val="00A1104D"/>
    <w:rsid w:val="00A150C7"/>
    <w:rsid w:val="00A2042B"/>
    <w:rsid w:val="00A250F9"/>
    <w:rsid w:val="00A34179"/>
    <w:rsid w:val="00A405EB"/>
    <w:rsid w:val="00A42FE3"/>
    <w:rsid w:val="00A44DF6"/>
    <w:rsid w:val="00A46AED"/>
    <w:rsid w:val="00A4727D"/>
    <w:rsid w:val="00A503B0"/>
    <w:rsid w:val="00A50DEC"/>
    <w:rsid w:val="00A55331"/>
    <w:rsid w:val="00A63487"/>
    <w:rsid w:val="00A64769"/>
    <w:rsid w:val="00A70C1F"/>
    <w:rsid w:val="00A737CC"/>
    <w:rsid w:val="00A80F9A"/>
    <w:rsid w:val="00A8144A"/>
    <w:rsid w:val="00A81479"/>
    <w:rsid w:val="00A83AE1"/>
    <w:rsid w:val="00A8680A"/>
    <w:rsid w:val="00AA2409"/>
    <w:rsid w:val="00AA644F"/>
    <w:rsid w:val="00AA6BB8"/>
    <w:rsid w:val="00AB0D54"/>
    <w:rsid w:val="00AB2662"/>
    <w:rsid w:val="00AB2AC3"/>
    <w:rsid w:val="00AB54A1"/>
    <w:rsid w:val="00AB5E6F"/>
    <w:rsid w:val="00AB62BB"/>
    <w:rsid w:val="00AB649E"/>
    <w:rsid w:val="00AB75B2"/>
    <w:rsid w:val="00AC3C03"/>
    <w:rsid w:val="00AC51E7"/>
    <w:rsid w:val="00AC7C93"/>
    <w:rsid w:val="00AD6D43"/>
    <w:rsid w:val="00AE2E44"/>
    <w:rsid w:val="00AE605F"/>
    <w:rsid w:val="00AE7B77"/>
    <w:rsid w:val="00B033F8"/>
    <w:rsid w:val="00B05F9D"/>
    <w:rsid w:val="00B130A1"/>
    <w:rsid w:val="00B13899"/>
    <w:rsid w:val="00B15D60"/>
    <w:rsid w:val="00B15F49"/>
    <w:rsid w:val="00B25C07"/>
    <w:rsid w:val="00B266F6"/>
    <w:rsid w:val="00B30391"/>
    <w:rsid w:val="00B31465"/>
    <w:rsid w:val="00B32D56"/>
    <w:rsid w:val="00B404BB"/>
    <w:rsid w:val="00B45295"/>
    <w:rsid w:val="00B522B9"/>
    <w:rsid w:val="00B60563"/>
    <w:rsid w:val="00B64831"/>
    <w:rsid w:val="00B81FB9"/>
    <w:rsid w:val="00B83E58"/>
    <w:rsid w:val="00B905A8"/>
    <w:rsid w:val="00B95297"/>
    <w:rsid w:val="00B968DA"/>
    <w:rsid w:val="00B9754C"/>
    <w:rsid w:val="00B97A5C"/>
    <w:rsid w:val="00BA1DBF"/>
    <w:rsid w:val="00BA43D6"/>
    <w:rsid w:val="00BA688C"/>
    <w:rsid w:val="00BB1AD2"/>
    <w:rsid w:val="00BB307A"/>
    <w:rsid w:val="00BB4E9D"/>
    <w:rsid w:val="00BB69D2"/>
    <w:rsid w:val="00BB753E"/>
    <w:rsid w:val="00BB7AEF"/>
    <w:rsid w:val="00BC078D"/>
    <w:rsid w:val="00BC089C"/>
    <w:rsid w:val="00BD0D48"/>
    <w:rsid w:val="00BD1B22"/>
    <w:rsid w:val="00BD1B60"/>
    <w:rsid w:val="00BD1E44"/>
    <w:rsid w:val="00BD1F28"/>
    <w:rsid w:val="00BD5A72"/>
    <w:rsid w:val="00BD622C"/>
    <w:rsid w:val="00BE11AB"/>
    <w:rsid w:val="00BE1E87"/>
    <w:rsid w:val="00BE4F51"/>
    <w:rsid w:val="00BE7300"/>
    <w:rsid w:val="00BF2580"/>
    <w:rsid w:val="00BF25A8"/>
    <w:rsid w:val="00BF7DD5"/>
    <w:rsid w:val="00C07A73"/>
    <w:rsid w:val="00C1218F"/>
    <w:rsid w:val="00C1267A"/>
    <w:rsid w:val="00C14A60"/>
    <w:rsid w:val="00C14CD5"/>
    <w:rsid w:val="00C209B7"/>
    <w:rsid w:val="00C34E61"/>
    <w:rsid w:val="00C43C50"/>
    <w:rsid w:val="00C46382"/>
    <w:rsid w:val="00C47D81"/>
    <w:rsid w:val="00C47E03"/>
    <w:rsid w:val="00C50A10"/>
    <w:rsid w:val="00C52118"/>
    <w:rsid w:val="00C543B2"/>
    <w:rsid w:val="00C55A49"/>
    <w:rsid w:val="00C56D32"/>
    <w:rsid w:val="00C614F7"/>
    <w:rsid w:val="00C73969"/>
    <w:rsid w:val="00C817FE"/>
    <w:rsid w:val="00C81F7F"/>
    <w:rsid w:val="00C94212"/>
    <w:rsid w:val="00C946D6"/>
    <w:rsid w:val="00CA1EAE"/>
    <w:rsid w:val="00CA4B28"/>
    <w:rsid w:val="00CA685D"/>
    <w:rsid w:val="00CA6ADB"/>
    <w:rsid w:val="00CA6E0C"/>
    <w:rsid w:val="00CB22F3"/>
    <w:rsid w:val="00CC02B0"/>
    <w:rsid w:val="00CC5B63"/>
    <w:rsid w:val="00CE1D36"/>
    <w:rsid w:val="00CE23E3"/>
    <w:rsid w:val="00CE4947"/>
    <w:rsid w:val="00CE4B39"/>
    <w:rsid w:val="00CF2123"/>
    <w:rsid w:val="00CF4A8A"/>
    <w:rsid w:val="00D046C1"/>
    <w:rsid w:val="00D146E8"/>
    <w:rsid w:val="00D17D4B"/>
    <w:rsid w:val="00D209A4"/>
    <w:rsid w:val="00D23794"/>
    <w:rsid w:val="00D33A28"/>
    <w:rsid w:val="00D33CE1"/>
    <w:rsid w:val="00D343DA"/>
    <w:rsid w:val="00D409E7"/>
    <w:rsid w:val="00D426DD"/>
    <w:rsid w:val="00D50AE4"/>
    <w:rsid w:val="00D56B7C"/>
    <w:rsid w:val="00D6056A"/>
    <w:rsid w:val="00D62737"/>
    <w:rsid w:val="00D713C4"/>
    <w:rsid w:val="00D74949"/>
    <w:rsid w:val="00D84093"/>
    <w:rsid w:val="00D84B5B"/>
    <w:rsid w:val="00D855A9"/>
    <w:rsid w:val="00D903F0"/>
    <w:rsid w:val="00D916E2"/>
    <w:rsid w:val="00D926A3"/>
    <w:rsid w:val="00DA2C53"/>
    <w:rsid w:val="00DB14EC"/>
    <w:rsid w:val="00DB489D"/>
    <w:rsid w:val="00DB5783"/>
    <w:rsid w:val="00DC577C"/>
    <w:rsid w:val="00DC6E98"/>
    <w:rsid w:val="00DD4F83"/>
    <w:rsid w:val="00DE6C1B"/>
    <w:rsid w:val="00DF03C3"/>
    <w:rsid w:val="00DF16DC"/>
    <w:rsid w:val="00DF5357"/>
    <w:rsid w:val="00DF6526"/>
    <w:rsid w:val="00DF74EA"/>
    <w:rsid w:val="00DF7D49"/>
    <w:rsid w:val="00E00794"/>
    <w:rsid w:val="00E02907"/>
    <w:rsid w:val="00E03CA6"/>
    <w:rsid w:val="00E059F9"/>
    <w:rsid w:val="00E05E7C"/>
    <w:rsid w:val="00E06ADF"/>
    <w:rsid w:val="00E11261"/>
    <w:rsid w:val="00E153A8"/>
    <w:rsid w:val="00E27824"/>
    <w:rsid w:val="00E4040A"/>
    <w:rsid w:val="00E42E58"/>
    <w:rsid w:val="00E43091"/>
    <w:rsid w:val="00E50400"/>
    <w:rsid w:val="00E54AFC"/>
    <w:rsid w:val="00E56F79"/>
    <w:rsid w:val="00E63B15"/>
    <w:rsid w:val="00E651F2"/>
    <w:rsid w:val="00E67CB4"/>
    <w:rsid w:val="00E70FC8"/>
    <w:rsid w:val="00E8045E"/>
    <w:rsid w:val="00E8495D"/>
    <w:rsid w:val="00E93020"/>
    <w:rsid w:val="00E96E45"/>
    <w:rsid w:val="00E96F52"/>
    <w:rsid w:val="00E97F22"/>
    <w:rsid w:val="00EA02BC"/>
    <w:rsid w:val="00EA20AD"/>
    <w:rsid w:val="00EA5626"/>
    <w:rsid w:val="00EC59E3"/>
    <w:rsid w:val="00EC6244"/>
    <w:rsid w:val="00EC6BF1"/>
    <w:rsid w:val="00ED0311"/>
    <w:rsid w:val="00ED1195"/>
    <w:rsid w:val="00ED3DF4"/>
    <w:rsid w:val="00ED71F1"/>
    <w:rsid w:val="00EE24EE"/>
    <w:rsid w:val="00EE2E08"/>
    <w:rsid w:val="00EE417C"/>
    <w:rsid w:val="00EE4F17"/>
    <w:rsid w:val="00EE588C"/>
    <w:rsid w:val="00EE7CB8"/>
    <w:rsid w:val="00EF0932"/>
    <w:rsid w:val="00F00D09"/>
    <w:rsid w:val="00F01FCC"/>
    <w:rsid w:val="00F153FB"/>
    <w:rsid w:val="00F229B9"/>
    <w:rsid w:val="00F2341E"/>
    <w:rsid w:val="00F25F4B"/>
    <w:rsid w:val="00F307D0"/>
    <w:rsid w:val="00F322A5"/>
    <w:rsid w:val="00F45125"/>
    <w:rsid w:val="00F45AF2"/>
    <w:rsid w:val="00F5411F"/>
    <w:rsid w:val="00F57555"/>
    <w:rsid w:val="00F666E0"/>
    <w:rsid w:val="00F744FC"/>
    <w:rsid w:val="00F80F70"/>
    <w:rsid w:val="00F83F60"/>
    <w:rsid w:val="00F90B61"/>
    <w:rsid w:val="00F938DF"/>
    <w:rsid w:val="00F9435D"/>
    <w:rsid w:val="00FA6BBB"/>
    <w:rsid w:val="00FB0367"/>
    <w:rsid w:val="00FB1CCE"/>
    <w:rsid w:val="00FB541A"/>
    <w:rsid w:val="00FD2383"/>
    <w:rsid w:val="00FE4B01"/>
    <w:rsid w:val="00FE690E"/>
    <w:rsid w:val="00FF3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BB"/>
    <w:pPr>
      <w:ind w:right="432"/>
    </w:pPr>
    <w:rPr>
      <w:rFonts w:ascii="Arial" w:hAnsi="Arial"/>
      <w:sz w:val="22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BA43D6"/>
    <w:pPr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sz w:val="27"/>
      <w:szCs w:val="27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68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96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8DA"/>
    <w:pPr>
      <w:tabs>
        <w:tab w:val="center" w:pos="4320"/>
        <w:tab w:val="right" w:pos="8640"/>
      </w:tabs>
    </w:pPr>
  </w:style>
  <w:style w:type="paragraph" w:customStyle="1" w:styleId="HeaderText">
    <w:name w:val="Header Text"/>
    <w:basedOn w:val="Normal"/>
    <w:locked/>
    <w:rsid w:val="00B968D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505050"/>
      <w:sz w:val="14"/>
      <w:szCs w:val="14"/>
    </w:rPr>
  </w:style>
  <w:style w:type="table" w:styleId="TableGrid">
    <w:name w:val="Table Grid"/>
    <w:basedOn w:val="TableNormal"/>
    <w:rsid w:val="00C5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053193"/>
    <w:rPr>
      <w:rFonts w:cs="Times New Roman"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489D"/>
    <w:rPr>
      <w:rFonts w:ascii="Arial" w:hAnsi="Arial"/>
      <w:szCs w:val="24"/>
    </w:rPr>
  </w:style>
  <w:style w:type="character" w:customStyle="1" w:styleId="apple-style-span">
    <w:name w:val="apple-style-span"/>
    <w:basedOn w:val="DefaultParagraphFont"/>
    <w:rsid w:val="000A2744"/>
  </w:style>
  <w:style w:type="character" w:styleId="Hyperlink">
    <w:name w:val="Hyperlink"/>
    <w:basedOn w:val="DefaultParagraphFont"/>
    <w:uiPriority w:val="99"/>
    <w:rsid w:val="00532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7FE"/>
    <w:pPr>
      <w:ind w:left="720"/>
      <w:contextualSpacing/>
    </w:pPr>
  </w:style>
  <w:style w:type="paragraph" w:customStyle="1" w:styleId="p1">
    <w:name w:val="p1"/>
    <w:basedOn w:val="Normal"/>
    <w:rsid w:val="003D73A3"/>
    <w:pPr>
      <w:ind w:right="0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3D73A3"/>
    <w:rPr>
      <w:rFonts w:ascii=".SFUIText-Regular" w:hAnsi=".SFUIText-Regular" w:hint="default"/>
      <w:b w:val="0"/>
      <w:bCs w:val="0"/>
      <w:i w:val="0"/>
      <w:iCs w:val="0"/>
    </w:rPr>
  </w:style>
  <w:style w:type="character" w:styleId="CommentReference">
    <w:name w:val="annotation reference"/>
    <w:basedOn w:val="DefaultParagraphFont"/>
    <w:rsid w:val="008C7A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A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C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A3A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43D6"/>
    <w:rPr>
      <w:b/>
      <w:bCs/>
      <w:sz w:val="27"/>
      <w:szCs w:val="27"/>
      <w:lang w:eastAsia="zh-CN" w:bidi="th-TH"/>
    </w:rPr>
  </w:style>
  <w:style w:type="character" w:customStyle="1" w:styleId="locality">
    <w:name w:val="locality"/>
    <w:basedOn w:val="DefaultParagraphFont"/>
    <w:rsid w:val="00BA43D6"/>
  </w:style>
  <w:style w:type="character" w:customStyle="1" w:styleId="apple-converted-space">
    <w:name w:val="apple-converted-space"/>
    <w:basedOn w:val="DefaultParagraphFont"/>
    <w:rsid w:val="00BA43D6"/>
  </w:style>
  <w:style w:type="character" w:customStyle="1" w:styleId="state">
    <w:name w:val="state"/>
    <w:basedOn w:val="DefaultParagraphFont"/>
    <w:rsid w:val="00BA43D6"/>
  </w:style>
  <w:style w:type="character" w:customStyle="1" w:styleId="postal-code">
    <w:name w:val="postal-code"/>
    <w:basedOn w:val="DefaultParagraphFont"/>
    <w:rsid w:val="00BA43D6"/>
  </w:style>
  <w:style w:type="paragraph" w:customStyle="1" w:styleId="Default">
    <w:name w:val="Default"/>
    <w:rsid w:val="00CC02B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  <w:lang w:bidi="th-TH"/>
    </w:rPr>
  </w:style>
  <w:style w:type="character" w:customStyle="1" w:styleId="A0">
    <w:name w:val="A0"/>
    <w:uiPriority w:val="99"/>
    <w:rsid w:val="00CC02B0"/>
    <w:rPr>
      <w:rFonts w:cs="Futura Std Medium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F2174"/>
    <w:rPr>
      <w:rFonts w:ascii="Arial" w:hAnsi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47D81"/>
    <w:rPr>
      <w:rFonts w:ascii="Arial" w:eastAsiaTheme="minorHAnsi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7BB"/>
    <w:pPr>
      <w:ind w:right="432"/>
    </w:pPr>
    <w:rPr>
      <w:rFonts w:ascii="Arial" w:hAnsi="Arial"/>
      <w:sz w:val="22"/>
      <w:szCs w:val="24"/>
    </w:rPr>
  </w:style>
  <w:style w:type="paragraph" w:styleId="Heading3">
    <w:name w:val="heading 3"/>
    <w:basedOn w:val="Normal"/>
    <w:link w:val="Heading3Char"/>
    <w:uiPriority w:val="9"/>
    <w:qFormat/>
    <w:locked/>
    <w:rsid w:val="00BA43D6"/>
    <w:pPr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sz w:val="27"/>
      <w:szCs w:val="27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968DA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B968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968DA"/>
    <w:pPr>
      <w:tabs>
        <w:tab w:val="center" w:pos="4320"/>
        <w:tab w:val="right" w:pos="8640"/>
      </w:tabs>
    </w:pPr>
  </w:style>
  <w:style w:type="paragraph" w:customStyle="1" w:styleId="HeaderText">
    <w:name w:val="Header Text"/>
    <w:basedOn w:val="Normal"/>
    <w:locked/>
    <w:rsid w:val="00B968DA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505050"/>
      <w:sz w:val="14"/>
      <w:szCs w:val="14"/>
    </w:rPr>
  </w:style>
  <w:style w:type="table" w:styleId="TableGrid">
    <w:name w:val="Table Grid"/>
    <w:basedOn w:val="TableNormal"/>
    <w:rsid w:val="00C52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semiHidden/>
    <w:rsid w:val="00053193"/>
    <w:rPr>
      <w:rFonts w:cs="Times New Roman"/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DB489D"/>
    <w:rPr>
      <w:rFonts w:ascii="Arial" w:hAnsi="Arial"/>
      <w:szCs w:val="24"/>
    </w:rPr>
  </w:style>
  <w:style w:type="character" w:customStyle="1" w:styleId="apple-style-span">
    <w:name w:val="apple-style-span"/>
    <w:basedOn w:val="DefaultParagraphFont"/>
    <w:rsid w:val="000A2744"/>
  </w:style>
  <w:style w:type="character" w:styleId="Hyperlink">
    <w:name w:val="Hyperlink"/>
    <w:basedOn w:val="DefaultParagraphFont"/>
    <w:uiPriority w:val="99"/>
    <w:rsid w:val="00532B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17FE"/>
    <w:pPr>
      <w:ind w:left="720"/>
      <w:contextualSpacing/>
    </w:pPr>
  </w:style>
  <w:style w:type="paragraph" w:customStyle="1" w:styleId="p1">
    <w:name w:val="p1"/>
    <w:basedOn w:val="Normal"/>
    <w:rsid w:val="003D73A3"/>
    <w:pPr>
      <w:ind w:right="0"/>
    </w:pPr>
    <w:rPr>
      <w:rFonts w:ascii=".SF UI Text" w:eastAsiaTheme="minorHAnsi" w:hAnsi=".SF UI Text"/>
      <w:color w:val="454545"/>
      <w:sz w:val="26"/>
      <w:szCs w:val="26"/>
    </w:rPr>
  </w:style>
  <w:style w:type="character" w:customStyle="1" w:styleId="s1">
    <w:name w:val="s1"/>
    <w:basedOn w:val="DefaultParagraphFont"/>
    <w:rsid w:val="003D73A3"/>
    <w:rPr>
      <w:rFonts w:ascii=".SFUIText-Regular" w:hAnsi=".SFUIText-Regular" w:hint="default"/>
      <w:b w:val="0"/>
      <w:bCs w:val="0"/>
      <w:i w:val="0"/>
      <w:iCs w:val="0"/>
    </w:rPr>
  </w:style>
  <w:style w:type="character" w:styleId="CommentReference">
    <w:name w:val="annotation reference"/>
    <w:basedOn w:val="DefaultParagraphFont"/>
    <w:rsid w:val="008C7A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7A3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C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7A3A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BA43D6"/>
    <w:rPr>
      <w:b/>
      <w:bCs/>
      <w:sz w:val="27"/>
      <w:szCs w:val="27"/>
      <w:lang w:eastAsia="zh-CN" w:bidi="th-TH"/>
    </w:rPr>
  </w:style>
  <w:style w:type="character" w:customStyle="1" w:styleId="locality">
    <w:name w:val="locality"/>
    <w:basedOn w:val="DefaultParagraphFont"/>
    <w:rsid w:val="00BA43D6"/>
  </w:style>
  <w:style w:type="character" w:customStyle="1" w:styleId="apple-converted-space">
    <w:name w:val="apple-converted-space"/>
    <w:basedOn w:val="DefaultParagraphFont"/>
    <w:rsid w:val="00BA43D6"/>
  </w:style>
  <w:style w:type="character" w:customStyle="1" w:styleId="state">
    <w:name w:val="state"/>
    <w:basedOn w:val="DefaultParagraphFont"/>
    <w:rsid w:val="00BA43D6"/>
  </w:style>
  <w:style w:type="character" w:customStyle="1" w:styleId="postal-code">
    <w:name w:val="postal-code"/>
    <w:basedOn w:val="DefaultParagraphFont"/>
    <w:rsid w:val="00BA43D6"/>
  </w:style>
  <w:style w:type="paragraph" w:customStyle="1" w:styleId="Default">
    <w:name w:val="Default"/>
    <w:rsid w:val="00CC02B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sz w:val="24"/>
      <w:szCs w:val="24"/>
      <w:lang w:bidi="th-TH"/>
    </w:rPr>
  </w:style>
  <w:style w:type="character" w:customStyle="1" w:styleId="A0">
    <w:name w:val="A0"/>
    <w:uiPriority w:val="99"/>
    <w:rsid w:val="00CC02B0"/>
    <w:rPr>
      <w:rFonts w:cs="Futura Std Medium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1F2174"/>
    <w:rPr>
      <w:rFonts w:ascii="Arial" w:hAnsi="Arial"/>
      <w:sz w:val="22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47D81"/>
    <w:rPr>
      <w:rFonts w:ascii="Arial" w:eastAsiaTheme="minorHAnsi" w:hAnsi="Arial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812F-2E52-4AEE-A69C-F9E944D0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BorgWarner Inc</vt:lpstr>
    </vt:vector>
  </TitlesOfParts>
  <Company>BorgWarner, Inc.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BorgWarner Inc</dc:title>
  <dc:creator>Sue Chartrand</dc:creator>
  <cp:lastModifiedBy>Nielsen, Erika (PTC)</cp:lastModifiedBy>
  <cp:revision>2</cp:revision>
  <cp:lastPrinted>2017-09-08T20:56:00Z</cp:lastPrinted>
  <dcterms:created xsi:type="dcterms:W3CDTF">2018-05-11T18:37:00Z</dcterms:created>
  <dcterms:modified xsi:type="dcterms:W3CDTF">2018-05-11T18:37:00Z</dcterms:modified>
</cp:coreProperties>
</file>