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5F" w:rsidRPr="009D775F" w:rsidRDefault="00C2046F" w:rsidP="009D775F">
      <w:pPr>
        <w:pStyle w:val="WSNormal"/>
        <w:jc w:val="both"/>
      </w:pPr>
      <w:r>
        <w:t>November 1</w:t>
      </w:r>
      <w:r w:rsidR="000D2E29">
        <w:t>3</w:t>
      </w:r>
      <w:r>
        <w:t>, 2015</w:t>
      </w:r>
    </w:p>
    <w:p w:rsidR="009D775F" w:rsidRPr="009D775F" w:rsidRDefault="009D775F" w:rsidP="009D775F">
      <w:pPr>
        <w:pStyle w:val="WSNormal"/>
        <w:jc w:val="both"/>
      </w:pPr>
    </w:p>
    <w:p w:rsidR="00C2046F" w:rsidRDefault="00C2046F" w:rsidP="009D775F">
      <w:pPr>
        <w:pStyle w:val="WSNormal"/>
        <w:jc w:val="both"/>
      </w:pPr>
      <w:r>
        <w:t>Shelby Livingston</w:t>
      </w:r>
    </w:p>
    <w:p w:rsidR="00C2046F" w:rsidRDefault="00C2046F" w:rsidP="009D775F">
      <w:pPr>
        <w:pStyle w:val="WSNormal"/>
        <w:jc w:val="both"/>
      </w:pPr>
      <w:r>
        <w:t>Climate Investments Branch Chief</w:t>
      </w:r>
    </w:p>
    <w:p w:rsidR="009D775F" w:rsidRPr="009D775F" w:rsidRDefault="00C2046F" w:rsidP="009D775F">
      <w:pPr>
        <w:pStyle w:val="WSNormal"/>
        <w:jc w:val="both"/>
      </w:pPr>
      <w:r>
        <w:t>California Air Resources Board</w:t>
      </w:r>
    </w:p>
    <w:p w:rsidR="00C2046F" w:rsidRDefault="00C2046F" w:rsidP="009D775F">
      <w:pPr>
        <w:pStyle w:val="WSNormal"/>
        <w:jc w:val="both"/>
      </w:pPr>
      <w:r>
        <w:t>1001 “I” Street</w:t>
      </w:r>
    </w:p>
    <w:p w:rsidR="009D775F" w:rsidRPr="009D775F" w:rsidRDefault="00C2046F" w:rsidP="009D775F">
      <w:pPr>
        <w:pStyle w:val="WSNormal"/>
        <w:jc w:val="both"/>
      </w:pPr>
      <w:r>
        <w:t>Sacramento, CA 95814</w:t>
      </w:r>
    </w:p>
    <w:p w:rsidR="009D775F" w:rsidRPr="009D775F" w:rsidRDefault="009D775F" w:rsidP="009D775F">
      <w:pPr>
        <w:pStyle w:val="WSNormal"/>
        <w:jc w:val="both"/>
      </w:pPr>
    </w:p>
    <w:p w:rsidR="009D775F" w:rsidRPr="009D775F" w:rsidRDefault="009D775F" w:rsidP="009D775F">
      <w:pPr>
        <w:pStyle w:val="WSNormal"/>
        <w:jc w:val="both"/>
      </w:pPr>
      <w:r w:rsidRPr="009D775F">
        <w:t xml:space="preserve">Dear </w:t>
      </w:r>
      <w:r w:rsidR="00C2046F">
        <w:t>Ms. Livingston</w:t>
      </w:r>
      <w:r w:rsidRPr="009D775F">
        <w:t>,</w:t>
      </w:r>
    </w:p>
    <w:p w:rsidR="009D775F" w:rsidRPr="009D775F" w:rsidRDefault="009D775F" w:rsidP="009D775F">
      <w:pPr>
        <w:pStyle w:val="WSNormal"/>
        <w:jc w:val="both"/>
      </w:pPr>
    </w:p>
    <w:p w:rsidR="001F444A" w:rsidRDefault="00C2046F" w:rsidP="009D775F">
      <w:pPr>
        <w:pStyle w:val="WSNormal"/>
        <w:jc w:val="both"/>
      </w:pPr>
      <w:r>
        <w:t xml:space="preserve">We appreciate the opportunity to submit comments on the Cap-and-Trade Auction Proceeds Second </w:t>
      </w:r>
      <w:r w:rsidR="001A4F64">
        <w:t xml:space="preserve">Draft </w:t>
      </w:r>
      <w:r>
        <w:t>Investment Plan</w:t>
      </w:r>
      <w:r w:rsidR="001A4F64">
        <w:t>: Fiscal Years 2016-17 through 2018-19 (“Plan”)</w:t>
      </w:r>
      <w:r>
        <w:t xml:space="preserve">. </w:t>
      </w:r>
      <w:r w:rsidR="001F444A">
        <w:t xml:space="preserve">We applaud the Cap-and-Trade auction for providing an opportunity for the State to invest in projects that help California achieve its climate goals and provide benefits to disadvantaged communities. We </w:t>
      </w:r>
      <w:r w:rsidR="00050200">
        <w:t>strongly encourage the Investment Plan to recognize</w:t>
      </w:r>
      <w:r w:rsidR="001F444A">
        <w:t xml:space="preserve"> the nexus between water conservation and </w:t>
      </w:r>
      <w:r w:rsidR="00050200">
        <w:t>greenhouse gas (GHG) emission reductions</w:t>
      </w:r>
      <w:r w:rsidR="001F444A">
        <w:t xml:space="preserve">. </w:t>
      </w:r>
    </w:p>
    <w:p w:rsidR="001F444A" w:rsidRDefault="001F444A" w:rsidP="009D775F">
      <w:pPr>
        <w:pStyle w:val="WSNormal"/>
        <w:jc w:val="both"/>
      </w:pPr>
    </w:p>
    <w:p w:rsidR="001F444A" w:rsidRPr="001F444A" w:rsidRDefault="001F444A" w:rsidP="001F444A">
      <w:pPr>
        <w:pStyle w:val="WSNormal"/>
      </w:pPr>
      <w:r w:rsidRPr="001F444A">
        <w:t xml:space="preserve">There is a strong nexus between water and energy and water and greenhouse gas emissions.  </w:t>
      </w:r>
      <w:r w:rsidR="001569D4">
        <w:t>Almost</w:t>
      </w:r>
      <w:r w:rsidR="001569D4" w:rsidRPr="001F444A">
        <w:t xml:space="preserve"> </w:t>
      </w:r>
      <w:r w:rsidRPr="001F444A">
        <w:t>20% of California’s total electricity use</w:t>
      </w:r>
      <w:r w:rsidR="005124CB">
        <w:t>, and 30% of non-power plant natural gas</w:t>
      </w:r>
      <w:r w:rsidRPr="001F444A">
        <w:t xml:space="preserve"> go toward the movement, heating, and treatment of water </w:t>
      </w:r>
      <w:r w:rsidR="00050200">
        <w:t>throughout</w:t>
      </w:r>
      <w:r w:rsidRPr="001F444A">
        <w:t xml:space="preserve"> the state. Investing in water management technologies that help conserve water will translate into significant system-wide water, energy, </w:t>
      </w:r>
      <w:r w:rsidRPr="001F444A">
        <w:lastRenderedPageBreak/>
        <w:t>and cost savings for utilities in the form of avoided costs for water, energy, treatment, a</w:t>
      </w:r>
      <w:r w:rsidR="002D21B3">
        <w:t>nd future capital investments, and avoid greenhouse emissions related to this energy use.</w:t>
      </w:r>
    </w:p>
    <w:p w:rsidR="00524074" w:rsidRDefault="00524074" w:rsidP="009D775F">
      <w:pPr>
        <w:pStyle w:val="WSNormal"/>
        <w:jc w:val="both"/>
      </w:pPr>
    </w:p>
    <w:p w:rsidR="00524074" w:rsidRPr="00524074" w:rsidRDefault="00524074" w:rsidP="009D775F">
      <w:pPr>
        <w:pStyle w:val="WSNormal"/>
        <w:jc w:val="both"/>
      </w:pPr>
      <w:r>
        <w:t xml:space="preserve">To fully address GHG reductions, the </w:t>
      </w:r>
      <w:r w:rsidR="001569D4">
        <w:t xml:space="preserve">urban </w:t>
      </w:r>
      <w:r>
        <w:t xml:space="preserve">water cycle </w:t>
      </w:r>
      <w:r w:rsidR="001569D4">
        <w:t xml:space="preserve">must be </w:t>
      </w:r>
      <w:r>
        <w:t>include</w:t>
      </w:r>
      <w:r w:rsidR="001569D4">
        <w:t>d, as supported by t</w:t>
      </w:r>
      <w:r>
        <w:t>he California Energy Commission</w:t>
      </w:r>
      <w:r w:rsidR="001569D4">
        <w:t>’s</w:t>
      </w:r>
      <w:r>
        <w:t xml:space="preserve"> </w:t>
      </w:r>
      <w:r>
        <w:rPr>
          <w:i/>
        </w:rPr>
        <w:t xml:space="preserve">California’s Water Energy Relationship </w:t>
      </w:r>
      <w:r>
        <w:t>staff report</w:t>
      </w:r>
      <w:r w:rsidR="001569D4">
        <w:t>,</w:t>
      </w:r>
      <w:r>
        <w:t xml:space="preserve"> </w:t>
      </w:r>
      <w:r w:rsidR="001569D4">
        <w:t xml:space="preserve">which is </w:t>
      </w:r>
      <w:r>
        <w:t xml:space="preserve">part of the </w:t>
      </w:r>
      <w:r>
        <w:rPr>
          <w:i/>
        </w:rPr>
        <w:t xml:space="preserve">Integrated Energy Policy Report </w:t>
      </w:r>
      <w:r>
        <w:t xml:space="preserve">proceeding. It was prepared for the purpose of promoting the greater understanding of the critical symbiotic relationship between the water and energy sectors. It finds a clear relationship between the State’s water and energy resources. As stated before, energy is needed for </w:t>
      </w:r>
      <w:r w:rsidR="001569D4">
        <w:t>moving</w:t>
      </w:r>
      <w:r>
        <w:t xml:space="preserve">, heating, and </w:t>
      </w:r>
      <w:r w:rsidR="001569D4">
        <w:t xml:space="preserve">treating </w:t>
      </w:r>
      <w:r>
        <w:t xml:space="preserve">water. Conversely, water is used </w:t>
      </w:r>
      <w:r w:rsidR="001569D4">
        <w:t xml:space="preserve">by </w:t>
      </w:r>
      <w:r>
        <w:t xml:space="preserve">turbines </w:t>
      </w:r>
      <w:r w:rsidR="001569D4">
        <w:t xml:space="preserve">to </w:t>
      </w:r>
      <w:r>
        <w:t>generat</w:t>
      </w:r>
      <w:r w:rsidR="001569D4">
        <w:t>e power from</w:t>
      </w:r>
      <w:r>
        <w:t xml:space="preserve"> hydroelectric thermal power plants</w:t>
      </w:r>
      <w:r w:rsidR="001569D4">
        <w:t>, which</w:t>
      </w:r>
      <w:r>
        <w:t xml:space="preserve"> depend on water for cooling. </w:t>
      </w:r>
      <w:r w:rsidR="001569D4">
        <w:t xml:space="preserve">WaterSmart’s comments </w:t>
      </w:r>
      <w:r w:rsidR="001D2C7C">
        <w:t>focus primarily on the energy for water relationship rather than the water for energy relationship.</w:t>
      </w:r>
    </w:p>
    <w:p w:rsidR="00C8247C" w:rsidRDefault="00C8247C" w:rsidP="009D775F">
      <w:pPr>
        <w:pStyle w:val="WSNormal"/>
        <w:jc w:val="both"/>
      </w:pPr>
    </w:p>
    <w:p w:rsidR="00564286" w:rsidRDefault="00564286" w:rsidP="00564286">
      <w:pPr>
        <w:pStyle w:val="WSNormal"/>
        <w:jc w:val="both"/>
      </w:pPr>
      <w:r>
        <w:t xml:space="preserve">As </w:t>
      </w:r>
      <w:r w:rsidR="00EE6324">
        <w:t>was noted in the P</w:t>
      </w:r>
      <w:r w:rsidR="00871E2E">
        <w:t>lan</w:t>
      </w:r>
      <w:r>
        <w:t xml:space="preserve">, reducing demand for </w:t>
      </w:r>
      <w:r w:rsidR="002D21B3">
        <w:t xml:space="preserve">both cold and hot </w:t>
      </w:r>
      <w:bookmarkStart w:id="0" w:name="_GoBack"/>
      <w:bookmarkEnd w:id="0"/>
      <w:r>
        <w:t xml:space="preserve">water </w:t>
      </w:r>
      <w:r w:rsidR="001569D4">
        <w:t xml:space="preserve">is a critical component in removing carbon emissions from </w:t>
      </w:r>
      <w:r>
        <w:t xml:space="preserve">California’s water system. </w:t>
      </w:r>
      <w:r w:rsidR="001A4F64">
        <w:t xml:space="preserve">WaterSmart supports the Plan’s recommendation to target “investments to power water systems with more renewable energy sources, improve energy efficiencies, and strategically reduce demand for carbon-intensive water”. </w:t>
      </w:r>
      <w:r w:rsidRPr="009D775F">
        <w:t xml:space="preserve">WaterSmart is currently </w:t>
      </w:r>
      <w:r w:rsidR="001569D4">
        <w:t xml:space="preserve">using behavioral science “nudges” in </w:t>
      </w:r>
      <w:r w:rsidRPr="009D775F">
        <w:t xml:space="preserve">more than </w:t>
      </w:r>
      <w:r w:rsidR="001569D4">
        <w:t>three</w:t>
      </w:r>
      <w:r w:rsidR="001569D4" w:rsidRPr="009D775F">
        <w:t xml:space="preserve"> </w:t>
      </w:r>
      <w:r w:rsidRPr="009D775F">
        <w:t xml:space="preserve">dozen utilities in California </w:t>
      </w:r>
      <w:r w:rsidR="001569D4">
        <w:t xml:space="preserve">to </w:t>
      </w:r>
      <w:r w:rsidRPr="009D775F">
        <w:t xml:space="preserve">educate their customers about how much water </w:t>
      </w:r>
      <w:r w:rsidRPr="009D775F">
        <w:lastRenderedPageBreak/>
        <w:t>their household</w:t>
      </w:r>
      <w:r>
        <w:t>s</w:t>
      </w:r>
      <w:r w:rsidRPr="009D775F">
        <w:t xml:space="preserve"> use, how this usage compares to that of </w:t>
      </w:r>
      <w:r w:rsidR="001569D4">
        <w:t>similar</w:t>
      </w:r>
      <w:r w:rsidR="001569D4" w:rsidRPr="009D775F">
        <w:t xml:space="preserve"> </w:t>
      </w:r>
      <w:r w:rsidRPr="009D775F">
        <w:t>households</w:t>
      </w:r>
      <w:r w:rsidR="001569D4">
        <w:t xml:space="preserve"> and businesses</w:t>
      </w:r>
      <w:r w:rsidRPr="009D775F">
        <w:t>, and how they can save water, energy, and money</w:t>
      </w:r>
      <w:r w:rsidR="001569D4">
        <w:t>.</w:t>
      </w:r>
      <w:r w:rsidRPr="009D775F">
        <w:t xml:space="preserve"> Increasing public education and awareness with more precise</w:t>
      </w:r>
      <w:r w:rsidR="001569D4">
        <w:t xml:space="preserve">, personalized and </w:t>
      </w:r>
      <w:r>
        <w:t>comparative</w:t>
      </w:r>
      <w:r w:rsidRPr="009D775F">
        <w:t xml:space="preserve"> information on </w:t>
      </w:r>
      <w:r w:rsidRPr="006118CE">
        <w:t>water-use through monitoring software is proven through an independent evaluation to reduce water demand by 4.6% to 6.6%.</w:t>
      </w:r>
      <w:r w:rsidRPr="006118CE">
        <w:rPr>
          <w:rStyle w:val="FootnoteReference"/>
        </w:rPr>
        <w:footnoteReference w:id="1"/>
      </w:r>
      <w:r w:rsidRPr="006118CE">
        <w:t xml:space="preserve"> </w:t>
      </w:r>
      <w:r w:rsidRPr="009D775F">
        <w:t xml:space="preserve">In addition, customers </w:t>
      </w:r>
      <w:r>
        <w:t>receiving social-norms based messaging are</w:t>
      </w:r>
      <w:r w:rsidRPr="009D775F">
        <w:t xml:space="preserve"> </w:t>
      </w:r>
      <w:r>
        <w:t>between two and six times</w:t>
      </w:r>
      <w:r w:rsidRPr="009D775F">
        <w:t xml:space="preserve"> as likely to participate in water conservation programs offered by the utility, such as appliance rebates</w:t>
      </w:r>
      <w:r>
        <w:t>, on-site water evaluations,</w:t>
      </w:r>
      <w:r w:rsidRPr="009D775F">
        <w:t xml:space="preserve"> and landscape conversions, further reducing demand for imported water and energy. </w:t>
      </w:r>
      <w:r w:rsidR="001569D4">
        <w:t>Along the way, customers that receive social-norms based reports have improved trust and confidence in their utility, raising customer satisfaction levels.</w:t>
      </w:r>
    </w:p>
    <w:p w:rsidR="00564286" w:rsidRDefault="00564286" w:rsidP="00564286">
      <w:pPr>
        <w:pStyle w:val="WSNormal"/>
      </w:pPr>
    </w:p>
    <w:p w:rsidR="00C8247C" w:rsidRDefault="001569D4" w:rsidP="00982663">
      <w:pPr>
        <w:pStyle w:val="WSNormal"/>
      </w:pPr>
      <w:r>
        <w:t>By d</w:t>
      </w:r>
      <w:r w:rsidR="00564286">
        <w:t>eploying behavioral based, water-use monitoring software</w:t>
      </w:r>
      <w:r w:rsidR="00564286" w:rsidRPr="005C4601">
        <w:t xml:space="preserve"> in the 4</w:t>
      </w:r>
      <w:r>
        <w:t>12</w:t>
      </w:r>
      <w:r w:rsidR="00564286" w:rsidRPr="005C4601">
        <w:t xml:space="preserve"> largest California utilities, at 5% water savings, </w:t>
      </w:r>
      <w:r w:rsidR="00564286">
        <w:t>California</w:t>
      </w:r>
      <w:r w:rsidR="00564286">
        <w:rPr>
          <w:u w:val="single"/>
        </w:rPr>
        <w:t xml:space="preserve"> will </w:t>
      </w:r>
      <w:r w:rsidR="00564286" w:rsidRPr="005C4601">
        <w:rPr>
          <w:u w:val="single"/>
        </w:rPr>
        <w:t>save 86,755,844,776 gallons of water per year, 183,644,857 kWh in energy/year and eliminate 419,646 mtCO2e/year.</w:t>
      </w:r>
      <w:r w:rsidR="00982663">
        <w:t xml:space="preserve"> This </w:t>
      </w:r>
      <w:r>
        <w:t xml:space="preserve">volume of water, energy and emission </w:t>
      </w:r>
      <w:r w:rsidR="00982663">
        <w:t xml:space="preserve">savings is </w:t>
      </w:r>
      <w:r w:rsidR="001A4F64">
        <w:t>considerable and</w:t>
      </w:r>
      <w:r>
        <w:t xml:space="preserve"> must not be ignored when developing California’s carbon reduction investment strategy</w:t>
      </w:r>
      <w:r w:rsidR="00982663">
        <w:t xml:space="preserve">. </w:t>
      </w:r>
    </w:p>
    <w:p w:rsidR="00524074" w:rsidRDefault="00524074" w:rsidP="009D775F">
      <w:pPr>
        <w:pStyle w:val="WSNormal"/>
        <w:jc w:val="both"/>
      </w:pPr>
    </w:p>
    <w:p w:rsidR="00DD3774" w:rsidRDefault="00524074" w:rsidP="009D775F">
      <w:pPr>
        <w:pStyle w:val="WSNormal"/>
        <w:jc w:val="both"/>
      </w:pPr>
      <w:r>
        <w:t>In order to properly acknowledge the impact of the water-energy nexus on GHG emissions reductions, we urge you to take the following actions</w:t>
      </w:r>
      <w:r w:rsidR="001569D4">
        <w:t>:</w:t>
      </w:r>
    </w:p>
    <w:p w:rsidR="00524074" w:rsidRDefault="00524074" w:rsidP="009D775F">
      <w:pPr>
        <w:pStyle w:val="WSNormal"/>
        <w:jc w:val="both"/>
      </w:pPr>
    </w:p>
    <w:p w:rsidR="00524074" w:rsidRDefault="00524074" w:rsidP="001601A1">
      <w:pPr>
        <w:pStyle w:val="WSNormal"/>
        <w:numPr>
          <w:ilvl w:val="0"/>
          <w:numId w:val="6"/>
        </w:numPr>
        <w:jc w:val="both"/>
      </w:pPr>
      <w:r>
        <w:t xml:space="preserve">Develop or adopt a </w:t>
      </w:r>
      <w:r w:rsidR="001569D4">
        <w:t xml:space="preserve">valid </w:t>
      </w:r>
      <w:r>
        <w:t xml:space="preserve">carbon accounting system for water and wastewater that includes </w:t>
      </w:r>
      <w:r w:rsidR="001569D4">
        <w:t xml:space="preserve">greenhouse gas emission reductions from </w:t>
      </w:r>
      <w:r>
        <w:t>both cold water and hot water</w:t>
      </w:r>
      <w:r w:rsidR="001569D4">
        <w:t xml:space="preserve"> savings.</w:t>
      </w:r>
      <w:r w:rsidR="001601A1">
        <w:t xml:space="preserve"> Consider using the </w:t>
      </w:r>
      <w:hyperlink r:id="rId8" w:history="1">
        <w:r w:rsidR="001601A1" w:rsidRPr="005124CB">
          <w:rPr>
            <w:rStyle w:val="Hyperlink"/>
          </w:rPr>
          <w:t>University of California, Davis</w:t>
        </w:r>
      </w:hyperlink>
      <w:r w:rsidR="001601A1">
        <w:t xml:space="preserve"> system or </w:t>
      </w:r>
      <w:hyperlink r:id="rId9" w:history="1">
        <w:r w:rsidR="001601A1" w:rsidRPr="005124CB">
          <w:rPr>
            <w:rStyle w:val="Hyperlink"/>
          </w:rPr>
          <w:t>The Climate Registry system</w:t>
        </w:r>
      </w:hyperlink>
      <w:r w:rsidR="00871E2E">
        <w:rPr>
          <w:rStyle w:val="FootnoteReference"/>
        </w:rPr>
        <w:footnoteReference w:id="2"/>
      </w:r>
      <w:r w:rsidR="001601A1">
        <w:t>, among others for calculating the associated GHG emission reductions to water conservation.</w:t>
      </w:r>
    </w:p>
    <w:p w:rsidR="00524074" w:rsidRDefault="001569D4" w:rsidP="00524074">
      <w:pPr>
        <w:pStyle w:val="WSNormal"/>
        <w:numPr>
          <w:ilvl w:val="0"/>
          <w:numId w:val="6"/>
        </w:numPr>
        <w:jc w:val="both"/>
      </w:pPr>
      <w:r>
        <w:t xml:space="preserve">Utilize </w:t>
      </w:r>
      <w:r w:rsidR="00524074">
        <w:t xml:space="preserve">water experts to </w:t>
      </w:r>
      <w:r w:rsidR="001601A1">
        <w:t>develop California’s approach to decarbonizing</w:t>
      </w:r>
      <w:r w:rsidR="00524074">
        <w:t xml:space="preserve"> the water-energy</w:t>
      </w:r>
      <w:r>
        <w:t>-greenhouse</w:t>
      </w:r>
      <w:r w:rsidR="00524074">
        <w:t xml:space="preserve"> nexus</w:t>
      </w:r>
      <w:r w:rsidR="001601A1">
        <w:t xml:space="preserve">. Water is different from electricity and gas, and we encourage you to seek out experts in this area to be part of your team. </w:t>
      </w:r>
    </w:p>
    <w:p w:rsidR="000A4B16" w:rsidRDefault="001601A1" w:rsidP="00524074">
      <w:pPr>
        <w:pStyle w:val="WSNormal"/>
        <w:numPr>
          <w:ilvl w:val="0"/>
          <w:numId w:val="6"/>
        </w:numPr>
        <w:jc w:val="both"/>
      </w:pPr>
      <w:r>
        <w:t xml:space="preserve">Consider adopting the areas of the 412 large water agencies as the boundaries for determining greenhouse gas saving areas in the water-energy-greenhouse gas nexus. </w:t>
      </w:r>
    </w:p>
    <w:p w:rsidR="000A4B16" w:rsidRDefault="000A4B16" w:rsidP="000A4B16">
      <w:pPr>
        <w:pStyle w:val="WSNormal"/>
        <w:jc w:val="both"/>
      </w:pPr>
    </w:p>
    <w:p w:rsidR="001601A1" w:rsidRDefault="000A4B16" w:rsidP="000A4B16">
      <w:pPr>
        <w:pStyle w:val="WSNormal"/>
        <w:jc w:val="both"/>
      </w:pPr>
      <w:r>
        <w:t xml:space="preserve">California has continued to be a leader in this area and we would like to see that leadership acknowledged in the Plan. The Public Utilities Commission has approved the utility use of a water-energy calculator to allow better estimation of energy savings made possible by water conservation. This is representative of a huge step forward, opening the door for better collaboration between energy utilities and water suppliers. </w:t>
      </w:r>
      <w:r w:rsidR="00EE6324">
        <w:t xml:space="preserve">This Plan has the potential to continue the momentum from this decision. </w:t>
      </w:r>
    </w:p>
    <w:p w:rsidR="00FB0DDA" w:rsidRDefault="00FB0DDA" w:rsidP="00FB0DDA">
      <w:pPr>
        <w:pStyle w:val="WSNormal"/>
        <w:jc w:val="both"/>
      </w:pPr>
    </w:p>
    <w:p w:rsidR="00C8247C" w:rsidRDefault="00FB0DDA" w:rsidP="00FB0DDA">
      <w:pPr>
        <w:pStyle w:val="WSNormal"/>
        <w:jc w:val="both"/>
      </w:pPr>
      <w:r>
        <w:t>We thank you for the opportunity to submit comments on the Cap-and-Trade Auction Proceeds Second Investment Plan and the need for acknowledging the water-energy</w:t>
      </w:r>
      <w:r w:rsidR="001601A1">
        <w:t>-greenhouse gas</w:t>
      </w:r>
      <w:r>
        <w:t xml:space="preserve"> nexus in </w:t>
      </w:r>
      <w:r w:rsidR="001601A1">
        <w:t xml:space="preserve">accomplishing California’s </w:t>
      </w:r>
      <w:r w:rsidR="00050200">
        <w:t xml:space="preserve">laudable climate </w:t>
      </w:r>
      <w:r w:rsidR="001601A1">
        <w:t>goals</w:t>
      </w:r>
      <w:r>
        <w:t xml:space="preserve">. </w:t>
      </w:r>
    </w:p>
    <w:p w:rsidR="001D2C7C" w:rsidRDefault="001D2C7C" w:rsidP="00FB0DDA">
      <w:pPr>
        <w:pStyle w:val="WSNormal"/>
        <w:jc w:val="both"/>
      </w:pPr>
    </w:p>
    <w:p w:rsidR="00C8247C" w:rsidRDefault="00C8247C" w:rsidP="00FB0DDA">
      <w:pPr>
        <w:pStyle w:val="WSNormal"/>
        <w:jc w:val="both"/>
      </w:pPr>
    </w:p>
    <w:p w:rsidR="001A4F64" w:rsidRDefault="00C8247C" w:rsidP="00FB0DDA">
      <w:pPr>
        <w:pStyle w:val="WSNormal"/>
        <w:jc w:val="both"/>
      </w:pPr>
      <w:r>
        <w:t>Sincerely,</w:t>
      </w:r>
    </w:p>
    <w:p w:rsidR="00C8247C" w:rsidRDefault="001A4F64" w:rsidP="00FB0DDA">
      <w:pPr>
        <w:pStyle w:val="WSNormal"/>
        <w:jc w:val="both"/>
      </w:pPr>
      <w:r w:rsidRPr="001A4F64">
        <w:rPr>
          <w:noProof/>
        </w:rPr>
        <w:drawing>
          <wp:inline distT="0" distB="0" distL="0" distR="0">
            <wp:extent cx="1310640" cy="640080"/>
            <wp:effectExtent l="0" t="0" r="1016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Signat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7C" w:rsidRDefault="00C8247C" w:rsidP="00FB0DDA">
      <w:pPr>
        <w:pStyle w:val="WSNormal"/>
        <w:jc w:val="both"/>
      </w:pPr>
      <w:r>
        <w:t>Peter Yolles</w:t>
      </w:r>
    </w:p>
    <w:p w:rsidR="00E44DBD" w:rsidRPr="00313350" w:rsidRDefault="00C8247C" w:rsidP="00FB0DDA">
      <w:pPr>
        <w:pStyle w:val="WSNormal"/>
        <w:jc w:val="both"/>
      </w:pPr>
      <w:r>
        <w:t>Founder, Chief Policy Officer</w:t>
      </w:r>
    </w:p>
    <w:sectPr w:rsidR="00E44DBD" w:rsidRPr="00313350" w:rsidSect="00CD5C74">
      <w:footerReference w:type="default" r:id="rId11"/>
      <w:headerReference w:type="first" r:id="rId12"/>
      <w:footerReference w:type="first" r:id="rId13"/>
      <w:pgSz w:w="12240" w:h="15840"/>
      <w:pgMar w:top="2160" w:right="1656" w:bottom="1440" w:left="324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F5C" w:rsidRDefault="00663F5C">
      <w:pPr>
        <w:spacing w:after="0"/>
      </w:pPr>
      <w:r>
        <w:separator/>
      </w:r>
    </w:p>
  </w:endnote>
  <w:endnote w:type="continuationSeparator" w:id="0">
    <w:p w:rsidR="00663F5C" w:rsidRDefault="00663F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B16" w:rsidRDefault="00F5183A" w:rsidP="00B464E7">
    <w:pPr>
      <w:pStyle w:val="Footer"/>
      <w:ind w:left="-153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309.6pt;margin-top:-7.5pt;width:57.6pt;height:36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" filled="f" stroked="f">
          <v:textbox inset=",7.2pt,0,7.2pt">
            <w:txbxContent>
              <w:p w:rsidR="000A4B16" w:rsidRPr="00C36477" w:rsidRDefault="00F5183A" w:rsidP="002F6CBA">
                <w:pPr>
                  <w:jc w:val="right"/>
                  <w:rPr>
                    <w:rFonts w:ascii="Helvetica Light" w:hAnsi="Helvetica Light"/>
                    <w:color w:val="7F7F7F" w:themeColor="text1" w:themeTint="80"/>
                    <w:sz w:val="16"/>
                  </w:rPr>
                </w:pP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begin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instrText xml:space="preserve"> PAGE </w:instrTex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separate"/>
                </w:r>
                <w:r w:rsidR="00050200">
                  <w:rPr>
                    <w:rStyle w:val="PageNumber"/>
                    <w:rFonts w:ascii="Helvetica Light" w:hAnsi="Helvetica Light"/>
                    <w:noProof/>
                    <w:color w:val="7F7F7F" w:themeColor="text1" w:themeTint="80"/>
                    <w:sz w:val="16"/>
                  </w:rPr>
                  <w:t>5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end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t xml:space="preserve"> of 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begin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instrText xml:space="preserve"> NUMPAGES </w:instrTex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separate"/>
                </w:r>
                <w:r w:rsidR="00050200">
                  <w:rPr>
                    <w:rStyle w:val="PageNumber"/>
                    <w:rFonts w:ascii="Helvetica Light" w:hAnsi="Helvetica Light"/>
                    <w:noProof/>
                    <w:color w:val="7F7F7F" w:themeColor="text1" w:themeTint="80"/>
                    <w:sz w:val="16"/>
                  </w:rPr>
                  <w:t>5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0A4B16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9427210</wp:posOffset>
          </wp:positionV>
          <wp:extent cx="1362710" cy="95885"/>
          <wp:effectExtent l="0" t="0" r="0" b="0"/>
          <wp:wrapNone/>
          <wp:docPr id="7" name="Picture 7" descr="Description: Macintosh HD:Users:dsherwin:Documents:Watersmart:000_logos:footer-url_shor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dsherwin:Documents:Watersmart:000_logos:footer-url_shor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9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line id="Line 13" o:spid="_x0000_s4097" style="position:absolute;left:0;text-align:left;z-index:251675648;visibility:visible;mso-wrap-edited:f;mso-position-horizontal-relative:text;mso-position-vertical-relative:text" from="-.6pt,-12.95pt" to="367.2pt,-12.95pt" wrapcoords="-44 -2147483648 0 -2147483648 10844 -2147483648 10844 -2147483648 21555 -2147483648 21688 -2147483648 -44 -214748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" strokecolor="gray [1629]" strokeweight=".25pt">
          <w10:wrap type="tight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B16" w:rsidRDefault="00F5183A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309.6pt;margin-top:-9.95pt;width:57.6pt;height:36pt;z-index:251683840;visibility:visible;mso-wrap-edited:f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" filled="f" stroked="f">
          <v:textbox inset=",7.2pt,0,7.2pt">
            <w:txbxContent>
              <w:p w:rsidR="000A4B16" w:rsidRPr="00C36477" w:rsidRDefault="00F5183A" w:rsidP="00EA2C7C">
                <w:pPr>
                  <w:jc w:val="right"/>
                  <w:rPr>
                    <w:rFonts w:ascii="Helvetica Light" w:hAnsi="Helvetica Light"/>
                    <w:color w:val="7F7F7F" w:themeColor="text1" w:themeTint="80"/>
                    <w:sz w:val="16"/>
                  </w:rPr>
                </w:pP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begin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instrText xml:space="preserve"> PAGE </w:instrTex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separate"/>
                </w:r>
                <w:r w:rsidR="00050200">
                  <w:rPr>
                    <w:rStyle w:val="PageNumber"/>
                    <w:rFonts w:ascii="Helvetica Light" w:hAnsi="Helvetica Light"/>
                    <w:noProof/>
                    <w:color w:val="7F7F7F" w:themeColor="text1" w:themeTint="80"/>
                    <w:sz w:val="16"/>
                  </w:rPr>
                  <w:t>1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end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t xml:space="preserve"> of 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begin"/>
                </w:r>
                <w:r w:rsidR="000A4B16"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instrText xml:space="preserve"> NUMPAGES </w:instrTex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separate"/>
                </w:r>
                <w:r w:rsidR="00050200">
                  <w:rPr>
                    <w:rStyle w:val="PageNumber"/>
                    <w:rFonts w:ascii="Helvetica Light" w:hAnsi="Helvetica Light"/>
                    <w:noProof/>
                    <w:color w:val="7F7F7F" w:themeColor="text1" w:themeTint="80"/>
                    <w:sz w:val="16"/>
                  </w:rPr>
                  <w:t>5</w:t>
                </w:r>
                <w:r w:rsidRPr="00C36477">
                  <w:rPr>
                    <w:rStyle w:val="PageNumber"/>
                    <w:rFonts w:ascii="Helvetica Light" w:hAnsi="Helvetica Light"/>
                    <w:color w:val="7F7F7F" w:themeColor="text1" w:themeTint="80"/>
                    <w:sz w:val="16"/>
                  </w:rPr>
                  <w:fldChar w:fldCharType="end"/>
                </w:r>
              </w:p>
            </w:txbxContent>
          </v:textbox>
          <w10:wrap type="tight"/>
        </v:shape>
      </w:pict>
    </w:r>
    <w:r w:rsidR="000A4B16" w:rsidRPr="00EA2C7C"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9418320</wp:posOffset>
          </wp:positionV>
          <wp:extent cx="1358900" cy="101600"/>
          <wp:effectExtent l="25400" t="0" r="0" b="0"/>
          <wp:wrapNone/>
          <wp:docPr id="1" name="Picture 7" descr="Description: Macintosh HD:Users:dsherwin:Documents:Watersmart:000_logos:footer-url_shor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dsherwin:Documents:Watersmart:000_logos:footer-url_shor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line id="_x0000_s4101" style="position:absolute;z-index:251680768;visibility:visible;mso-wrap-edited:f;mso-position-horizontal-relative:text;mso-position-vertical-relative:text" from="0,-14.75pt" to="367.8pt,-14.75pt" wrapcoords="-44 -2147483648 0 -2147483648 10844 -2147483648 10844 -2147483648 21555 -2147483648 21688 -2147483648 -44 -214748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" strokecolor="gray [1629]" strokeweight=".25pt">
          <w10:wrap type="tight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F5C" w:rsidRDefault="00663F5C">
      <w:pPr>
        <w:spacing w:after="0"/>
      </w:pPr>
      <w:r>
        <w:separator/>
      </w:r>
    </w:p>
  </w:footnote>
  <w:footnote w:type="continuationSeparator" w:id="0">
    <w:p w:rsidR="00663F5C" w:rsidRDefault="00663F5C">
      <w:pPr>
        <w:spacing w:after="0"/>
      </w:pPr>
      <w:r>
        <w:continuationSeparator/>
      </w:r>
    </w:p>
  </w:footnote>
  <w:footnote w:id="1">
    <w:p w:rsidR="000A4B16" w:rsidRPr="005B28E8" w:rsidRDefault="000A4B16" w:rsidP="00564286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FF0E06">
        <w:rPr>
          <w:sz w:val="16"/>
          <w:szCs w:val="16"/>
        </w:rPr>
        <w:t>California Water Foundation, 2013 http://californiawaterfoundation.org/uploads/1389391749-Watersmart_evaluation_report_FINAL_12-12-13(00238356).pdf</w:t>
      </w:r>
    </w:p>
  </w:footnote>
  <w:footnote w:id="2">
    <w:p w:rsidR="000A4B16" w:rsidRDefault="000A4B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D2E29">
        <w:rPr>
          <w:sz w:val="16"/>
        </w:rPr>
        <w:t>Water-Energy GHG Guidance Version 1.0, The Climate Registry, December 2015.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B16" w:rsidRDefault="00F5183A">
    <w:pPr>
      <w:pStyle w:val="Header"/>
    </w:pPr>
    <w:r>
      <w:rPr>
        <w:noProof/>
      </w:rPr>
      <w:pict>
        <v:line id="Line 12" o:spid="_x0000_s4096" style="position:absolute;z-index:251674624;visibility:visible" from="-.6pt,43.2pt" to="367.2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" strokecolor="gray [1629]" strokeweight=".25pt"/>
      </w:pict>
    </w:r>
    <w:r w:rsidR="000A4B16"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-27305</wp:posOffset>
          </wp:positionH>
          <wp:positionV relativeFrom="page">
            <wp:posOffset>585470</wp:posOffset>
          </wp:positionV>
          <wp:extent cx="2654300" cy="304800"/>
          <wp:effectExtent l="0" t="0" r="0" b="0"/>
          <wp:wrapNone/>
          <wp:docPr id="8" name="Picture 8" descr="Macintosh HD:Users:dsherwin:Documents:Watersmart:000_logos:letterhead-addres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sherwin:Documents:Watersmart:000_logos:letterhead-addres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0A4B16"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-1645920</wp:posOffset>
          </wp:positionH>
          <wp:positionV relativeFrom="paragraph">
            <wp:posOffset>91440</wp:posOffset>
          </wp:positionV>
          <wp:extent cx="1349375" cy="295275"/>
          <wp:effectExtent l="0" t="0" r="0" b="0"/>
          <wp:wrapThrough wrapText="bothSides">
            <wp:wrapPolygon edited="0">
              <wp:start x="1220" y="0"/>
              <wp:lineTo x="0" y="7432"/>
              <wp:lineTo x="0" y="16723"/>
              <wp:lineTo x="4472" y="20439"/>
              <wp:lineTo x="6099" y="20439"/>
              <wp:lineTo x="20736" y="20439"/>
              <wp:lineTo x="20736" y="3716"/>
              <wp:lineTo x="3659" y="0"/>
              <wp:lineTo x="1220" y="0"/>
            </wp:wrapPolygon>
          </wp:wrapThrough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Logo:watersmart-gray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E4C7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6740B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DDC5E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E4A04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F628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0D32B9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B9C9F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92851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8A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F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B9EE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635806"/>
    <w:multiLevelType w:val="hybridMultilevel"/>
    <w:tmpl w:val="4AE48990"/>
    <w:lvl w:ilvl="0" w:tplc="8F786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471B90"/>
    <w:multiLevelType w:val="hybridMultilevel"/>
    <w:tmpl w:val="51D00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54B49"/>
    <w:multiLevelType w:val="hybridMultilevel"/>
    <w:tmpl w:val="086219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4762E"/>
    <w:multiLevelType w:val="hybridMultilevel"/>
    <w:tmpl w:val="C5EEF302"/>
    <w:lvl w:ilvl="0" w:tplc="652CC2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6589C"/>
    <w:multiLevelType w:val="hybridMultilevel"/>
    <w:tmpl w:val="34AAB008"/>
    <w:lvl w:ilvl="0" w:tplc="D0C22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491A5D"/>
    <w:multiLevelType w:val="multilevel"/>
    <w:tmpl w:val="C5EEF302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6"/>
  </w:num>
  <w:num w:numId="4">
    <w:abstractNumId w:val="13"/>
  </w:num>
  <w:num w:numId="5">
    <w:abstractNumId w:val="11"/>
  </w:num>
  <w:num w:numId="6">
    <w:abstractNumId w:val="12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F0928"/>
    <w:rsid w:val="00021546"/>
    <w:rsid w:val="00034175"/>
    <w:rsid w:val="00034D5B"/>
    <w:rsid w:val="00050200"/>
    <w:rsid w:val="000A30B8"/>
    <w:rsid w:val="000A4B16"/>
    <w:rsid w:val="000D2E29"/>
    <w:rsid w:val="000F675C"/>
    <w:rsid w:val="00132B91"/>
    <w:rsid w:val="001569D4"/>
    <w:rsid w:val="001601A1"/>
    <w:rsid w:val="00161A05"/>
    <w:rsid w:val="0017639C"/>
    <w:rsid w:val="00181660"/>
    <w:rsid w:val="001A4F64"/>
    <w:rsid w:val="001D2C7C"/>
    <w:rsid w:val="001F444A"/>
    <w:rsid w:val="00266236"/>
    <w:rsid w:val="002D21B3"/>
    <w:rsid w:val="002F6CBA"/>
    <w:rsid w:val="00313350"/>
    <w:rsid w:val="00322342"/>
    <w:rsid w:val="00352C94"/>
    <w:rsid w:val="00395DCA"/>
    <w:rsid w:val="003A4930"/>
    <w:rsid w:val="0045101C"/>
    <w:rsid w:val="004C0A81"/>
    <w:rsid w:val="004F0F9A"/>
    <w:rsid w:val="00504B37"/>
    <w:rsid w:val="005124CB"/>
    <w:rsid w:val="00524074"/>
    <w:rsid w:val="00564286"/>
    <w:rsid w:val="005B28E8"/>
    <w:rsid w:val="005C4601"/>
    <w:rsid w:val="005E1B8B"/>
    <w:rsid w:val="006118CE"/>
    <w:rsid w:val="00663F5C"/>
    <w:rsid w:val="0066503A"/>
    <w:rsid w:val="006B7133"/>
    <w:rsid w:val="006C08B2"/>
    <w:rsid w:val="006D286B"/>
    <w:rsid w:val="006D35EC"/>
    <w:rsid w:val="00724E66"/>
    <w:rsid w:val="00757C55"/>
    <w:rsid w:val="0077254D"/>
    <w:rsid w:val="00772FC0"/>
    <w:rsid w:val="00800A4C"/>
    <w:rsid w:val="00871E2E"/>
    <w:rsid w:val="00880F4F"/>
    <w:rsid w:val="008D0C1F"/>
    <w:rsid w:val="0096111C"/>
    <w:rsid w:val="00982663"/>
    <w:rsid w:val="009D25BF"/>
    <w:rsid w:val="009D775F"/>
    <w:rsid w:val="00A06D4A"/>
    <w:rsid w:val="00A46C0F"/>
    <w:rsid w:val="00A87DD2"/>
    <w:rsid w:val="00AA7EC7"/>
    <w:rsid w:val="00AD434C"/>
    <w:rsid w:val="00B07A22"/>
    <w:rsid w:val="00B2207A"/>
    <w:rsid w:val="00B464E7"/>
    <w:rsid w:val="00B634C0"/>
    <w:rsid w:val="00BA7587"/>
    <w:rsid w:val="00BB3C87"/>
    <w:rsid w:val="00C2046F"/>
    <w:rsid w:val="00C36477"/>
    <w:rsid w:val="00C8247C"/>
    <w:rsid w:val="00CB192F"/>
    <w:rsid w:val="00CD5C74"/>
    <w:rsid w:val="00CE387E"/>
    <w:rsid w:val="00CF0928"/>
    <w:rsid w:val="00D02B1A"/>
    <w:rsid w:val="00D4382E"/>
    <w:rsid w:val="00D641A6"/>
    <w:rsid w:val="00DD3774"/>
    <w:rsid w:val="00DD3D71"/>
    <w:rsid w:val="00DE3811"/>
    <w:rsid w:val="00DF4BA4"/>
    <w:rsid w:val="00E16594"/>
    <w:rsid w:val="00E44DBD"/>
    <w:rsid w:val="00EA10C3"/>
    <w:rsid w:val="00EA2C7C"/>
    <w:rsid w:val="00EE6324"/>
    <w:rsid w:val="00EF121B"/>
    <w:rsid w:val="00EF5725"/>
    <w:rsid w:val="00F5183A"/>
    <w:rsid w:val="00F52454"/>
    <w:rsid w:val="00F81572"/>
    <w:rsid w:val="00FB0DDA"/>
    <w:rsid w:val="00FD5932"/>
    <w:rsid w:val="00FF002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page number" w:uiPriority="99"/>
  </w:latentStyles>
  <w:style w:type="paragraph" w:default="1" w:styleId="Normal">
    <w:name w:val="Normal"/>
    <w:qFormat/>
    <w:rsid w:val="00895C5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6477"/>
    <w:pPr>
      <w:spacing w:before="300" w:after="0"/>
      <w:outlineLvl w:val="2"/>
    </w:pPr>
    <w:rPr>
      <w:rFonts w:asciiTheme="majorHAnsi" w:eastAsiaTheme="minorEastAsia" w:hAnsiTheme="majorHAnsi"/>
      <w:caps/>
      <w:color w:val="243F60" w:themeColor="accent1" w:themeShade="7F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161A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48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092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F0928"/>
  </w:style>
  <w:style w:type="paragraph" w:styleId="Footer">
    <w:name w:val="footer"/>
    <w:basedOn w:val="Normal"/>
    <w:link w:val="FooterChar"/>
    <w:uiPriority w:val="99"/>
    <w:unhideWhenUsed/>
    <w:rsid w:val="00CF092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F0928"/>
  </w:style>
  <w:style w:type="character" w:styleId="PageNumber">
    <w:name w:val="page number"/>
    <w:basedOn w:val="DefaultParagraphFont"/>
    <w:uiPriority w:val="99"/>
    <w:semiHidden/>
    <w:unhideWhenUsed/>
    <w:rsid w:val="002F6CBA"/>
  </w:style>
  <w:style w:type="paragraph" w:customStyle="1" w:styleId="WSNormal">
    <w:name w:val="~ WS Normal"/>
    <w:basedOn w:val="Normal"/>
    <w:qFormat/>
    <w:rsid w:val="00C36477"/>
    <w:pPr>
      <w:spacing w:after="0" w:line="360" w:lineRule="auto"/>
    </w:pPr>
    <w:rPr>
      <w:rFonts w:ascii="Helvetica Light" w:hAnsi="Helvetica Light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36477"/>
    <w:rPr>
      <w:rFonts w:asciiTheme="majorHAnsi" w:eastAsiaTheme="minorEastAsia" w:hAnsiTheme="majorHAnsi"/>
      <w:caps/>
      <w:color w:val="243F60" w:themeColor="accent1" w:themeShade="7F"/>
      <w:spacing w:val="15"/>
      <w:sz w:val="22"/>
      <w:szCs w:val="22"/>
    </w:rPr>
  </w:style>
  <w:style w:type="paragraph" w:customStyle="1" w:styleId="WSHeading1">
    <w:name w:val="~ WS Heading 1"/>
    <w:basedOn w:val="Normal"/>
    <w:autoRedefine/>
    <w:qFormat/>
    <w:rsid w:val="00C36477"/>
    <w:pPr>
      <w:spacing w:after="0" w:line="360" w:lineRule="auto"/>
    </w:pPr>
    <w:rPr>
      <w:rFonts w:ascii="Helvetica" w:hAnsi="Helvetica"/>
      <w:sz w:val="32"/>
    </w:rPr>
  </w:style>
  <w:style w:type="paragraph" w:customStyle="1" w:styleId="WSHeading2">
    <w:name w:val="~ WS Heading 2"/>
    <w:basedOn w:val="Heading3"/>
    <w:qFormat/>
    <w:rsid w:val="00C36477"/>
    <w:pPr>
      <w:spacing w:before="0" w:line="360" w:lineRule="auto"/>
    </w:pPr>
    <w:rPr>
      <w:rFonts w:ascii="Helvetica" w:hAnsi="Helvetica" w:cstheme="majorHAnsi"/>
      <w:b/>
      <w:color w:val="7F7F7F" w:themeColor="text1" w:themeTint="80"/>
      <w:sz w:val="20"/>
    </w:rPr>
  </w:style>
  <w:style w:type="paragraph" w:customStyle="1" w:styleId="WSHeading3">
    <w:name w:val="~ WS Heading 3"/>
    <w:basedOn w:val="Normal"/>
    <w:qFormat/>
    <w:rsid w:val="00C36477"/>
    <w:pPr>
      <w:spacing w:after="0" w:line="360" w:lineRule="auto"/>
    </w:pPr>
    <w:rPr>
      <w:rFonts w:ascii="Helvetica" w:hAnsi="Helvetica"/>
      <w:b/>
      <w:color w:val="0D0D0D" w:themeColor="text1" w:themeTint="F2"/>
      <w:sz w:val="20"/>
    </w:rPr>
  </w:style>
  <w:style w:type="character" w:customStyle="1" w:styleId="BalloonTextChar1">
    <w:name w:val="Balloon Text Char1"/>
    <w:basedOn w:val="DefaultParagraphFont"/>
    <w:link w:val="BalloonText"/>
    <w:rsid w:val="00161A0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9D77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D775F"/>
  </w:style>
  <w:style w:type="character" w:customStyle="1" w:styleId="CommentTextChar">
    <w:name w:val="Comment Text Char"/>
    <w:basedOn w:val="DefaultParagraphFont"/>
    <w:link w:val="CommentText"/>
    <w:uiPriority w:val="99"/>
    <w:rsid w:val="009D775F"/>
  </w:style>
  <w:style w:type="paragraph" w:styleId="FootnoteText">
    <w:name w:val="footnote text"/>
    <w:basedOn w:val="Normal"/>
    <w:link w:val="FootnoteTextChar"/>
    <w:unhideWhenUsed/>
    <w:rsid w:val="005B28E8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rsid w:val="005B28E8"/>
  </w:style>
  <w:style w:type="character" w:styleId="FootnoteReference">
    <w:name w:val="footnote reference"/>
    <w:basedOn w:val="DefaultParagraphFont"/>
    <w:unhideWhenUsed/>
    <w:rsid w:val="005B28E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C8247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8247C"/>
    <w:rPr>
      <w:b/>
      <w:bCs/>
      <w:sz w:val="20"/>
      <w:szCs w:val="20"/>
    </w:rPr>
  </w:style>
  <w:style w:type="character" w:styleId="Hyperlink">
    <w:name w:val="Hyperlink"/>
    <w:basedOn w:val="DefaultParagraphFont"/>
    <w:rsid w:val="005124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71E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895C5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6477"/>
    <w:pPr>
      <w:spacing w:before="300" w:after="0"/>
      <w:outlineLvl w:val="2"/>
    </w:pPr>
    <w:rPr>
      <w:rFonts w:asciiTheme="majorHAnsi" w:eastAsiaTheme="minorEastAsia" w:hAnsiTheme="majorHAnsi"/>
      <w:caps/>
      <w:color w:val="243F60" w:themeColor="accent1" w:themeShade="7F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92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F0928"/>
  </w:style>
  <w:style w:type="paragraph" w:styleId="Footer">
    <w:name w:val="footer"/>
    <w:basedOn w:val="Normal"/>
    <w:link w:val="FooterChar"/>
    <w:uiPriority w:val="99"/>
    <w:unhideWhenUsed/>
    <w:rsid w:val="00CF092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F0928"/>
  </w:style>
  <w:style w:type="character" w:styleId="PageNumber">
    <w:name w:val="page number"/>
    <w:basedOn w:val="DefaultParagraphFont"/>
    <w:uiPriority w:val="99"/>
    <w:semiHidden/>
    <w:unhideWhenUsed/>
    <w:rsid w:val="002F6CBA"/>
  </w:style>
  <w:style w:type="paragraph" w:customStyle="1" w:styleId="WSNormal">
    <w:name w:val="~ WS Normal"/>
    <w:basedOn w:val="Normal"/>
    <w:qFormat/>
    <w:rsid w:val="00C36477"/>
    <w:pPr>
      <w:spacing w:after="0" w:line="360" w:lineRule="auto"/>
    </w:pPr>
    <w:rPr>
      <w:rFonts w:ascii="Helvetica Light" w:hAnsi="Helvetica Light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36477"/>
    <w:rPr>
      <w:rFonts w:asciiTheme="majorHAnsi" w:eastAsiaTheme="minorEastAsia" w:hAnsiTheme="majorHAnsi"/>
      <w:caps/>
      <w:color w:val="243F60" w:themeColor="accent1" w:themeShade="7F"/>
      <w:spacing w:val="15"/>
      <w:sz w:val="22"/>
      <w:szCs w:val="22"/>
    </w:rPr>
  </w:style>
  <w:style w:type="paragraph" w:customStyle="1" w:styleId="WSHeading1">
    <w:name w:val="~ WS Heading 1"/>
    <w:basedOn w:val="Normal"/>
    <w:autoRedefine/>
    <w:qFormat/>
    <w:rsid w:val="00C36477"/>
    <w:pPr>
      <w:spacing w:after="0" w:line="360" w:lineRule="auto"/>
    </w:pPr>
    <w:rPr>
      <w:rFonts w:ascii="Helvetica" w:hAnsi="Helvetica"/>
      <w:sz w:val="32"/>
    </w:rPr>
  </w:style>
  <w:style w:type="paragraph" w:customStyle="1" w:styleId="WSHeading2">
    <w:name w:val="~ WS Heading 2"/>
    <w:basedOn w:val="Heading3"/>
    <w:qFormat/>
    <w:rsid w:val="00C36477"/>
    <w:pPr>
      <w:spacing w:before="0" w:line="360" w:lineRule="auto"/>
    </w:pPr>
    <w:rPr>
      <w:rFonts w:ascii="Helvetica" w:hAnsi="Helvetica" w:cstheme="majorHAnsi"/>
      <w:b/>
      <w:color w:val="7F7F7F" w:themeColor="text1" w:themeTint="80"/>
      <w:sz w:val="20"/>
    </w:rPr>
  </w:style>
  <w:style w:type="paragraph" w:customStyle="1" w:styleId="WSHeading3">
    <w:name w:val="~ WS Heading 3"/>
    <w:basedOn w:val="Normal"/>
    <w:qFormat/>
    <w:rsid w:val="00C36477"/>
    <w:pPr>
      <w:spacing w:after="0" w:line="360" w:lineRule="auto"/>
    </w:pPr>
    <w:rPr>
      <w:rFonts w:ascii="Helvetica" w:hAnsi="Helvetica"/>
      <w:b/>
      <w:color w:val="0D0D0D" w:themeColor="text1" w:themeTint="F2"/>
      <w:sz w:val="20"/>
    </w:rPr>
  </w:style>
  <w:style w:type="paragraph" w:styleId="BalloonText">
    <w:name w:val="Balloon Text"/>
    <w:basedOn w:val="Normal"/>
    <w:link w:val="BalloonTextChar"/>
    <w:rsid w:val="00161A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61A0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9D77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D775F"/>
  </w:style>
  <w:style w:type="character" w:customStyle="1" w:styleId="CommentTextChar">
    <w:name w:val="Comment Text Char"/>
    <w:basedOn w:val="DefaultParagraphFont"/>
    <w:link w:val="CommentText"/>
    <w:uiPriority w:val="99"/>
    <w:rsid w:val="009D775F"/>
  </w:style>
  <w:style w:type="paragraph" w:styleId="FootnoteText">
    <w:name w:val="footnote text"/>
    <w:basedOn w:val="Normal"/>
    <w:link w:val="FootnoteTextChar"/>
    <w:unhideWhenUsed/>
    <w:rsid w:val="005B28E8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rsid w:val="005B28E8"/>
  </w:style>
  <w:style w:type="character" w:styleId="FootnoteReference">
    <w:name w:val="footnote reference"/>
    <w:basedOn w:val="DefaultParagraphFont"/>
    <w:unhideWhenUsed/>
    <w:rsid w:val="005B28E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wee.ucdavis.edu/research/data-analytic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theclimateregistry.org/wp-content/uploads/2015/03/Water-Energy-GHG-Technical-Brief-Draft-March-2015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7506F-DEDF-4DCC-B949-8A11A5A8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 Productions</Company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Tseng</dc:creator>
  <cp:lastModifiedBy>cwatson</cp:lastModifiedBy>
  <cp:revision>2</cp:revision>
  <cp:lastPrinted>2015-09-01T18:16:00Z</cp:lastPrinted>
  <dcterms:created xsi:type="dcterms:W3CDTF">2015-11-14T00:43:00Z</dcterms:created>
  <dcterms:modified xsi:type="dcterms:W3CDTF">2015-11-14T00:43:00Z</dcterms:modified>
</cp:coreProperties>
</file>