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1EC" w:rsidRDefault="00E911EC" w:rsidP="00C64205">
      <w:pPr>
        <w:jc w:val="both"/>
        <w:rPr>
          <w:b/>
          <w:u w:val="single"/>
        </w:rPr>
      </w:pPr>
    </w:p>
    <w:p w:rsidR="002314FB" w:rsidRPr="00C64205" w:rsidRDefault="002314FB" w:rsidP="00C64205">
      <w:pPr>
        <w:jc w:val="both"/>
        <w:rPr>
          <w:b/>
          <w:u w:val="single"/>
        </w:rPr>
      </w:pPr>
      <w:r w:rsidRPr="00C64205">
        <w:rPr>
          <w:b/>
          <w:u w:val="single"/>
        </w:rPr>
        <w:t>VIA ELECTRONIC SUBMISSION</w:t>
      </w:r>
    </w:p>
    <w:p w:rsidR="002314FB" w:rsidRDefault="002314FB" w:rsidP="00C64205">
      <w:pPr>
        <w:jc w:val="both"/>
      </w:pPr>
    </w:p>
    <w:p w:rsidR="002314FB" w:rsidRDefault="002314FB" w:rsidP="00C64205">
      <w:pPr>
        <w:jc w:val="both"/>
      </w:pPr>
      <w:r>
        <w:t>January 19, 2017</w:t>
      </w:r>
    </w:p>
    <w:p w:rsidR="002314FB" w:rsidRDefault="002314FB" w:rsidP="00C64205">
      <w:pPr>
        <w:jc w:val="both"/>
      </w:pPr>
    </w:p>
    <w:p w:rsidR="00C64205" w:rsidRDefault="00C64205" w:rsidP="00C64205">
      <w:pPr>
        <w:jc w:val="both"/>
      </w:pPr>
    </w:p>
    <w:p w:rsidR="002314FB" w:rsidRDefault="002314FB" w:rsidP="00C64205">
      <w:pPr>
        <w:jc w:val="both"/>
      </w:pPr>
      <w:r>
        <w:t>Clerk of the Board</w:t>
      </w:r>
    </w:p>
    <w:p w:rsidR="002314FB" w:rsidRDefault="002314FB" w:rsidP="00C64205">
      <w:pPr>
        <w:jc w:val="both"/>
      </w:pPr>
      <w:r>
        <w:t>California Air Resources Board</w:t>
      </w:r>
    </w:p>
    <w:p w:rsidR="002314FB" w:rsidRDefault="002314FB" w:rsidP="00C64205">
      <w:pPr>
        <w:jc w:val="both"/>
      </w:pPr>
      <w:r>
        <w:t>1001 I Street</w:t>
      </w:r>
    </w:p>
    <w:p w:rsidR="002314FB" w:rsidRDefault="002314FB" w:rsidP="00C64205">
      <w:pPr>
        <w:jc w:val="both"/>
      </w:pPr>
      <w:r>
        <w:t>Sacramento, C</w:t>
      </w:r>
      <w:r w:rsidR="00C64205">
        <w:t xml:space="preserve">A  </w:t>
      </w:r>
      <w:r>
        <w:t>95814</w:t>
      </w:r>
    </w:p>
    <w:p w:rsidR="002314FB" w:rsidRDefault="002314FB" w:rsidP="00C64205">
      <w:pPr>
        <w:jc w:val="both"/>
      </w:pPr>
    </w:p>
    <w:p w:rsidR="002314FB" w:rsidRPr="00C64205" w:rsidRDefault="002314FB" w:rsidP="00C64205">
      <w:pPr>
        <w:ind w:left="1440" w:hanging="720"/>
        <w:jc w:val="both"/>
        <w:rPr>
          <w:u w:val="single"/>
        </w:rPr>
      </w:pPr>
      <w:r>
        <w:t>Re:</w:t>
      </w:r>
      <w:r>
        <w:tab/>
      </w:r>
      <w:r w:rsidRPr="00C64205">
        <w:rPr>
          <w:u w:val="single"/>
        </w:rPr>
        <w:t>Comments of the North American Insulation Manufacturers Association on</w:t>
      </w:r>
      <w:r w:rsidR="00C64205">
        <w:rPr>
          <w:u w:val="single"/>
        </w:rPr>
        <w:t xml:space="preserve"> CARB’s Notice of Public Availability of Modified Text and Availability of Additional Documents and/or Information – Public Hearing to Consider Adoption of Amendments to the California Cap on Greenhouse Gas Emissions and Market-Based Compliance Mechanisms</w:t>
      </w:r>
      <w:r w:rsidRPr="00C64205">
        <w:rPr>
          <w:u w:val="single"/>
        </w:rPr>
        <w:t xml:space="preserve"> </w:t>
      </w:r>
    </w:p>
    <w:p w:rsidR="002314FB" w:rsidRDefault="002314FB" w:rsidP="00C64205">
      <w:pPr>
        <w:jc w:val="both"/>
      </w:pPr>
    </w:p>
    <w:p w:rsidR="002314FB" w:rsidRDefault="002314FB" w:rsidP="00C64205">
      <w:pPr>
        <w:jc w:val="both"/>
      </w:pPr>
      <w:r>
        <w:t>To Whom It May Concern:</w:t>
      </w:r>
    </w:p>
    <w:p w:rsidR="002314FB" w:rsidRDefault="002314FB" w:rsidP="00C64205">
      <w:pPr>
        <w:jc w:val="both"/>
      </w:pPr>
    </w:p>
    <w:p w:rsidR="002330EC" w:rsidRDefault="002330EC" w:rsidP="00C64205">
      <w:pPr>
        <w:jc w:val="both"/>
      </w:pPr>
      <w:r>
        <w:t>INTRODUCTION</w:t>
      </w:r>
    </w:p>
    <w:p w:rsidR="002330EC" w:rsidRDefault="002330EC" w:rsidP="00C64205">
      <w:pPr>
        <w:jc w:val="both"/>
      </w:pPr>
    </w:p>
    <w:p w:rsidR="002314FB" w:rsidRDefault="002314FB" w:rsidP="00C64205">
      <w:pPr>
        <w:jc w:val="both"/>
      </w:pPr>
      <w:r>
        <w:t>The North</w:t>
      </w:r>
      <w:r w:rsidR="00167C02">
        <w:t xml:space="preserve"> American Insulation Manufacture</w:t>
      </w:r>
      <w:r>
        <w:t>rs Association (“NAIMA”) appreciates the opportunity to provide comments on the</w:t>
      </w:r>
      <w:r w:rsidR="00167C02">
        <w:t xml:space="preserve"> California Air Resources Board’s (“CARB”) Proposed Amendments to the California Cap on Greenhouse Gas Emissions and Market-Based Compliance Mechanisms Regulations.  NAIMA is the trade association for North American manufacturers of fiber glass and mineral wool insulation products.  NAIMA’s previous experience with CARB has been positive and productive and has </w:t>
      </w:r>
      <w:r w:rsidR="002330EC">
        <w:t xml:space="preserve">produced </w:t>
      </w:r>
      <w:r w:rsidR="00167C02">
        <w:t>results that have enabled</w:t>
      </w:r>
      <w:r w:rsidR="002330EC">
        <w:t xml:space="preserve"> fiber glass manufacturers in the State of </w:t>
      </w:r>
      <w:r w:rsidR="00C34AE4">
        <w:t>California</w:t>
      </w:r>
      <w:r w:rsidR="002330EC">
        <w:t xml:space="preserve"> to continue </w:t>
      </w:r>
      <w:r w:rsidR="00BF11A0">
        <w:t xml:space="preserve">to </w:t>
      </w:r>
      <w:r w:rsidR="002330EC">
        <w:t>maintain their California operations</w:t>
      </w:r>
      <w:r w:rsidR="00D805DE">
        <w:t>, which supply the State with energy savings and emissions reductions</w:t>
      </w:r>
      <w:r w:rsidR="002330EC">
        <w:t xml:space="preserve">.  CARB was responsive to the needs of NAIMA’s members and ultimately awarded the fiber glass industry 100 percent assistance factors.  It is hoped that a similar spirit of cooperation and communication will prevail as NAIMA </w:t>
      </w:r>
      <w:r w:rsidR="00A32220">
        <w:t xml:space="preserve">urges CARB to bring </w:t>
      </w:r>
      <w:r w:rsidR="002330EC">
        <w:t xml:space="preserve">reason and clarity to the </w:t>
      </w:r>
      <w:r w:rsidR="00A32220">
        <w:t xml:space="preserve">amended </w:t>
      </w:r>
      <w:r w:rsidR="002330EC">
        <w:t>methods of setting Assistance Factors (“AFs”).</w:t>
      </w:r>
    </w:p>
    <w:p w:rsidR="002330EC" w:rsidRDefault="002330EC" w:rsidP="00C64205">
      <w:pPr>
        <w:jc w:val="both"/>
      </w:pPr>
    </w:p>
    <w:p w:rsidR="002330EC" w:rsidRDefault="002330EC" w:rsidP="00C64205">
      <w:pPr>
        <w:jc w:val="both"/>
      </w:pPr>
      <w:r>
        <w:t xml:space="preserve">With the proposal of the modified methods for setting AFs, NAIMA fears that CARB has lost sight of its statutory obligation to prevent leakage.  Similarly, it appears that CARB has intentionally made the calculation of new assistance factors so confusing and uncertain that it seems impossible </w:t>
      </w:r>
      <w:r w:rsidR="00A32220">
        <w:t xml:space="preserve">for NAIMA’s members to </w:t>
      </w:r>
      <w:r>
        <w:t>accura</w:t>
      </w:r>
      <w:r w:rsidR="00A32220">
        <w:t xml:space="preserve">tely </w:t>
      </w:r>
      <w:r>
        <w:t xml:space="preserve">predict the availability of assistance factors in the future.  </w:t>
      </w:r>
      <w:r w:rsidR="00A32220">
        <w:t xml:space="preserve">Such confidence is absolutely essential in making business plans and in determining </w:t>
      </w:r>
      <w:r w:rsidR="00C34AE4">
        <w:t>whether operations</w:t>
      </w:r>
      <w:r w:rsidR="00A32220">
        <w:t xml:space="preserve"> can remain within California borders.</w:t>
      </w:r>
    </w:p>
    <w:p w:rsidR="00A32220" w:rsidRDefault="00A32220" w:rsidP="00C64205">
      <w:pPr>
        <w:jc w:val="both"/>
      </w:pPr>
    </w:p>
    <w:p w:rsidR="00876F24" w:rsidRDefault="00A32220" w:rsidP="00C64205">
      <w:pPr>
        <w:jc w:val="both"/>
      </w:pPr>
      <w:r>
        <w:t>As set forth herein, NAIMA strongly urges CARB to protect the fiber glass industry in the State of California by retaining the 100 percent assistance factors for 2020 and beyond.  With respect to the methodologies proposed by CARB, NAIMA makes the following requests</w:t>
      </w:r>
      <w:r w:rsidR="00BF11A0">
        <w:t>,</w:t>
      </w:r>
      <w:r>
        <w:t xml:space="preserve"> placing great confidence in the statement that “Staff remains open to alternate </w:t>
      </w:r>
      <w:r w:rsidR="00C34AE4">
        <w:t>methodologies</w:t>
      </w:r>
      <w:r>
        <w:t xml:space="preserve"> that utilize the results from the leakage studies.”  NAIMA request</w:t>
      </w:r>
      <w:r w:rsidR="00C64205">
        <w:t>s</w:t>
      </w:r>
      <w:r>
        <w:t xml:space="preserve"> </w:t>
      </w:r>
      <w:r w:rsidR="00C34AE4">
        <w:t>that CARB</w:t>
      </w:r>
      <w:r>
        <w:t xml:space="preserve"> drop the regression methodology </w:t>
      </w:r>
      <w:r>
        <w:lastRenderedPageBreak/>
        <w:t xml:space="preserve">from both the international and </w:t>
      </w:r>
      <w:r w:rsidR="00C34AE4">
        <w:t>domestic</w:t>
      </w:r>
      <w:r>
        <w:t xml:space="preserve"> </w:t>
      </w:r>
      <w:r w:rsidR="00C34AE4">
        <w:t>components</w:t>
      </w:r>
      <w:r>
        <w:t xml:space="preserve"> of the </w:t>
      </w:r>
      <w:r w:rsidR="00D805DE">
        <w:t xml:space="preserve">fiber glass insulation </w:t>
      </w:r>
      <w:r>
        <w:t xml:space="preserve">AF calculation.  This would increase </w:t>
      </w:r>
      <w:r w:rsidR="00971F8F">
        <w:t xml:space="preserve">the </w:t>
      </w:r>
      <w:r>
        <w:t xml:space="preserve">mineral wool manufacturing domestic component from 0.625 to 0.70 (under any </w:t>
      </w:r>
      <w:r w:rsidR="00C34AE4">
        <w:t>method</w:t>
      </w:r>
      <w:r>
        <w:t xml:space="preserve"> of using the RFF domestic </w:t>
      </w:r>
      <w:r w:rsidR="00876F24">
        <w:t>c</w:t>
      </w:r>
      <w:r>
        <w:t>omponents) and reduce the international component from 0.1121 to 0.11 for a composite AF of 0.81.</w:t>
      </w:r>
    </w:p>
    <w:p w:rsidR="00876F24" w:rsidRDefault="00876F24" w:rsidP="00C64205">
      <w:pPr>
        <w:jc w:val="both"/>
      </w:pPr>
    </w:p>
    <w:p w:rsidR="00A32220" w:rsidRDefault="00A32220" w:rsidP="00C64205">
      <w:pPr>
        <w:jc w:val="both"/>
      </w:pPr>
      <w:r>
        <w:t xml:space="preserve">NAIMA also suggests that </w:t>
      </w:r>
      <w:r w:rsidR="00C34AE4">
        <w:t>CARB use</w:t>
      </w:r>
      <w:r>
        <w:t xml:space="preserve"> the maximum value of domestic and international AF values acr</w:t>
      </w:r>
      <w:r w:rsidR="00876F24">
        <w:t>o</w:t>
      </w:r>
      <w:r>
        <w:t>ss the alternatives, instead of the average.  This would increase the composite fiber insulation AF to 0.821</w:t>
      </w:r>
      <w:r w:rsidR="00876F24">
        <w:t>.  This approach would demonstrate that CARB is sensitive to its statutory obligations to reduce leakage and is genuinely interested in retaining manufacturing in the State of California.</w:t>
      </w:r>
    </w:p>
    <w:p w:rsidR="00876F24" w:rsidRDefault="00876F24" w:rsidP="00C64205">
      <w:pPr>
        <w:jc w:val="both"/>
      </w:pPr>
    </w:p>
    <w:p w:rsidR="00876F24" w:rsidRDefault="00BF11A0" w:rsidP="00C64205">
      <w:pPr>
        <w:autoSpaceDE w:val="0"/>
        <w:autoSpaceDN w:val="0"/>
        <w:adjustRightInd w:val="0"/>
        <w:jc w:val="both"/>
        <w:rPr>
          <w:rFonts w:cs="Arial"/>
          <w:bCs/>
          <w:color w:val="000000"/>
        </w:rPr>
      </w:pPr>
      <w:r>
        <w:t>Given the gravity of the potential consequences</w:t>
      </w:r>
      <w:r w:rsidR="00876F24">
        <w:t xml:space="preserve">, </w:t>
      </w:r>
      <w:r w:rsidR="00876F24">
        <w:rPr>
          <w:rFonts w:cs="Arial"/>
          <w:bCs/>
          <w:color w:val="000000"/>
        </w:rPr>
        <w:t>NAIMA requests that CARB give full consideration to NAIMA’s comments as NAIMA represents four key stakeholders – CertainTeed Corporation, Johns Manville, Knauf Insulation, and</w:t>
      </w:r>
      <w:r w:rsidR="00876F24" w:rsidRPr="002E0BA2">
        <w:rPr>
          <w:rFonts w:cs="Arial"/>
          <w:bCs/>
          <w:color w:val="000000"/>
        </w:rPr>
        <w:t xml:space="preserve"> </w:t>
      </w:r>
      <w:r w:rsidR="00876F24">
        <w:rPr>
          <w:rFonts w:cs="Arial"/>
          <w:bCs/>
          <w:color w:val="000000"/>
        </w:rPr>
        <w:t xml:space="preserve">Owens Corning.  Each of these companies has a </w:t>
      </w:r>
      <w:r w:rsidR="00D805DE">
        <w:rPr>
          <w:rFonts w:cs="Arial"/>
          <w:bCs/>
          <w:color w:val="000000"/>
        </w:rPr>
        <w:t xml:space="preserve">large </w:t>
      </w:r>
      <w:r w:rsidR="00876F24">
        <w:rPr>
          <w:rFonts w:cs="Arial"/>
          <w:bCs/>
          <w:color w:val="000000"/>
        </w:rPr>
        <w:t xml:space="preserve">manufacturing plant in the State of California </w:t>
      </w:r>
      <w:r w:rsidR="00D805DE">
        <w:rPr>
          <w:rFonts w:cs="Arial"/>
          <w:bCs/>
          <w:color w:val="000000"/>
        </w:rPr>
        <w:t xml:space="preserve">that </w:t>
      </w:r>
      <w:r w:rsidR="00876F24">
        <w:rPr>
          <w:rFonts w:cs="Arial"/>
          <w:bCs/>
          <w:color w:val="000000"/>
        </w:rPr>
        <w:t>represents significant jobs in and financial benefits to the California economy.</w:t>
      </w:r>
    </w:p>
    <w:p w:rsidR="00876F24" w:rsidRDefault="00876F24" w:rsidP="00C64205">
      <w:pPr>
        <w:autoSpaceDE w:val="0"/>
        <w:autoSpaceDN w:val="0"/>
        <w:adjustRightInd w:val="0"/>
        <w:jc w:val="both"/>
        <w:rPr>
          <w:rFonts w:cs="Arial"/>
          <w:bCs/>
          <w:color w:val="000000"/>
        </w:rPr>
      </w:pPr>
    </w:p>
    <w:p w:rsidR="00876F24" w:rsidRDefault="00876F24" w:rsidP="00C64205">
      <w:pPr>
        <w:jc w:val="both"/>
      </w:pPr>
      <w:r>
        <w:t xml:space="preserve">THE FIBER GLASS INDUSTRY HAS A STRONG PRESENCE IN THE STATE OF CALIFORNIA AND ITS CONCERNS SHOULD </w:t>
      </w:r>
      <w:r w:rsidR="00971F8F">
        <w:t xml:space="preserve">BE </w:t>
      </w:r>
      <w:r>
        <w:t>TAKEN SERIOUSLY</w:t>
      </w:r>
    </w:p>
    <w:p w:rsidR="00876F24" w:rsidRDefault="00876F24" w:rsidP="00C64205">
      <w:pPr>
        <w:jc w:val="both"/>
      </w:pPr>
    </w:p>
    <w:p w:rsidR="00876F24" w:rsidRDefault="00876F24" w:rsidP="00C64205">
      <w:pPr>
        <w:autoSpaceDE w:val="0"/>
        <w:autoSpaceDN w:val="0"/>
        <w:adjustRightInd w:val="0"/>
        <w:jc w:val="both"/>
        <w:rPr>
          <w:rFonts w:cs="Arial"/>
          <w:bCs/>
          <w:color w:val="000000"/>
        </w:rPr>
      </w:pPr>
      <w:r>
        <w:rPr>
          <w:rFonts w:cs="Arial"/>
          <w:bCs/>
          <w:color w:val="000000"/>
        </w:rPr>
        <w:t>The Proposed Amendments are particularly relevant to NAIMA and its members because NAIMA’s members have four (4) manufacturing plants located in California:</w:t>
      </w:r>
      <w:r>
        <w:rPr>
          <w:rStyle w:val="FootnoteReference"/>
          <w:rFonts w:cs="Arial"/>
          <w:bCs/>
          <w:color w:val="000000"/>
        </w:rPr>
        <w:footnoteReference w:id="1"/>
      </w:r>
    </w:p>
    <w:p w:rsidR="00876F24" w:rsidRDefault="00876F24" w:rsidP="00C64205">
      <w:pPr>
        <w:autoSpaceDE w:val="0"/>
        <w:autoSpaceDN w:val="0"/>
        <w:adjustRightInd w:val="0"/>
        <w:jc w:val="both"/>
        <w:rPr>
          <w:rFonts w:cs="Arial"/>
          <w:bCs/>
          <w:color w:val="000000"/>
        </w:rPr>
      </w:pPr>
    </w:p>
    <w:p w:rsidR="00876F24" w:rsidRDefault="00876F24" w:rsidP="00C64205">
      <w:pPr>
        <w:numPr>
          <w:ilvl w:val="0"/>
          <w:numId w:val="1"/>
        </w:numPr>
        <w:autoSpaceDE w:val="0"/>
        <w:autoSpaceDN w:val="0"/>
        <w:adjustRightInd w:val="0"/>
        <w:jc w:val="both"/>
        <w:rPr>
          <w:rFonts w:cs="Arial"/>
          <w:bCs/>
          <w:color w:val="000000"/>
        </w:rPr>
      </w:pPr>
      <w:r>
        <w:rPr>
          <w:rFonts w:cs="Arial"/>
          <w:bCs/>
          <w:color w:val="000000"/>
        </w:rPr>
        <w:t>CertainTeed – Chowchilla, California</w:t>
      </w:r>
    </w:p>
    <w:p w:rsidR="00876F24" w:rsidRDefault="00876F24" w:rsidP="00C64205">
      <w:pPr>
        <w:numPr>
          <w:ilvl w:val="0"/>
          <w:numId w:val="1"/>
        </w:numPr>
        <w:autoSpaceDE w:val="0"/>
        <w:autoSpaceDN w:val="0"/>
        <w:adjustRightInd w:val="0"/>
        <w:jc w:val="both"/>
        <w:rPr>
          <w:rFonts w:cs="Arial"/>
          <w:bCs/>
          <w:color w:val="000000"/>
        </w:rPr>
      </w:pPr>
      <w:r>
        <w:rPr>
          <w:rFonts w:cs="Arial"/>
          <w:bCs/>
          <w:color w:val="000000"/>
        </w:rPr>
        <w:t>Johns Manville – Willows, California</w:t>
      </w:r>
    </w:p>
    <w:p w:rsidR="00876F24" w:rsidRDefault="00876F24" w:rsidP="00C64205">
      <w:pPr>
        <w:numPr>
          <w:ilvl w:val="0"/>
          <w:numId w:val="1"/>
        </w:numPr>
        <w:autoSpaceDE w:val="0"/>
        <w:autoSpaceDN w:val="0"/>
        <w:adjustRightInd w:val="0"/>
        <w:jc w:val="both"/>
        <w:rPr>
          <w:rFonts w:cs="Arial"/>
          <w:bCs/>
          <w:color w:val="000000"/>
        </w:rPr>
      </w:pPr>
      <w:r>
        <w:rPr>
          <w:rFonts w:cs="Arial"/>
          <w:bCs/>
          <w:color w:val="000000"/>
        </w:rPr>
        <w:t>Knauf Insulation – Shasta Lake, California</w:t>
      </w:r>
    </w:p>
    <w:p w:rsidR="00876F24" w:rsidRDefault="00876F24" w:rsidP="00C64205">
      <w:pPr>
        <w:numPr>
          <w:ilvl w:val="0"/>
          <w:numId w:val="1"/>
        </w:numPr>
        <w:autoSpaceDE w:val="0"/>
        <w:autoSpaceDN w:val="0"/>
        <w:adjustRightInd w:val="0"/>
        <w:jc w:val="both"/>
        <w:rPr>
          <w:rFonts w:cs="Arial"/>
          <w:bCs/>
          <w:color w:val="000000"/>
        </w:rPr>
      </w:pPr>
      <w:r>
        <w:rPr>
          <w:rFonts w:cs="Arial"/>
          <w:bCs/>
          <w:color w:val="000000"/>
        </w:rPr>
        <w:t>Owens Corning – Santa Clara, California</w:t>
      </w:r>
    </w:p>
    <w:p w:rsidR="00876F24" w:rsidRDefault="00876F24" w:rsidP="00C64205">
      <w:pPr>
        <w:autoSpaceDE w:val="0"/>
        <w:autoSpaceDN w:val="0"/>
        <w:adjustRightInd w:val="0"/>
        <w:jc w:val="both"/>
        <w:rPr>
          <w:rFonts w:cs="Arial"/>
          <w:bCs/>
          <w:color w:val="000000"/>
        </w:rPr>
      </w:pPr>
    </w:p>
    <w:p w:rsidR="00876F24" w:rsidRDefault="00876F24" w:rsidP="00C64205">
      <w:pPr>
        <w:jc w:val="both"/>
      </w:pPr>
      <w:r>
        <w:rPr>
          <w:rFonts w:cs="Arial"/>
          <w:bCs/>
          <w:color w:val="000000"/>
        </w:rPr>
        <w:t>In addition, v</w:t>
      </w:r>
      <w:r>
        <w:t>irtually all of NAIMA’s members’ products are used or sold in California.  More importantly, NAIMA’s members provide important manufacturing jobs to the California economy.  Specifically, Owens Corning operates a fiber glass building materials manufacturing facility in Santa Clara.  According to public sources, Owens Corning’s Santa Clara facility has an estimated 100 to 249 employees with an annual revenue of $20 to $50 million (</w:t>
      </w:r>
      <w:hyperlink r:id="rId9" w:history="1">
        <w:r w:rsidRPr="00050401">
          <w:rPr>
            <w:rStyle w:val="Hyperlink"/>
          </w:rPr>
          <w:t>www.manta.com/c/mmcntlv/owens-corning</w:t>
        </w:r>
      </w:hyperlink>
      <w:r>
        <w:t>).  Johns Manville operates a fiber glass manufacturing facility in Willows, California.  According to public sources, Johns Manville’s Willows facility employs between 250 and 499 employees and generates annual revenue of $100 to $500 million (</w:t>
      </w:r>
      <w:hyperlink r:id="rId10" w:history="1">
        <w:r w:rsidRPr="00050401">
          <w:rPr>
            <w:rStyle w:val="Hyperlink"/>
          </w:rPr>
          <w:t>www.manta.com/c/mmcckzn/johns-manville</w:t>
        </w:r>
      </w:hyperlink>
      <w:r>
        <w:t>).  CertainTeed Corporation operates a fiber glass manufacturing facility in Chowchilla, California.  According to public sources, CertainTeed’s Chowchilla facility employs between 250 and 499 employees and generates annual revenue of $100 to $500 million (</w:t>
      </w:r>
      <w:hyperlink r:id="rId11" w:history="1">
        <w:r w:rsidRPr="00C31541">
          <w:rPr>
            <w:rStyle w:val="Hyperlink"/>
          </w:rPr>
          <w:t>www.manta.com/c/mmjhsbb/certain-teed-corp</w:t>
        </w:r>
      </w:hyperlink>
      <w:r>
        <w:t xml:space="preserve">).  Knauf Insulation operates a fiber glass manufacturing facility in Shasta Lake, California.  </w:t>
      </w:r>
      <w:r>
        <w:lastRenderedPageBreak/>
        <w:t>According to public sources, Knauf’s Shasta Lake facility employs between 100 and 249 employees and generates annual revenue of $20 to $50 million (</w:t>
      </w:r>
      <w:hyperlink r:id="rId12" w:history="1">
        <w:r w:rsidRPr="00C31541">
          <w:rPr>
            <w:rStyle w:val="Hyperlink"/>
          </w:rPr>
          <w:t>www.manta.com/c/mm0tt3b/knauf-fiberglass</w:t>
        </w:r>
      </w:hyperlink>
      <w:r>
        <w:t>).</w:t>
      </w:r>
    </w:p>
    <w:p w:rsidR="00876F24" w:rsidRDefault="00876F24" w:rsidP="00C64205">
      <w:pPr>
        <w:jc w:val="both"/>
      </w:pPr>
    </w:p>
    <w:p w:rsidR="00876F24" w:rsidRDefault="00876F24" w:rsidP="00C64205">
      <w:pPr>
        <w:jc w:val="both"/>
      </w:pPr>
      <w:r>
        <w:t>California is losing manufacturing jobs – in both traditional and high-tech industries – to other states and nations.  One of the key reasons for this exodus from California is the State’s existing regulatory requirements and concerns about the future regulatory climate.</w:t>
      </w:r>
      <w:r>
        <w:rPr>
          <w:rStyle w:val="FootnoteReference"/>
        </w:rPr>
        <w:footnoteReference w:id="2"/>
      </w:r>
      <w:r>
        <w:t xml:space="preserve">  NAIMA’s members have found California’s regulatory environment to be challenging, time-consuming, complex, duplicative, and costly.</w:t>
      </w:r>
    </w:p>
    <w:p w:rsidR="00876F24" w:rsidRDefault="00876F24" w:rsidP="00C64205">
      <w:pPr>
        <w:jc w:val="both"/>
      </w:pPr>
    </w:p>
    <w:p w:rsidR="00876F24" w:rsidRDefault="00876F24" w:rsidP="00C64205">
      <w:pPr>
        <w:jc w:val="both"/>
      </w:pPr>
      <w:r>
        <w:t xml:space="preserve">CARB’s existing Cap-and-Trade Program and now its Proposed Amendments extending the Cap-and-Trade Program beyond 2020 with a specific proposal to ratchet down assistance factors while simultaneously lowering threshold limits is a perfect illustration of such costly regulation.  As discussed in greater detail below, the Proposed Amendments afford the </w:t>
      </w:r>
      <w:r w:rsidR="00BF11A0">
        <w:t>f</w:t>
      </w:r>
      <w:r>
        <w:t xml:space="preserve">iber </w:t>
      </w:r>
      <w:r w:rsidR="00BF11A0">
        <w:t>g</w:t>
      </w:r>
      <w:r>
        <w:t xml:space="preserve">lass insulation industry the much needed protection against domestic leakage.  NAIMA strongly supports CARB’s assignment of 100 percent assistance factors to the </w:t>
      </w:r>
      <w:r w:rsidR="00BF11A0">
        <w:t>f</w:t>
      </w:r>
      <w:r>
        <w:t xml:space="preserve">iber </w:t>
      </w:r>
      <w:r w:rsidR="00BF11A0">
        <w:t>g</w:t>
      </w:r>
      <w:r>
        <w:t>lass insulation industry.  This is prudent and wise because the California market could potentially be supplied with insulation products by manufacturing facilities in other bordering or nearby states, as well as Canada and Mexico, under the right market conditions.</w:t>
      </w:r>
    </w:p>
    <w:p w:rsidR="00876F24" w:rsidRDefault="00876F24" w:rsidP="00C64205">
      <w:pPr>
        <w:autoSpaceDE w:val="0"/>
        <w:autoSpaceDN w:val="0"/>
        <w:adjustRightInd w:val="0"/>
        <w:jc w:val="both"/>
        <w:rPr>
          <w:rFonts w:cs="Arial"/>
          <w:bCs/>
          <w:color w:val="000000"/>
        </w:rPr>
      </w:pPr>
    </w:p>
    <w:p w:rsidR="00876F24" w:rsidRDefault="00876F24" w:rsidP="00C64205">
      <w:pPr>
        <w:autoSpaceDE w:val="0"/>
        <w:autoSpaceDN w:val="0"/>
        <w:adjustRightInd w:val="0"/>
        <w:jc w:val="both"/>
      </w:pPr>
      <w:r>
        <w:t>With the inclusion of 100 percent assistance factors such a result is not likely to happen.  As indicated above, fiber glass insulation is an important contributor to the California economy, through direct manufacturing, shipment of finished product to markets within California and other western states, and export of product to foreign markets.  It also supports the insulation industry and installers, is a critical material for the construction industry, and a much-used material for do-it-yourself consumers.  In addition, fiber glass insulation promotes energy efficiency, environmental preservation, and reduces pollutants, including greenhouse gases.  Fiber glass is also the most thoroughly tested and researched insulation product on the market.  It is the preferred product for more than 80 percent of the insulation market.  Raising the cost of insulation products by raising the cost of doing business for fiber glass insulation manufacturers or by artificially reducing the supply of available insulating materials will reduce the ability of the State to meet its greenhouse gas emission reduction goals.  If the cost to California insulation customers should rise, it would likely discourage insulation installation beyond code, particularly in the do-it-yourself market.  The price increase could also occur as a result of increased transportation costs from out-of-state plants if regulations priced California products too high.</w:t>
      </w:r>
    </w:p>
    <w:p w:rsidR="00876F24" w:rsidRDefault="00876F24" w:rsidP="00C64205">
      <w:pPr>
        <w:autoSpaceDE w:val="0"/>
        <w:autoSpaceDN w:val="0"/>
        <w:adjustRightInd w:val="0"/>
        <w:jc w:val="both"/>
      </w:pPr>
    </w:p>
    <w:p w:rsidR="00876F24" w:rsidRDefault="00876F24" w:rsidP="00C64205">
      <w:pPr>
        <w:autoSpaceDE w:val="0"/>
        <w:autoSpaceDN w:val="0"/>
        <w:adjustRightInd w:val="0"/>
        <w:jc w:val="both"/>
      </w:pPr>
      <w:r>
        <w:t xml:space="preserve">CARB HAS A </w:t>
      </w:r>
      <w:r w:rsidR="00D805DE">
        <w:t xml:space="preserve">LEGAL DUTY </w:t>
      </w:r>
      <w:r>
        <w:t>TO MINIMIZE LEAKAGE</w:t>
      </w:r>
    </w:p>
    <w:p w:rsidR="00876F24" w:rsidRDefault="00876F24" w:rsidP="00C64205">
      <w:pPr>
        <w:autoSpaceDE w:val="0"/>
        <w:autoSpaceDN w:val="0"/>
        <w:adjustRightInd w:val="0"/>
        <w:jc w:val="both"/>
      </w:pPr>
    </w:p>
    <w:p w:rsidR="005143C8" w:rsidRDefault="005143C8" w:rsidP="00C64205">
      <w:pPr>
        <w:autoSpaceDE w:val="0"/>
        <w:autoSpaceDN w:val="0"/>
        <w:adjustRightInd w:val="0"/>
        <w:jc w:val="both"/>
      </w:pPr>
      <w:r>
        <w:rPr>
          <w:rFonts w:cs="Arial"/>
          <w:bCs/>
          <w:color w:val="000000"/>
        </w:rPr>
        <w:t xml:space="preserve">AB 32 mandates that CARB minimize leakage “to the extent feasible.”  </w:t>
      </w:r>
      <w:r>
        <w:rPr>
          <w:rFonts w:cs="Arial"/>
          <w:bCs/>
          <w:i/>
          <w:color w:val="000000"/>
        </w:rPr>
        <w:t>See</w:t>
      </w:r>
      <w:r>
        <w:rPr>
          <w:rFonts w:cs="Arial"/>
          <w:bCs/>
          <w:color w:val="000000"/>
        </w:rPr>
        <w:t xml:space="preserve"> California Health and Safety Code § 38562(B)(8).  </w:t>
      </w:r>
      <w:r w:rsidR="00E4619A">
        <w:rPr>
          <w:rFonts w:cs="Arial"/>
          <w:bCs/>
          <w:color w:val="000000"/>
        </w:rPr>
        <w:t>T</w:t>
      </w:r>
      <w:r w:rsidRPr="00355A22">
        <w:t xml:space="preserve">he statutory definition of leakage is not restricted to the international context; rather, it includes any situation where “a reduction in GHG emissions </w:t>
      </w:r>
      <w:r w:rsidRPr="00355A22">
        <w:lastRenderedPageBreak/>
        <w:t xml:space="preserve">within the state [] is offset by an increase in GHG emissions outside the state.”  Cal. Health &amp; Safety Code 38505(J).  The main body of CARB’s “Initial Statement of Reasons” (or “ISOR”) for the </w:t>
      </w:r>
      <w:r>
        <w:t>C</w:t>
      </w:r>
      <w:r w:rsidRPr="00355A22">
        <w:t>ap-and-</w:t>
      </w:r>
      <w:r>
        <w:t>T</w:t>
      </w:r>
      <w:r w:rsidRPr="00355A22">
        <w:t xml:space="preserve">rade </w:t>
      </w:r>
      <w:r>
        <w:t>P</w:t>
      </w:r>
      <w:r w:rsidRPr="00355A22">
        <w:t>rogram defines leakage in similar terms:  “If production shifts outside of California to a region not subject to GHG emissions-reduction requirements, emissions could remain unchanged or even increase.”</w:t>
      </w:r>
    </w:p>
    <w:p w:rsidR="005143C8" w:rsidRDefault="005143C8" w:rsidP="00C64205">
      <w:pPr>
        <w:autoSpaceDE w:val="0"/>
        <w:autoSpaceDN w:val="0"/>
        <w:adjustRightInd w:val="0"/>
        <w:jc w:val="both"/>
      </w:pPr>
    </w:p>
    <w:p w:rsidR="005143C8" w:rsidRDefault="00E4619A" w:rsidP="00C64205">
      <w:pPr>
        <w:autoSpaceDE w:val="0"/>
        <w:autoSpaceDN w:val="0"/>
        <w:adjustRightInd w:val="0"/>
        <w:jc w:val="both"/>
      </w:pPr>
      <w:r>
        <w:t xml:space="preserve">NAIMA asserts that CARB’s </w:t>
      </w:r>
      <w:r w:rsidR="00BF11A0">
        <w:t>P</w:t>
      </w:r>
      <w:r>
        <w:t xml:space="preserve">roposed </w:t>
      </w:r>
      <w:r w:rsidR="00BF11A0">
        <w:t>A</w:t>
      </w:r>
      <w:r>
        <w:t xml:space="preserve">mendments and revisions to methodology for setting AFs </w:t>
      </w:r>
      <w:r w:rsidR="00775C7A">
        <w:t>are</w:t>
      </w:r>
      <w:r>
        <w:t xml:space="preserve"> tantamount to turning its back on it</w:t>
      </w:r>
      <w:r w:rsidR="005878DD">
        <w:t>s</w:t>
      </w:r>
      <w:r>
        <w:t xml:space="preserve"> mandate to minimize leakage.</w:t>
      </w:r>
    </w:p>
    <w:p w:rsidR="00E4619A" w:rsidRDefault="00E4619A" w:rsidP="00C64205">
      <w:pPr>
        <w:autoSpaceDE w:val="0"/>
        <w:autoSpaceDN w:val="0"/>
        <w:adjustRightInd w:val="0"/>
        <w:jc w:val="both"/>
      </w:pPr>
    </w:p>
    <w:p w:rsidR="00E4619A" w:rsidRDefault="00E4619A" w:rsidP="00C64205">
      <w:pPr>
        <w:autoSpaceDE w:val="0"/>
        <w:autoSpaceDN w:val="0"/>
        <w:adjustRightInd w:val="0"/>
        <w:jc w:val="both"/>
      </w:pPr>
      <w:r>
        <w:t xml:space="preserve">CARB’S </w:t>
      </w:r>
      <w:r w:rsidR="00B655F7">
        <w:t xml:space="preserve">PROPOSED </w:t>
      </w:r>
      <w:r>
        <w:t xml:space="preserve">ASSISTANCE FACTOR METHODOLOGY </w:t>
      </w:r>
      <w:r w:rsidR="007F6FAD">
        <w:t xml:space="preserve">IS SERIOUSLY FLAWED AND </w:t>
      </w:r>
      <w:r>
        <w:t xml:space="preserve">WILL </w:t>
      </w:r>
      <w:r w:rsidR="00B655F7">
        <w:t>RESULT IN LEAKAGE</w:t>
      </w:r>
    </w:p>
    <w:p w:rsidR="00B655F7" w:rsidRDefault="00B655F7" w:rsidP="00C64205">
      <w:pPr>
        <w:autoSpaceDE w:val="0"/>
        <w:autoSpaceDN w:val="0"/>
        <w:adjustRightInd w:val="0"/>
        <w:jc w:val="both"/>
      </w:pPr>
    </w:p>
    <w:p w:rsidR="00B655F7" w:rsidRDefault="00B655F7" w:rsidP="00C64205">
      <w:pPr>
        <w:autoSpaceDE w:val="0"/>
        <w:autoSpaceDN w:val="0"/>
        <w:adjustRightInd w:val="0"/>
        <w:jc w:val="both"/>
      </w:pPr>
      <w:r>
        <w:t xml:space="preserve">NAIMA has reviewed CARB’s modified assistance factor methodology.  Having reviewed and discussed the </w:t>
      </w:r>
      <w:r w:rsidR="00BF11A0">
        <w:t>P</w:t>
      </w:r>
      <w:r>
        <w:t xml:space="preserve">roposal, NAIMA and its members still could not with any confidence understand the setting of new assistance factors for the fiber glass insulation industry.  Indeed, the original RFF Domestic Study and Berkeley International Study had regression results with unknown statistical properties, making the interpretation of the original results impossible.  CARB has further complicated the matter by overlaying additional regressions derived from </w:t>
      </w:r>
      <w:r w:rsidR="00C34AE4">
        <w:t>the</w:t>
      </w:r>
      <w:r>
        <w:t xml:space="preserve"> initial </w:t>
      </w:r>
      <w:r w:rsidR="00C34AE4">
        <w:t>regression</w:t>
      </w:r>
      <w:r>
        <w:t xml:space="preserve"> results into an averaging formula to </w:t>
      </w:r>
      <w:r w:rsidR="00C34AE4">
        <w:t>calculat</w:t>
      </w:r>
      <w:r w:rsidR="00BF11A0">
        <w:t>e</w:t>
      </w:r>
      <w:r>
        <w:t xml:space="preserve"> AFs.  NAIMA and its members could not understand or comprehend what the results might be and how the results would </w:t>
      </w:r>
      <w:r w:rsidR="00BF11A0">
        <w:t xml:space="preserve">be </w:t>
      </w:r>
      <w:r>
        <w:t xml:space="preserve">reached.  CARB has a </w:t>
      </w:r>
      <w:r w:rsidR="00427F02">
        <w:t xml:space="preserve">legal </w:t>
      </w:r>
      <w:r>
        <w:t xml:space="preserve">obligation to make their regulations and methodologies comprehensible to the regulated community.  </w:t>
      </w:r>
      <w:r w:rsidR="00427F02">
        <w:t xml:space="preserve">When those that are directly and immediately impacted by a regulatory requirement or calculation method </w:t>
      </w:r>
      <w:r w:rsidR="00D07C57">
        <w:t xml:space="preserve">that </w:t>
      </w:r>
      <w:r w:rsidR="0028352F">
        <w:t>cannot be comprehended by professionals within the regulated industry</w:t>
      </w:r>
      <w:r w:rsidR="00427F02">
        <w:t>, it deprives th</w:t>
      </w:r>
      <w:r w:rsidR="0028352F">
        <w:t>at</w:t>
      </w:r>
      <w:r w:rsidR="00427F02">
        <w:t xml:space="preserve"> regulated community </w:t>
      </w:r>
      <w:r w:rsidR="0028352F">
        <w:t xml:space="preserve">of </w:t>
      </w:r>
      <w:r w:rsidR="00427F02">
        <w:t>the opportunity to provide meaningful comments.  CARB should be required to explain in plain, easy-to-understand language the calculation method.  It’s like high school algebra – if you don’t show your work</w:t>
      </w:r>
      <w:r w:rsidR="0028352F">
        <w:t>,</w:t>
      </w:r>
      <w:r w:rsidR="00427F02">
        <w:t xml:space="preserve"> you don’t get credit.</w:t>
      </w:r>
    </w:p>
    <w:p w:rsidR="00B655F7" w:rsidRDefault="00B655F7" w:rsidP="00C64205">
      <w:pPr>
        <w:autoSpaceDE w:val="0"/>
        <w:autoSpaceDN w:val="0"/>
        <w:adjustRightInd w:val="0"/>
        <w:jc w:val="both"/>
      </w:pPr>
    </w:p>
    <w:p w:rsidR="00B655F7" w:rsidRDefault="00B655F7" w:rsidP="00C64205">
      <w:pPr>
        <w:autoSpaceDE w:val="0"/>
        <w:autoSpaceDN w:val="0"/>
        <w:adjustRightInd w:val="0"/>
        <w:jc w:val="both"/>
      </w:pPr>
      <w:r>
        <w:t xml:space="preserve">NAIMA was forced to retain outside assistance </w:t>
      </w:r>
      <w:r w:rsidR="007F6FAD">
        <w:t xml:space="preserve">(The Brattle Group) </w:t>
      </w:r>
      <w:r>
        <w:t xml:space="preserve">in order to </w:t>
      </w:r>
      <w:r w:rsidR="00C34AE4">
        <w:t>try</w:t>
      </w:r>
      <w:r>
        <w:t xml:space="preserve"> to understand CARB’s </w:t>
      </w:r>
      <w:r w:rsidR="00BF11A0">
        <w:t>P</w:t>
      </w:r>
      <w:r>
        <w:t xml:space="preserve">roposed </w:t>
      </w:r>
      <w:r w:rsidR="00BF11A0">
        <w:t>A</w:t>
      </w:r>
      <w:r>
        <w:t xml:space="preserve">mendments.  </w:t>
      </w:r>
      <w:r w:rsidR="00C34AE4">
        <w:t>The Brattle Group described CARB’s work as follows: “The entire enterprise results in pseudo-scientific coefficients of unknown and unknowable properties, with extraordinary opaque and intricate derivations that convey a completely false precision that is swamped by an ocean of uncertainty and inaccuracy.”</w:t>
      </w:r>
    </w:p>
    <w:p w:rsidR="007F6FAD" w:rsidRDefault="007F6FAD" w:rsidP="00C64205">
      <w:pPr>
        <w:autoSpaceDE w:val="0"/>
        <w:autoSpaceDN w:val="0"/>
        <w:adjustRightInd w:val="0"/>
        <w:jc w:val="both"/>
      </w:pPr>
    </w:p>
    <w:p w:rsidR="007F6FAD" w:rsidRDefault="007F6FAD" w:rsidP="00C64205">
      <w:pPr>
        <w:autoSpaceDE w:val="0"/>
        <w:autoSpaceDN w:val="0"/>
        <w:adjustRightInd w:val="0"/>
        <w:jc w:val="both"/>
      </w:pPr>
      <w:r>
        <w:t>NAIMA requests that CARB seriously consider the following critique from The Brattle Group:</w:t>
      </w:r>
    </w:p>
    <w:p w:rsidR="007F6FAD" w:rsidRDefault="007F6FAD" w:rsidP="00427F02">
      <w:pPr>
        <w:autoSpaceDE w:val="0"/>
        <w:autoSpaceDN w:val="0"/>
        <w:adjustRightInd w:val="0"/>
        <w:ind w:right="360"/>
        <w:jc w:val="both"/>
      </w:pPr>
    </w:p>
    <w:p w:rsidR="00427F02" w:rsidRDefault="00427F02" w:rsidP="00427F02">
      <w:pPr>
        <w:autoSpaceDE w:val="0"/>
        <w:autoSpaceDN w:val="0"/>
        <w:adjustRightInd w:val="0"/>
        <w:ind w:right="360"/>
        <w:jc w:val="center"/>
      </w:pPr>
      <w:r>
        <w:t>********************</w:t>
      </w:r>
    </w:p>
    <w:p w:rsidR="00427F02" w:rsidRDefault="00427F02" w:rsidP="005B7BF9">
      <w:pPr>
        <w:pStyle w:val="Default"/>
        <w:ind w:left="360" w:right="360"/>
        <w:jc w:val="both"/>
        <w:rPr>
          <w:rFonts w:ascii="Times New Roman" w:hAnsi="Times New Roman" w:cs="Times New Roman"/>
        </w:rPr>
      </w:pPr>
    </w:p>
    <w:p w:rsidR="00DE119A" w:rsidRPr="005B7BF9" w:rsidRDefault="00DE119A" w:rsidP="005B7BF9">
      <w:pPr>
        <w:pStyle w:val="Default"/>
        <w:ind w:left="360" w:right="360"/>
        <w:jc w:val="both"/>
        <w:rPr>
          <w:rFonts w:ascii="Times New Roman" w:hAnsi="Times New Roman" w:cs="Times New Roman"/>
          <w:sz w:val="20"/>
          <w:szCs w:val="20"/>
        </w:rPr>
      </w:pPr>
      <w:r w:rsidRPr="00971F8F">
        <w:rPr>
          <w:rFonts w:ascii="Times New Roman" w:hAnsi="Times New Roman" w:cs="Times New Roman"/>
        </w:rPr>
        <w:t xml:space="preserve">Domestic AF is based on the RFF discussion paper analysis, which attempted to quantify the industry-level expected changes in output (measured in terms of value of shipments, value added and employment) expected from a given change in California energy prices that are unaccompanied by price increases in other states. </w:t>
      </w:r>
      <w:r w:rsidR="002720CF">
        <w:rPr>
          <w:rFonts w:ascii="Times New Roman" w:hAnsi="Times New Roman" w:cs="Times New Roman"/>
        </w:rPr>
        <w:t xml:space="preserve"> </w:t>
      </w:r>
      <w:r w:rsidRPr="00971F8F">
        <w:rPr>
          <w:rFonts w:ascii="Times New Roman" w:hAnsi="Times New Roman" w:cs="Times New Roman"/>
        </w:rPr>
        <w:t xml:space="preserve">There were a host of potential problems with the methodology and data, but the resulting coefficients (at least the short-run coefficients) had plausible direction, magnitude and inter-industry patterns. </w:t>
      </w:r>
      <w:r w:rsidR="002720CF">
        <w:rPr>
          <w:rFonts w:ascii="Times New Roman" w:hAnsi="Times New Roman" w:cs="Times New Roman"/>
        </w:rPr>
        <w:t xml:space="preserve"> </w:t>
      </w:r>
      <w:r w:rsidRPr="00971F8F">
        <w:rPr>
          <w:rFonts w:ascii="Times New Roman" w:hAnsi="Times New Roman" w:cs="Times New Roman"/>
        </w:rPr>
        <w:t xml:space="preserve">RFF also </w:t>
      </w:r>
      <w:r w:rsidRPr="00971F8F">
        <w:rPr>
          <w:rFonts w:ascii="Times New Roman" w:hAnsi="Times New Roman" w:cs="Times New Roman"/>
        </w:rPr>
        <w:lastRenderedPageBreak/>
        <w:t>showed how one parameter (value added) would vary given a $22.62 per metric ton carbon price ($2009) and different levels (in percent deciles) of assistance factor (Table A-1 in the RFF study).</w:t>
      </w:r>
      <w:r w:rsidRPr="002720CF">
        <w:rPr>
          <w:rFonts w:ascii="Times New Roman" w:hAnsi="Times New Roman" w:cs="Times New Roman"/>
          <w:vertAlign w:val="superscript"/>
        </w:rPr>
        <w:t>2</w:t>
      </w:r>
      <w:r w:rsidRPr="005B7BF9">
        <w:rPr>
          <w:rFonts w:ascii="Times New Roman" w:hAnsi="Times New Roman" w:cs="Times New Roman"/>
        </w:rPr>
        <w:t xml:space="preserve"> </w:t>
      </w:r>
      <w:r w:rsidR="005B7BF9" w:rsidRPr="005B7BF9">
        <w:rPr>
          <w:rFonts w:ascii="Times New Roman" w:hAnsi="Times New Roman" w:cs="Times New Roman"/>
        </w:rPr>
        <w:t xml:space="preserve"> </w:t>
      </w:r>
      <w:r w:rsidR="005B7BF9">
        <w:rPr>
          <w:rFonts w:ascii="Times New Roman" w:hAnsi="Times New Roman" w:cs="Times New Roman"/>
        </w:rPr>
        <w:t>(</w:t>
      </w:r>
      <w:r w:rsidR="005B7BF9" w:rsidRPr="002720CF">
        <w:rPr>
          <w:rFonts w:ascii="Times New Roman" w:hAnsi="Times New Roman" w:cs="Times New Roman"/>
          <w:sz w:val="20"/>
          <w:szCs w:val="20"/>
          <w:vertAlign w:val="superscript"/>
        </w:rPr>
        <w:t>2</w:t>
      </w:r>
      <w:r w:rsidR="005B7BF9" w:rsidRPr="00971F8F">
        <w:rPr>
          <w:rFonts w:ascii="Times New Roman" w:hAnsi="Times New Roman" w:cs="Times New Roman"/>
          <w:sz w:val="20"/>
          <w:szCs w:val="20"/>
        </w:rPr>
        <w:t xml:space="preserve"> </w:t>
      </w:r>
      <w:r w:rsidR="005B7BF9" w:rsidRPr="005B7BF9">
        <w:rPr>
          <w:rFonts w:ascii="Times New Roman" w:hAnsi="Times New Roman" w:cs="Times New Roman"/>
        </w:rPr>
        <w:t>The $22.62 in 2009 dollars equates to $24.88 in 2016 dollars (see p. 14 12/21 document).</w:t>
      </w:r>
      <w:r w:rsidR="005B7BF9">
        <w:rPr>
          <w:rFonts w:ascii="Times New Roman" w:hAnsi="Times New Roman" w:cs="Times New Roman"/>
        </w:rPr>
        <w:t>)</w:t>
      </w:r>
      <w:r w:rsidR="002720CF" w:rsidRPr="005B7BF9">
        <w:rPr>
          <w:rFonts w:ascii="Times New Roman" w:hAnsi="Times New Roman" w:cs="Times New Roman"/>
        </w:rPr>
        <w:t xml:space="preserve"> </w:t>
      </w:r>
      <w:r w:rsidR="005B7BF9" w:rsidRPr="005B7BF9">
        <w:rPr>
          <w:rFonts w:ascii="Times New Roman" w:hAnsi="Times New Roman" w:cs="Times New Roman"/>
        </w:rPr>
        <w:t xml:space="preserve"> </w:t>
      </w:r>
      <w:r w:rsidRPr="00971F8F">
        <w:rPr>
          <w:rFonts w:ascii="Times New Roman" w:hAnsi="Times New Roman" w:cs="Times New Roman"/>
        </w:rPr>
        <w:t>In Table A-1, short-term (one year) changes in value added under a $22.62 per ton carbon price that increased natural gas and electricity costs for NAICS 327993 (Mineral Wool Manufacturing) varied from -22.8%</w:t>
      </w:r>
      <w:r w:rsidR="002720CF" w:rsidRPr="002720CF">
        <w:rPr>
          <w:rFonts w:ascii="Times New Roman" w:hAnsi="Times New Roman" w:cs="Times New Roman"/>
        </w:rPr>
        <w:t xml:space="preserve"> </w:t>
      </w:r>
      <w:r w:rsidRPr="002720CF">
        <w:rPr>
          <w:rFonts w:ascii="Times New Roman" w:hAnsi="Times New Roman" w:cs="Times New Roman"/>
        </w:rPr>
        <w:t xml:space="preserve">without any assistance to -2.6% if allowances compensated for 90% of the production cost increase. </w:t>
      </w:r>
      <w:r w:rsidR="002720CF">
        <w:rPr>
          <w:rFonts w:ascii="Times New Roman" w:hAnsi="Times New Roman" w:cs="Times New Roman"/>
        </w:rPr>
        <w:t xml:space="preserve"> </w:t>
      </w:r>
      <w:r w:rsidRPr="002720CF">
        <w:rPr>
          <w:rFonts w:ascii="Times New Roman" w:hAnsi="Times New Roman" w:cs="Times New Roman"/>
        </w:rPr>
        <w:t>The RFF researchers did not report statistical measures of significance with the results.</w:t>
      </w:r>
    </w:p>
    <w:p w:rsidR="002720CF" w:rsidRPr="002720CF" w:rsidRDefault="002720CF" w:rsidP="005B7BF9">
      <w:pPr>
        <w:pStyle w:val="Default"/>
        <w:ind w:left="360" w:right="360"/>
        <w:jc w:val="both"/>
        <w:rPr>
          <w:rFonts w:ascii="Times New Roman" w:hAnsi="Times New Roman" w:cs="Times New Roman"/>
        </w:rPr>
      </w:pPr>
    </w:p>
    <w:p w:rsidR="00DE119A" w:rsidRPr="002720CF" w:rsidRDefault="00DE119A" w:rsidP="005B7BF9">
      <w:pPr>
        <w:pStyle w:val="Default"/>
        <w:ind w:left="360" w:right="360"/>
        <w:jc w:val="both"/>
        <w:rPr>
          <w:rFonts w:ascii="Times New Roman" w:hAnsi="Times New Roman" w:cs="Times New Roman"/>
        </w:rPr>
      </w:pPr>
      <w:r w:rsidRPr="002720CF">
        <w:rPr>
          <w:rFonts w:ascii="Times New Roman" w:hAnsi="Times New Roman" w:cs="Times New Roman"/>
        </w:rPr>
        <w:t xml:space="preserve">In a series of documents, ARB staff has proposed a methodology to convert the RFF findings into the Domestic Assistance Factor (AF) component of the overall AF measure. </w:t>
      </w:r>
      <w:r w:rsidR="002720CF">
        <w:rPr>
          <w:rFonts w:ascii="Times New Roman" w:hAnsi="Times New Roman" w:cs="Times New Roman"/>
        </w:rPr>
        <w:t xml:space="preserve"> </w:t>
      </w:r>
      <w:r w:rsidRPr="002720CF">
        <w:rPr>
          <w:rFonts w:ascii="Times New Roman" w:hAnsi="Times New Roman" w:cs="Times New Roman"/>
        </w:rPr>
        <w:t>This method has no obvious basis in theory and does not reflect a conceptual approach other than reducing the range of AFs through a process of reducing higher AFs and increasing lower AFs as estimated by RFF findings.</w:t>
      </w:r>
      <w:r w:rsidR="002720CF">
        <w:rPr>
          <w:rFonts w:ascii="Times New Roman" w:hAnsi="Times New Roman" w:cs="Times New Roman"/>
        </w:rPr>
        <w:t xml:space="preserve"> </w:t>
      </w:r>
      <w:r w:rsidRPr="002720CF">
        <w:rPr>
          <w:rFonts w:ascii="Times New Roman" w:hAnsi="Times New Roman" w:cs="Times New Roman"/>
        </w:rPr>
        <w:t xml:space="preserve"> The process has several distinct steps:</w:t>
      </w:r>
    </w:p>
    <w:p w:rsidR="002720CF" w:rsidRDefault="002720CF" w:rsidP="005B7BF9">
      <w:pPr>
        <w:pStyle w:val="Default"/>
        <w:ind w:left="360" w:right="360"/>
        <w:jc w:val="both"/>
        <w:rPr>
          <w:rFonts w:ascii="Times New Roman" w:hAnsi="Times New Roman" w:cs="Times New Roman"/>
        </w:rPr>
      </w:pPr>
    </w:p>
    <w:p w:rsidR="002720CF" w:rsidRDefault="00DE119A" w:rsidP="005B7BF9">
      <w:pPr>
        <w:pStyle w:val="Default"/>
        <w:ind w:left="360" w:right="360"/>
        <w:jc w:val="both"/>
        <w:rPr>
          <w:rFonts w:ascii="Times New Roman" w:hAnsi="Times New Roman" w:cs="Times New Roman"/>
        </w:rPr>
      </w:pPr>
      <w:r w:rsidRPr="002720CF">
        <w:rPr>
          <w:rFonts w:ascii="Times New Roman" w:hAnsi="Times New Roman" w:cs="Times New Roman"/>
          <w:b/>
        </w:rPr>
        <w:t>First</w:t>
      </w:r>
      <w:r w:rsidRPr="002720CF">
        <w:rPr>
          <w:rFonts w:ascii="Times New Roman" w:hAnsi="Times New Roman" w:cs="Times New Roman"/>
        </w:rPr>
        <w:t>, in the October 21, 2016 document, ARB reproduced the RFF Table A-1 on Value Added as Table 3 and provided the counterpart table for Output (actually value of shipments) fr</w:t>
      </w:r>
      <w:r w:rsidR="002720CF">
        <w:rPr>
          <w:rFonts w:ascii="Times New Roman" w:hAnsi="Times New Roman" w:cs="Times New Roman"/>
        </w:rPr>
        <w:t>om the RFF analysis as Table 4.</w:t>
      </w:r>
    </w:p>
    <w:p w:rsidR="002720CF" w:rsidRDefault="002720CF" w:rsidP="005B7BF9">
      <w:pPr>
        <w:pStyle w:val="Default"/>
        <w:ind w:left="360" w:right="360"/>
        <w:jc w:val="both"/>
        <w:rPr>
          <w:rFonts w:ascii="Times New Roman" w:hAnsi="Times New Roman" w:cs="Times New Roman"/>
        </w:rPr>
      </w:pPr>
    </w:p>
    <w:p w:rsidR="00DE119A" w:rsidRDefault="00DE119A" w:rsidP="005B7BF9">
      <w:pPr>
        <w:pStyle w:val="Default"/>
        <w:ind w:left="360" w:right="360"/>
        <w:jc w:val="both"/>
        <w:rPr>
          <w:rFonts w:ascii="Times New Roman" w:hAnsi="Times New Roman" w:cs="Times New Roman"/>
        </w:rPr>
      </w:pPr>
      <w:r w:rsidRPr="002720CF">
        <w:rPr>
          <w:rFonts w:ascii="Times New Roman" w:hAnsi="Times New Roman" w:cs="Times New Roman"/>
          <w:b/>
        </w:rPr>
        <w:t>Second</w:t>
      </w:r>
      <w:r w:rsidRPr="002720CF">
        <w:rPr>
          <w:rFonts w:ascii="Times New Roman" w:hAnsi="Times New Roman" w:cs="Times New Roman"/>
        </w:rPr>
        <w:t xml:space="preserve">, ARB designed a method to provide two additional tables, by running regressions that took some of the results of the RFF analysis and augmented them with industry energy intensity data. </w:t>
      </w:r>
      <w:r w:rsidR="002720CF">
        <w:rPr>
          <w:rFonts w:ascii="Times New Roman" w:hAnsi="Times New Roman" w:cs="Times New Roman"/>
        </w:rPr>
        <w:t xml:space="preserve"> </w:t>
      </w:r>
      <w:r w:rsidRPr="002720CF">
        <w:rPr>
          <w:rFonts w:ascii="Times New Roman" w:hAnsi="Times New Roman" w:cs="Times New Roman"/>
        </w:rPr>
        <w:t>A</w:t>
      </w:r>
      <w:r w:rsidR="00427F02">
        <w:rPr>
          <w:rFonts w:ascii="Times New Roman" w:hAnsi="Times New Roman" w:cs="Times New Roman"/>
        </w:rPr>
        <w:t>R</w:t>
      </w:r>
      <w:r w:rsidRPr="002720CF">
        <w:rPr>
          <w:rFonts w:ascii="Times New Roman" w:hAnsi="Times New Roman" w:cs="Times New Roman"/>
        </w:rPr>
        <w:t>B provides no theoretical foundation for using this technique, in fact the method of using regression-derived coefficients (reduction in value added or sales under a $24.88 allowance price) as data for subsequent regressions seems entirely ad hoc.</w:t>
      </w:r>
      <w:r w:rsidR="002720CF">
        <w:rPr>
          <w:rFonts w:ascii="Times New Roman" w:hAnsi="Times New Roman" w:cs="Times New Roman"/>
        </w:rPr>
        <w:t xml:space="preserve"> </w:t>
      </w:r>
      <w:r w:rsidRPr="002720CF">
        <w:rPr>
          <w:rFonts w:ascii="Times New Roman" w:hAnsi="Times New Roman" w:cs="Times New Roman"/>
        </w:rPr>
        <w:t xml:space="preserve"> Nevertheless, both the intent of these regressions and subsequent results of Tables 5 and 6 (reductions in value added and sales revenue across different levels of AF based on the regressions) is to raise the AFs for sectors with low AFs and reduce the sectors with high AFs, without regard to whether those shifts represent f</w:t>
      </w:r>
      <w:r w:rsidR="002720CF">
        <w:rPr>
          <w:rFonts w:ascii="Times New Roman" w:hAnsi="Times New Roman" w:cs="Times New Roman"/>
        </w:rPr>
        <w:t>urther minimization of leakage.</w:t>
      </w:r>
    </w:p>
    <w:p w:rsidR="002720CF" w:rsidRPr="002720CF" w:rsidRDefault="002720CF" w:rsidP="005B7BF9">
      <w:pPr>
        <w:pStyle w:val="Default"/>
        <w:ind w:left="360" w:right="360"/>
        <w:jc w:val="both"/>
        <w:rPr>
          <w:rFonts w:ascii="Times New Roman" w:hAnsi="Times New Roman" w:cs="Times New Roman"/>
        </w:rPr>
      </w:pPr>
    </w:p>
    <w:p w:rsidR="00DE119A" w:rsidRDefault="00DE119A" w:rsidP="005B7BF9">
      <w:pPr>
        <w:pStyle w:val="Default"/>
        <w:ind w:left="360" w:right="360"/>
        <w:jc w:val="both"/>
        <w:rPr>
          <w:rFonts w:ascii="Times New Roman" w:hAnsi="Times New Roman" w:cs="Times New Roman"/>
        </w:rPr>
      </w:pPr>
      <w:r w:rsidRPr="002720CF">
        <w:rPr>
          <w:rFonts w:ascii="Times New Roman" w:hAnsi="Times New Roman" w:cs="Times New Roman"/>
          <w:b/>
        </w:rPr>
        <w:t>Third</w:t>
      </w:r>
      <w:r w:rsidRPr="002720CF">
        <w:rPr>
          <w:rFonts w:ascii="Times New Roman" w:hAnsi="Times New Roman" w:cs="Times New Roman"/>
        </w:rPr>
        <w:t xml:space="preserve">, ARB posits a threshold of acceptable declines in output, namely 7 percent, based on an analysis of representative annual declines in output across the sectors (see p. 14-15 12/21 document). </w:t>
      </w:r>
      <w:r w:rsidR="002720CF">
        <w:rPr>
          <w:rFonts w:ascii="Times New Roman" w:hAnsi="Times New Roman" w:cs="Times New Roman"/>
        </w:rPr>
        <w:t xml:space="preserve"> </w:t>
      </w:r>
      <w:r w:rsidRPr="002720CF">
        <w:rPr>
          <w:rFonts w:ascii="Times New Roman" w:hAnsi="Times New Roman" w:cs="Times New Roman"/>
        </w:rPr>
        <w:t>ARB also scales this 7% factor to 8.954% to account for different price years (the ratio of 2030 to 2025 auction reserve price used in the SRIA analysis).</w:t>
      </w:r>
    </w:p>
    <w:p w:rsidR="002720CF" w:rsidRPr="002720CF" w:rsidRDefault="002720CF" w:rsidP="005B7BF9">
      <w:pPr>
        <w:pStyle w:val="Default"/>
        <w:ind w:left="360" w:right="360"/>
        <w:jc w:val="both"/>
        <w:rPr>
          <w:rFonts w:ascii="Times New Roman" w:hAnsi="Times New Roman" w:cs="Times New Roman"/>
        </w:rPr>
      </w:pPr>
    </w:p>
    <w:p w:rsidR="00DE119A" w:rsidRDefault="00DE119A" w:rsidP="005B7BF9">
      <w:pPr>
        <w:pStyle w:val="Default"/>
        <w:ind w:left="360" w:right="360"/>
        <w:jc w:val="both"/>
        <w:rPr>
          <w:rFonts w:ascii="Times New Roman" w:hAnsi="Times New Roman" w:cs="Times New Roman"/>
        </w:rPr>
      </w:pPr>
      <w:r w:rsidRPr="002720CF">
        <w:rPr>
          <w:rFonts w:ascii="Times New Roman" w:hAnsi="Times New Roman" w:cs="Times New Roman"/>
          <w:b/>
        </w:rPr>
        <w:t>Fourth</w:t>
      </w:r>
      <w:r w:rsidRPr="002720CF">
        <w:rPr>
          <w:rFonts w:ascii="Times New Roman" w:hAnsi="Times New Roman" w:cs="Times New Roman"/>
        </w:rPr>
        <w:t>, ARB applies this threshold to the four different AF factor “demand drop” tables (Tables 3-6 10/21 Document) and for each industry (row) finds the decile assistance factor that corresponds to a demand drop that just exceeds the threshold applied (8.964%) and then use the next highest decile.</w:t>
      </w:r>
      <w:r w:rsidR="002720CF">
        <w:rPr>
          <w:rFonts w:ascii="Times New Roman" w:hAnsi="Times New Roman" w:cs="Times New Roman"/>
        </w:rPr>
        <w:t xml:space="preserve"> </w:t>
      </w:r>
      <w:r w:rsidRPr="002720CF">
        <w:rPr>
          <w:rFonts w:ascii="Times New Roman" w:hAnsi="Times New Roman" w:cs="Times New Roman"/>
        </w:rPr>
        <w:t xml:space="preserve"> This is nominally conservative, insofar as they do not interpolate but use the highest decile. </w:t>
      </w:r>
      <w:r w:rsidR="002720CF">
        <w:rPr>
          <w:rFonts w:ascii="Times New Roman" w:hAnsi="Times New Roman" w:cs="Times New Roman"/>
        </w:rPr>
        <w:t xml:space="preserve"> </w:t>
      </w:r>
      <w:r w:rsidRPr="002720CF">
        <w:rPr>
          <w:rFonts w:ascii="Times New Roman" w:hAnsi="Times New Roman" w:cs="Times New Roman"/>
        </w:rPr>
        <w:t>On row NAICS 327933 (Mineral Wool) in Table 3, for example, the 8.964% drop lies between that estimated for the 60% Assistance Factor (-10.2) and the 70% Assistance Factor (7.7) so the 70% factor is used for that row.</w:t>
      </w:r>
    </w:p>
    <w:p w:rsidR="002720CF" w:rsidRPr="002720CF" w:rsidRDefault="002720CF" w:rsidP="005B7BF9">
      <w:pPr>
        <w:pStyle w:val="Default"/>
        <w:ind w:left="360" w:right="360"/>
        <w:jc w:val="both"/>
        <w:rPr>
          <w:rFonts w:ascii="Times New Roman" w:hAnsi="Times New Roman" w:cs="Times New Roman"/>
        </w:rPr>
      </w:pPr>
    </w:p>
    <w:p w:rsidR="00DE119A" w:rsidRDefault="00DE119A" w:rsidP="005B7BF9">
      <w:pPr>
        <w:pStyle w:val="Default"/>
        <w:ind w:left="360" w:right="360"/>
        <w:jc w:val="both"/>
        <w:rPr>
          <w:rFonts w:ascii="Times New Roman" w:hAnsi="Times New Roman" w:cs="Times New Roman"/>
        </w:rPr>
      </w:pPr>
      <w:r w:rsidRPr="002720CF">
        <w:rPr>
          <w:rFonts w:ascii="Times New Roman" w:hAnsi="Times New Roman" w:cs="Times New Roman"/>
          <w:b/>
        </w:rPr>
        <w:t>Fifth</w:t>
      </w:r>
      <w:r w:rsidRPr="002720CF">
        <w:rPr>
          <w:rFonts w:ascii="Times New Roman" w:hAnsi="Times New Roman" w:cs="Times New Roman"/>
        </w:rPr>
        <w:t xml:space="preserve">, ARB averages out the 4 decile levels selected to produce the Domestic Assistance Factor. Note that in the August 2, 2016 Document ARB originally intended to use the </w:t>
      </w:r>
      <w:r w:rsidRPr="002720CF">
        <w:rPr>
          <w:rFonts w:ascii="Times New Roman" w:hAnsi="Times New Roman" w:cs="Times New Roman"/>
          <w:u w:val="single"/>
        </w:rPr>
        <w:t>maximum</w:t>
      </w:r>
      <w:r w:rsidRPr="002720CF">
        <w:rPr>
          <w:rFonts w:ascii="Times New Roman" w:hAnsi="Times New Roman" w:cs="Times New Roman"/>
        </w:rPr>
        <w:t xml:space="preserve"> decile level obtained by applying the threshold to the four demand drop tables, not the </w:t>
      </w:r>
      <w:r w:rsidRPr="002720CF">
        <w:rPr>
          <w:rFonts w:ascii="Times New Roman" w:hAnsi="Times New Roman" w:cs="Times New Roman"/>
          <w:u w:val="single"/>
        </w:rPr>
        <w:t>average</w:t>
      </w:r>
      <w:r w:rsidRPr="002720CF">
        <w:rPr>
          <w:rFonts w:ascii="Times New Roman" w:hAnsi="Times New Roman" w:cs="Times New Roman"/>
        </w:rPr>
        <w:t xml:space="preserve"> (see pp. 15-17). </w:t>
      </w:r>
      <w:r w:rsidR="002720CF">
        <w:rPr>
          <w:rFonts w:ascii="Times New Roman" w:hAnsi="Times New Roman" w:cs="Times New Roman"/>
        </w:rPr>
        <w:t xml:space="preserve"> </w:t>
      </w:r>
      <w:r w:rsidRPr="002720CF">
        <w:rPr>
          <w:rFonts w:ascii="Times New Roman" w:hAnsi="Times New Roman" w:cs="Times New Roman"/>
        </w:rPr>
        <w:t xml:space="preserve">This change lowers the final calculated value of the domestic AF, and I do not find any discussion for the change in </w:t>
      </w:r>
      <w:r w:rsidR="002720CF">
        <w:rPr>
          <w:rFonts w:ascii="Times New Roman" w:hAnsi="Times New Roman" w:cs="Times New Roman"/>
        </w:rPr>
        <w:t>methodology in later documents.</w:t>
      </w:r>
    </w:p>
    <w:p w:rsidR="002720CF" w:rsidRPr="002720CF" w:rsidRDefault="002720CF" w:rsidP="005B7BF9">
      <w:pPr>
        <w:pStyle w:val="Default"/>
        <w:ind w:left="360" w:right="360"/>
        <w:jc w:val="both"/>
        <w:rPr>
          <w:rFonts w:ascii="Times New Roman" w:hAnsi="Times New Roman" w:cs="Times New Roman"/>
        </w:rPr>
      </w:pPr>
    </w:p>
    <w:p w:rsidR="007F6FAD" w:rsidRPr="002720CF" w:rsidRDefault="00DE119A" w:rsidP="005B7BF9">
      <w:pPr>
        <w:pStyle w:val="Default"/>
        <w:ind w:left="360" w:right="360"/>
        <w:jc w:val="both"/>
        <w:rPr>
          <w:rFonts w:ascii="Times New Roman" w:hAnsi="Times New Roman" w:cs="Times New Roman"/>
        </w:rPr>
      </w:pPr>
      <w:r w:rsidRPr="002720CF">
        <w:rPr>
          <w:rFonts w:ascii="Times New Roman" w:hAnsi="Times New Roman" w:cs="Times New Roman"/>
        </w:rPr>
        <w:t>Aside from the weaknesses in the RFF study itself, the two primary flaws in ARB translation of the RFF study findings into domestic AFs are the addition of regressions (which serve only to increase low AFs and lower high AFs as found in the RFF study) and the application of a uniform threshold across industries (and the basis for the level of the threshold).</w:t>
      </w:r>
    </w:p>
    <w:p w:rsidR="007F6FAD" w:rsidRDefault="007F6FAD" w:rsidP="005B7BF9">
      <w:pPr>
        <w:autoSpaceDE w:val="0"/>
        <w:autoSpaceDN w:val="0"/>
        <w:adjustRightInd w:val="0"/>
        <w:ind w:left="360" w:right="360"/>
        <w:jc w:val="both"/>
      </w:pPr>
    </w:p>
    <w:p w:rsidR="009C5964" w:rsidRPr="009C5964" w:rsidRDefault="009C5964" w:rsidP="005B7BF9">
      <w:pPr>
        <w:autoSpaceDE w:val="0"/>
        <w:autoSpaceDN w:val="0"/>
        <w:adjustRightInd w:val="0"/>
        <w:ind w:left="360" w:right="360"/>
        <w:jc w:val="both"/>
        <w:rPr>
          <w:color w:val="000000"/>
        </w:rPr>
      </w:pPr>
      <w:r>
        <w:rPr>
          <w:color w:val="000000"/>
          <w:u w:val="single"/>
        </w:rPr>
        <w:t>Additional Regressions</w:t>
      </w:r>
    </w:p>
    <w:p w:rsidR="009C5964" w:rsidRDefault="009C5964" w:rsidP="005B7BF9">
      <w:pPr>
        <w:autoSpaceDE w:val="0"/>
        <w:autoSpaceDN w:val="0"/>
        <w:adjustRightInd w:val="0"/>
        <w:ind w:left="360" w:right="360"/>
        <w:jc w:val="both"/>
        <w:rPr>
          <w:color w:val="000000"/>
        </w:rPr>
      </w:pPr>
    </w:p>
    <w:p w:rsidR="00F57858" w:rsidRPr="00F57858" w:rsidRDefault="00DE119A" w:rsidP="005B7BF9">
      <w:pPr>
        <w:autoSpaceDE w:val="0"/>
        <w:autoSpaceDN w:val="0"/>
        <w:adjustRightInd w:val="0"/>
        <w:ind w:left="360" w:right="360"/>
        <w:jc w:val="both"/>
        <w:rPr>
          <w:color w:val="000000"/>
        </w:rPr>
      </w:pPr>
      <w:r w:rsidRPr="00F57858">
        <w:rPr>
          <w:color w:val="000000"/>
        </w:rPr>
        <w:t xml:space="preserve">The regressions are a good example of analysis run amok. </w:t>
      </w:r>
      <w:r w:rsidR="00F57858">
        <w:rPr>
          <w:color w:val="000000"/>
        </w:rPr>
        <w:t xml:space="preserve"> </w:t>
      </w:r>
      <w:r w:rsidRPr="00F57858">
        <w:rPr>
          <w:color w:val="000000"/>
        </w:rPr>
        <w:t xml:space="preserve">They are initially motivated by the observation that RFF found that some industries had positive coefficients (where the expected coefficients were negative) and those tended to be industries with low energy intensity. </w:t>
      </w:r>
      <w:r w:rsidR="00F57858">
        <w:rPr>
          <w:color w:val="000000"/>
        </w:rPr>
        <w:t xml:space="preserve"> </w:t>
      </w:r>
      <w:r w:rsidRPr="00F57858">
        <w:rPr>
          <w:color w:val="000000"/>
        </w:rPr>
        <w:t xml:space="preserve">However, only 5 out of 49 industries actually had positive coefficients in the output or value added analyses, i.e., they were distinct outliers, and may have been statistically indistinguishable from zero in any case. </w:t>
      </w:r>
      <w:r w:rsidR="00F57858">
        <w:rPr>
          <w:color w:val="000000"/>
        </w:rPr>
        <w:t xml:space="preserve"> </w:t>
      </w:r>
      <w:r w:rsidRPr="00F57858">
        <w:rPr>
          <w:color w:val="000000"/>
        </w:rPr>
        <w:t xml:space="preserve">So, instead of simply assuming that this implied no domestic leakage risk (e.g., setting the domestic AF = 0) ARB invented a methodology to give them a small AF, a methodology that begins with the step of setting them to zero! </w:t>
      </w:r>
      <w:r w:rsidR="00F57858">
        <w:rPr>
          <w:color w:val="000000"/>
        </w:rPr>
        <w:t xml:space="preserve"> </w:t>
      </w:r>
      <w:r w:rsidRPr="00F57858">
        <w:rPr>
          <w:color w:val="000000"/>
        </w:rPr>
        <w:t xml:space="preserve">The technique that ARB designed to boost the AFs of these outliers (and other industries with near-zero estimated elasticities) also by construction </w:t>
      </w:r>
      <w:r w:rsidRPr="00F57858">
        <w:rPr>
          <w:i/>
          <w:color w:val="000000"/>
        </w:rPr>
        <w:t>lowered</w:t>
      </w:r>
      <w:r w:rsidRPr="00F57858">
        <w:rPr>
          <w:color w:val="000000"/>
        </w:rPr>
        <w:t xml:space="preserve"> the AFs for industries that tended to have higher energy intensities, which </w:t>
      </w:r>
      <w:r w:rsidR="00427F02">
        <w:rPr>
          <w:color w:val="000000"/>
        </w:rPr>
        <w:t xml:space="preserve">[is] </w:t>
      </w:r>
      <w:r w:rsidRPr="00F57858">
        <w:rPr>
          <w:color w:val="000000"/>
        </w:rPr>
        <w:t>unnecessary and completely unmotivated by any theory.</w:t>
      </w:r>
    </w:p>
    <w:p w:rsidR="00F57858" w:rsidRPr="00F57858" w:rsidRDefault="00F57858" w:rsidP="005B7BF9">
      <w:pPr>
        <w:autoSpaceDE w:val="0"/>
        <w:autoSpaceDN w:val="0"/>
        <w:adjustRightInd w:val="0"/>
        <w:ind w:left="360" w:right="360"/>
        <w:jc w:val="both"/>
        <w:rPr>
          <w:color w:val="000000"/>
        </w:rPr>
      </w:pPr>
    </w:p>
    <w:p w:rsidR="00DE119A" w:rsidRDefault="00DE119A" w:rsidP="005B7BF9">
      <w:pPr>
        <w:autoSpaceDE w:val="0"/>
        <w:autoSpaceDN w:val="0"/>
        <w:adjustRightInd w:val="0"/>
        <w:ind w:left="360" w:right="360"/>
        <w:jc w:val="both"/>
        <w:rPr>
          <w:color w:val="000000"/>
        </w:rPr>
      </w:pPr>
      <w:r w:rsidRPr="00F57858">
        <w:rPr>
          <w:color w:val="000000"/>
        </w:rPr>
        <w:t>A far more natural way to treat these outliers – especially since the RFF study did not provide any metrics that could help determine if they were statistically distinguishable from zero – would have been to simply ignore them and set them at zero for purposes of determining a domestic AF.</w:t>
      </w:r>
      <w:r w:rsidR="00F57858">
        <w:rPr>
          <w:color w:val="000000"/>
        </w:rPr>
        <w:t xml:space="preserve"> </w:t>
      </w:r>
      <w:r w:rsidRPr="00F57858">
        <w:rPr>
          <w:color w:val="000000"/>
        </w:rPr>
        <w:t xml:space="preserve"> Instead, the ARB technique introduces another layer of unknown statistical properties onto an already-suspect set of results and thereby reduces AFs for the most energy intensive industries. </w:t>
      </w:r>
      <w:r w:rsidR="00F57858">
        <w:rPr>
          <w:color w:val="000000"/>
        </w:rPr>
        <w:t xml:space="preserve"> </w:t>
      </w:r>
      <w:r w:rsidRPr="00F57858">
        <w:rPr>
          <w:color w:val="000000"/>
        </w:rPr>
        <w:t xml:space="preserve">But there is no rationale for this leveling of assistance factors from the standpoint of minimizing leakage, which is inherently discriminatory across industries that have varying degrees of vulnerability. </w:t>
      </w:r>
      <w:r w:rsidR="00F57858">
        <w:rPr>
          <w:color w:val="000000"/>
        </w:rPr>
        <w:t xml:space="preserve"> </w:t>
      </w:r>
      <w:r w:rsidRPr="00F57858">
        <w:rPr>
          <w:color w:val="000000"/>
        </w:rPr>
        <w:t xml:space="preserve">That some sectors get zero assistance factors while others get 100% may in fact be the most efficient allocation of </w:t>
      </w:r>
      <w:r w:rsidR="00F57858">
        <w:rPr>
          <w:color w:val="000000"/>
        </w:rPr>
        <w:t>allowances to minimize leakage.</w:t>
      </w:r>
    </w:p>
    <w:p w:rsidR="00F57858" w:rsidRPr="00F57858" w:rsidRDefault="00F57858" w:rsidP="005B7BF9">
      <w:pPr>
        <w:autoSpaceDE w:val="0"/>
        <w:autoSpaceDN w:val="0"/>
        <w:adjustRightInd w:val="0"/>
        <w:ind w:left="360" w:right="360"/>
        <w:jc w:val="both"/>
        <w:rPr>
          <w:color w:val="000000"/>
        </w:rPr>
      </w:pPr>
    </w:p>
    <w:p w:rsidR="00DE119A" w:rsidRPr="00F57858" w:rsidRDefault="00DE119A" w:rsidP="005B7BF9">
      <w:pPr>
        <w:autoSpaceDE w:val="0"/>
        <w:autoSpaceDN w:val="0"/>
        <w:adjustRightInd w:val="0"/>
        <w:ind w:left="360" w:right="360"/>
        <w:jc w:val="both"/>
        <w:rPr>
          <w:color w:val="000000"/>
          <w:u w:val="single"/>
        </w:rPr>
      </w:pPr>
      <w:r w:rsidRPr="00F57858">
        <w:rPr>
          <w:color w:val="000000"/>
          <w:u w:val="single"/>
        </w:rPr>
        <w:t>Th</w:t>
      </w:r>
      <w:r w:rsidR="00F57858">
        <w:rPr>
          <w:color w:val="000000"/>
          <w:u w:val="single"/>
        </w:rPr>
        <w:t>e Uniform Threshold for Leakage</w:t>
      </w:r>
    </w:p>
    <w:p w:rsidR="00F57858" w:rsidRDefault="00F57858" w:rsidP="005B7BF9">
      <w:pPr>
        <w:autoSpaceDE w:val="0"/>
        <w:autoSpaceDN w:val="0"/>
        <w:adjustRightInd w:val="0"/>
        <w:ind w:left="360" w:right="360"/>
        <w:jc w:val="both"/>
        <w:rPr>
          <w:color w:val="000000"/>
        </w:rPr>
      </w:pPr>
    </w:p>
    <w:p w:rsidR="00DE119A" w:rsidRPr="00F57858" w:rsidRDefault="00DE119A" w:rsidP="005B7BF9">
      <w:pPr>
        <w:autoSpaceDE w:val="0"/>
        <w:autoSpaceDN w:val="0"/>
        <w:adjustRightInd w:val="0"/>
        <w:ind w:left="360" w:right="360"/>
        <w:jc w:val="both"/>
        <w:rPr>
          <w:color w:val="000000"/>
        </w:rPr>
      </w:pPr>
      <w:r w:rsidRPr="00F57858">
        <w:rPr>
          <w:color w:val="000000"/>
        </w:rPr>
        <w:t xml:space="preserve">Another leveling technique arises in the ARB use of a uniform threshold cutoff for leakage (e.g., 7%). </w:t>
      </w:r>
      <w:r w:rsidR="00F57858">
        <w:rPr>
          <w:color w:val="000000"/>
        </w:rPr>
        <w:t xml:space="preserve"> </w:t>
      </w:r>
      <w:r w:rsidRPr="00F57858">
        <w:rPr>
          <w:color w:val="000000"/>
        </w:rPr>
        <w:t xml:space="preserve">It is worth noting that the motivation for that threshold is completely </w:t>
      </w:r>
      <w:r w:rsidRPr="00F57858">
        <w:rPr>
          <w:color w:val="000000"/>
        </w:rPr>
        <w:lastRenderedPageBreak/>
        <w:t>contradictory to the underlying estimation methodology; the RFF regression coefficients theoretically hold other cau</w:t>
      </w:r>
      <w:r w:rsidR="00F57858">
        <w:rPr>
          <w:color w:val="000000"/>
        </w:rPr>
        <w:t>ses of output decline constant:</w:t>
      </w:r>
    </w:p>
    <w:p w:rsidR="00F57858" w:rsidRDefault="00F57858" w:rsidP="005B7BF9">
      <w:pPr>
        <w:autoSpaceDE w:val="0"/>
        <w:autoSpaceDN w:val="0"/>
        <w:adjustRightInd w:val="0"/>
        <w:ind w:left="360" w:right="360"/>
        <w:jc w:val="both"/>
        <w:rPr>
          <w:color w:val="000000"/>
        </w:rPr>
      </w:pPr>
    </w:p>
    <w:p w:rsidR="00DE119A" w:rsidRPr="00F57858" w:rsidRDefault="00DE119A" w:rsidP="005B7BF9">
      <w:pPr>
        <w:autoSpaceDE w:val="0"/>
        <w:autoSpaceDN w:val="0"/>
        <w:adjustRightInd w:val="0"/>
        <w:ind w:left="720" w:right="720"/>
        <w:jc w:val="both"/>
        <w:rPr>
          <w:i/>
          <w:color w:val="000000"/>
        </w:rPr>
      </w:pPr>
      <w:r w:rsidRPr="00F57858">
        <w:rPr>
          <w:i/>
          <w:color w:val="000000"/>
        </w:rPr>
        <w:t>This section describes how we use the estimated coefficients from our main statistical analysis to simulate the short- and long-run effects of imposing a GHG compliance cost on California p</w:t>
      </w:r>
      <w:r w:rsidR="00F57858">
        <w:rPr>
          <w:i/>
          <w:color w:val="000000"/>
        </w:rPr>
        <w:t>lants in the estimation sample….</w:t>
      </w:r>
      <w:r w:rsidRPr="00F57858">
        <w:rPr>
          <w:i/>
          <w:color w:val="000000"/>
        </w:rPr>
        <w:t xml:space="preserve">Importantly for the simulations, the regressions include year-fixed effects, which hold fixed national output, value added, and employment. </w:t>
      </w:r>
      <w:r w:rsidR="00F57858">
        <w:rPr>
          <w:i/>
          <w:color w:val="000000"/>
        </w:rPr>
        <w:t xml:space="preserve"> </w:t>
      </w:r>
      <w:r w:rsidRPr="00F57858">
        <w:rPr>
          <w:i/>
          <w:color w:val="000000"/>
        </w:rPr>
        <w:t>Therefore, in the simulations, we hold these outcomes fixed at their actual levels in 2009.</w:t>
      </w:r>
      <w:r w:rsidR="00F57858">
        <w:rPr>
          <w:i/>
          <w:color w:val="000000"/>
        </w:rPr>
        <w:t xml:space="preserve"> </w:t>
      </w:r>
      <w:r w:rsidRPr="00F57858">
        <w:rPr>
          <w:i/>
          <w:color w:val="000000"/>
        </w:rPr>
        <w:t xml:space="preserve"> That is, the simulations allow us to characterize the extent to which a GHG compliance cost only on California plants may cause manufacturing activity to shift from California to other states, under the assumption that national activity is unaffected.</w:t>
      </w:r>
      <w:r w:rsidRPr="00F57858">
        <w:rPr>
          <w:color w:val="000000"/>
          <w:vertAlign w:val="superscript"/>
        </w:rPr>
        <w:t>3</w:t>
      </w:r>
      <w:r w:rsidR="005B7BF9">
        <w:rPr>
          <w:color w:val="000000"/>
        </w:rPr>
        <w:t xml:space="preserve"> (</w:t>
      </w:r>
      <w:r w:rsidR="005B7BF9" w:rsidRPr="005B7BF9">
        <w:rPr>
          <w:color w:val="000000"/>
          <w:vertAlign w:val="superscript"/>
        </w:rPr>
        <w:t>3</w:t>
      </w:r>
      <w:r w:rsidR="005B7BF9">
        <w:rPr>
          <w:color w:val="000000"/>
        </w:rPr>
        <w:t xml:space="preserve"> RFF Study p. 15.)</w:t>
      </w:r>
    </w:p>
    <w:p w:rsidR="00F57858" w:rsidRDefault="00F57858" w:rsidP="005B7BF9">
      <w:pPr>
        <w:ind w:left="360" w:right="360"/>
        <w:jc w:val="both"/>
        <w:rPr>
          <w:color w:val="000000"/>
        </w:rPr>
      </w:pPr>
    </w:p>
    <w:p w:rsidR="002314FB" w:rsidRDefault="00DE119A" w:rsidP="005B7BF9">
      <w:pPr>
        <w:ind w:left="360" w:right="360"/>
        <w:jc w:val="both"/>
        <w:rPr>
          <w:color w:val="000000"/>
        </w:rPr>
      </w:pPr>
      <w:r w:rsidRPr="00F57858">
        <w:rPr>
          <w:color w:val="000000"/>
        </w:rPr>
        <w:t xml:space="preserve">The rationale for adopting 7% as a cutoff is incomprehensible. </w:t>
      </w:r>
      <w:r w:rsidR="00F57858">
        <w:rPr>
          <w:color w:val="000000"/>
        </w:rPr>
        <w:t xml:space="preserve"> </w:t>
      </w:r>
      <w:r w:rsidRPr="00F57858">
        <w:rPr>
          <w:color w:val="000000"/>
        </w:rPr>
        <w:t>Apparently, it represents a representative “bad” year-on-year changes in all industrial output.</w:t>
      </w:r>
      <w:r w:rsidR="00F57858">
        <w:rPr>
          <w:color w:val="000000"/>
        </w:rPr>
        <w:t xml:space="preserve"> </w:t>
      </w:r>
      <w:r w:rsidRPr="00F57858">
        <w:rPr>
          <w:color w:val="000000"/>
        </w:rPr>
        <w:t xml:space="preserve"> But, since the RFF regressions presumably isolate the impact of leakage only, this implicitly suggests that ARB believes that 7% reduction in output is acceptable level of leakage. </w:t>
      </w:r>
      <w:r w:rsidR="00D25A9C">
        <w:rPr>
          <w:color w:val="000000"/>
        </w:rPr>
        <w:t xml:space="preserve"> </w:t>
      </w:r>
      <w:r w:rsidRPr="00F57858">
        <w:rPr>
          <w:color w:val="000000"/>
        </w:rPr>
        <w:t xml:space="preserve">How that squares with the AB32 direction “to minimize leakage to the extent feasible” is never explained, nor is any theoretical or conceptual basis offered. </w:t>
      </w:r>
      <w:r w:rsidR="00D25A9C">
        <w:rPr>
          <w:color w:val="000000"/>
        </w:rPr>
        <w:t xml:space="preserve"> </w:t>
      </w:r>
      <w:r w:rsidRPr="00F57858">
        <w:rPr>
          <w:color w:val="000000"/>
        </w:rPr>
        <w:t>It’s just an average drop in industrial output attributed to reasons that have nothing to do with leakage, and thus is completely arbitrary.</w:t>
      </w:r>
    </w:p>
    <w:p w:rsidR="005B7BF9" w:rsidRPr="00F57858" w:rsidRDefault="005B7BF9" w:rsidP="005B7BF9">
      <w:pPr>
        <w:ind w:left="360" w:right="360"/>
        <w:jc w:val="both"/>
        <w:rPr>
          <w:color w:val="000000"/>
        </w:rPr>
      </w:pPr>
    </w:p>
    <w:p w:rsidR="005B7BF9" w:rsidRPr="005B7BF9" w:rsidRDefault="005B7BF9" w:rsidP="005B7BF9">
      <w:pPr>
        <w:autoSpaceDE w:val="0"/>
        <w:autoSpaceDN w:val="0"/>
        <w:adjustRightInd w:val="0"/>
        <w:ind w:left="360" w:right="360"/>
        <w:jc w:val="both"/>
        <w:rPr>
          <w:color w:val="000000"/>
        </w:rPr>
      </w:pPr>
      <w:r>
        <w:rPr>
          <w:color w:val="000000"/>
          <w:u w:val="single"/>
        </w:rPr>
        <w:t>International Assistance Factor</w:t>
      </w:r>
    </w:p>
    <w:p w:rsidR="005B7BF9" w:rsidRDefault="005B7BF9" w:rsidP="005B7BF9">
      <w:pPr>
        <w:autoSpaceDE w:val="0"/>
        <w:autoSpaceDN w:val="0"/>
        <w:adjustRightInd w:val="0"/>
        <w:ind w:left="360" w:right="360"/>
        <w:jc w:val="both"/>
        <w:rPr>
          <w:color w:val="000000"/>
        </w:rPr>
      </w:pPr>
    </w:p>
    <w:p w:rsidR="00D25A9C" w:rsidRDefault="00DE119A" w:rsidP="005B7BF9">
      <w:pPr>
        <w:autoSpaceDE w:val="0"/>
        <w:autoSpaceDN w:val="0"/>
        <w:adjustRightInd w:val="0"/>
        <w:ind w:left="360" w:right="360"/>
        <w:jc w:val="both"/>
        <w:rPr>
          <w:color w:val="000000"/>
        </w:rPr>
      </w:pPr>
      <w:r w:rsidRPr="00D25A9C">
        <w:rPr>
          <w:color w:val="000000"/>
        </w:rPr>
        <w:t xml:space="preserve">ARB conducts a similar extension of the Berkeley International Analysis, namely creating an alternative “regression” IMT (International Market Transfer) coefficient based on altering outlier coefficients and then using the original coefficients as data in other regressions that used sectoral data on energy intensity and trade exposure. </w:t>
      </w:r>
      <w:r w:rsidR="00D25A9C">
        <w:rPr>
          <w:color w:val="000000"/>
        </w:rPr>
        <w:t xml:space="preserve"> </w:t>
      </w:r>
      <w:r w:rsidRPr="00D25A9C">
        <w:rPr>
          <w:color w:val="000000"/>
        </w:rPr>
        <w:t>Again, no genuine motivation is offered except citing some stakeholder concerns about the validity of industry level findings – and a desire to homogenize outcomes to reduce the inter-industry range of IMT values.</w:t>
      </w:r>
    </w:p>
    <w:p w:rsidR="00D25A9C" w:rsidRDefault="00D25A9C" w:rsidP="005B7BF9">
      <w:pPr>
        <w:autoSpaceDE w:val="0"/>
        <w:autoSpaceDN w:val="0"/>
        <w:adjustRightInd w:val="0"/>
        <w:ind w:left="360" w:right="360"/>
        <w:jc w:val="both"/>
        <w:rPr>
          <w:color w:val="000000"/>
        </w:rPr>
      </w:pPr>
    </w:p>
    <w:p w:rsidR="00DE119A" w:rsidRPr="00D25A9C" w:rsidRDefault="00DE119A" w:rsidP="005B7BF9">
      <w:pPr>
        <w:ind w:left="360" w:right="360"/>
        <w:jc w:val="both"/>
        <w:rPr>
          <w:color w:val="000000"/>
        </w:rPr>
      </w:pPr>
      <w:r w:rsidRPr="00D25A9C">
        <w:rPr>
          <w:color w:val="000000"/>
        </w:rPr>
        <w:t xml:space="preserve">As in the case with domestic AFs, the additional of international regression IMTs (which ARB takes as equivalent to the international component of AF) serve to increase the AF of sectors with low AFs and decrease the AF of sectors with higher AFs. </w:t>
      </w:r>
      <w:r w:rsidR="00D25A9C">
        <w:rPr>
          <w:color w:val="000000"/>
        </w:rPr>
        <w:t xml:space="preserve"> </w:t>
      </w:r>
      <w:r w:rsidRPr="00D25A9C">
        <w:rPr>
          <w:color w:val="000000"/>
        </w:rPr>
        <w:t>As in the domestic AF analysis, the preferred approach would be to scrap the ARB regressions all together, and simply use the results of the Berkeley study.</w:t>
      </w:r>
    </w:p>
    <w:p w:rsidR="00DE119A" w:rsidRDefault="00DE119A" w:rsidP="00C64205">
      <w:pPr>
        <w:jc w:val="both"/>
        <w:rPr>
          <w:color w:val="000000"/>
        </w:rPr>
      </w:pPr>
    </w:p>
    <w:p w:rsidR="00427F02" w:rsidRDefault="00427F02" w:rsidP="00427F02">
      <w:pPr>
        <w:jc w:val="center"/>
        <w:rPr>
          <w:color w:val="000000"/>
        </w:rPr>
      </w:pPr>
      <w:r>
        <w:rPr>
          <w:color w:val="000000"/>
        </w:rPr>
        <w:t>********************</w:t>
      </w:r>
    </w:p>
    <w:p w:rsidR="00427F02" w:rsidRDefault="00427F02" w:rsidP="00C64205">
      <w:pPr>
        <w:jc w:val="both"/>
        <w:rPr>
          <w:rFonts w:ascii="Sylfaen" w:hAnsi="Sylfaen" w:cs="Sylfaen"/>
          <w:color w:val="000000"/>
          <w:sz w:val="23"/>
          <w:szCs w:val="23"/>
        </w:rPr>
      </w:pPr>
    </w:p>
    <w:p w:rsidR="00D07C57" w:rsidRDefault="00D07C57">
      <w:pPr>
        <w:rPr>
          <w:rFonts w:ascii="Sylfaen" w:hAnsi="Sylfaen" w:cs="Sylfaen"/>
          <w:color w:val="000000"/>
          <w:sz w:val="23"/>
          <w:szCs w:val="23"/>
        </w:rPr>
      </w:pPr>
      <w:r>
        <w:rPr>
          <w:rFonts w:ascii="Sylfaen" w:hAnsi="Sylfaen" w:cs="Sylfaen"/>
          <w:color w:val="000000"/>
          <w:sz w:val="23"/>
          <w:szCs w:val="23"/>
        </w:rPr>
        <w:br w:type="page"/>
      </w:r>
    </w:p>
    <w:p w:rsidR="00427F02" w:rsidRDefault="00427F02">
      <w:pPr>
        <w:rPr>
          <w:rFonts w:ascii="Sylfaen" w:hAnsi="Sylfaen" w:cs="Sylfaen"/>
          <w:color w:val="000000"/>
          <w:sz w:val="23"/>
          <w:szCs w:val="23"/>
        </w:rPr>
      </w:pPr>
    </w:p>
    <w:p w:rsidR="00DE119A" w:rsidRDefault="00DE119A" w:rsidP="00C64205">
      <w:pPr>
        <w:jc w:val="both"/>
        <w:rPr>
          <w:rFonts w:ascii="Sylfaen" w:hAnsi="Sylfaen" w:cs="Sylfaen"/>
          <w:color w:val="000000"/>
          <w:sz w:val="23"/>
          <w:szCs w:val="23"/>
        </w:rPr>
      </w:pPr>
      <w:r>
        <w:rPr>
          <w:rFonts w:ascii="Sylfaen" w:hAnsi="Sylfaen" w:cs="Sylfaen"/>
          <w:color w:val="000000"/>
          <w:sz w:val="23"/>
          <w:szCs w:val="23"/>
        </w:rPr>
        <w:t>NAIMA</w:t>
      </w:r>
      <w:r w:rsidR="00BF11A0">
        <w:rPr>
          <w:rFonts w:ascii="Sylfaen" w:hAnsi="Sylfaen" w:cs="Sylfaen"/>
          <w:color w:val="000000"/>
          <w:sz w:val="23"/>
          <w:szCs w:val="23"/>
        </w:rPr>
        <w:t>’S</w:t>
      </w:r>
      <w:r>
        <w:rPr>
          <w:rFonts w:ascii="Sylfaen" w:hAnsi="Sylfaen" w:cs="Sylfaen"/>
          <w:color w:val="000000"/>
          <w:sz w:val="23"/>
          <w:szCs w:val="23"/>
        </w:rPr>
        <w:t xml:space="preserve"> RECOMMENDATIONS</w:t>
      </w:r>
    </w:p>
    <w:p w:rsidR="00DE119A" w:rsidRDefault="00DE119A" w:rsidP="00C64205">
      <w:pPr>
        <w:jc w:val="both"/>
      </w:pPr>
    </w:p>
    <w:p w:rsidR="00887A49" w:rsidRDefault="00887A49" w:rsidP="00C64205">
      <w:pPr>
        <w:jc w:val="both"/>
      </w:pPr>
      <w:r>
        <w:t xml:space="preserve">NAIMA strongly urges CARB to protect the fiber glass industry in the State of California by retaining the 100 percent assistance factors for 2020 and beyond.  </w:t>
      </w:r>
      <w:r w:rsidR="00427F02">
        <w:t xml:space="preserve">The opaque and impenetrable calculations and regressions undertaken by Staff serve only to produce a false precision that is in the end not helpful to the issue of identifying and quantifying real leakage risk.  Instead, Staff is reminded to consider important “real world” issues such as the multiple fiber glass manufacturing plants on California’s border and in nearby states, which consideration requires no complicated statistical analysis but merely examination of a map and the understanding that fiber glass insulation manufacturing production capacity is still well below 100 percent.  </w:t>
      </w:r>
      <w:r>
        <w:t>With respect to the methodologies proposed by CARB, NAIMA makes the following requests</w:t>
      </w:r>
      <w:r w:rsidR="00BF11A0">
        <w:t>,</w:t>
      </w:r>
      <w:r>
        <w:t xml:space="preserve"> placing great confidence in the statement that “Staff remains open to alternate methodologies that utilize the results from the leakage studies.”  NAIMA request</w:t>
      </w:r>
      <w:r w:rsidR="00BF11A0">
        <w:t>s CARB</w:t>
      </w:r>
      <w:r>
        <w:t xml:space="preserve"> drop the regression methodology from both the international and </w:t>
      </w:r>
      <w:r w:rsidR="00C34AE4">
        <w:t>domestic</w:t>
      </w:r>
      <w:r>
        <w:t xml:space="preserve"> </w:t>
      </w:r>
      <w:r w:rsidR="00C34AE4">
        <w:t>components</w:t>
      </w:r>
      <w:r>
        <w:t xml:space="preserve"> of the AF calculation.  This would increase </w:t>
      </w:r>
      <w:r w:rsidR="00D25A9C">
        <w:t xml:space="preserve">the </w:t>
      </w:r>
      <w:r>
        <w:t xml:space="preserve">mineral wool manufacturing domestic component from 0.625 to 0.70 (under any </w:t>
      </w:r>
      <w:r w:rsidR="00C34AE4">
        <w:t>method</w:t>
      </w:r>
      <w:r>
        <w:t xml:space="preserve"> of using the RFF domestic components) and reduce the international component from 0.1121 to 0.11 for a composite AF of 0.81.</w:t>
      </w:r>
    </w:p>
    <w:p w:rsidR="00887A49" w:rsidRDefault="00887A49" w:rsidP="00C64205">
      <w:pPr>
        <w:jc w:val="both"/>
      </w:pPr>
    </w:p>
    <w:p w:rsidR="00887A49" w:rsidRDefault="00D25A9C" w:rsidP="00C64205">
      <w:pPr>
        <w:jc w:val="both"/>
      </w:pPr>
      <w:r>
        <w:t xml:space="preserve">NAIMA also suggests that CARB </w:t>
      </w:r>
      <w:r w:rsidR="00887A49">
        <w:t>use the maximum value of domestic and international AF values across the alternatives, instead of the average.  This would increase the composite fiber insulation AF to 0.821.  This approach would demonstrate that CARB is sensitive to its statutory obligations to reduce leakage and is genuinely interested in retaining manufacturing in the State of California.</w:t>
      </w:r>
    </w:p>
    <w:p w:rsidR="002314FB" w:rsidRDefault="002314FB" w:rsidP="00C64205">
      <w:pPr>
        <w:jc w:val="both"/>
      </w:pPr>
    </w:p>
    <w:p w:rsidR="00887A49" w:rsidRDefault="00887A49" w:rsidP="00C64205">
      <w:pPr>
        <w:jc w:val="both"/>
      </w:pPr>
      <w:r>
        <w:t>THE FIBER GLASS INSULATION INDUSTRY REPRESENTS A GENUINE LEAKAGE THREAT FOR CALIFORNIA</w:t>
      </w:r>
    </w:p>
    <w:p w:rsidR="00887A49" w:rsidRDefault="00887A49" w:rsidP="00C64205">
      <w:pPr>
        <w:jc w:val="both"/>
      </w:pPr>
    </w:p>
    <w:p w:rsidR="00887A49" w:rsidRDefault="00887A49" w:rsidP="00C64205">
      <w:pPr>
        <w:jc w:val="both"/>
      </w:pPr>
      <w:r>
        <w:t xml:space="preserve">NAIMA respectfully requests CARB recognize that if the California fiber glass operations are </w:t>
      </w:r>
      <w:r w:rsidR="005D40FD">
        <w:t xml:space="preserve">made less </w:t>
      </w:r>
      <w:r>
        <w:t xml:space="preserve">economically viable </w:t>
      </w:r>
      <w:r w:rsidR="005D40FD">
        <w:t>or even unviable a</w:t>
      </w:r>
      <w:r>
        <w:t xml:space="preserve">s a result of AB 32 and the Proposed Amendments, some of NAIMA’s California members might close their plants or significantly reduce capacity.  The fiber glass insulation production capacity in other jurisdictions will be able to adequately supply the California market, thereby increasing emissions in those jurisdictions and overall greenhouse gas concentrations, including in California.  This fact is particularly relevant at the present moment because industry </w:t>
      </w:r>
      <w:r w:rsidR="005D40FD">
        <w:t xml:space="preserve">manufacturing </w:t>
      </w:r>
      <w:r>
        <w:t xml:space="preserve">resources are </w:t>
      </w:r>
      <w:r w:rsidR="005D40FD">
        <w:t xml:space="preserve">far from </w:t>
      </w:r>
      <w:r>
        <w:t>fully utilized.</w:t>
      </w:r>
    </w:p>
    <w:p w:rsidR="00887A49" w:rsidRDefault="00887A49" w:rsidP="00C64205">
      <w:pPr>
        <w:jc w:val="both"/>
      </w:pPr>
    </w:p>
    <w:p w:rsidR="00887A49" w:rsidRDefault="00887A49" w:rsidP="00C64205">
      <w:pPr>
        <w:jc w:val="both"/>
      </w:pPr>
      <w:r>
        <w:t>Any demand previously fulfilled by a California plant can be easily and economically supplied from other U.S. plants were production costs to change significantly.  This industry does not have to look to offshore facilities to supply the California market.  In addition to the increase in greenhouse gas emissions per ton of fiber glass insulation produced at these plants located outside California, the transportation needed to get that material to California markets would have a further negative impact on greenhouse gas emissions.</w:t>
      </w:r>
    </w:p>
    <w:p w:rsidR="00887A49" w:rsidRDefault="00887A49" w:rsidP="00887A49">
      <w:pPr>
        <w:jc w:val="both"/>
      </w:pPr>
    </w:p>
    <w:p w:rsidR="00887A49" w:rsidRDefault="00887A49" w:rsidP="00887A49">
      <w:pPr>
        <w:jc w:val="both"/>
      </w:pPr>
    </w:p>
    <w:p w:rsidR="00887A49" w:rsidRDefault="00887A49" w:rsidP="00887A49">
      <w:pPr>
        <w:jc w:val="both"/>
      </w:pPr>
      <w:r>
        <w:rPr>
          <w:noProof/>
        </w:rPr>
        <w:drawing>
          <wp:inline distT="0" distB="0" distL="0" distR="0">
            <wp:extent cx="5934075" cy="6248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6248400"/>
                    </a:xfrm>
                    <a:prstGeom prst="rect">
                      <a:avLst/>
                    </a:prstGeom>
                    <a:noFill/>
                    <a:ln>
                      <a:noFill/>
                    </a:ln>
                  </pic:spPr>
                </pic:pic>
              </a:graphicData>
            </a:graphic>
          </wp:inline>
        </w:drawing>
      </w:r>
    </w:p>
    <w:p w:rsidR="00887A49" w:rsidRDefault="00887A49" w:rsidP="00887A49">
      <w:pPr>
        <w:jc w:val="both"/>
      </w:pPr>
    </w:p>
    <w:p w:rsidR="00887A49" w:rsidRDefault="00887A49" w:rsidP="00887A49">
      <w:pPr>
        <w:jc w:val="both"/>
      </w:pPr>
      <w:r>
        <w:br w:type="page"/>
      </w:r>
      <w:r>
        <w:lastRenderedPageBreak/>
        <w:t>A close look at the map of fiber glass manufacturing capacity in North America effectively illustrates why fiber glass companies should be afforded 100 percent assistance factors for the third compliance period and all compliance periods beyond 2020.  NAIMA again points out two manufacturing plants right at California’s border in Arizona.  Two additional plants in Utah also could relatively easily take up the work of supplying the California market.  There are also four insulation manufacturing plants in Western Canada.</w:t>
      </w:r>
    </w:p>
    <w:p w:rsidR="00887A49" w:rsidRDefault="00887A49" w:rsidP="00887A49">
      <w:pPr>
        <w:jc w:val="both"/>
      </w:pPr>
    </w:p>
    <w:p w:rsidR="00887A49" w:rsidRDefault="00887A49" w:rsidP="00887A49">
      <w:pPr>
        <w:jc w:val="both"/>
      </w:pPr>
      <w:r>
        <w:t>The fiber glass insulation plants in the states bordering California are far more relevant to assessing the potential for leakage in this industry than 20 plants in Europe or 10 plants in Asia.  If CARB is serious about preventing leakage from the State of California, it must carefully weigh the manufacturing potential, as illustrated on the above map of U.S. fiber glass and mineral wool insulation manufacturers.  The presence of those 40-plus plants are the most effective argument for giving fiber glass plants 100 percent assistance factors for the third compliance period and beyond 2020.</w:t>
      </w:r>
      <w:r>
        <w:rPr>
          <w:rStyle w:val="FootnoteReference"/>
        </w:rPr>
        <w:footnoteReference w:id="3"/>
      </w:r>
    </w:p>
    <w:p w:rsidR="00887A49" w:rsidRDefault="00887A49" w:rsidP="00887A49">
      <w:pPr>
        <w:jc w:val="both"/>
      </w:pPr>
    </w:p>
    <w:p w:rsidR="00887A49" w:rsidRDefault="00887A49" w:rsidP="00887A49">
      <w:pPr>
        <w:jc w:val="both"/>
      </w:pPr>
      <w:r>
        <w:t xml:space="preserve">The </w:t>
      </w:r>
      <w:r w:rsidR="00BF11A0">
        <w:t>f</w:t>
      </w:r>
      <w:r>
        <w:t xml:space="preserve">iber </w:t>
      </w:r>
      <w:r w:rsidR="00BF11A0">
        <w:t>g</w:t>
      </w:r>
      <w:r>
        <w:t xml:space="preserve">lass insulation industry in California does face some competition from plants in Canada and Mexico.  There have </w:t>
      </w:r>
      <w:r w:rsidR="00BF11A0">
        <w:t xml:space="preserve">also </w:t>
      </w:r>
      <w:r>
        <w:t>been some efforts by Chinese manufacturers to supply the U.S. market.  However, the insulation produced was inferior to U.S.-produced product, and to date, China has not caught on as a source of supply for the U.S. market.  A reduction of production in California could prompt a renewed effort on the part of Chinese manufacturers to supply this market.  Aside from the economic impact of such a development, it could lead to even greater transportation-related greenhouse gas emissions in California and beyond.</w:t>
      </w:r>
    </w:p>
    <w:p w:rsidR="00887A49" w:rsidRDefault="00887A49" w:rsidP="00887A49">
      <w:pPr>
        <w:jc w:val="both"/>
      </w:pPr>
    </w:p>
    <w:p w:rsidR="00887A49" w:rsidRDefault="00887A49" w:rsidP="00887A49">
      <w:pPr>
        <w:autoSpaceDE w:val="0"/>
        <w:autoSpaceDN w:val="0"/>
        <w:adjustRightInd w:val="0"/>
        <w:jc w:val="both"/>
        <w:rPr>
          <w:rFonts w:cs="Arial"/>
          <w:bCs/>
          <w:color w:val="000000"/>
        </w:rPr>
      </w:pPr>
      <w:r>
        <w:rPr>
          <w:rFonts w:cs="Arial"/>
          <w:bCs/>
          <w:color w:val="000000"/>
        </w:rPr>
        <w:t xml:space="preserve">NAIMA has analyzed the fiber glass industry’s capacity to compensate for </w:t>
      </w:r>
      <w:r w:rsidR="00BB6725">
        <w:rPr>
          <w:rFonts w:cs="Arial"/>
          <w:bCs/>
          <w:color w:val="000000"/>
        </w:rPr>
        <w:t>any</w:t>
      </w:r>
      <w:r>
        <w:rPr>
          <w:rFonts w:cs="Arial"/>
          <w:bCs/>
          <w:color w:val="000000"/>
        </w:rPr>
        <w:t xml:space="preserve"> reduction in production or closure of </w:t>
      </w:r>
      <w:r w:rsidR="00BB6725">
        <w:rPr>
          <w:rFonts w:cs="Arial"/>
          <w:bCs/>
          <w:color w:val="000000"/>
        </w:rPr>
        <w:t>one</w:t>
      </w:r>
      <w:r>
        <w:rPr>
          <w:rFonts w:cs="Arial"/>
          <w:bCs/>
          <w:color w:val="000000"/>
        </w:rPr>
        <w:t xml:space="preserve"> or more of California’s fiber glass insulation manufacturing plants.  Such reduction of production or plant closures could be likely triggered by the serious deleterious impacts from CARB’s implementation of the proposed Cap-and-Trade Program.</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First, to effectively assess the ability of North American fiber glass and mineral wool insulation manufacturers to satisfy any gap in the production of fiber glass insulation created by the closure of or reduction in output from California’s fiber glass insulation plants, it is necessary to assess the current production of California manufacturing facilities.</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 xml:space="preserve">The following chart identifies the number of </w:t>
      </w:r>
      <w:r w:rsidR="00BB6725">
        <w:rPr>
          <w:rFonts w:cs="Arial"/>
          <w:bCs/>
          <w:color w:val="000000"/>
        </w:rPr>
        <w:t xml:space="preserve">fiber glass </w:t>
      </w:r>
      <w:r>
        <w:rPr>
          <w:rFonts w:cs="Arial"/>
          <w:bCs/>
          <w:color w:val="000000"/>
        </w:rPr>
        <w:t>production lines available at the California fiber glass facilities:</w:t>
      </w:r>
    </w:p>
    <w:p w:rsidR="000661B5" w:rsidRDefault="000661B5">
      <w:pPr>
        <w:rPr>
          <w:rFonts w:cs="Arial"/>
          <w:bCs/>
          <w:color w:val="000000"/>
        </w:rPr>
      </w:pPr>
      <w:r>
        <w:rPr>
          <w:rFonts w:cs="Arial"/>
          <w:bCs/>
          <w:color w:val="000000"/>
        </w:rPr>
        <w:br w:type="page"/>
      </w:r>
    </w:p>
    <w:p w:rsidR="00887A49" w:rsidRDefault="00887A49" w:rsidP="00887A49">
      <w:pPr>
        <w:autoSpaceDE w:val="0"/>
        <w:autoSpaceDN w:val="0"/>
        <w:adjustRightInd w:val="0"/>
        <w:jc w:val="both"/>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87A49" w:rsidRPr="008C3E59" w:rsidTr="0034109D">
        <w:tc>
          <w:tcPr>
            <w:tcW w:w="3192" w:type="dxa"/>
            <w:shd w:val="clear" w:color="auto" w:fill="auto"/>
          </w:tcPr>
          <w:p w:rsidR="00887A49" w:rsidRPr="008C3E59" w:rsidRDefault="00887A49" w:rsidP="0034109D">
            <w:pPr>
              <w:autoSpaceDE w:val="0"/>
              <w:autoSpaceDN w:val="0"/>
              <w:adjustRightInd w:val="0"/>
              <w:rPr>
                <w:rFonts w:cs="Arial"/>
                <w:b/>
                <w:bCs/>
                <w:color w:val="000000"/>
              </w:rPr>
            </w:pPr>
            <w:r w:rsidRPr="008C3E59">
              <w:rPr>
                <w:rFonts w:cs="Arial"/>
                <w:b/>
                <w:bCs/>
                <w:color w:val="000000"/>
              </w:rPr>
              <w:t>Company</w:t>
            </w:r>
          </w:p>
        </w:tc>
        <w:tc>
          <w:tcPr>
            <w:tcW w:w="3192" w:type="dxa"/>
            <w:shd w:val="clear" w:color="auto" w:fill="auto"/>
          </w:tcPr>
          <w:p w:rsidR="00887A49" w:rsidRPr="008C3E59" w:rsidRDefault="00887A49" w:rsidP="0034109D">
            <w:pPr>
              <w:autoSpaceDE w:val="0"/>
              <w:autoSpaceDN w:val="0"/>
              <w:adjustRightInd w:val="0"/>
              <w:rPr>
                <w:rFonts w:cs="Arial"/>
                <w:b/>
                <w:bCs/>
                <w:color w:val="000000"/>
              </w:rPr>
            </w:pPr>
            <w:r w:rsidRPr="008C3E59">
              <w:rPr>
                <w:rFonts w:cs="Arial"/>
                <w:b/>
                <w:bCs/>
                <w:color w:val="000000"/>
              </w:rPr>
              <w:t>Plant Locations</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sidRPr="008C3E59">
              <w:rPr>
                <w:rFonts w:cs="Arial"/>
                <w:b/>
                <w:bCs/>
                <w:color w:val="000000"/>
              </w:rPr>
              <w:t>Number of Lines</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CertainTeed</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Chowchilla, CA</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sidRPr="008C3E59">
              <w:rPr>
                <w:rFonts w:cs="Arial"/>
                <w:bCs/>
                <w:color w:val="000000"/>
              </w:rPr>
              <w:t>2</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Johns Manville</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Willows, CA</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2</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Knauf</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Shasta Lake, CA</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sidRPr="008C3E59">
              <w:rPr>
                <w:rFonts w:cs="Arial"/>
                <w:bCs/>
                <w:color w:val="000000"/>
              </w:rPr>
              <w:t>1</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Owens Corning</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Santa Clara, CA</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sidRPr="008C3E59">
              <w:rPr>
                <w:rFonts w:cs="Arial"/>
                <w:bCs/>
                <w:color w:val="000000"/>
              </w:rPr>
              <w:t>2</w:t>
            </w:r>
          </w:p>
        </w:tc>
      </w:tr>
    </w:tbl>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The cumulative potential production capacity for the four California plants is estimated at 519,743 tons of fiber per year.</w:t>
      </w:r>
      <w:r w:rsidR="00BB6725">
        <w:rPr>
          <w:rStyle w:val="FootnoteReference"/>
          <w:rFonts w:cs="Arial"/>
          <w:bCs/>
          <w:color w:val="000000"/>
        </w:rPr>
        <w:footnoteReference w:id="4"/>
      </w:r>
      <w:r>
        <w:rPr>
          <w:rFonts w:cs="Arial"/>
          <w:bCs/>
          <w:color w:val="000000"/>
        </w:rPr>
        <w:t xml:space="preserve">  The average utilization of this capacity in 2015 is estimated at 85 percent.</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The CertainTeed, Johns Manville, Knauf, and Owens Corning facilities are producing residential and commercial insulation products that are used throughout the United States.</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If any of the California plants were to reduce production or close due to the increased regulatory burden from the Proposed Amendments, fiber glass production facilities operating in the western part of North America could increase their production to serve the California market.  These plants currently produce residential and commercial insulation products that are largely equivalent to those manufactured at California plants; there is no reason why they would not be able to serve the California market if production costs became too high in California.  In addition, as the chart below demonstrates, these western U.S. plants have sufficient capacity to meet the demands of its current market plus demands west of its operation:</w:t>
      </w:r>
    </w:p>
    <w:p w:rsidR="00887A49" w:rsidRDefault="00887A49" w:rsidP="00887A49">
      <w:pPr>
        <w:autoSpaceDE w:val="0"/>
        <w:autoSpaceDN w:val="0"/>
        <w:adjustRightInd w:val="0"/>
        <w:jc w:val="both"/>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87A49" w:rsidRPr="008C3E59" w:rsidTr="0034109D">
        <w:tc>
          <w:tcPr>
            <w:tcW w:w="3192" w:type="dxa"/>
            <w:shd w:val="clear" w:color="auto" w:fill="auto"/>
          </w:tcPr>
          <w:p w:rsidR="00887A49" w:rsidRPr="008C3E59" w:rsidRDefault="00887A49" w:rsidP="0034109D">
            <w:pPr>
              <w:autoSpaceDE w:val="0"/>
              <w:autoSpaceDN w:val="0"/>
              <w:adjustRightInd w:val="0"/>
              <w:rPr>
                <w:rFonts w:cs="Arial"/>
                <w:b/>
                <w:bCs/>
                <w:color w:val="000000"/>
              </w:rPr>
            </w:pPr>
            <w:r w:rsidRPr="008C3E59">
              <w:rPr>
                <w:rFonts w:cs="Arial"/>
                <w:b/>
                <w:bCs/>
                <w:color w:val="000000"/>
              </w:rPr>
              <w:t>Company</w:t>
            </w:r>
          </w:p>
        </w:tc>
        <w:tc>
          <w:tcPr>
            <w:tcW w:w="3192" w:type="dxa"/>
            <w:shd w:val="clear" w:color="auto" w:fill="auto"/>
          </w:tcPr>
          <w:p w:rsidR="00887A49" w:rsidRPr="008C3E59" w:rsidRDefault="00887A49" w:rsidP="0034109D">
            <w:pPr>
              <w:autoSpaceDE w:val="0"/>
              <w:autoSpaceDN w:val="0"/>
              <w:adjustRightInd w:val="0"/>
              <w:rPr>
                <w:rFonts w:cs="Arial"/>
                <w:b/>
                <w:bCs/>
                <w:color w:val="000000"/>
              </w:rPr>
            </w:pPr>
            <w:r w:rsidRPr="008C3E59">
              <w:rPr>
                <w:rFonts w:cs="Arial"/>
                <w:b/>
                <w:bCs/>
                <w:color w:val="000000"/>
              </w:rPr>
              <w:t>Plant Locations</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sidRPr="008C3E59">
              <w:rPr>
                <w:rFonts w:cs="Arial"/>
                <w:b/>
                <w:bCs/>
                <w:color w:val="000000"/>
              </w:rPr>
              <w:t>Number of Lines</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CertainTeed</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Redcliff, Alberta</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1</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Johns Manville</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Innisfail, Alberta</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Knauf</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Kingman, AZ</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1</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Eloy, AZ</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1</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Nephi, UT</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2</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Edmonton, Alberta</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2</w:t>
            </w:r>
          </w:p>
        </w:tc>
      </w:tr>
    </w:tbl>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The cumulative potential production capacity of these western North American manufacturing plants is estimated at 352,840 tons of fiber per year.  The average utilization of this capacity in 2015 is estimated at 58 percent.</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Many of these western North American manufacturers are currently underutilized because of the residential and commercial building downturn; therefore, these plants have existing capacity to help meet the increased demand occasioned by the reduced production or closure of one or more California plant.  In addition, consistent with the westward migration of products described above, any challenge to meet market demands from these western manufacturing facilities could be met by those manufacturing in the middle region of the United States and Mexico:</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87A49" w:rsidRPr="008C3E59" w:rsidTr="0034109D">
        <w:tc>
          <w:tcPr>
            <w:tcW w:w="3192" w:type="dxa"/>
            <w:shd w:val="clear" w:color="auto" w:fill="auto"/>
          </w:tcPr>
          <w:p w:rsidR="00887A49" w:rsidRPr="008C3E59" w:rsidRDefault="00887A49" w:rsidP="0034109D">
            <w:pPr>
              <w:autoSpaceDE w:val="0"/>
              <w:autoSpaceDN w:val="0"/>
              <w:adjustRightInd w:val="0"/>
              <w:rPr>
                <w:rFonts w:cs="Arial"/>
                <w:b/>
                <w:bCs/>
                <w:color w:val="000000"/>
              </w:rPr>
            </w:pPr>
            <w:r w:rsidRPr="008C3E59">
              <w:rPr>
                <w:rFonts w:cs="Arial"/>
                <w:b/>
                <w:bCs/>
                <w:color w:val="000000"/>
              </w:rPr>
              <w:t>Company</w:t>
            </w:r>
          </w:p>
        </w:tc>
        <w:tc>
          <w:tcPr>
            <w:tcW w:w="3192" w:type="dxa"/>
            <w:shd w:val="clear" w:color="auto" w:fill="auto"/>
          </w:tcPr>
          <w:p w:rsidR="00887A49" w:rsidRPr="008C3E59" w:rsidRDefault="00887A49" w:rsidP="0034109D">
            <w:pPr>
              <w:autoSpaceDE w:val="0"/>
              <w:autoSpaceDN w:val="0"/>
              <w:adjustRightInd w:val="0"/>
              <w:rPr>
                <w:rFonts w:cs="Arial"/>
                <w:b/>
                <w:bCs/>
                <w:color w:val="000000"/>
              </w:rPr>
            </w:pPr>
            <w:r w:rsidRPr="008C3E59">
              <w:rPr>
                <w:rFonts w:cs="Arial"/>
                <w:b/>
                <w:bCs/>
                <w:color w:val="000000"/>
              </w:rPr>
              <w:t>Plant Locations</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sidRPr="008C3E59">
              <w:rPr>
                <w:rFonts w:cs="Arial"/>
                <w:b/>
                <w:bCs/>
                <w:color w:val="000000"/>
              </w:rPr>
              <w:t>Number of Lines</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CertainTeed</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Kansas City, KS</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4</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Johns Manville</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Cleburne, TX</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McPherson, KS</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2</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Richmond, IN</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2</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Knauf</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Albion, MI</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4</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Knauf</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Shelbyville, IN</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6</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Kansas City, KS</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sidRPr="008C3E59">
              <w:rPr>
                <w:rFonts w:cs="Arial"/>
                <w:bCs/>
                <w:color w:val="000000"/>
              </w:rPr>
              <w:t>Owens Corning</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Mexico City, Mexico</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1</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Waxahachie, TX</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3</w:t>
            </w:r>
          </w:p>
        </w:tc>
      </w:tr>
    </w:tbl>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The cumulative potential production capacity of these middle North American manufacturing plants is estimated at 1,235,878 tons of fiber per year.  The average utilization of this capacity in 2015 is estimated at 88 percent.</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As these charts demonstrate, the further east on the U.S. map, the greater the fiber glass insulation capacity.  As illustrated above, the number of plants and the capacity of those plants are significantly greater.  These simple geographic facts demonstrate that the current manufacturing capacity within the United States can, with a slight shift westward, accommodate the market demands created by the closure of three of the four California plants.</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To further illustrate this point and bring it home, consider the chart below that lists the eastern manufacturing plants that also have the ability to meet any market demands created by the closure of California plants and the demand placed on plants in closer proximity to the California market:</w:t>
      </w:r>
    </w:p>
    <w:p w:rsidR="00887A49" w:rsidRDefault="00887A49" w:rsidP="00887A49">
      <w:pPr>
        <w:autoSpaceDE w:val="0"/>
        <w:autoSpaceDN w:val="0"/>
        <w:adjustRightInd w:val="0"/>
        <w:jc w:val="both"/>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87A49" w:rsidRPr="008C3E59" w:rsidTr="0034109D">
        <w:tc>
          <w:tcPr>
            <w:tcW w:w="3192" w:type="dxa"/>
            <w:shd w:val="clear" w:color="auto" w:fill="auto"/>
          </w:tcPr>
          <w:p w:rsidR="00887A49" w:rsidRPr="008C3E59" w:rsidRDefault="00887A49" w:rsidP="0034109D">
            <w:pPr>
              <w:autoSpaceDE w:val="0"/>
              <w:autoSpaceDN w:val="0"/>
              <w:adjustRightInd w:val="0"/>
              <w:rPr>
                <w:rFonts w:cs="Arial"/>
                <w:b/>
                <w:bCs/>
                <w:color w:val="000000"/>
              </w:rPr>
            </w:pPr>
            <w:r w:rsidRPr="008C3E59">
              <w:rPr>
                <w:rFonts w:cs="Arial"/>
                <w:b/>
                <w:bCs/>
                <w:color w:val="000000"/>
              </w:rPr>
              <w:t>Company</w:t>
            </w:r>
          </w:p>
        </w:tc>
        <w:tc>
          <w:tcPr>
            <w:tcW w:w="3192" w:type="dxa"/>
            <w:shd w:val="clear" w:color="auto" w:fill="auto"/>
          </w:tcPr>
          <w:p w:rsidR="00887A49" w:rsidRPr="008C3E59" w:rsidRDefault="00887A49" w:rsidP="0034109D">
            <w:pPr>
              <w:autoSpaceDE w:val="0"/>
              <w:autoSpaceDN w:val="0"/>
              <w:adjustRightInd w:val="0"/>
              <w:rPr>
                <w:rFonts w:cs="Arial"/>
                <w:b/>
                <w:bCs/>
                <w:color w:val="000000"/>
              </w:rPr>
            </w:pPr>
            <w:r w:rsidRPr="008C3E59">
              <w:rPr>
                <w:rFonts w:cs="Arial"/>
                <w:b/>
                <w:bCs/>
                <w:color w:val="000000"/>
              </w:rPr>
              <w:t>Plant Locations</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sidRPr="008C3E59">
              <w:rPr>
                <w:rFonts w:cs="Arial"/>
                <w:b/>
                <w:bCs/>
                <w:color w:val="000000"/>
              </w:rPr>
              <w:t>Number of Lines</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CertainTeed</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Athens, GA</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CertainTeed</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Ottawa, Ontario</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Berlin, NJ</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1</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Defiance, OH</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13</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Johns Manville</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Winder, GA</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2</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Knauf</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Inwood, WV</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2</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Knauf</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Lanett, AL</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Delmar, NY</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2</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Fairburn, GA</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Pr="008C3E59" w:rsidRDefault="00887A49" w:rsidP="0034109D">
            <w:pPr>
              <w:autoSpaceDE w:val="0"/>
              <w:autoSpaceDN w:val="0"/>
              <w:adjustRightInd w:val="0"/>
              <w:jc w:val="both"/>
              <w:rPr>
                <w:rFonts w:cs="Arial"/>
                <w:bCs/>
                <w:color w:val="000000"/>
              </w:rPr>
            </w:pPr>
            <w:r>
              <w:rPr>
                <w:rFonts w:cs="Arial"/>
                <w:bCs/>
                <w:color w:val="000000"/>
              </w:rPr>
              <w:t>Lakeland, FL</w:t>
            </w:r>
          </w:p>
        </w:tc>
        <w:tc>
          <w:tcPr>
            <w:tcW w:w="3192" w:type="dxa"/>
            <w:shd w:val="clear" w:color="auto" w:fill="auto"/>
          </w:tcPr>
          <w:p w:rsidR="00887A49" w:rsidRPr="008C3E59" w:rsidRDefault="00887A49" w:rsidP="0034109D">
            <w:pPr>
              <w:autoSpaceDE w:val="0"/>
              <w:autoSpaceDN w:val="0"/>
              <w:adjustRightInd w:val="0"/>
              <w:jc w:val="center"/>
              <w:rPr>
                <w:rFonts w:cs="Arial"/>
                <w:bCs/>
                <w:color w:val="000000"/>
              </w:rPr>
            </w:pPr>
            <w:r>
              <w:rPr>
                <w:rFonts w:cs="Arial"/>
                <w:bCs/>
                <w:color w:val="000000"/>
              </w:rPr>
              <w:t>2</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Mount Vernon, OH</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Newark, OH</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3</w:t>
            </w:r>
          </w:p>
        </w:tc>
      </w:tr>
      <w:tr w:rsidR="00887A49" w:rsidRPr="008C3E59" w:rsidTr="0034109D">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Owens Corning</w:t>
            </w:r>
          </w:p>
        </w:tc>
        <w:tc>
          <w:tcPr>
            <w:tcW w:w="3192" w:type="dxa"/>
            <w:shd w:val="clear" w:color="auto" w:fill="auto"/>
          </w:tcPr>
          <w:p w:rsidR="00887A49" w:rsidRDefault="00887A49" w:rsidP="0034109D">
            <w:pPr>
              <w:autoSpaceDE w:val="0"/>
              <w:autoSpaceDN w:val="0"/>
              <w:adjustRightInd w:val="0"/>
              <w:jc w:val="both"/>
              <w:rPr>
                <w:rFonts w:cs="Arial"/>
                <w:bCs/>
                <w:color w:val="000000"/>
              </w:rPr>
            </w:pPr>
            <w:r>
              <w:rPr>
                <w:rFonts w:cs="Arial"/>
                <w:bCs/>
                <w:color w:val="000000"/>
              </w:rPr>
              <w:t>Guelph, Ontario</w:t>
            </w:r>
          </w:p>
        </w:tc>
        <w:tc>
          <w:tcPr>
            <w:tcW w:w="3192" w:type="dxa"/>
            <w:shd w:val="clear" w:color="auto" w:fill="auto"/>
          </w:tcPr>
          <w:p w:rsidR="00887A49" w:rsidRDefault="00887A49" w:rsidP="0034109D">
            <w:pPr>
              <w:autoSpaceDE w:val="0"/>
              <w:autoSpaceDN w:val="0"/>
              <w:adjustRightInd w:val="0"/>
              <w:jc w:val="center"/>
              <w:rPr>
                <w:rFonts w:cs="Arial"/>
                <w:bCs/>
                <w:color w:val="000000"/>
              </w:rPr>
            </w:pPr>
            <w:r>
              <w:rPr>
                <w:rFonts w:cs="Arial"/>
                <w:bCs/>
                <w:color w:val="000000"/>
              </w:rPr>
              <w:t>2</w:t>
            </w:r>
          </w:p>
        </w:tc>
      </w:tr>
    </w:tbl>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lastRenderedPageBreak/>
        <w:t>The cumulative potential production capacity of these eastern North American plants is estimated at 1,094,938 tons of fiber per year.  The average utilization of this capacity in 2015 is estimated at 77 percent.</w:t>
      </w:r>
    </w:p>
    <w:p w:rsidR="00887A49" w:rsidRDefault="00887A49" w:rsidP="00887A49">
      <w:pPr>
        <w:autoSpaceDE w:val="0"/>
        <w:autoSpaceDN w:val="0"/>
        <w:adjustRightInd w:val="0"/>
        <w:jc w:val="both"/>
        <w:rPr>
          <w:rFonts w:cs="Arial"/>
          <w:bCs/>
          <w:color w:val="000000"/>
        </w:rPr>
      </w:pPr>
    </w:p>
    <w:p w:rsidR="00887A49" w:rsidRDefault="00887A49" w:rsidP="00887A49">
      <w:pPr>
        <w:tabs>
          <w:tab w:val="left" w:pos="180"/>
        </w:tabs>
        <w:autoSpaceDE w:val="0"/>
        <w:autoSpaceDN w:val="0"/>
        <w:adjustRightInd w:val="0"/>
        <w:jc w:val="both"/>
        <w:rPr>
          <w:rFonts w:cs="Arial"/>
          <w:bCs/>
          <w:color w:val="000000"/>
        </w:rPr>
      </w:pPr>
      <w:r>
        <w:rPr>
          <w:rFonts w:cs="Arial"/>
          <w:bCs/>
          <w:color w:val="000000"/>
        </w:rPr>
        <w:t>The total cumulative capacity</w:t>
      </w:r>
      <w:r>
        <w:rPr>
          <w:rStyle w:val="FootnoteReference"/>
          <w:rFonts w:cs="Arial"/>
          <w:bCs/>
          <w:color w:val="000000"/>
        </w:rPr>
        <w:footnoteReference w:id="5"/>
      </w:r>
      <w:r>
        <w:rPr>
          <w:rFonts w:cs="Arial"/>
          <w:bCs/>
          <w:color w:val="000000"/>
        </w:rPr>
        <w:t xml:space="preserve"> for North America is estimated at 3,203,399 tons of fiber per year.  A significant volume of capacity for mineral wool (rock and slag wool) insulation is not represented in this number</w:t>
      </w:r>
      <w:r w:rsidR="00BB6725">
        <w:rPr>
          <w:rFonts w:cs="Arial"/>
          <w:bCs/>
          <w:color w:val="000000"/>
        </w:rPr>
        <w:t xml:space="preserve"> even though mineral wool can be substituted for fiber glass in many building insulation applications</w:t>
      </w:r>
      <w:r>
        <w:rPr>
          <w:rFonts w:cs="Arial"/>
          <w:bCs/>
          <w:color w:val="000000"/>
        </w:rPr>
        <w:t>.  It is estimated that mineral wool has cumulative capacity for North America of 258,700 tons per year.  The total utilization of this capacity in 2015 is estimated at 60 percent.  The numbers speak for themselves, and it is plainly evident that any market gap caused by closure of California’s plants could be quickly and easily satisfied by existing operations.</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It is also worth noting that fiber glass insulation can readily be transported into California from other jurisdictions.  Insulation can be shipped economically by truck or by rail (using intermodal trailers).  It does not require any special infrastructure, and there are no hard and fast limits on shipping distances.  In fact, some manufacturers have in the past and currently do ship products to Australia and Europe.  Again, all out-of-state supplies, whether by rail, truck, or ship, would create additional transportation-related emissions in California and beyond.</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The above series of charts tell a story of an industry and its ability to supply and meet the North American insulation market demands.</w:t>
      </w:r>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INSULATION IS AN IMPORTANT PARTNER IN CARB’S FIGHT TO REDUCE GREENHOUSE GAS EMISSIONS</w:t>
      </w:r>
    </w:p>
    <w:p w:rsidR="00887A49" w:rsidRDefault="00887A49" w:rsidP="00887A49">
      <w:pPr>
        <w:autoSpaceDE w:val="0"/>
        <w:autoSpaceDN w:val="0"/>
        <w:adjustRightInd w:val="0"/>
        <w:jc w:val="both"/>
        <w:rPr>
          <w:rFonts w:cs="Arial"/>
          <w:bCs/>
          <w:color w:val="000000"/>
        </w:rPr>
      </w:pPr>
    </w:p>
    <w:p w:rsidR="00887A49" w:rsidRDefault="00BF11A0" w:rsidP="00887A49">
      <w:pPr>
        <w:jc w:val="both"/>
      </w:pPr>
      <w:r>
        <w:t>I</w:t>
      </w:r>
      <w:r w:rsidR="00887A49">
        <w:t>t is important for CARB to recognize that improving the energy efficiency in new and existing buildings can deliver significant reductions in greenhouse gas emissions, thus promoting the ultimate goal of AB 32.  Insulation is the most cost-effective means of improving energy efficiency in buildings.  It is, therefore, the most cost-effective means of reducing greenhouse gas emissions.  This fact was confirmed in studies conducted by the Harvard School of Public Health in 2002 and 2003.</w:t>
      </w:r>
      <w:r w:rsidR="00887A49">
        <w:rPr>
          <w:rStyle w:val="FootnoteReference"/>
        </w:rPr>
        <w:footnoteReference w:id="6"/>
      </w:r>
      <w:r w:rsidR="00887A49">
        <w:t xml:space="preserve">  These Harvard studies were recently updated by Boston University.  The findings included specific reductions in greenhouse gases in addition to criteria pollutants.</w:t>
      </w:r>
    </w:p>
    <w:p w:rsidR="00887A49" w:rsidRDefault="00887A49" w:rsidP="00887A49">
      <w:pPr>
        <w:jc w:val="both"/>
      </w:pPr>
    </w:p>
    <w:p w:rsidR="00887A49" w:rsidRDefault="00887A49" w:rsidP="00887A49">
      <w:pPr>
        <w:jc w:val="both"/>
      </w:pPr>
      <w:r>
        <w:t>The Boston University update focused on how much energy could be saved if all single-family homes across the continental United States in 2013 were insulated to the levels mandated by the 2012 International Energy Conservation Code.  With that premise, Boston University determined that 37 TWh of electricity would be saved every year; this is a 3.4 percent reduction in residential electricity consumption.  A similar analysis was performed for natural gas consumption, LPG/propane, and fuel oil consumption.  The increased insulation reduced natural gas consumption by 360 billion standard cubic feet every year.  LPG/propane consumption was reduced by 490 million gallons annually and fuel oil was reduced by 480 million gallons a year.</w:t>
      </w:r>
    </w:p>
    <w:p w:rsidR="00887A49" w:rsidRDefault="00887A49" w:rsidP="00887A49">
      <w:pPr>
        <w:jc w:val="both"/>
      </w:pPr>
    </w:p>
    <w:p w:rsidR="00887A49" w:rsidRDefault="00887A49" w:rsidP="00887A49">
      <w:pPr>
        <w:jc w:val="both"/>
      </w:pPr>
      <w:r>
        <w:t>More importantly, Boston University calculated the energy savings into annual reductions of pollutants.  Specifically, reductions in electricity consumption would result in annual reductions of 80 million tons of CO</w:t>
      </w:r>
      <w:r w:rsidRPr="00425FCF">
        <w:rPr>
          <w:vertAlign w:val="subscript"/>
        </w:rPr>
        <w:t>2</w:t>
      </w:r>
      <w:r>
        <w:t>, 68,000 tons of NOx, and 120,000 tons of SO</w:t>
      </w:r>
      <w:r w:rsidRPr="00425FCF">
        <w:rPr>
          <w:vertAlign w:val="subscript"/>
        </w:rPr>
        <w:t>2</w:t>
      </w:r>
      <w:r>
        <w:t>.  Reduction in direct residential combustion would result in annual reduction of 30 million tons of CO</w:t>
      </w:r>
      <w:r w:rsidRPr="00425FCF">
        <w:rPr>
          <w:vertAlign w:val="subscript"/>
        </w:rPr>
        <w:t>2</w:t>
      </w:r>
      <w:r>
        <w:t>, 25,000 tons of NOx, 10,000 tons of SO</w:t>
      </w:r>
      <w:r w:rsidRPr="00425FCF">
        <w:rPr>
          <w:vertAlign w:val="subscript"/>
        </w:rPr>
        <w:t>2</w:t>
      </w:r>
      <w:r>
        <w:t>, 1,200 tons of VOCs, and 600 tons of primary PM</w:t>
      </w:r>
      <w:r w:rsidRPr="00425FCF">
        <w:rPr>
          <w:vertAlign w:val="subscript"/>
        </w:rPr>
        <w:t>2.5</w:t>
      </w:r>
      <w:r>
        <w:t>.</w:t>
      </w:r>
      <w:r>
        <w:rPr>
          <w:rStyle w:val="FootnoteReference"/>
        </w:rPr>
        <w:footnoteReference w:id="7"/>
      </w:r>
    </w:p>
    <w:p w:rsidR="00887A49" w:rsidRDefault="00887A49" w:rsidP="00887A49">
      <w:pPr>
        <w:jc w:val="both"/>
      </w:pPr>
    </w:p>
    <w:p w:rsidR="00887A49" w:rsidRDefault="00887A49" w:rsidP="00887A49">
      <w:pPr>
        <w:jc w:val="both"/>
      </w:pPr>
      <w:r>
        <w:t>Figure 3 from the article effectively illustrates the breadth of the pollution reduction achieved through increased insulation:</w:t>
      </w:r>
    </w:p>
    <w:p w:rsidR="00887A49" w:rsidRDefault="00887A49" w:rsidP="00887A49">
      <w:pPr>
        <w:jc w:val="both"/>
      </w:pPr>
    </w:p>
    <w:p w:rsidR="00887A49" w:rsidRDefault="00887A49" w:rsidP="00887A49">
      <w:pPr>
        <w:jc w:val="both"/>
      </w:pPr>
      <w:r>
        <w:rPr>
          <w:noProof/>
        </w:rPr>
        <w:lastRenderedPageBreak/>
        <w:drawing>
          <wp:inline distT="0" distB="0" distL="0" distR="0">
            <wp:extent cx="5934075" cy="6315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6315075"/>
                    </a:xfrm>
                    <a:prstGeom prst="rect">
                      <a:avLst/>
                    </a:prstGeom>
                    <a:noFill/>
                    <a:ln>
                      <a:noFill/>
                    </a:ln>
                  </pic:spPr>
                </pic:pic>
              </a:graphicData>
            </a:graphic>
          </wp:inline>
        </w:drawing>
      </w:r>
    </w:p>
    <w:p w:rsidR="00887A49" w:rsidRDefault="00887A49" w:rsidP="00887A49">
      <w:pPr>
        <w:jc w:val="both"/>
      </w:pPr>
    </w:p>
    <w:p w:rsidR="00887A49" w:rsidRDefault="00887A49" w:rsidP="00887A49">
      <w:pPr>
        <w:jc w:val="both"/>
      </w:pPr>
      <w:r>
        <w:t>Boston University also looked at building new homes with increased insulation to 2012 levels.  Here again, improving the energy efficiency in new homes provided sizable reductions in pollutants.  Table 3 and Table 4 from the article illustrate the magnitude of pollution reduction that can be achieved through insulation</w:t>
      </w:r>
      <w:r w:rsidR="003C6E14">
        <w:t>:</w:t>
      </w:r>
      <w:r>
        <w:rPr>
          <w:rStyle w:val="FootnoteReference"/>
        </w:rPr>
        <w:footnoteReference w:id="8"/>
      </w:r>
    </w:p>
    <w:p w:rsidR="00887A49" w:rsidRDefault="00887A49" w:rsidP="00887A49">
      <w:pPr>
        <w:jc w:val="both"/>
      </w:pPr>
    </w:p>
    <w:p w:rsidR="00887A49" w:rsidRDefault="00887A49" w:rsidP="00887A49">
      <w:pPr>
        <w:jc w:val="both"/>
      </w:pPr>
      <w:r>
        <w:rPr>
          <w:noProof/>
        </w:rPr>
        <w:drawing>
          <wp:inline distT="0" distB="0" distL="0" distR="0">
            <wp:extent cx="5934075" cy="4629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629150"/>
                    </a:xfrm>
                    <a:prstGeom prst="rect">
                      <a:avLst/>
                    </a:prstGeom>
                    <a:noFill/>
                    <a:ln>
                      <a:noFill/>
                    </a:ln>
                  </pic:spPr>
                </pic:pic>
              </a:graphicData>
            </a:graphic>
          </wp:inline>
        </w:drawing>
      </w:r>
    </w:p>
    <w:p w:rsidR="00887A49" w:rsidRDefault="00887A49" w:rsidP="00887A49">
      <w:pPr>
        <w:jc w:val="both"/>
      </w:pPr>
      <w:r>
        <w:t>Both the Harvard School of Public Health and Boston University updates confirm that insulation’s most significant environmental attribute is saving energy which, in turn, delivers significant pollution reductions</w:t>
      </w:r>
      <w:r w:rsidR="00493311">
        <w:t xml:space="preserve"> along with public health improvements – both in morbidity and mortality</w:t>
      </w:r>
      <w:r>
        <w:t>.</w:t>
      </w:r>
    </w:p>
    <w:p w:rsidR="00887A49" w:rsidRDefault="00887A49" w:rsidP="00887A49">
      <w:pPr>
        <w:jc w:val="both"/>
      </w:pPr>
    </w:p>
    <w:p w:rsidR="00887A49" w:rsidRDefault="00887A49" w:rsidP="00887A49">
      <w:pPr>
        <w:jc w:val="both"/>
      </w:pPr>
      <w:r>
        <w:t xml:space="preserve">Indeed, both energy efficiency and insulation products are resources.  In fact, energy efficiency, including insulation, has been deemed the greatest untapped </w:t>
      </w:r>
      <w:r w:rsidR="00493311">
        <w:t xml:space="preserve">clean energy </w:t>
      </w:r>
      <w:r>
        <w:t>resource available to address the current energy crisis and climate change.</w:t>
      </w:r>
      <w:r>
        <w:rPr>
          <w:rStyle w:val="FootnoteReference"/>
        </w:rPr>
        <w:footnoteReference w:id="9"/>
      </w:r>
      <w:r>
        <w:t xml:space="preserve">  Unlike other energy efficiency measures, such as energy efficient appliances or energy saving light bulbs, insulation, once installed, requires no additional energy to save energy.</w:t>
      </w:r>
      <w:bookmarkStart w:id="0" w:name="_GoBack"/>
      <w:bookmarkEnd w:id="0"/>
    </w:p>
    <w:p w:rsidR="00887A49" w:rsidRDefault="00887A49" w:rsidP="00887A49">
      <w:pPr>
        <w:autoSpaceDE w:val="0"/>
        <w:autoSpaceDN w:val="0"/>
        <w:adjustRightInd w:val="0"/>
        <w:jc w:val="both"/>
        <w:rPr>
          <w:rFonts w:cs="Arial"/>
          <w:bCs/>
          <w:color w:val="000000"/>
        </w:rPr>
      </w:pPr>
    </w:p>
    <w:p w:rsidR="00887A49" w:rsidRDefault="00887A49" w:rsidP="00887A49">
      <w:pPr>
        <w:autoSpaceDE w:val="0"/>
        <w:autoSpaceDN w:val="0"/>
        <w:adjustRightInd w:val="0"/>
        <w:jc w:val="both"/>
        <w:rPr>
          <w:rFonts w:cs="Arial"/>
          <w:bCs/>
          <w:color w:val="000000"/>
        </w:rPr>
      </w:pPr>
      <w:r>
        <w:rPr>
          <w:rFonts w:cs="Arial"/>
          <w:bCs/>
          <w:color w:val="000000"/>
        </w:rPr>
        <w:t xml:space="preserve">CONCLUSION </w:t>
      </w:r>
    </w:p>
    <w:p w:rsidR="00887A49" w:rsidRDefault="00887A49" w:rsidP="00DD6609">
      <w:pPr>
        <w:jc w:val="both"/>
      </w:pPr>
    </w:p>
    <w:p w:rsidR="00493311" w:rsidRDefault="00493311" w:rsidP="00DD6609">
      <w:pPr>
        <w:jc w:val="both"/>
      </w:pPr>
      <w:r>
        <w:t>NAIMA strongly urges CARB to honor its statutory mandate to minimize leakage.  The gradual ratcheting down of assistan</w:t>
      </w:r>
      <w:r w:rsidR="00DD6609">
        <w:t>ce</w:t>
      </w:r>
      <w:r>
        <w:t xml:space="preserve"> factors will force NAIMA’s companies to seriously contemplate </w:t>
      </w:r>
      <w:r>
        <w:lastRenderedPageBreak/>
        <w:t>closing California plants.  The calculation method cannot be easily understood</w:t>
      </w:r>
      <w:r w:rsidR="00DD6609">
        <w:t>,</w:t>
      </w:r>
      <w:r>
        <w:t xml:space="preserve"> and that results in limited confidence as to what the future holds.  NAIMA asks that CARB retain 100 percent assistance factors for the fiber glass industry.  In the alternative, NAIMA recommends that CARB drop the regression methodology from both the international and domestic components of the assistance factor calculation.  As noted above, this will increase the likelihood that NAIMA’s companies could continue to operate in California.  NAIMA also requests CARB use the maximum value of domestic and international assistance factor</w:t>
      </w:r>
      <w:r w:rsidR="00DD6609">
        <w:t>s</w:t>
      </w:r>
      <w:r>
        <w:t xml:space="preserve"> instead of the average, across the alternatives.  NAIMA is genuinely concerned about regulations and calculation methods so complicated and complex that assistance outside the industry had to be retained and, upon retaining that assistance, discover</w:t>
      </w:r>
      <w:r w:rsidR="00C86562">
        <w:t>ed</w:t>
      </w:r>
      <w:r>
        <w:t xml:space="preserve"> that the expert found the calculation methods confusing and loaded with extraordinarily “opaque and intricate derivations that convey a completely false precision that is swamped by an ocean of uncertainty and inaccuracy.”  NAIMA will seek a face-to-face meeting with CARB to further address these issues and petition for clarity and feasibility.</w:t>
      </w:r>
    </w:p>
    <w:p w:rsidR="00493311" w:rsidRDefault="00493311" w:rsidP="00DD6609">
      <w:pPr>
        <w:jc w:val="both"/>
      </w:pPr>
    </w:p>
    <w:p w:rsidR="00DD6609" w:rsidRPr="00F846EF" w:rsidRDefault="00DD6609" w:rsidP="00DD6609">
      <w:r w:rsidRPr="00F846EF">
        <w:t>Sincerely,</w:t>
      </w:r>
    </w:p>
    <w:p w:rsidR="00DD6609" w:rsidRPr="00F846EF" w:rsidRDefault="00DD6609" w:rsidP="00DD6609">
      <w:r w:rsidRPr="00F846EF">
        <w:rPr>
          <w:bCs/>
          <w:i/>
          <w:iCs/>
          <w:noProof/>
        </w:rPr>
        <w:drawing>
          <wp:inline distT="0" distB="0" distL="0" distR="0" wp14:anchorId="3724F0A0" wp14:editId="1F300CE2">
            <wp:extent cx="1443990" cy="4235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3990" cy="423545"/>
                    </a:xfrm>
                    <a:prstGeom prst="rect">
                      <a:avLst/>
                    </a:prstGeom>
                    <a:noFill/>
                    <a:ln>
                      <a:noFill/>
                    </a:ln>
                  </pic:spPr>
                </pic:pic>
              </a:graphicData>
            </a:graphic>
          </wp:inline>
        </w:drawing>
      </w:r>
    </w:p>
    <w:p w:rsidR="00DD6609" w:rsidRPr="00F846EF" w:rsidRDefault="00DD6609" w:rsidP="00DD6609">
      <w:r w:rsidRPr="00F846EF">
        <w:t>Angus E. Crane</w:t>
      </w:r>
    </w:p>
    <w:p w:rsidR="00DD6609" w:rsidRDefault="00DD6609" w:rsidP="00DD6609">
      <w:r w:rsidRPr="00F846EF">
        <w:t>Executive Vice President, General Counsel</w:t>
      </w:r>
    </w:p>
    <w:p w:rsidR="00DD6609" w:rsidRDefault="00DD6609" w:rsidP="00DD6609">
      <w:pPr>
        <w:jc w:val="both"/>
      </w:pPr>
    </w:p>
    <w:sectPr w:rsidR="00DD6609" w:rsidSect="00C64205">
      <w:head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F24" w:rsidRDefault="00876F24" w:rsidP="00876F24">
      <w:r>
        <w:separator/>
      </w:r>
    </w:p>
  </w:endnote>
  <w:endnote w:type="continuationSeparator" w:id="0">
    <w:p w:rsidR="00876F24" w:rsidRDefault="00876F24" w:rsidP="00876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05" w:rsidRPr="00C64205" w:rsidRDefault="00C64205" w:rsidP="00C64205">
    <w:pPr>
      <w:pStyle w:val="Footer"/>
      <w:jc w:val="center"/>
      <w:rPr>
        <w:rFonts w:ascii="Estrangelo Edessa" w:hAnsi="Estrangelo Edessa" w:cs="Estrangelo Edessa"/>
        <w:color w:val="003366"/>
        <w:sz w:val="16"/>
        <w:szCs w:val="16"/>
        <w:lang w:val="fr-FR"/>
      </w:rPr>
    </w:pPr>
    <w:r>
      <w:rPr>
        <w:rFonts w:ascii="Estrangelo Edessa" w:hAnsi="Estrangelo Edessa" w:cs="Estrangelo Edessa"/>
        <w:color w:val="003366"/>
        <w:sz w:val="16"/>
        <w:szCs w:val="16"/>
        <w:lang w:val="fr-FR"/>
      </w:rPr>
      <w:t>11</w:t>
    </w:r>
    <w:r w:rsidRPr="00D810F6">
      <w:rPr>
        <w:rFonts w:ascii="Estrangelo Edessa" w:hAnsi="Estrangelo Edessa" w:cs="Estrangelo Edessa"/>
        <w:color w:val="003366"/>
        <w:sz w:val="16"/>
        <w:szCs w:val="16"/>
        <w:lang w:val="fr-FR"/>
      </w:rPr>
      <w:t xml:space="preserve"> Canal Center Plaza </w:t>
    </w:r>
    <w:r>
      <w:rPr>
        <w:rFonts w:ascii="Estrangelo Edessa" w:hAnsi="Estrangelo Edessa" w:cs="Estrangelo Edessa"/>
        <w:color w:val="003366"/>
        <w:sz w:val="16"/>
        <w:szCs w:val="16"/>
        <w:lang w:val="fr-FR"/>
      </w:rPr>
      <w:t xml:space="preserve"> </w:t>
    </w:r>
    <w:r w:rsidRPr="00D810F6">
      <w:rPr>
        <w:color w:val="003366"/>
        <w:sz w:val="16"/>
        <w:szCs w:val="16"/>
        <w:lang w:val="fr-FR"/>
      </w:rPr>
      <w:t>▪</w:t>
    </w:r>
    <w:r>
      <w:rPr>
        <w:rFonts w:ascii="Estrangelo Edessa" w:hAnsi="Estrangelo Edessa" w:cs="Estrangelo Edessa"/>
        <w:color w:val="003366"/>
        <w:sz w:val="16"/>
        <w:szCs w:val="16"/>
        <w:lang w:val="fr-FR"/>
      </w:rPr>
      <w:t xml:space="preserve"> </w:t>
    </w:r>
    <w:r w:rsidRPr="00D810F6">
      <w:rPr>
        <w:rFonts w:ascii="Estrangelo Edessa" w:hAnsi="Estrangelo Edessa" w:cs="Estrangelo Edessa"/>
        <w:color w:val="003366"/>
        <w:sz w:val="16"/>
        <w:szCs w:val="16"/>
        <w:lang w:val="fr-FR"/>
      </w:rPr>
      <w:t xml:space="preserve"> Suite 10</w:t>
    </w:r>
    <w:r>
      <w:rPr>
        <w:rFonts w:ascii="Estrangelo Edessa" w:hAnsi="Estrangelo Edessa" w:cs="Estrangelo Edessa"/>
        <w:color w:val="003366"/>
        <w:sz w:val="16"/>
        <w:szCs w:val="16"/>
        <w:lang w:val="fr-FR"/>
      </w:rPr>
      <w:t>3</w:t>
    </w:r>
    <w:r w:rsidRPr="00D810F6">
      <w:rPr>
        <w:rFonts w:ascii="Estrangelo Edessa" w:hAnsi="Estrangelo Edessa" w:cs="Estrangelo Edessa"/>
        <w:color w:val="003366"/>
        <w:sz w:val="16"/>
        <w:szCs w:val="16"/>
        <w:lang w:val="fr-FR"/>
      </w:rPr>
      <w:t xml:space="preserve"> </w:t>
    </w:r>
    <w:r>
      <w:rPr>
        <w:rFonts w:ascii="Estrangelo Edessa" w:hAnsi="Estrangelo Edessa" w:cs="Estrangelo Edessa"/>
        <w:color w:val="003366"/>
        <w:sz w:val="16"/>
        <w:szCs w:val="16"/>
        <w:lang w:val="fr-FR"/>
      </w:rPr>
      <w:t xml:space="preserve"> </w:t>
    </w:r>
    <w:r w:rsidRPr="00D810F6">
      <w:rPr>
        <w:color w:val="003366"/>
        <w:sz w:val="16"/>
        <w:szCs w:val="16"/>
        <w:lang w:val="fr-FR"/>
      </w:rPr>
      <w:t>▪</w:t>
    </w:r>
    <w:r w:rsidRPr="00D810F6">
      <w:rPr>
        <w:rFonts w:ascii="Estrangelo Edessa" w:hAnsi="Estrangelo Edessa" w:cs="Estrangelo Edessa"/>
        <w:color w:val="003366"/>
        <w:sz w:val="16"/>
        <w:szCs w:val="16"/>
        <w:lang w:val="fr-FR"/>
      </w:rPr>
      <w:t xml:space="preserve"> </w:t>
    </w:r>
    <w:r>
      <w:rPr>
        <w:rFonts w:ascii="Estrangelo Edessa" w:hAnsi="Estrangelo Edessa" w:cs="Estrangelo Edessa"/>
        <w:color w:val="003366"/>
        <w:sz w:val="16"/>
        <w:szCs w:val="16"/>
        <w:lang w:val="fr-FR"/>
      </w:rPr>
      <w:t xml:space="preserve"> </w:t>
    </w:r>
    <w:r w:rsidRPr="00D810F6">
      <w:rPr>
        <w:rFonts w:ascii="Estrangelo Edessa" w:hAnsi="Estrangelo Edessa" w:cs="Estrangelo Edessa"/>
        <w:color w:val="003366"/>
        <w:sz w:val="16"/>
        <w:szCs w:val="16"/>
        <w:lang w:val="fr-FR"/>
      </w:rPr>
      <w:t>Alexandria, Virginia  22314</w:t>
    </w:r>
    <w:r>
      <w:rPr>
        <w:rFonts w:ascii="Estrangelo Edessa" w:hAnsi="Estrangelo Edessa" w:cs="Estrangelo Edessa"/>
        <w:color w:val="003366"/>
        <w:sz w:val="16"/>
        <w:szCs w:val="16"/>
        <w:lang w:val="fr-FR"/>
      </w:rPr>
      <w:t xml:space="preserve"> </w:t>
    </w:r>
    <w:r w:rsidRPr="00D810F6">
      <w:rPr>
        <w:rFonts w:ascii="Estrangelo Edessa" w:hAnsi="Estrangelo Edessa" w:cs="Estrangelo Edessa"/>
        <w:color w:val="003366"/>
        <w:sz w:val="16"/>
        <w:szCs w:val="16"/>
        <w:lang w:val="fr-FR"/>
      </w:rPr>
      <w:t xml:space="preserve"> </w:t>
    </w:r>
    <w:r w:rsidRPr="00D810F6">
      <w:rPr>
        <w:color w:val="003366"/>
        <w:sz w:val="16"/>
        <w:szCs w:val="16"/>
        <w:lang w:val="fr-FR"/>
      </w:rPr>
      <w:t>▪</w:t>
    </w:r>
    <w:r w:rsidRPr="00D810F6">
      <w:rPr>
        <w:rFonts w:ascii="Estrangelo Edessa" w:hAnsi="Estrangelo Edessa" w:cs="Estrangelo Edessa"/>
        <w:color w:val="003366"/>
        <w:sz w:val="16"/>
        <w:szCs w:val="16"/>
        <w:lang w:val="fr-FR"/>
      </w:rPr>
      <w:t xml:space="preserve"> </w:t>
    </w:r>
    <w:r>
      <w:rPr>
        <w:rFonts w:ascii="Estrangelo Edessa" w:hAnsi="Estrangelo Edessa" w:cs="Estrangelo Edessa"/>
        <w:color w:val="003366"/>
        <w:sz w:val="16"/>
        <w:szCs w:val="16"/>
        <w:lang w:val="fr-FR"/>
      </w:rPr>
      <w:t xml:space="preserve"> </w:t>
    </w:r>
    <w:r w:rsidRPr="00D810F6">
      <w:rPr>
        <w:rFonts w:ascii="Estrangelo Edessa" w:hAnsi="Estrangelo Edessa" w:cs="Estrangelo Edessa"/>
        <w:color w:val="003366"/>
        <w:sz w:val="16"/>
        <w:szCs w:val="16"/>
        <w:lang w:val="fr-FR"/>
      </w:rPr>
      <w:t>Tel: (703) 684-0084</w:t>
    </w:r>
    <w:r>
      <w:rPr>
        <w:rFonts w:ascii="Estrangelo Edessa" w:hAnsi="Estrangelo Edessa" w:cs="Estrangelo Edessa"/>
        <w:color w:val="003366"/>
        <w:sz w:val="16"/>
        <w:szCs w:val="16"/>
        <w:lang w:val="fr-FR"/>
      </w:rPr>
      <w:t xml:space="preserve"> </w:t>
    </w:r>
    <w:r w:rsidRPr="00D810F6">
      <w:rPr>
        <w:rFonts w:ascii="Estrangelo Edessa" w:hAnsi="Estrangelo Edessa" w:cs="Estrangelo Edessa"/>
        <w:color w:val="003366"/>
        <w:sz w:val="16"/>
        <w:szCs w:val="16"/>
        <w:lang w:val="fr-FR"/>
      </w:rPr>
      <w:t xml:space="preserve"> </w:t>
    </w:r>
    <w:r w:rsidRPr="00D810F6">
      <w:rPr>
        <w:color w:val="003366"/>
        <w:sz w:val="16"/>
        <w:szCs w:val="16"/>
        <w:lang w:val="fr-FR"/>
      </w:rPr>
      <w:t>▪</w:t>
    </w:r>
    <w:r w:rsidRPr="00D810F6">
      <w:rPr>
        <w:rFonts w:ascii="Estrangelo Edessa" w:hAnsi="Estrangelo Edessa" w:cs="Estrangelo Edessa"/>
        <w:color w:val="003366"/>
        <w:sz w:val="16"/>
        <w:szCs w:val="16"/>
        <w:lang w:val="fr-FR"/>
      </w:rPr>
      <w:t xml:space="preserve"> </w:t>
    </w:r>
    <w:r>
      <w:rPr>
        <w:rFonts w:ascii="Estrangelo Edessa" w:hAnsi="Estrangelo Edessa" w:cs="Estrangelo Edessa"/>
        <w:color w:val="003366"/>
        <w:sz w:val="16"/>
        <w:szCs w:val="16"/>
        <w:lang w:val="fr-FR"/>
      </w:rPr>
      <w:t xml:space="preserve"> </w:t>
    </w:r>
    <w:r w:rsidRPr="00D810F6">
      <w:rPr>
        <w:rFonts w:ascii="Estrangelo Edessa" w:hAnsi="Estrangelo Edessa" w:cs="Estrangelo Edessa"/>
        <w:color w:val="003366"/>
        <w:sz w:val="16"/>
        <w:szCs w:val="16"/>
        <w:lang w:val="fr-FR"/>
      </w:rPr>
      <w:t>Fax: (703) 684-0427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F24" w:rsidRDefault="00876F24" w:rsidP="00876F24">
      <w:r>
        <w:separator/>
      </w:r>
    </w:p>
  </w:footnote>
  <w:footnote w:type="continuationSeparator" w:id="0">
    <w:p w:rsidR="00876F24" w:rsidRDefault="00876F24" w:rsidP="00876F24">
      <w:r>
        <w:continuationSeparator/>
      </w:r>
    </w:p>
  </w:footnote>
  <w:footnote w:id="1">
    <w:p w:rsidR="00876F24" w:rsidRDefault="00876F24" w:rsidP="00876F24">
      <w:pPr>
        <w:pStyle w:val="FootnoteText"/>
        <w:jc w:val="both"/>
      </w:pPr>
      <w:r>
        <w:rPr>
          <w:rStyle w:val="FootnoteReference"/>
        </w:rPr>
        <w:footnoteRef/>
      </w:r>
      <w:r>
        <w:t xml:space="preserve"> UPF Corporation in Bakersfield is a maker of fiber glass filter media as well as thermal and acoustical aircraft and marine insulation.  UPF operates a manufacturing plant in California</w:t>
      </w:r>
      <w:r w:rsidR="00D805DE">
        <w:t xml:space="preserve"> but </w:t>
      </w:r>
      <w:r>
        <w:t>is not currently a member of NAIMA.</w:t>
      </w:r>
    </w:p>
  </w:footnote>
  <w:footnote w:id="2">
    <w:p w:rsidR="00876F24" w:rsidRPr="003449CB" w:rsidRDefault="00876F24" w:rsidP="00971F8F">
      <w:pPr>
        <w:pStyle w:val="FootnoteText"/>
        <w:jc w:val="both"/>
        <w:rPr>
          <w:i/>
        </w:rPr>
      </w:pPr>
      <w:r w:rsidRPr="003449CB">
        <w:rPr>
          <w:rStyle w:val="FootnoteReference"/>
        </w:rPr>
        <w:footnoteRef/>
      </w:r>
      <w:r w:rsidRPr="003449CB">
        <w:t xml:space="preserve"> Ross C. Devol, Perry Wong, Armen Bedroussian, Candice Flor Hynek, and David Rice, “Manufacturing 2.0: A More Prosperous California,” Milken Institute, June 2009, p. 9.</w:t>
      </w:r>
    </w:p>
  </w:footnote>
  <w:footnote w:id="3">
    <w:p w:rsidR="00887A49" w:rsidRDefault="00887A49" w:rsidP="00971F8F">
      <w:pPr>
        <w:pStyle w:val="FootnoteText"/>
        <w:jc w:val="both"/>
      </w:pPr>
      <w:r>
        <w:rPr>
          <w:rStyle w:val="FootnoteReference"/>
        </w:rPr>
        <w:footnoteRef/>
      </w:r>
      <w:r>
        <w:t xml:space="preserve"> It is acknowledged that not all of these plants could produce the specific products being currently manufactured in the California plants.</w:t>
      </w:r>
    </w:p>
  </w:footnote>
  <w:footnote w:id="4">
    <w:p w:rsidR="00BB6725" w:rsidRDefault="00BB6725" w:rsidP="00BB6725">
      <w:pPr>
        <w:pStyle w:val="FootnoteText"/>
        <w:jc w:val="both"/>
      </w:pPr>
      <w:r>
        <w:rPr>
          <w:rStyle w:val="FootnoteReference"/>
        </w:rPr>
        <w:footnoteRef/>
      </w:r>
      <w:r>
        <w:t xml:space="preserve"> It is important to realize that all the California plants can, to a certain extent, reduce production output without closing or shutting down an entire line.</w:t>
      </w:r>
    </w:p>
  </w:footnote>
  <w:footnote w:id="5">
    <w:p w:rsidR="00887A49" w:rsidRPr="003449CB" w:rsidRDefault="00887A49" w:rsidP="00971F8F">
      <w:pPr>
        <w:pStyle w:val="FootnoteText"/>
        <w:jc w:val="both"/>
      </w:pPr>
      <w:r w:rsidRPr="003449CB">
        <w:rPr>
          <w:rStyle w:val="FootnoteReference"/>
        </w:rPr>
        <w:footnoteRef/>
      </w:r>
      <w:r w:rsidRPr="003449CB">
        <w:t xml:space="preserve"> Specific facilities that produce fibers for the production of ceiling tiles, fire proofing products, or specialized insulation production – for example, automotive, aerospace, and battery separators – are not included in this total capacity calculation.  This capacity specifically relates to building insulation in residential, commercial, and industrial applications.</w:t>
      </w:r>
    </w:p>
  </w:footnote>
  <w:footnote w:id="6">
    <w:p w:rsidR="00887A49" w:rsidRPr="003449CB" w:rsidRDefault="00887A49" w:rsidP="00971F8F">
      <w:pPr>
        <w:pStyle w:val="FootnoteText"/>
        <w:jc w:val="both"/>
      </w:pPr>
      <w:r w:rsidRPr="003449CB">
        <w:rPr>
          <w:rStyle w:val="FootnoteReference"/>
        </w:rPr>
        <w:footnoteRef/>
      </w:r>
      <w:r w:rsidRPr="003449CB">
        <w:t xml:space="preserve"> Jonathan I. Levy, Yurika Nishioka and John D. Spengler, “The public health benefits of insulation retrofits in existing housing in the United States,” </w:t>
      </w:r>
      <w:r w:rsidRPr="003449CB">
        <w:rPr>
          <w:i/>
        </w:rPr>
        <w:t>Environmental Health: A Global Access Science Source</w:t>
      </w:r>
      <w:r w:rsidRPr="003449CB">
        <w:t xml:space="preserve">, April 2003, pp.1-16 and Yurika Nishioka, Jonathan I. Levy, Gregory A. Norris, Andrew Wilson, Patrick Hofstetter, and John D. Spengler, “Integrating Risk Assessment and Life Cycle Assessment: A Case Study of Insulation,” </w:t>
      </w:r>
      <w:r w:rsidRPr="003449CB">
        <w:rPr>
          <w:i/>
        </w:rPr>
        <w:t>Risk Analysis</w:t>
      </w:r>
      <w:r w:rsidRPr="003449CB">
        <w:t xml:space="preserve">, Vol. 22, No. 5, 2002, pp. 1003-1017.  The findings by the Harvard School of Public Health demonstrated the dramatic correlation between the benefits of increased insulation and reduction of air emissions.  These Harvard researchers stated that the “magnitude of the economic and public health benefits indicates that creative public policies to encourage” increased insulation “may be warranted.”  Jonathan I. Levy, Yurika Nishioka and John D. Spengler, “The public health benefits of insulation retrofits in existing housing in the United States,” </w:t>
      </w:r>
      <w:r w:rsidRPr="003449CB">
        <w:rPr>
          <w:i/>
        </w:rPr>
        <w:t>Environmental Health: A Global Access Science Source</w:t>
      </w:r>
      <w:r w:rsidRPr="003449CB">
        <w:t>, April 2003, p.14.  The Harvard researchers concluded that “[t]his approach allows us to quantify the benefits of energy efficiency on a national scale not seen before, which takes us far beyond energy savings and energy security.  Now it is clear that improving energy efficiency not only helps us as a nation, but also has an immediate, positive impact on us, as individuals, and our families.”  NAIMA “Harvard Study Findings,” NAIMA-036, September 2003.</w:t>
      </w:r>
    </w:p>
  </w:footnote>
  <w:footnote w:id="7">
    <w:p w:rsidR="00887A49" w:rsidRPr="003449CB" w:rsidRDefault="00887A49" w:rsidP="00971F8F">
      <w:pPr>
        <w:pStyle w:val="FootnoteText"/>
        <w:jc w:val="both"/>
      </w:pPr>
      <w:r w:rsidRPr="003449CB">
        <w:rPr>
          <w:rStyle w:val="FootnoteReference"/>
        </w:rPr>
        <w:footnoteRef/>
      </w:r>
      <w:r w:rsidRPr="003449CB">
        <w:t xml:space="preserve"> Jonathan I. Levy, </w:t>
      </w:r>
      <w:r w:rsidR="00BB6725" w:rsidRPr="00BB6725">
        <w:rPr>
          <w:i/>
        </w:rPr>
        <w:t>et al</w:t>
      </w:r>
      <w:r w:rsidR="00BB6725">
        <w:t xml:space="preserve">., </w:t>
      </w:r>
      <w:r w:rsidRPr="003449CB">
        <w:t>“Carbon reduction</w:t>
      </w:r>
      <w:r w:rsidR="00BB6725">
        <w:t>s</w:t>
      </w:r>
      <w:r w:rsidRPr="003449CB">
        <w:t xml:space="preserve"> and health co-benefits from US residential energy efficiency measures,” </w:t>
      </w:r>
      <w:r w:rsidRPr="003449CB">
        <w:rPr>
          <w:i/>
        </w:rPr>
        <w:t>Environmental Research Letter</w:t>
      </w:r>
      <w:r w:rsidR="00493311">
        <w:rPr>
          <w:i/>
        </w:rPr>
        <w:t>s</w:t>
      </w:r>
      <w:r w:rsidR="00493311">
        <w:t xml:space="preserve"> (March 7, 2016) (available at </w:t>
      </w:r>
      <w:hyperlink r:id="rId1" w:history="1">
        <w:r w:rsidR="00493311" w:rsidRPr="006C5FB7">
          <w:rPr>
            <w:rStyle w:val="Hyperlink"/>
          </w:rPr>
          <w:t>http://iopscience.iop.org/article/10.1088/ 1748-9326/11/3/034017?fromSearchPage=true</w:t>
        </w:r>
      </w:hyperlink>
      <w:r w:rsidR="00493311">
        <w:t xml:space="preserve">) at </w:t>
      </w:r>
      <w:r w:rsidRPr="003449CB">
        <w:t>p. 4.</w:t>
      </w:r>
    </w:p>
  </w:footnote>
  <w:footnote w:id="8">
    <w:p w:rsidR="00887A49" w:rsidRPr="003449CB" w:rsidRDefault="00887A49" w:rsidP="00971F8F">
      <w:pPr>
        <w:pStyle w:val="FootnoteText"/>
        <w:jc w:val="both"/>
      </w:pPr>
      <w:r w:rsidRPr="003449CB">
        <w:rPr>
          <w:rStyle w:val="FootnoteReference"/>
        </w:rPr>
        <w:footnoteRef/>
      </w:r>
      <w:r w:rsidRPr="003449CB">
        <w:t xml:space="preserve"> Jonathan I. Levy, May K. Woo, Yann Tambouret, “Energy savings and emission reductions associated with increased insulation in new homes in the United States,” </w:t>
      </w:r>
      <w:r w:rsidRPr="003449CB">
        <w:rPr>
          <w:i/>
        </w:rPr>
        <w:t>Building and Environment</w:t>
      </w:r>
      <w:r w:rsidRPr="003449CB">
        <w:t>, 96 (2016) 72-79, p. 77.</w:t>
      </w:r>
    </w:p>
  </w:footnote>
  <w:footnote w:id="9">
    <w:p w:rsidR="00887A49" w:rsidRPr="003449CB" w:rsidRDefault="00887A49" w:rsidP="00971F8F">
      <w:pPr>
        <w:pStyle w:val="FootnoteText"/>
        <w:jc w:val="both"/>
      </w:pPr>
      <w:r w:rsidRPr="003449CB">
        <w:rPr>
          <w:rStyle w:val="FootnoteReference"/>
        </w:rPr>
        <w:footnoteRef/>
      </w:r>
      <w:r w:rsidRPr="003449CB">
        <w:t xml:space="preserve"> “Transforming Energy Efficiency</w:t>
      </w:r>
      <w:r>
        <w:t>,</w:t>
      </w:r>
      <w:r w:rsidRPr="003449CB">
        <w:t xml:space="preserve">” </w:t>
      </w:r>
      <w:hyperlink r:id="rId2" w:history="1">
        <w:r w:rsidRPr="003449CB">
          <w:rPr>
            <w:rStyle w:val="Hyperlink"/>
          </w:rPr>
          <w:t>www.duke-energy.com/docs/CGI - Fact-Sheet.doc</w:t>
        </w:r>
      </w:hyperlink>
      <w:r w:rsidRPr="003449CB">
        <w:t>, September 27,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05" w:rsidRDefault="00C64205" w:rsidP="00C64205">
    <w:pPr>
      <w:pStyle w:val="Header"/>
    </w:pPr>
    <w:r>
      <w:t>Clerk of the Board</w:t>
    </w:r>
  </w:p>
  <w:p w:rsidR="00C64205" w:rsidRDefault="00C64205" w:rsidP="00C64205">
    <w:pPr>
      <w:pStyle w:val="Header"/>
    </w:pPr>
    <w:r>
      <w:t>January 19, 2017</w:t>
    </w:r>
  </w:p>
  <w:p w:rsidR="00C64205" w:rsidRDefault="00C64205" w:rsidP="00C64205">
    <w:pPr>
      <w:pStyle w:val="Header"/>
      <w:rPr>
        <w:noProof/>
      </w:rPr>
    </w:pPr>
    <w:r>
      <w:t xml:space="preserve">Page </w:t>
    </w:r>
    <w:r w:rsidRPr="002D60B7">
      <w:fldChar w:fldCharType="begin"/>
    </w:r>
    <w:r w:rsidRPr="002D60B7">
      <w:instrText xml:space="preserve"> PAGE   \* MERGEFORMAT </w:instrText>
    </w:r>
    <w:r w:rsidRPr="002D60B7">
      <w:fldChar w:fldCharType="separate"/>
    </w:r>
    <w:r w:rsidR="001E1CC6">
      <w:rPr>
        <w:noProof/>
      </w:rPr>
      <w:t>17</w:t>
    </w:r>
    <w:r w:rsidRPr="002D60B7">
      <w:rPr>
        <w:noProof/>
      </w:rPr>
      <w:fldChar w:fldCharType="end"/>
    </w:r>
  </w:p>
  <w:p w:rsidR="00C64205" w:rsidRPr="002D60B7" w:rsidRDefault="00C64205" w:rsidP="00C64205">
    <w:pPr>
      <w:pStyle w:val="Header"/>
    </w:pPr>
  </w:p>
  <w:p w:rsidR="00C64205" w:rsidRDefault="00C642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05" w:rsidRDefault="00C64205" w:rsidP="00C64205">
    <w:pPr>
      <w:pStyle w:val="Header"/>
      <w:jc w:val="center"/>
    </w:pPr>
    <w:r>
      <w:rPr>
        <w:noProof/>
      </w:rPr>
      <w:drawing>
        <wp:inline distT="0" distB="0" distL="0" distR="0" wp14:anchorId="6CAB626A" wp14:editId="05EB7213">
          <wp:extent cx="1728470" cy="507365"/>
          <wp:effectExtent l="0" t="0" r="5080" b="6985"/>
          <wp:docPr id="4" name="Picture 4" descr="NAIM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IMAm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470" cy="507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F4327"/>
    <w:multiLevelType w:val="hybridMultilevel"/>
    <w:tmpl w:val="3E10703A"/>
    <w:lvl w:ilvl="0" w:tplc="C638E01E">
      <w:start w:val="3"/>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1EC3F7D"/>
    <w:multiLevelType w:val="hybridMultilevel"/>
    <w:tmpl w:val="C27CA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4FB"/>
    <w:rsid w:val="000661B5"/>
    <w:rsid w:val="00167C02"/>
    <w:rsid w:val="001C0D51"/>
    <w:rsid w:val="001E1CC6"/>
    <w:rsid w:val="002314FB"/>
    <w:rsid w:val="002330EC"/>
    <w:rsid w:val="002720CF"/>
    <w:rsid w:val="0028352F"/>
    <w:rsid w:val="003C6E14"/>
    <w:rsid w:val="00427F02"/>
    <w:rsid w:val="00493311"/>
    <w:rsid w:val="005143C8"/>
    <w:rsid w:val="005878DD"/>
    <w:rsid w:val="005B7BF9"/>
    <w:rsid w:val="005D40FD"/>
    <w:rsid w:val="005E5A95"/>
    <w:rsid w:val="00775C7A"/>
    <w:rsid w:val="007F6FAD"/>
    <w:rsid w:val="00876F24"/>
    <w:rsid w:val="00887A49"/>
    <w:rsid w:val="00971F8F"/>
    <w:rsid w:val="009879EF"/>
    <w:rsid w:val="009A3616"/>
    <w:rsid w:val="009C5964"/>
    <w:rsid w:val="00A32220"/>
    <w:rsid w:val="00B655F7"/>
    <w:rsid w:val="00BB6725"/>
    <w:rsid w:val="00BF11A0"/>
    <w:rsid w:val="00C34AE4"/>
    <w:rsid w:val="00C64205"/>
    <w:rsid w:val="00C86562"/>
    <w:rsid w:val="00CA62DB"/>
    <w:rsid w:val="00D07C57"/>
    <w:rsid w:val="00D25A9C"/>
    <w:rsid w:val="00D805DE"/>
    <w:rsid w:val="00DD6609"/>
    <w:rsid w:val="00DE119A"/>
    <w:rsid w:val="00E22BA3"/>
    <w:rsid w:val="00E4619A"/>
    <w:rsid w:val="00E911EC"/>
    <w:rsid w:val="00F35F9E"/>
    <w:rsid w:val="00F57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r"/>
    <w:uiPriority w:val="99"/>
    <w:rsid w:val="00876F24"/>
    <w:rPr>
      <w:vertAlign w:val="superscript"/>
    </w:rPr>
  </w:style>
  <w:style w:type="paragraph" w:styleId="FootnoteText">
    <w:name w:val="footnote text"/>
    <w:aliases w:val="ft,BG Footnote Text"/>
    <w:basedOn w:val="Normal"/>
    <w:link w:val="FootnoteTextChar"/>
    <w:uiPriority w:val="99"/>
    <w:rsid w:val="00876F24"/>
    <w:rPr>
      <w:rFonts w:eastAsia="Times New Roman"/>
      <w:sz w:val="20"/>
      <w:szCs w:val="20"/>
    </w:rPr>
  </w:style>
  <w:style w:type="character" w:customStyle="1" w:styleId="FootnoteTextChar">
    <w:name w:val="Footnote Text Char"/>
    <w:aliases w:val="ft Char,BG Footnote Text Char"/>
    <w:basedOn w:val="DefaultParagraphFont"/>
    <w:link w:val="FootnoteText"/>
    <w:uiPriority w:val="99"/>
    <w:rsid w:val="00876F24"/>
    <w:rPr>
      <w:rFonts w:eastAsia="Times New Roman"/>
      <w:sz w:val="20"/>
      <w:szCs w:val="20"/>
    </w:rPr>
  </w:style>
  <w:style w:type="character" w:styleId="Hyperlink">
    <w:name w:val="Hyperlink"/>
    <w:rsid w:val="00876F24"/>
    <w:rPr>
      <w:color w:val="0000FF"/>
      <w:u w:val="single"/>
    </w:rPr>
  </w:style>
  <w:style w:type="paragraph" w:customStyle="1" w:styleId="Default">
    <w:name w:val="Default"/>
    <w:rsid w:val="00DE119A"/>
    <w:pPr>
      <w:autoSpaceDE w:val="0"/>
      <w:autoSpaceDN w:val="0"/>
      <w:adjustRightInd w:val="0"/>
    </w:pPr>
    <w:rPr>
      <w:rFonts w:ascii="Sylfaen" w:hAnsi="Sylfaen" w:cs="Sylfaen"/>
      <w:color w:val="000000"/>
    </w:rPr>
  </w:style>
  <w:style w:type="paragraph" w:styleId="BalloonText">
    <w:name w:val="Balloon Text"/>
    <w:basedOn w:val="Normal"/>
    <w:link w:val="BalloonTextChar"/>
    <w:uiPriority w:val="99"/>
    <w:semiHidden/>
    <w:unhideWhenUsed/>
    <w:rsid w:val="00887A49"/>
    <w:rPr>
      <w:rFonts w:ascii="Tahoma" w:hAnsi="Tahoma" w:cs="Tahoma"/>
      <w:sz w:val="16"/>
      <w:szCs w:val="16"/>
    </w:rPr>
  </w:style>
  <w:style w:type="character" w:customStyle="1" w:styleId="BalloonTextChar">
    <w:name w:val="Balloon Text Char"/>
    <w:basedOn w:val="DefaultParagraphFont"/>
    <w:link w:val="BalloonText"/>
    <w:uiPriority w:val="99"/>
    <w:semiHidden/>
    <w:rsid w:val="00887A49"/>
    <w:rPr>
      <w:rFonts w:ascii="Tahoma" w:hAnsi="Tahoma" w:cs="Tahoma"/>
      <w:sz w:val="16"/>
      <w:szCs w:val="16"/>
    </w:rPr>
  </w:style>
  <w:style w:type="paragraph" w:styleId="Header">
    <w:name w:val="header"/>
    <w:basedOn w:val="Normal"/>
    <w:link w:val="HeaderChar"/>
    <w:uiPriority w:val="99"/>
    <w:unhideWhenUsed/>
    <w:rsid w:val="00C64205"/>
    <w:pPr>
      <w:tabs>
        <w:tab w:val="center" w:pos="4680"/>
        <w:tab w:val="right" w:pos="9360"/>
      </w:tabs>
    </w:pPr>
  </w:style>
  <w:style w:type="character" w:customStyle="1" w:styleId="HeaderChar">
    <w:name w:val="Header Char"/>
    <w:basedOn w:val="DefaultParagraphFont"/>
    <w:link w:val="Header"/>
    <w:uiPriority w:val="99"/>
    <w:rsid w:val="00C64205"/>
  </w:style>
  <w:style w:type="paragraph" w:styleId="Footer">
    <w:name w:val="footer"/>
    <w:basedOn w:val="Normal"/>
    <w:link w:val="FooterChar"/>
    <w:unhideWhenUsed/>
    <w:rsid w:val="00C64205"/>
    <w:pPr>
      <w:tabs>
        <w:tab w:val="center" w:pos="4680"/>
        <w:tab w:val="right" w:pos="9360"/>
      </w:tabs>
    </w:pPr>
  </w:style>
  <w:style w:type="character" w:customStyle="1" w:styleId="FooterChar">
    <w:name w:val="Footer Char"/>
    <w:basedOn w:val="DefaultParagraphFont"/>
    <w:link w:val="Footer"/>
    <w:rsid w:val="00C64205"/>
  </w:style>
  <w:style w:type="character" w:styleId="FollowedHyperlink">
    <w:name w:val="FollowedHyperlink"/>
    <w:basedOn w:val="DefaultParagraphFont"/>
    <w:uiPriority w:val="99"/>
    <w:semiHidden/>
    <w:unhideWhenUsed/>
    <w:rsid w:val="0049331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r"/>
    <w:uiPriority w:val="99"/>
    <w:rsid w:val="00876F24"/>
    <w:rPr>
      <w:vertAlign w:val="superscript"/>
    </w:rPr>
  </w:style>
  <w:style w:type="paragraph" w:styleId="FootnoteText">
    <w:name w:val="footnote text"/>
    <w:aliases w:val="ft,BG Footnote Text"/>
    <w:basedOn w:val="Normal"/>
    <w:link w:val="FootnoteTextChar"/>
    <w:uiPriority w:val="99"/>
    <w:rsid w:val="00876F24"/>
    <w:rPr>
      <w:rFonts w:eastAsia="Times New Roman"/>
      <w:sz w:val="20"/>
      <w:szCs w:val="20"/>
    </w:rPr>
  </w:style>
  <w:style w:type="character" w:customStyle="1" w:styleId="FootnoteTextChar">
    <w:name w:val="Footnote Text Char"/>
    <w:aliases w:val="ft Char,BG Footnote Text Char"/>
    <w:basedOn w:val="DefaultParagraphFont"/>
    <w:link w:val="FootnoteText"/>
    <w:uiPriority w:val="99"/>
    <w:rsid w:val="00876F24"/>
    <w:rPr>
      <w:rFonts w:eastAsia="Times New Roman"/>
      <w:sz w:val="20"/>
      <w:szCs w:val="20"/>
    </w:rPr>
  </w:style>
  <w:style w:type="character" w:styleId="Hyperlink">
    <w:name w:val="Hyperlink"/>
    <w:rsid w:val="00876F24"/>
    <w:rPr>
      <w:color w:val="0000FF"/>
      <w:u w:val="single"/>
    </w:rPr>
  </w:style>
  <w:style w:type="paragraph" w:customStyle="1" w:styleId="Default">
    <w:name w:val="Default"/>
    <w:rsid w:val="00DE119A"/>
    <w:pPr>
      <w:autoSpaceDE w:val="0"/>
      <w:autoSpaceDN w:val="0"/>
      <w:adjustRightInd w:val="0"/>
    </w:pPr>
    <w:rPr>
      <w:rFonts w:ascii="Sylfaen" w:hAnsi="Sylfaen" w:cs="Sylfaen"/>
      <w:color w:val="000000"/>
    </w:rPr>
  </w:style>
  <w:style w:type="paragraph" w:styleId="BalloonText">
    <w:name w:val="Balloon Text"/>
    <w:basedOn w:val="Normal"/>
    <w:link w:val="BalloonTextChar"/>
    <w:uiPriority w:val="99"/>
    <w:semiHidden/>
    <w:unhideWhenUsed/>
    <w:rsid w:val="00887A49"/>
    <w:rPr>
      <w:rFonts w:ascii="Tahoma" w:hAnsi="Tahoma" w:cs="Tahoma"/>
      <w:sz w:val="16"/>
      <w:szCs w:val="16"/>
    </w:rPr>
  </w:style>
  <w:style w:type="character" w:customStyle="1" w:styleId="BalloonTextChar">
    <w:name w:val="Balloon Text Char"/>
    <w:basedOn w:val="DefaultParagraphFont"/>
    <w:link w:val="BalloonText"/>
    <w:uiPriority w:val="99"/>
    <w:semiHidden/>
    <w:rsid w:val="00887A49"/>
    <w:rPr>
      <w:rFonts w:ascii="Tahoma" w:hAnsi="Tahoma" w:cs="Tahoma"/>
      <w:sz w:val="16"/>
      <w:szCs w:val="16"/>
    </w:rPr>
  </w:style>
  <w:style w:type="paragraph" w:styleId="Header">
    <w:name w:val="header"/>
    <w:basedOn w:val="Normal"/>
    <w:link w:val="HeaderChar"/>
    <w:uiPriority w:val="99"/>
    <w:unhideWhenUsed/>
    <w:rsid w:val="00C64205"/>
    <w:pPr>
      <w:tabs>
        <w:tab w:val="center" w:pos="4680"/>
        <w:tab w:val="right" w:pos="9360"/>
      </w:tabs>
    </w:pPr>
  </w:style>
  <w:style w:type="character" w:customStyle="1" w:styleId="HeaderChar">
    <w:name w:val="Header Char"/>
    <w:basedOn w:val="DefaultParagraphFont"/>
    <w:link w:val="Header"/>
    <w:uiPriority w:val="99"/>
    <w:rsid w:val="00C64205"/>
  </w:style>
  <w:style w:type="paragraph" w:styleId="Footer">
    <w:name w:val="footer"/>
    <w:basedOn w:val="Normal"/>
    <w:link w:val="FooterChar"/>
    <w:unhideWhenUsed/>
    <w:rsid w:val="00C64205"/>
    <w:pPr>
      <w:tabs>
        <w:tab w:val="center" w:pos="4680"/>
        <w:tab w:val="right" w:pos="9360"/>
      </w:tabs>
    </w:pPr>
  </w:style>
  <w:style w:type="character" w:customStyle="1" w:styleId="FooterChar">
    <w:name w:val="Footer Char"/>
    <w:basedOn w:val="DefaultParagraphFont"/>
    <w:link w:val="Footer"/>
    <w:rsid w:val="00C64205"/>
  </w:style>
  <w:style w:type="character" w:styleId="FollowedHyperlink">
    <w:name w:val="FollowedHyperlink"/>
    <w:basedOn w:val="DefaultParagraphFont"/>
    <w:uiPriority w:val="99"/>
    <w:semiHidden/>
    <w:unhideWhenUsed/>
    <w:rsid w:val="004933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nta.com/c/mm0tt3b/knauf-fiberglas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nta.com/c/mmjhsbb/certain-teed-corp"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manta.com/c/mmcckzn/johns-manville"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manta.com/c/mmcntlv/owens-corning" TargetMode="Externa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www.duke-energy.com/docs/CGI%20-%20Fact-Sheet.doc" TargetMode="External"/><Relationship Id="rId1" Type="http://schemas.openxmlformats.org/officeDocument/2006/relationships/hyperlink" Target="http://iopscience.iop.org/article/10.1088/%201748-9326/11/3/034017?fromSearchPage=tru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7C70-72C1-4B16-8C03-BFE0BA952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17</Pages>
  <Words>5398</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Angus Crane</dc:creator>
  <cp:lastModifiedBy>Angus Crane</cp:lastModifiedBy>
  <cp:revision>17</cp:revision>
  <cp:lastPrinted>2017-01-19T16:56:00Z</cp:lastPrinted>
  <dcterms:created xsi:type="dcterms:W3CDTF">2017-01-13T14:51:00Z</dcterms:created>
  <dcterms:modified xsi:type="dcterms:W3CDTF">2017-01-19T17:33:00Z</dcterms:modified>
</cp:coreProperties>
</file>