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8CC" w:rsidRPr="004975EB" w:rsidRDefault="004975EB" w:rsidP="00C7116D">
      <w:pPr>
        <w:rPr>
          <w:b/>
          <w:sz w:val="24"/>
          <w:szCs w:val="24"/>
          <w:lang w:val="en-US"/>
        </w:rPr>
      </w:pPr>
      <w:bookmarkStart w:id="0" w:name="_GoBack"/>
      <w:bookmarkEnd w:id="0"/>
      <w:r w:rsidRPr="004975EB">
        <w:rPr>
          <w:b/>
          <w:sz w:val="24"/>
          <w:szCs w:val="24"/>
          <w:lang w:val="en-US"/>
        </w:rPr>
        <w:t>Extra Note on HFCs with very high-GWP in the current F-gas legislation</w:t>
      </w:r>
    </w:p>
    <w:p w:rsidR="00C7116D" w:rsidRPr="004975EB" w:rsidRDefault="004975EB" w:rsidP="00C7116D">
      <w:pPr>
        <w:rPr>
          <w:lang w:val="en-US"/>
        </w:rPr>
      </w:pPr>
      <w:r>
        <w:rPr>
          <w:lang w:val="en-US"/>
        </w:rPr>
        <w:t>Winfried Schwarz, 6 May 2013</w:t>
      </w:r>
    </w:p>
    <w:p w:rsidR="00533B8F" w:rsidRDefault="0004627E" w:rsidP="00C7116D">
      <w:pPr>
        <w:rPr>
          <w:lang w:val="en-US"/>
        </w:rPr>
      </w:pPr>
      <w:r w:rsidRPr="004975EB">
        <w:rPr>
          <w:b/>
          <w:lang w:val="en-US"/>
        </w:rPr>
        <w:t>1</w:t>
      </w:r>
      <w:r>
        <w:rPr>
          <w:lang w:val="en-US"/>
        </w:rPr>
        <w:t xml:space="preserve">. </w:t>
      </w:r>
      <w:r w:rsidR="00655B9D">
        <w:rPr>
          <w:lang w:val="en-US"/>
        </w:rPr>
        <w:t>On 7</w:t>
      </w:r>
      <w:r w:rsidR="00C7116D" w:rsidRPr="00C7116D">
        <w:rPr>
          <w:lang w:val="en-US"/>
        </w:rPr>
        <w:t xml:space="preserve"> November 2012 </w:t>
      </w:r>
      <w:r w:rsidR="00C7116D">
        <w:rPr>
          <w:lang w:val="en-US"/>
        </w:rPr>
        <w:t>the</w:t>
      </w:r>
      <w:r w:rsidR="00C7116D" w:rsidRPr="00C7116D">
        <w:rPr>
          <w:lang w:val="en-US"/>
        </w:rPr>
        <w:t xml:space="preserve"> European Commission </w:t>
      </w:r>
      <w:r w:rsidR="00C7116D">
        <w:rPr>
          <w:lang w:val="en-US"/>
        </w:rPr>
        <w:t xml:space="preserve">launched </w:t>
      </w:r>
      <w:r w:rsidR="00C7116D" w:rsidRPr="00C7116D">
        <w:rPr>
          <w:lang w:val="en-US"/>
        </w:rPr>
        <w:t>a "Proposal for a Regulation of the European Parliament and of the Council on fluorinated greenho</w:t>
      </w:r>
      <w:r w:rsidR="00C7116D">
        <w:rPr>
          <w:lang w:val="en-US"/>
        </w:rPr>
        <w:t>u</w:t>
      </w:r>
      <w:r w:rsidR="00C7116D" w:rsidRPr="00C7116D">
        <w:rPr>
          <w:lang w:val="en-US"/>
        </w:rPr>
        <w:t>se gases</w:t>
      </w:r>
      <w:r w:rsidR="00C7116D">
        <w:rPr>
          <w:lang w:val="en-US"/>
        </w:rPr>
        <w:t xml:space="preserve">”. An essential of this proposal, which is largely based on the 2011 “preparatory study” by Öko-Recherche &amp; Partners, is the HFC phase-down 2015-2030, which shall reduce the maximum HFC demand in EU-27 to 21% of its value in the reference period 2008-2011. </w:t>
      </w:r>
      <w:r w:rsidR="00533B8F">
        <w:rPr>
          <w:lang w:val="en-US"/>
        </w:rPr>
        <w:t xml:space="preserve">The phase-down is based on the projected market penetration of technologies alternative to conventional HFC applications, which are considered both technically and financially feasible. </w:t>
      </w:r>
    </w:p>
    <w:p w:rsidR="00BA6906" w:rsidRDefault="002A3927" w:rsidP="00C7116D">
      <w:pPr>
        <w:rPr>
          <w:lang w:val="en-US"/>
        </w:rPr>
      </w:pPr>
      <w:r>
        <w:rPr>
          <w:lang w:val="en-US"/>
        </w:rPr>
        <w:t>The d</w:t>
      </w:r>
      <w:r w:rsidR="00BA6906">
        <w:rPr>
          <w:lang w:val="en-US"/>
        </w:rPr>
        <w:t xml:space="preserve">emand </w:t>
      </w:r>
      <w:r>
        <w:rPr>
          <w:lang w:val="en-US"/>
        </w:rPr>
        <w:t>for</w:t>
      </w:r>
      <w:r w:rsidR="00BA6906">
        <w:rPr>
          <w:lang w:val="en-US"/>
        </w:rPr>
        <w:t xml:space="preserve"> HFCs </w:t>
      </w:r>
      <w:r w:rsidR="00533B8F">
        <w:rPr>
          <w:lang w:val="en-US"/>
        </w:rPr>
        <w:t xml:space="preserve">also </w:t>
      </w:r>
      <w:r w:rsidR="00BA6906">
        <w:rPr>
          <w:lang w:val="en-US"/>
        </w:rPr>
        <w:t xml:space="preserve">includes those quantities which are presently </w:t>
      </w:r>
      <w:r>
        <w:rPr>
          <w:lang w:val="en-US"/>
        </w:rPr>
        <w:t>first-</w:t>
      </w:r>
      <w:r w:rsidR="00BA6906">
        <w:rPr>
          <w:lang w:val="en-US"/>
        </w:rPr>
        <w:t xml:space="preserve">filled into equipment outside the EU-27 </w:t>
      </w:r>
      <w:r>
        <w:rPr>
          <w:lang w:val="en-US"/>
        </w:rPr>
        <w:t>and</w:t>
      </w:r>
      <w:r w:rsidR="00BA6906">
        <w:rPr>
          <w:lang w:val="en-US"/>
        </w:rPr>
        <w:t xml:space="preserve"> </w:t>
      </w:r>
      <w:r w:rsidR="00533B8F">
        <w:rPr>
          <w:lang w:val="en-US"/>
        </w:rPr>
        <w:t>are</w:t>
      </w:r>
      <w:r w:rsidR="00BA6906">
        <w:rPr>
          <w:lang w:val="en-US"/>
        </w:rPr>
        <w:t xml:space="preserve"> imported </w:t>
      </w:r>
      <w:r w:rsidR="00533B8F">
        <w:rPr>
          <w:lang w:val="en-US"/>
        </w:rPr>
        <w:t>in</w:t>
      </w:r>
      <w:r w:rsidR="00BA6906">
        <w:rPr>
          <w:lang w:val="en-US"/>
        </w:rPr>
        <w:t xml:space="preserve">to the EU-27. </w:t>
      </w:r>
      <w:r>
        <w:rPr>
          <w:lang w:val="en-US"/>
        </w:rPr>
        <w:t>From 2018 (if the regulation enters into force 2015) s</w:t>
      </w:r>
      <w:r w:rsidR="00BA6906">
        <w:rPr>
          <w:lang w:val="en-US"/>
        </w:rPr>
        <w:t>uch import of “pre-charged equipment”</w:t>
      </w:r>
      <w:r>
        <w:rPr>
          <w:lang w:val="en-US"/>
        </w:rPr>
        <w:t xml:space="preserve"> (except for </w:t>
      </w:r>
      <w:r w:rsidR="00533B8F">
        <w:rPr>
          <w:lang w:val="en-US"/>
        </w:rPr>
        <w:t>hermetic</w:t>
      </w:r>
      <w:r>
        <w:rPr>
          <w:lang w:val="en-US"/>
        </w:rPr>
        <w:t xml:space="preserve"> systems</w:t>
      </w:r>
      <w:r w:rsidR="00533B8F">
        <w:rPr>
          <w:lang w:val="en-US"/>
        </w:rPr>
        <w:t>) shall be prohibited</w:t>
      </w:r>
      <w:r>
        <w:rPr>
          <w:lang w:val="en-US"/>
        </w:rPr>
        <w:t>,</w:t>
      </w:r>
      <w:r w:rsidR="00533B8F">
        <w:rPr>
          <w:lang w:val="en-US"/>
        </w:rPr>
        <w:t xml:space="preserve"> which implies that additional HFC bulk quantities must be available in the EU-27 – increasing the maximum HFC demand from 2018 onwards by (estimated</w:t>
      </w:r>
      <w:r>
        <w:rPr>
          <w:lang w:val="en-US"/>
        </w:rPr>
        <w:t>) 10-15%</w:t>
      </w:r>
      <w:r w:rsidR="00533B8F">
        <w:rPr>
          <w:lang w:val="en-US"/>
        </w:rPr>
        <w:t xml:space="preserve"> for a certain period of time. </w:t>
      </w:r>
      <w:r w:rsidR="00BA6906">
        <w:rPr>
          <w:lang w:val="en-US"/>
        </w:rPr>
        <w:t xml:space="preserve"> </w:t>
      </w:r>
    </w:p>
    <w:p w:rsidR="00BA6906" w:rsidRDefault="002A3927" w:rsidP="00C7116D">
      <w:pPr>
        <w:rPr>
          <w:lang w:val="en-US"/>
        </w:rPr>
      </w:pPr>
      <w:r>
        <w:rPr>
          <w:lang w:val="en-US"/>
        </w:rPr>
        <w:t>The following graph shows</w:t>
      </w:r>
      <w:r w:rsidR="00533B8F">
        <w:rPr>
          <w:lang w:val="en-US"/>
        </w:rPr>
        <w:t xml:space="preserve"> th</w:t>
      </w:r>
      <w:r w:rsidR="0004627E">
        <w:rPr>
          <w:lang w:val="en-US"/>
        </w:rPr>
        <w:t>e</w:t>
      </w:r>
      <w:r>
        <w:rPr>
          <w:lang w:val="en-US"/>
        </w:rPr>
        <w:t xml:space="preserve"> projected "phase down</w:t>
      </w:r>
      <w:r w:rsidR="0004627E">
        <w:rPr>
          <w:lang w:val="en-US"/>
        </w:rPr>
        <w:t xml:space="preserve"> of bulk HFCs</w:t>
      </w:r>
      <w:r>
        <w:rPr>
          <w:lang w:val="en-US"/>
        </w:rPr>
        <w:t xml:space="preserve">, based on alternative technologies" in relation to the reduction steps as per Annex V of </w:t>
      </w:r>
      <w:r w:rsidR="0004627E">
        <w:rPr>
          <w:lang w:val="en-US"/>
        </w:rPr>
        <w:t xml:space="preserve">the 2012 </w:t>
      </w:r>
      <w:r>
        <w:rPr>
          <w:lang w:val="en-US"/>
        </w:rPr>
        <w:t>COM proposal.</w:t>
      </w:r>
    </w:p>
    <w:p w:rsidR="0004627E" w:rsidRDefault="0004627E" w:rsidP="00C7116D">
      <w:pPr>
        <w:rPr>
          <w:lang w:val="en-US"/>
        </w:rPr>
      </w:pPr>
      <w:r w:rsidRPr="0004627E">
        <w:rPr>
          <w:noProof/>
          <w:lang w:val="en-US" w:eastAsia="en-US"/>
        </w:rPr>
        <w:drawing>
          <wp:inline distT="0" distB="0" distL="0" distR="0" wp14:anchorId="0C6FA8ED" wp14:editId="32B0469F">
            <wp:extent cx="5760720" cy="3729259"/>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3729259"/>
                    </a:xfrm>
                    <a:prstGeom prst="rect">
                      <a:avLst/>
                    </a:prstGeom>
                    <a:noFill/>
                    <a:ln>
                      <a:noFill/>
                    </a:ln>
                  </pic:spPr>
                </pic:pic>
              </a:graphicData>
            </a:graphic>
          </wp:inline>
        </w:drawing>
      </w:r>
    </w:p>
    <w:p w:rsidR="0004627E" w:rsidRDefault="0004627E" w:rsidP="00C7116D">
      <w:pPr>
        <w:rPr>
          <w:lang w:val="en-US"/>
        </w:rPr>
      </w:pPr>
      <w:r w:rsidRPr="004975EB">
        <w:rPr>
          <w:b/>
          <w:lang w:val="en-US"/>
        </w:rPr>
        <w:t>2</w:t>
      </w:r>
      <w:r>
        <w:rPr>
          <w:lang w:val="en-US"/>
        </w:rPr>
        <w:t>. The HFC refrigerant blend R-404A (which is thermodynamically almost identical to R-507 which is used for the same purpose) exhibits an extremely high GWP of 3,922 (GWP of 507: 3,985)</w:t>
      </w:r>
      <w:r w:rsidR="00894849">
        <w:rPr>
          <w:lang w:val="en-US"/>
        </w:rPr>
        <w:t>. R-404A is not applied in stationary or mobile air conditioning but to large extent in refrigeration at the low temperature level. It is widely in use</w:t>
      </w:r>
      <w:r>
        <w:rPr>
          <w:lang w:val="en-US"/>
        </w:rPr>
        <w:t xml:space="preserve"> </w:t>
      </w:r>
      <w:r w:rsidR="00894849">
        <w:rPr>
          <w:lang w:val="en-US"/>
        </w:rPr>
        <w:t xml:space="preserve">in industrial refrigeration systems and centralized commercial supermarket equipment, in addition to further non-hermetic application sectors like condensing units, refrigerated trucks, fishing vessels, reefer containers or that like. The demand for R-404A (which is treated here identical with R-507) presently contributes more than one third to the overall HFC demand in EU-27. </w:t>
      </w:r>
    </w:p>
    <w:p w:rsidR="00894849" w:rsidRDefault="00894849" w:rsidP="00C7116D">
      <w:pPr>
        <w:rPr>
          <w:lang w:val="en-US"/>
        </w:rPr>
      </w:pPr>
      <w:r>
        <w:rPr>
          <w:lang w:val="en-US"/>
        </w:rPr>
        <w:lastRenderedPageBreak/>
        <w:t xml:space="preserve">As a consequence, special measures with regard to R-404A have been discussed whether this blend could be replaced by refrigerants that are energetically at least equivalent but </w:t>
      </w:r>
      <w:r w:rsidR="001C3A42">
        <w:rPr>
          <w:lang w:val="en-US"/>
        </w:rPr>
        <w:t>have</w:t>
      </w:r>
      <w:r>
        <w:rPr>
          <w:lang w:val="en-US"/>
        </w:rPr>
        <w:t xml:space="preserve"> lower GWP. </w:t>
      </w:r>
      <w:r w:rsidR="001C3A42">
        <w:rPr>
          <w:lang w:val="en-US"/>
        </w:rPr>
        <w:t>Recent experience in UK shows that the HFC-blends R-407A and R-407F can well replace R-404A. The GWP of R-407A (marketed by all relevant F-gas producers) is 2,107; the GWP of R-407F (marketed by Honeywell alone) is 1,825. If we assume equal shares of the two refrigerants, the average GWP is 1,966, and thus only half the value of R-404A (R-507). From these circumstances it suggested itself to strongly support the use of R407A/F in systems for which HFCs are considered to be necessary instead of R-404A.</w:t>
      </w:r>
    </w:p>
    <w:p w:rsidR="001C3A42" w:rsidRDefault="001C3A42" w:rsidP="00C7116D">
      <w:pPr>
        <w:rPr>
          <w:lang w:val="en-US"/>
        </w:rPr>
      </w:pPr>
      <w:r>
        <w:rPr>
          <w:lang w:val="en-US"/>
        </w:rPr>
        <w:t xml:space="preserve">Art 11.3 of the COM proposal includes this idea saying that </w:t>
      </w:r>
      <w:r w:rsidR="00D104FA">
        <w:rPr>
          <w:lang w:val="en-US"/>
        </w:rPr>
        <w:t xml:space="preserve">use of F-gases or mixtures with GWP of 2500 or more to </w:t>
      </w:r>
      <w:r>
        <w:rPr>
          <w:lang w:val="en-US"/>
        </w:rPr>
        <w:t xml:space="preserve">"service </w:t>
      </w:r>
      <w:r w:rsidR="00D104FA">
        <w:rPr>
          <w:lang w:val="en-US"/>
        </w:rPr>
        <w:t>or maintain</w:t>
      </w:r>
      <w:r>
        <w:rPr>
          <w:lang w:val="en-US"/>
        </w:rPr>
        <w:t xml:space="preserve"> refrigeration equipment with a charge size equivalent to 5 tonnes of </w:t>
      </w:r>
      <w:r w:rsidRPr="001C3A42">
        <w:rPr>
          <w:rFonts w:cs="Arial"/>
          <w:lang w:val="en-US"/>
        </w:rPr>
        <w:t>CO</w:t>
      </w:r>
      <w:r w:rsidRPr="001C3A42">
        <w:rPr>
          <w:rFonts w:cs="Arial"/>
          <w:vertAlign w:val="subscript"/>
          <w:lang w:val="en-US"/>
        </w:rPr>
        <w:t>2</w:t>
      </w:r>
      <w:r>
        <w:rPr>
          <w:lang w:val="en-US"/>
        </w:rPr>
        <w:t xml:space="preserve"> or more, shall be p</w:t>
      </w:r>
      <w:r w:rsidR="00D104FA">
        <w:rPr>
          <w:lang w:val="en-US"/>
        </w:rPr>
        <w:t>rohibited from 1 January 2020". The only HFC refrigerant with GWP &gt;2500 is R-404A</w:t>
      </w:r>
      <w:r w:rsidR="00BC07E0">
        <w:rPr>
          <w:lang w:val="en-US"/>
        </w:rPr>
        <w:t>(R-</w:t>
      </w:r>
      <w:r w:rsidR="00D104FA">
        <w:rPr>
          <w:lang w:val="en-US"/>
        </w:rPr>
        <w:t>507) – except for R-23 which, however, is limited to extremely low temperatures of ~-78°C. Evide</w:t>
      </w:r>
      <w:r w:rsidR="00BC07E0">
        <w:rPr>
          <w:lang w:val="en-US"/>
        </w:rPr>
        <w:t>ntly, Art 11.3 addresses R-404A.</w:t>
      </w:r>
    </w:p>
    <w:p w:rsidR="00D87D2D" w:rsidRDefault="00BC07E0" w:rsidP="00C7116D">
      <w:pPr>
        <w:rPr>
          <w:lang w:val="en-US"/>
        </w:rPr>
      </w:pPr>
      <w:r>
        <w:rPr>
          <w:lang w:val="en-US"/>
        </w:rPr>
        <w:t>B</w:t>
      </w:r>
      <w:r w:rsidR="00D104FA">
        <w:rPr>
          <w:lang w:val="en-US"/>
        </w:rPr>
        <w:t xml:space="preserve">an on refilling R-404A into equipment </w:t>
      </w:r>
      <w:r>
        <w:rPr>
          <w:lang w:val="en-US"/>
        </w:rPr>
        <w:t>that</w:t>
      </w:r>
      <w:r w:rsidR="00D104FA">
        <w:rPr>
          <w:lang w:val="en-US"/>
        </w:rPr>
        <w:t xml:space="preserve"> relies on R-404A, to compensate for refrigerant loss, would </w:t>
      </w:r>
      <w:r w:rsidR="00D87D2D">
        <w:rPr>
          <w:lang w:val="en-US"/>
        </w:rPr>
        <w:t xml:space="preserve">(1) </w:t>
      </w:r>
      <w:r w:rsidR="00D104FA">
        <w:rPr>
          <w:lang w:val="en-US"/>
        </w:rPr>
        <w:t>lead to premature functional end of that equipment</w:t>
      </w:r>
      <w:r w:rsidR="00D87D2D">
        <w:rPr>
          <w:lang w:val="en-US"/>
        </w:rPr>
        <w:t xml:space="preserve"> so that </w:t>
      </w:r>
      <w:r w:rsidR="00D87D2D" w:rsidRPr="00D87D2D">
        <w:rPr>
          <w:u w:val="single"/>
          <w:lang w:val="en-US"/>
        </w:rPr>
        <w:t>in existing equipment</w:t>
      </w:r>
      <w:r w:rsidR="00D87D2D">
        <w:rPr>
          <w:lang w:val="en-US"/>
        </w:rPr>
        <w:t xml:space="preserve"> </w:t>
      </w:r>
      <w:r w:rsidR="00D104FA">
        <w:rPr>
          <w:lang w:val="en-US"/>
        </w:rPr>
        <w:t>R-404A must be replaced</w:t>
      </w:r>
      <w:r w:rsidR="00D87D2D">
        <w:rPr>
          <w:lang w:val="en-US"/>
        </w:rPr>
        <w:t xml:space="preserve"> by R-407A/F (Art 11.3. </w:t>
      </w:r>
      <w:r>
        <w:rPr>
          <w:lang w:val="en-US"/>
        </w:rPr>
        <w:t>does not distinct</w:t>
      </w:r>
      <w:r w:rsidR="00D87D2D">
        <w:rPr>
          <w:lang w:val="en-US"/>
        </w:rPr>
        <w:t xml:space="preserve"> between virgin and reclaimed R-404A), and (2) first fill of </w:t>
      </w:r>
      <w:r w:rsidR="00D87D2D" w:rsidRPr="00D87D2D">
        <w:rPr>
          <w:u w:val="single"/>
          <w:lang w:val="en-US"/>
        </w:rPr>
        <w:t>new equipment</w:t>
      </w:r>
      <w:r w:rsidR="00D87D2D">
        <w:rPr>
          <w:lang w:val="en-US"/>
        </w:rPr>
        <w:t xml:space="preserve"> with R-404A would no longer make any sense; R407A/F would be the alternatives (unless technical solutions without HFCs would be chosen) for existing and new refrigeration equipment for low temperatures.</w:t>
      </w:r>
    </w:p>
    <w:p w:rsidR="00D104FA" w:rsidRDefault="001B2D9B" w:rsidP="00C7116D">
      <w:pPr>
        <w:rPr>
          <w:lang w:val="en-US"/>
        </w:rPr>
      </w:pPr>
      <w:r>
        <w:rPr>
          <w:lang w:val="en-US"/>
        </w:rPr>
        <w:t xml:space="preserve">The intention of Art 11.3 of the COM proposal is further reduction of HFC demand in terms of GWP below the mark set by application of alternative technologies (shown in the above graph), which indeed would happen before 2030. However, the </w:t>
      </w:r>
      <w:r w:rsidR="00D92DB5">
        <w:rPr>
          <w:lang w:val="en-US"/>
        </w:rPr>
        <w:t xml:space="preserve">downside of this approach </w:t>
      </w:r>
      <w:r w:rsidR="00BC07E0">
        <w:rPr>
          <w:lang w:val="en-US"/>
        </w:rPr>
        <w:t>is</w:t>
      </w:r>
      <w:r w:rsidR="00D92DB5">
        <w:rPr>
          <w:lang w:val="en-US"/>
        </w:rPr>
        <w:t xml:space="preserve"> necessarily that in the first years after 2020 the demand for the HFC blends R407A/F for the purpose of R-404A replacement in existing equipment </w:t>
      </w:r>
      <w:r w:rsidR="00BC07E0">
        <w:rPr>
          <w:lang w:val="en-US"/>
        </w:rPr>
        <w:t xml:space="preserve">temporarily but </w:t>
      </w:r>
      <w:r w:rsidR="00D92DB5">
        <w:rPr>
          <w:lang w:val="en-US"/>
        </w:rPr>
        <w:t>significantly raise</w:t>
      </w:r>
      <w:r w:rsidR="00BC07E0">
        <w:rPr>
          <w:lang w:val="en-US"/>
        </w:rPr>
        <w:t>s</w:t>
      </w:r>
      <w:r w:rsidR="00D92DB5">
        <w:rPr>
          <w:lang w:val="en-US"/>
        </w:rPr>
        <w:t xml:space="preserve"> the overall HFC demand over the level without that measure. </w:t>
      </w:r>
    </w:p>
    <w:p w:rsidR="00D104FA" w:rsidRDefault="00D92DB5" w:rsidP="00C7116D">
      <w:pPr>
        <w:rPr>
          <w:lang w:val="en-US"/>
        </w:rPr>
      </w:pPr>
      <w:r>
        <w:rPr>
          <w:lang w:val="en-US"/>
        </w:rPr>
        <w:t>The following diagram show this effect for the (isolated) demand for R-404A alone (without Art 11.3) and alternatively for R-404A plus R-407A/F (as per Art 11.3).</w:t>
      </w:r>
      <w:r w:rsidR="00BC07E0">
        <w:rPr>
          <w:lang w:val="en-US"/>
        </w:rPr>
        <w:t xml:space="preserve"> (WAM means "with additional measures"; it represents the original phase-down (no special treatment of R-404A). </w:t>
      </w:r>
    </w:p>
    <w:p w:rsidR="00D92DB5" w:rsidRDefault="00BC07E0" w:rsidP="00C7116D">
      <w:pPr>
        <w:rPr>
          <w:lang w:val="en-US"/>
        </w:rPr>
      </w:pPr>
      <w:r w:rsidRPr="00BC07E0">
        <w:rPr>
          <w:noProof/>
          <w:lang w:val="en-US" w:eastAsia="en-US"/>
        </w:rPr>
        <w:drawing>
          <wp:inline distT="0" distB="0" distL="0" distR="0">
            <wp:extent cx="5397500" cy="3159760"/>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97500" cy="3159760"/>
                    </a:xfrm>
                    <a:prstGeom prst="rect">
                      <a:avLst/>
                    </a:prstGeom>
                    <a:noFill/>
                    <a:ln>
                      <a:noFill/>
                    </a:ln>
                  </pic:spPr>
                </pic:pic>
              </a:graphicData>
            </a:graphic>
          </wp:inline>
        </w:drawing>
      </w:r>
    </w:p>
    <w:p w:rsidR="00D92DB5" w:rsidRDefault="00BC07E0" w:rsidP="00C7116D">
      <w:pPr>
        <w:rPr>
          <w:lang w:val="en-US"/>
        </w:rPr>
      </w:pPr>
      <w:r>
        <w:rPr>
          <w:lang w:val="en-US"/>
        </w:rPr>
        <w:lastRenderedPageBreak/>
        <w:t>From the graph it follows that under the assumption that within three years (2020-202</w:t>
      </w:r>
      <w:r w:rsidR="00655B9D">
        <w:rPr>
          <w:lang w:val="en-US"/>
        </w:rPr>
        <w:t>2</w:t>
      </w:r>
      <w:r>
        <w:rPr>
          <w:lang w:val="en-US"/>
        </w:rPr>
        <w:t>) all R-404A in existing equipment is replaced by R-407(A/F). This measure leads to sharp temporary increase in HFC demand from 45 to 70 MTCO2eq, which is in this time period not compensated by lower demand for first fill of new equipment (R-407A/F instead of R-404A). From 2024 onwards the overall HFC demand is significantly lower tha</w:t>
      </w:r>
      <w:r w:rsidR="00A754CD">
        <w:rPr>
          <w:lang w:val="en-US"/>
        </w:rPr>
        <w:t>n</w:t>
      </w:r>
      <w:r>
        <w:rPr>
          <w:lang w:val="en-US"/>
        </w:rPr>
        <w:t xml:space="preserve"> without that "special treatment" of R-404A: all first fill and all re-fill of equipment which relies on R-404A in the "WAM scenario" is now first-filled and re-filled by R-407A/F with half the GWP of R-404A. </w:t>
      </w:r>
    </w:p>
    <w:p w:rsidR="001C3A42" w:rsidRDefault="00BC07E0" w:rsidP="00C7116D">
      <w:pPr>
        <w:rPr>
          <w:lang w:val="en-US"/>
        </w:rPr>
      </w:pPr>
      <w:r w:rsidRPr="004975EB">
        <w:rPr>
          <w:b/>
          <w:lang w:val="en-US"/>
        </w:rPr>
        <w:t>3</w:t>
      </w:r>
      <w:r>
        <w:rPr>
          <w:lang w:val="en-US"/>
        </w:rPr>
        <w:t>. Looking at the overall HFC demand in the next diagram, it turns out that as a consequence of the Art 11.3 in the 2012 COM proposal the reduction steps (as per Annex V) could not be kept</w:t>
      </w:r>
      <w:r w:rsidRPr="00BC07E0">
        <w:rPr>
          <w:lang w:val="en-US"/>
        </w:rPr>
        <w:t xml:space="preserve"> </w:t>
      </w:r>
      <w:r>
        <w:rPr>
          <w:lang w:val="en-US"/>
        </w:rPr>
        <w:t>in certain years</w:t>
      </w:r>
      <w:r w:rsidR="00655B9D">
        <w:rPr>
          <w:lang w:val="en-US"/>
        </w:rPr>
        <w:t xml:space="preserve"> (2020-2022)</w:t>
      </w:r>
      <w:r>
        <w:rPr>
          <w:lang w:val="en-US"/>
        </w:rPr>
        <w:t xml:space="preserve">. </w:t>
      </w:r>
      <w:r w:rsidR="00655B9D" w:rsidRPr="00655B9D">
        <w:rPr>
          <w:i/>
          <w:lang w:val="en-US"/>
        </w:rPr>
        <w:t>This diagram should be compared with the first diagram</w:t>
      </w:r>
      <w:r w:rsidR="00655B9D">
        <w:rPr>
          <w:lang w:val="en-US"/>
        </w:rPr>
        <w:t>.</w:t>
      </w:r>
    </w:p>
    <w:p w:rsidR="001C3A42" w:rsidRDefault="004975EB" w:rsidP="00C7116D">
      <w:pPr>
        <w:rPr>
          <w:lang w:val="en-US"/>
        </w:rPr>
      </w:pPr>
      <w:r w:rsidRPr="004975EB">
        <w:rPr>
          <w:noProof/>
          <w:lang w:val="en-US" w:eastAsia="en-US"/>
        </w:rPr>
        <w:drawing>
          <wp:inline distT="0" distB="0" distL="0" distR="0" wp14:anchorId="322130C2" wp14:editId="3E586083">
            <wp:extent cx="5760720" cy="3729259"/>
            <wp:effectExtent l="0" t="0" r="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3729259"/>
                    </a:xfrm>
                    <a:prstGeom prst="rect">
                      <a:avLst/>
                    </a:prstGeom>
                    <a:noFill/>
                    <a:ln>
                      <a:noFill/>
                    </a:ln>
                  </pic:spPr>
                </pic:pic>
              </a:graphicData>
            </a:graphic>
          </wp:inline>
        </w:drawing>
      </w:r>
    </w:p>
    <w:p w:rsidR="00655B9D" w:rsidRDefault="00655B9D" w:rsidP="00C7116D">
      <w:pPr>
        <w:rPr>
          <w:lang w:val="en-US"/>
        </w:rPr>
      </w:pPr>
      <w:r w:rsidRPr="004975EB">
        <w:rPr>
          <w:b/>
          <w:lang w:val="en-US"/>
        </w:rPr>
        <w:t>4.</w:t>
      </w:r>
      <w:r>
        <w:rPr>
          <w:lang w:val="en-US"/>
        </w:rPr>
        <w:t xml:space="preserve"> On 27 February 2013 </w:t>
      </w:r>
      <w:r w:rsidR="00BB2F1E">
        <w:rPr>
          <w:lang w:val="en-US"/>
        </w:rPr>
        <w:t>the Irish Presidency came forward with their Presidency text</w:t>
      </w:r>
      <w:r>
        <w:rPr>
          <w:lang w:val="en-US"/>
        </w:rPr>
        <w:t>: "</w:t>
      </w:r>
      <w:r w:rsidRPr="00655B9D">
        <w:rPr>
          <w:lang w:val="en-US"/>
        </w:rPr>
        <w:t>Proposal for a Regulation of the European Parliament and of the Council on fluorinated greenho</w:t>
      </w:r>
      <w:r>
        <w:rPr>
          <w:lang w:val="en-US"/>
        </w:rPr>
        <w:t>u</w:t>
      </w:r>
      <w:r w:rsidRPr="00655B9D">
        <w:rPr>
          <w:lang w:val="en-US"/>
        </w:rPr>
        <w:t>se gases – Presiden</w:t>
      </w:r>
      <w:r>
        <w:rPr>
          <w:lang w:val="en-US"/>
        </w:rPr>
        <w:t>c</w:t>
      </w:r>
      <w:r w:rsidRPr="00655B9D">
        <w:rPr>
          <w:lang w:val="en-US"/>
        </w:rPr>
        <w:t>y text"</w:t>
      </w:r>
      <w:r>
        <w:rPr>
          <w:lang w:val="en-US"/>
        </w:rPr>
        <w:t xml:space="preserve">. This proposal keeps the 1 January 2020 as start of a ban on re-fill with F-gases  of GWP &gt; 2500, which however is limited to charges &gt; 40 t </w:t>
      </w:r>
      <w:r w:rsidRPr="00655B9D">
        <w:rPr>
          <w:rFonts w:cs="Arial"/>
          <w:lang w:val="en-US"/>
        </w:rPr>
        <w:t>CO</w:t>
      </w:r>
      <w:r w:rsidRPr="00655B9D">
        <w:rPr>
          <w:rFonts w:cs="Arial"/>
          <w:vertAlign w:val="subscript"/>
          <w:lang w:val="en-US"/>
        </w:rPr>
        <w:t>2</w:t>
      </w:r>
      <w:r>
        <w:rPr>
          <w:lang w:val="en-US"/>
        </w:rPr>
        <w:t xml:space="preserve"> equivalent, and explicitly excludes temperature levels &gt; -50°C (i.e. use of R-23, GWP 14.800) from such ban.</w:t>
      </w:r>
    </w:p>
    <w:p w:rsidR="00655B9D" w:rsidRDefault="00655B9D" w:rsidP="00C7116D">
      <w:pPr>
        <w:rPr>
          <w:lang w:val="en-US"/>
        </w:rPr>
      </w:pPr>
      <w:r>
        <w:rPr>
          <w:lang w:val="en-US"/>
        </w:rPr>
        <w:t xml:space="preserve">The most important change with respect to the special treatment of R-404A is that the ban on refill "shall not apply to reclaimed" R-404A (until 2025). This exclusion allows five years of continued use of R-404A in existing equipment (i.e. over the next 12 years from today). </w:t>
      </w:r>
    </w:p>
    <w:p w:rsidR="00655B9D" w:rsidRDefault="00655B9D" w:rsidP="00C7116D">
      <w:pPr>
        <w:rPr>
          <w:lang w:val="en-US"/>
        </w:rPr>
      </w:pPr>
      <w:r>
        <w:rPr>
          <w:lang w:val="en-US"/>
        </w:rPr>
        <w:t>This provision shows two important results with respect to the overall HFC demand in the first years of application of the new F-gas Regulation.</w:t>
      </w:r>
    </w:p>
    <w:p w:rsidR="00655B9D" w:rsidRDefault="00655B9D" w:rsidP="008F7BF1">
      <w:pPr>
        <w:ind w:left="709" w:hanging="1"/>
        <w:rPr>
          <w:lang w:val="en-US"/>
        </w:rPr>
      </w:pPr>
      <w:r>
        <w:rPr>
          <w:lang w:val="en-US"/>
        </w:rPr>
        <w:t xml:space="preserve">1. </w:t>
      </w:r>
      <w:r w:rsidR="008F7BF1">
        <w:rPr>
          <w:lang w:val="en-US"/>
        </w:rPr>
        <w:t>In terms of the regulation</w:t>
      </w:r>
      <w:r w:rsidR="004975EB">
        <w:rPr>
          <w:lang w:val="en-US"/>
        </w:rPr>
        <w:t>,</w:t>
      </w:r>
      <w:r w:rsidR="008F7BF1">
        <w:rPr>
          <w:lang w:val="en-US"/>
        </w:rPr>
        <w:t xml:space="preserve"> "reclaimed" F-gases do not count as F-gas demand. Refill of, say 10 MTCO</w:t>
      </w:r>
      <w:r w:rsidR="008F7BF1" w:rsidRPr="00C84CB6">
        <w:rPr>
          <w:vertAlign w:val="subscript"/>
          <w:lang w:val="en-US"/>
        </w:rPr>
        <w:t>2</w:t>
      </w:r>
      <w:r w:rsidR="008F7BF1">
        <w:rPr>
          <w:lang w:val="en-US"/>
        </w:rPr>
        <w:t>eq</w:t>
      </w:r>
      <w:r w:rsidR="00C84CB6">
        <w:rPr>
          <w:lang w:val="en-US"/>
        </w:rPr>
        <w:t>,</w:t>
      </w:r>
      <w:r w:rsidR="008F7BF1">
        <w:rPr>
          <w:lang w:val="en-US"/>
        </w:rPr>
        <w:t xml:space="preserve"> is not HFC demand of 10 MTCO</w:t>
      </w:r>
      <w:r w:rsidR="008F7BF1" w:rsidRPr="004975EB">
        <w:rPr>
          <w:vertAlign w:val="subscript"/>
          <w:lang w:val="en-US"/>
        </w:rPr>
        <w:t>2</w:t>
      </w:r>
      <w:r w:rsidR="008F7BF1">
        <w:rPr>
          <w:lang w:val="en-US"/>
        </w:rPr>
        <w:t>eq but of 0 MTCO</w:t>
      </w:r>
      <w:r w:rsidR="008F7BF1" w:rsidRPr="00C84CB6">
        <w:rPr>
          <w:vertAlign w:val="subscript"/>
          <w:lang w:val="en-US"/>
        </w:rPr>
        <w:t>2</w:t>
      </w:r>
      <w:r w:rsidR="008F7BF1">
        <w:rPr>
          <w:lang w:val="en-US"/>
        </w:rPr>
        <w:t>eq.</w:t>
      </w:r>
    </w:p>
    <w:p w:rsidR="008F7BF1" w:rsidRDefault="008F7BF1" w:rsidP="008F7BF1">
      <w:pPr>
        <w:ind w:left="709"/>
        <w:rPr>
          <w:lang w:val="en-US"/>
        </w:rPr>
      </w:pPr>
      <w:r>
        <w:rPr>
          <w:lang w:val="en-US"/>
        </w:rPr>
        <w:t xml:space="preserve">2. In the first five years no additional R-407A/F will increase the overall HFC demand, because existing equipment must not be retrofitted by extraction of R-404A and filling of R-407A/F. </w:t>
      </w:r>
    </w:p>
    <w:p w:rsidR="008F7BF1" w:rsidRDefault="008F7BF1" w:rsidP="008F7BF1">
      <w:pPr>
        <w:rPr>
          <w:lang w:val="en-US"/>
        </w:rPr>
      </w:pPr>
      <w:r w:rsidRPr="008F7BF1">
        <w:rPr>
          <w:i/>
          <w:lang w:val="en-US"/>
        </w:rPr>
        <w:lastRenderedPageBreak/>
        <w:t xml:space="preserve">It should be </w:t>
      </w:r>
      <w:r>
        <w:rPr>
          <w:i/>
          <w:lang w:val="en-US"/>
        </w:rPr>
        <w:t>mentioned</w:t>
      </w:r>
      <w:r w:rsidRPr="008F7BF1">
        <w:rPr>
          <w:i/>
          <w:lang w:val="en-US"/>
        </w:rPr>
        <w:t xml:space="preserve"> that extraction/recovery of R-404A </w:t>
      </w:r>
      <w:r>
        <w:rPr>
          <w:i/>
          <w:lang w:val="en-US"/>
        </w:rPr>
        <w:t xml:space="preserve">from existing equipment </w:t>
      </w:r>
      <w:r w:rsidRPr="008F7BF1">
        <w:rPr>
          <w:i/>
          <w:lang w:val="en-US"/>
        </w:rPr>
        <w:t xml:space="preserve">would not be an easy process (here we do not discuss the technical </w:t>
      </w:r>
      <w:r>
        <w:rPr>
          <w:i/>
          <w:lang w:val="en-US"/>
        </w:rPr>
        <w:t xml:space="preserve">and energetic </w:t>
      </w:r>
      <w:r w:rsidRPr="008F7BF1">
        <w:rPr>
          <w:i/>
          <w:lang w:val="en-US"/>
        </w:rPr>
        <w:t xml:space="preserve">details) and would at any rate cause significant amounts of disposal emissions. In the COM proposal further use of R-404A </w:t>
      </w:r>
      <w:r>
        <w:rPr>
          <w:i/>
          <w:lang w:val="en-US"/>
        </w:rPr>
        <w:t xml:space="preserve">outside the existing equipment </w:t>
      </w:r>
      <w:r w:rsidRPr="008F7BF1">
        <w:rPr>
          <w:i/>
          <w:lang w:val="en-US"/>
        </w:rPr>
        <w:t xml:space="preserve">would be </w:t>
      </w:r>
      <w:r>
        <w:rPr>
          <w:i/>
          <w:lang w:val="en-US"/>
        </w:rPr>
        <w:t>im</w:t>
      </w:r>
      <w:r w:rsidRPr="008F7BF1">
        <w:rPr>
          <w:i/>
          <w:lang w:val="en-US"/>
        </w:rPr>
        <w:t xml:space="preserve">possible, so that all R-404A must be destroyed – </w:t>
      </w:r>
      <w:r>
        <w:rPr>
          <w:i/>
          <w:lang w:val="en-US"/>
        </w:rPr>
        <w:t xml:space="preserve">causing </w:t>
      </w:r>
      <w:r w:rsidRPr="008F7BF1">
        <w:rPr>
          <w:i/>
          <w:lang w:val="en-US"/>
        </w:rPr>
        <w:t>another environmental problem.</w:t>
      </w:r>
    </w:p>
    <w:p w:rsidR="008F7BF1" w:rsidRDefault="008F7BF1" w:rsidP="00C7116D">
      <w:pPr>
        <w:rPr>
          <w:lang w:val="en-US"/>
        </w:rPr>
      </w:pPr>
      <w:r>
        <w:rPr>
          <w:lang w:val="en-US"/>
        </w:rPr>
        <w:t>The ban on refill in the February 2013 proposal is limited to charges &gt; 40 tCO2eq, which comes to ca. 10 kg R-404A refrigerant. This size-limit excludes condensing units and refrigerated trucks from that refill ban. The latter, however, are included in the ban on first fill in new equipment as per Annex III.13 and 14 which apply to all charge sizes of non-hermetic equipment</w:t>
      </w:r>
      <w:r w:rsidRPr="008F7BF1">
        <w:rPr>
          <w:lang w:val="en-US"/>
        </w:rPr>
        <w:t xml:space="preserve"> </w:t>
      </w:r>
      <w:r>
        <w:rPr>
          <w:lang w:val="en-US"/>
        </w:rPr>
        <w:t xml:space="preserve">from 2020 or 2025, respectively. </w:t>
      </w:r>
    </w:p>
    <w:p w:rsidR="004975EB" w:rsidRDefault="004975EB" w:rsidP="004975EB">
      <w:pPr>
        <w:rPr>
          <w:lang w:val="en-US"/>
        </w:rPr>
      </w:pPr>
      <w:r>
        <w:rPr>
          <w:lang w:val="en-US"/>
        </w:rPr>
        <w:t>The altered approach to R-404A would lead to significant reduction in overall HFC demand in the 5 years after 2020, compared to the 2012 COM proposal.</w:t>
      </w:r>
    </w:p>
    <w:p w:rsidR="004975EB" w:rsidRDefault="004975EB" w:rsidP="00C7116D">
      <w:pPr>
        <w:rPr>
          <w:lang w:val="en-US"/>
        </w:rPr>
      </w:pPr>
    </w:p>
    <w:p w:rsidR="004975EB" w:rsidRDefault="00C84CB6" w:rsidP="00C7116D">
      <w:pPr>
        <w:rPr>
          <w:lang w:val="en-US"/>
        </w:rPr>
      </w:pPr>
      <w:r>
        <w:rPr>
          <w:lang w:val="en-US"/>
        </w:rPr>
        <w:t xml:space="preserve">5. </w:t>
      </w:r>
      <w:r w:rsidR="00F160C0">
        <w:rPr>
          <w:lang w:val="en-US"/>
        </w:rPr>
        <w:t xml:space="preserve">The most recent </w:t>
      </w:r>
      <w:r w:rsidR="004975EB">
        <w:rPr>
          <w:lang w:val="en-US"/>
        </w:rPr>
        <w:t xml:space="preserve">EP </w:t>
      </w:r>
      <w:r w:rsidR="00BB2F1E">
        <w:rPr>
          <w:lang w:val="en-US"/>
        </w:rPr>
        <w:t>compromise</w:t>
      </w:r>
      <w:r w:rsidR="00F160C0">
        <w:rPr>
          <w:lang w:val="en-US"/>
        </w:rPr>
        <w:t xml:space="preserve"> </w:t>
      </w:r>
      <w:r w:rsidR="000810F1">
        <w:rPr>
          <w:lang w:val="en-US"/>
        </w:rPr>
        <w:t>(M</w:t>
      </w:r>
      <w:r w:rsidR="00F160C0">
        <w:rPr>
          <w:lang w:val="en-US"/>
        </w:rPr>
        <w:t>ay 2013</w:t>
      </w:r>
      <w:r w:rsidR="000810F1">
        <w:rPr>
          <w:lang w:val="en-US"/>
        </w:rPr>
        <w:t>)</w:t>
      </w:r>
      <w:r w:rsidR="00F160C0">
        <w:rPr>
          <w:lang w:val="en-US"/>
        </w:rPr>
        <w:t xml:space="preserve"> </w:t>
      </w:r>
      <w:r w:rsidR="000810F1">
        <w:rPr>
          <w:lang w:val="en-US"/>
        </w:rPr>
        <w:t xml:space="preserve">further strengthens the requirements to the high-GWP F-gas R-404A (GWP &gt; 2500) by new timing. </w:t>
      </w:r>
      <w:r w:rsidR="004975EB">
        <w:rPr>
          <w:lang w:val="en-US"/>
        </w:rPr>
        <w:t>This will lead to an earlier and higher decrease in demand for R-404A and for HFCs in general, in comparison to the EP proposal from February 2013</w:t>
      </w:r>
      <w:r w:rsidR="00DB33E3">
        <w:rPr>
          <w:lang w:val="en-US"/>
        </w:rPr>
        <w:t xml:space="preserve"> and in particular to the COM proposal from November 2012.</w:t>
      </w:r>
      <w:r w:rsidR="004975EB">
        <w:rPr>
          <w:lang w:val="en-US"/>
        </w:rPr>
        <w:t xml:space="preserve"> </w:t>
      </w:r>
    </w:p>
    <w:p w:rsidR="004975EB" w:rsidRDefault="004975EB" w:rsidP="00C7116D">
      <w:pPr>
        <w:rPr>
          <w:lang w:val="en-US"/>
        </w:rPr>
      </w:pPr>
      <w:r>
        <w:rPr>
          <w:lang w:val="en-US"/>
        </w:rPr>
        <w:t>Th</w:t>
      </w:r>
      <w:r w:rsidR="00B40E65">
        <w:rPr>
          <w:lang w:val="en-US"/>
        </w:rPr>
        <w:t>e</w:t>
      </w:r>
      <w:r>
        <w:rPr>
          <w:lang w:val="en-US"/>
        </w:rPr>
        <w:t xml:space="preserve"> </w:t>
      </w:r>
      <w:r w:rsidR="00B40E65">
        <w:rPr>
          <w:lang w:val="en-US"/>
        </w:rPr>
        <w:t xml:space="preserve">modification </w:t>
      </w:r>
      <w:r>
        <w:rPr>
          <w:lang w:val="en-US"/>
        </w:rPr>
        <w:t>first of all applies to Art 11.3</w:t>
      </w:r>
      <w:r w:rsidR="00E24370">
        <w:rPr>
          <w:lang w:val="en-US"/>
        </w:rPr>
        <w:t xml:space="preserve"> (service refill) and Annex III (first fill)</w:t>
      </w:r>
      <w:r>
        <w:rPr>
          <w:lang w:val="en-US"/>
        </w:rPr>
        <w:t>:</w:t>
      </w:r>
    </w:p>
    <w:p w:rsidR="004975EB" w:rsidRDefault="004975EB" w:rsidP="00E24370">
      <w:pPr>
        <w:ind w:left="567"/>
        <w:rPr>
          <w:lang w:val="en-US"/>
        </w:rPr>
      </w:pPr>
      <w:r>
        <w:rPr>
          <w:lang w:val="en-US"/>
        </w:rPr>
        <w:t>Refill with F-gases with GWP &gt; 2500 shall be banned three years earlier, from 1 January 2017 instead of from 1 January 2020.</w:t>
      </w:r>
      <w:r w:rsidRPr="004975EB">
        <w:rPr>
          <w:lang w:val="en-US"/>
        </w:rPr>
        <w:t xml:space="preserve"> </w:t>
      </w:r>
      <w:r>
        <w:rPr>
          <w:lang w:val="en-US"/>
        </w:rPr>
        <w:t>The ban refers to virgin R-404A only</w:t>
      </w:r>
      <w:r w:rsidR="00E24370">
        <w:rPr>
          <w:lang w:val="en-US"/>
        </w:rPr>
        <w:t>; the proposal</w:t>
      </w:r>
      <w:r>
        <w:rPr>
          <w:lang w:val="en-US"/>
        </w:rPr>
        <w:t xml:space="preserve"> sticks to continued use of reclaimed/recycled R-404A over 5 years from the start of the ban. It also sticks to charge limits (50 instead of 40 tCO2eq, which is not a </w:t>
      </w:r>
      <w:r w:rsidR="00E24370">
        <w:rPr>
          <w:lang w:val="en-US"/>
        </w:rPr>
        <w:t xml:space="preserve">major </w:t>
      </w:r>
      <w:r>
        <w:rPr>
          <w:lang w:val="en-US"/>
        </w:rPr>
        <w:t>change</w:t>
      </w:r>
      <w:r w:rsidR="00E24370">
        <w:rPr>
          <w:lang w:val="en-US"/>
        </w:rPr>
        <w:t xml:space="preserve">) and to exclusion of </w:t>
      </w:r>
      <w:r w:rsidR="00E24370" w:rsidRPr="00E24370">
        <w:rPr>
          <w:bCs/>
          <w:iCs/>
          <w:sz w:val="20"/>
          <w:szCs w:val="20"/>
          <w:lang w:val="en-US"/>
        </w:rPr>
        <w:t>operating temperatures of below -50°C</w:t>
      </w:r>
      <w:r w:rsidR="00E24370" w:rsidRPr="00C84CB6">
        <w:rPr>
          <w:bCs/>
          <w:i/>
          <w:iCs/>
          <w:sz w:val="20"/>
          <w:szCs w:val="20"/>
          <w:lang w:val="en-US"/>
        </w:rPr>
        <w:t xml:space="preserve">  </w:t>
      </w:r>
      <w:r w:rsidR="00E24370">
        <w:rPr>
          <w:lang w:val="en-US"/>
        </w:rPr>
        <w:t xml:space="preserve"> (R-23).</w:t>
      </w:r>
    </w:p>
    <w:p w:rsidR="00C84CB6" w:rsidRDefault="004975EB" w:rsidP="00E24370">
      <w:pPr>
        <w:ind w:left="567"/>
        <w:rPr>
          <w:lang w:val="en-US"/>
        </w:rPr>
      </w:pPr>
      <w:r>
        <w:rPr>
          <w:lang w:val="en-US"/>
        </w:rPr>
        <w:t xml:space="preserve">First fill of F-gases with GWP &gt; 2500 </w:t>
      </w:r>
      <w:r w:rsidR="00E24370">
        <w:rPr>
          <w:lang w:val="en-US"/>
        </w:rPr>
        <w:t>shall prohibited from 1 January 2015 instead of 1 January 2020 (stationary equipment) and 1 January 2025 (mobile refrigeration).</w:t>
      </w:r>
    </w:p>
    <w:p w:rsidR="00C84CB6" w:rsidRDefault="00E24370" w:rsidP="00C84CB6">
      <w:pPr>
        <w:rPr>
          <w:sz w:val="20"/>
          <w:szCs w:val="20"/>
          <w:lang w:val="en-US"/>
        </w:rPr>
      </w:pPr>
      <w:r>
        <w:rPr>
          <w:sz w:val="20"/>
          <w:szCs w:val="20"/>
          <w:lang w:val="en-US"/>
        </w:rPr>
        <w:t>Our calculation of the effect of the above measures to the R-404 demand 2015-2030 and to the overall HFC demand 2015-2030 shows the following results.</w:t>
      </w:r>
    </w:p>
    <w:p w:rsidR="00E24370" w:rsidRPr="00784722" w:rsidRDefault="00784722" w:rsidP="00C84CB6">
      <w:pPr>
        <w:rPr>
          <w:b/>
          <w:sz w:val="18"/>
          <w:szCs w:val="18"/>
          <w:lang w:val="en-US"/>
        </w:rPr>
      </w:pPr>
      <w:r w:rsidRPr="00784722">
        <w:rPr>
          <w:b/>
          <w:sz w:val="18"/>
          <w:szCs w:val="18"/>
          <w:lang w:val="en-US"/>
        </w:rPr>
        <w:t>Demand for R-404A and for 404A+R407A/F in the May 2013 proposal</w:t>
      </w:r>
      <w:r w:rsidR="001E04E3">
        <w:rPr>
          <w:b/>
          <w:sz w:val="18"/>
          <w:szCs w:val="18"/>
          <w:lang w:val="en-US"/>
        </w:rPr>
        <w:t>,</w:t>
      </w:r>
      <w:r w:rsidRPr="00784722">
        <w:rPr>
          <w:b/>
          <w:sz w:val="18"/>
          <w:szCs w:val="18"/>
          <w:lang w:val="en-US"/>
        </w:rPr>
        <w:t xml:space="preserve"> in the 2012 COM proposal</w:t>
      </w:r>
      <w:r w:rsidR="001E04E3">
        <w:rPr>
          <w:b/>
          <w:sz w:val="18"/>
          <w:szCs w:val="18"/>
          <w:lang w:val="en-US"/>
        </w:rPr>
        <w:t xml:space="preserve">, and in the original </w:t>
      </w:r>
      <w:r w:rsidR="0028419C">
        <w:rPr>
          <w:b/>
          <w:sz w:val="18"/>
          <w:szCs w:val="18"/>
          <w:lang w:val="en-US"/>
        </w:rPr>
        <w:t xml:space="preserve">COM </w:t>
      </w:r>
      <w:r w:rsidR="001E04E3">
        <w:rPr>
          <w:b/>
          <w:sz w:val="18"/>
          <w:szCs w:val="18"/>
          <w:lang w:val="en-US"/>
        </w:rPr>
        <w:t>WAM scenario of the "preparatory study".</w:t>
      </w:r>
      <w:r>
        <w:rPr>
          <w:b/>
          <w:sz w:val="18"/>
          <w:szCs w:val="18"/>
          <w:lang w:val="en-US"/>
        </w:rPr>
        <w:t xml:space="preserve"> Indications in MTCO</w:t>
      </w:r>
      <w:r w:rsidRPr="00784722">
        <w:rPr>
          <w:b/>
          <w:sz w:val="18"/>
          <w:szCs w:val="18"/>
          <w:vertAlign w:val="subscript"/>
          <w:lang w:val="en-US"/>
        </w:rPr>
        <w:t>2</w:t>
      </w:r>
      <w:r w:rsidR="0028419C">
        <w:rPr>
          <w:b/>
          <w:sz w:val="18"/>
          <w:szCs w:val="18"/>
          <w:lang w:val="en-US"/>
        </w:rPr>
        <w:t>eq</w:t>
      </w:r>
      <w:r>
        <w:rPr>
          <w:b/>
          <w:sz w:val="18"/>
          <w:szCs w:val="18"/>
          <w:lang w:val="en-US"/>
        </w:rPr>
        <w:t xml:space="preserve"> (million tonnes of</w:t>
      </w:r>
      <w:r w:rsidR="0028419C">
        <w:rPr>
          <w:b/>
          <w:sz w:val="18"/>
          <w:szCs w:val="18"/>
          <w:lang w:val="en-US"/>
        </w:rPr>
        <w:t xml:space="preserve"> </w:t>
      </w:r>
      <w:r w:rsidR="0028419C" w:rsidRPr="0028419C">
        <w:rPr>
          <w:rFonts w:cs="Arial"/>
          <w:b/>
          <w:sz w:val="18"/>
          <w:szCs w:val="18"/>
          <w:lang w:val="en-US"/>
        </w:rPr>
        <w:t>CO</w:t>
      </w:r>
      <w:r w:rsidR="0028419C" w:rsidRPr="0028419C">
        <w:rPr>
          <w:rFonts w:cs="Arial"/>
          <w:b/>
          <w:sz w:val="18"/>
          <w:szCs w:val="18"/>
          <w:vertAlign w:val="subscript"/>
          <w:lang w:val="en-US"/>
        </w:rPr>
        <w:t>2</w:t>
      </w:r>
      <w:r>
        <w:rPr>
          <w:b/>
          <w:sz w:val="18"/>
          <w:szCs w:val="18"/>
          <w:lang w:val="en-US"/>
        </w:rPr>
        <w:t xml:space="preserve"> equivalent)</w:t>
      </w:r>
    </w:p>
    <w:tbl>
      <w:tblPr>
        <w:tblStyle w:val="TableGrid"/>
        <w:tblW w:w="9779" w:type="dxa"/>
        <w:tblInd w:w="108" w:type="dxa"/>
        <w:tblLook w:val="04A0" w:firstRow="1" w:lastRow="0" w:firstColumn="1" w:lastColumn="0" w:noHBand="0" w:noVBand="1"/>
      </w:tblPr>
      <w:tblGrid>
        <w:gridCol w:w="2269"/>
        <w:gridCol w:w="851"/>
        <w:gridCol w:w="709"/>
        <w:gridCol w:w="850"/>
        <w:gridCol w:w="709"/>
        <w:gridCol w:w="708"/>
        <w:gridCol w:w="708"/>
        <w:gridCol w:w="708"/>
        <w:gridCol w:w="850"/>
        <w:gridCol w:w="708"/>
        <w:gridCol w:w="709"/>
      </w:tblGrid>
      <w:tr w:rsidR="00C75765" w:rsidRPr="00B40E65" w:rsidTr="00C75765">
        <w:trPr>
          <w:trHeight w:val="300"/>
        </w:trPr>
        <w:tc>
          <w:tcPr>
            <w:tcW w:w="2269" w:type="dxa"/>
            <w:noWrap/>
            <w:vAlign w:val="bottom"/>
          </w:tcPr>
          <w:p w:rsidR="00C75765" w:rsidRPr="00784722" w:rsidRDefault="00C75765">
            <w:pPr>
              <w:rPr>
                <w:rFonts w:ascii="Calibri" w:hAnsi="Calibri"/>
                <w:color w:val="000000"/>
                <w:sz w:val="18"/>
                <w:szCs w:val="18"/>
                <w:lang w:val="en-US"/>
              </w:rPr>
            </w:pPr>
          </w:p>
        </w:tc>
        <w:tc>
          <w:tcPr>
            <w:tcW w:w="851" w:type="dxa"/>
            <w:noWrap/>
            <w:vAlign w:val="center"/>
          </w:tcPr>
          <w:p w:rsidR="00C75765" w:rsidRPr="00B40E65" w:rsidRDefault="00C75765" w:rsidP="00784722">
            <w:pPr>
              <w:jc w:val="center"/>
              <w:rPr>
                <w:rFonts w:ascii="Calibri" w:hAnsi="Calibri"/>
                <w:color w:val="000000"/>
                <w:sz w:val="18"/>
                <w:szCs w:val="18"/>
              </w:rPr>
            </w:pPr>
            <w:r w:rsidRPr="00B40E65">
              <w:rPr>
                <w:rFonts w:ascii="Calibri" w:hAnsi="Calibri"/>
                <w:color w:val="000000"/>
                <w:sz w:val="18"/>
                <w:szCs w:val="18"/>
              </w:rPr>
              <w:t>2014</w:t>
            </w:r>
          </w:p>
        </w:tc>
        <w:tc>
          <w:tcPr>
            <w:tcW w:w="709" w:type="dxa"/>
            <w:noWrap/>
            <w:vAlign w:val="center"/>
          </w:tcPr>
          <w:p w:rsidR="00C75765" w:rsidRPr="00B40E65" w:rsidRDefault="00C75765" w:rsidP="00784722">
            <w:pPr>
              <w:jc w:val="center"/>
              <w:rPr>
                <w:rFonts w:ascii="Calibri" w:hAnsi="Calibri"/>
                <w:color w:val="000000"/>
                <w:sz w:val="18"/>
                <w:szCs w:val="18"/>
              </w:rPr>
            </w:pPr>
            <w:r w:rsidRPr="00B40E65">
              <w:rPr>
                <w:rFonts w:ascii="Calibri" w:hAnsi="Calibri"/>
                <w:color w:val="000000"/>
                <w:sz w:val="18"/>
                <w:szCs w:val="18"/>
              </w:rPr>
              <w:t>2015</w:t>
            </w:r>
          </w:p>
        </w:tc>
        <w:tc>
          <w:tcPr>
            <w:tcW w:w="850" w:type="dxa"/>
            <w:noWrap/>
            <w:vAlign w:val="center"/>
          </w:tcPr>
          <w:p w:rsidR="00C75765" w:rsidRPr="00B40E65" w:rsidRDefault="00C75765" w:rsidP="00784722">
            <w:pPr>
              <w:jc w:val="center"/>
              <w:rPr>
                <w:rFonts w:ascii="Calibri" w:hAnsi="Calibri"/>
                <w:color w:val="000000"/>
                <w:sz w:val="18"/>
                <w:szCs w:val="18"/>
              </w:rPr>
            </w:pPr>
            <w:r w:rsidRPr="00B40E65">
              <w:rPr>
                <w:rFonts w:ascii="Calibri" w:hAnsi="Calibri"/>
                <w:color w:val="000000"/>
                <w:sz w:val="18"/>
                <w:szCs w:val="18"/>
              </w:rPr>
              <w:t>2016</w:t>
            </w:r>
          </w:p>
        </w:tc>
        <w:tc>
          <w:tcPr>
            <w:tcW w:w="709" w:type="dxa"/>
            <w:noWrap/>
            <w:vAlign w:val="center"/>
          </w:tcPr>
          <w:p w:rsidR="00C75765" w:rsidRPr="00B40E65" w:rsidRDefault="00C75765" w:rsidP="00784722">
            <w:pPr>
              <w:jc w:val="center"/>
              <w:rPr>
                <w:rFonts w:ascii="Calibri" w:hAnsi="Calibri"/>
                <w:color w:val="000000"/>
                <w:sz w:val="18"/>
                <w:szCs w:val="18"/>
              </w:rPr>
            </w:pPr>
            <w:r w:rsidRPr="00B40E65">
              <w:rPr>
                <w:rFonts w:ascii="Calibri" w:hAnsi="Calibri"/>
                <w:color w:val="000000"/>
                <w:sz w:val="18"/>
                <w:szCs w:val="18"/>
              </w:rPr>
              <w:t>2017</w:t>
            </w:r>
          </w:p>
        </w:tc>
        <w:tc>
          <w:tcPr>
            <w:tcW w:w="708" w:type="dxa"/>
            <w:noWrap/>
            <w:vAlign w:val="center"/>
          </w:tcPr>
          <w:p w:rsidR="00C75765" w:rsidRPr="00784722" w:rsidRDefault="00C75765" w:rsidP="00784722">
            <w:pPr>
              <w:jc w:val="center"/>
              <w:rPr>
                <w:rFonts w:ascii="Calibri" w:hAnsi="Calibri"/>
                <w:color w:val="000000"/>
                <w:sz w:val="18"/>
                <w:szCs w:val="18"/>
              </w:rPr>
            </w:pPr>
            <w:r w:rsidRPr="00784722">
              <w:rPr>
                <w:rFonts w:ascii="Calibri" w:hAnsi="Calibri"/>
                <w:color w:val="000000"/>
                <w:sz w:val="18"/>
                <w:szCs w:val="18"/>
              </w:rPr>
              <w:t>2018</w:t>
            </w:r>
          </w:p>
        </w:tc>
        <w:tc>
          <w:tcPr>
            <w:tcW w:w="708" w:type="dxa"/>
          </w:tcPr>
          <w:p w:rsidR="00C75765" w:rsidRPr="00784722" w:rsidRDefault="00C75765" w:rsidP="00784722">
            <w:pPr>
              <w:jc w:val="center"/>
              <w:rPr>
                <w:rFonts w:ascii="Calibri" w:hAnsi="Calibri"/>
                <w:color w:val="000000"/>
                <w:sz w:val="18"/>
                <w:szCs w:val="18"/>
              </w:rPr>
            </w:pPr>
            <w:r>
              <w:rPr>
                <w:rFonts w:ascii="Calibri" w:hAnsi="Calibri"/>
                <w:color w:val="000000"/>
                <w:sz w:val="18"/>
                <w:szCs w:val="18"/>
              </w:rPr>
              <w:t>2020</w:t>
            </w:r>
          </w:p>
        </w:tc>
        <w:tc>
          <w:tcPr>
            <w:tcW w:w="708" w:type="dxa"/>
            <w:vAlign w:val="center"/>
          </w:tcPr>
          <w:p w:rsidR="00C75765" w:rsidRPr="00784722" w:rsidRDefault="00C75765" w:rsidP="00784722">
            <w:pPr>
              <w:jc w:val="center"/>
              <w:rPr>
                <w:rFonts w:ascii="Calibri" w:hAnsi="Calibri"/>
                <w:color w:val="000000"/>
                <w:sz w:val="18"/>
                <w:szCs w:val="18"/>
              </w:rPr>
            </w:pPr>
            <w:r w:rsidRPr="00784722">
              <w:rPr>
                <w:rFonts w:ascii="Calibri" w:hAnsi="Calibri"/>
                <w:color w:val="000000"/>
                <w:sz w:val="18"/>
                <w:szCs w:val="18"/>
              </w:rPr>
              <w:t>2021</w:t>
            </w:r>
          </w:p>
        </w:tc>
        <w:tc>
          <w:tcPr>
            <w:tcW w:w="850" w:type="dxa"/>
            <w:vAlign w:val="center"/>
          </w:tcPr>
          <w:p w:rsidR="00C75765" w:rsidRPr="00B40E65" w:rsidRDefault="00C75765" w:rsidP="00784722">
            <w:pPr>
              <w:jc w:val="center"/>
              <w:rPr>
                <w:rFonts w:ascii="Calibri" w:hAnsi="Calibri"/>
                <w:color w:val="000000"/>
                <w:sz w:val="18"/>
                <w:szCs w:val="18"/>
              </w:rPr>
            </w:pPr>
            <w:r w:rsidRPr="00B40E65">
              <w:rPr>
                <w:rFonts w:ascii="Calibri" w:hAnsi="Calibri"/>
                <w:color w:val="000000"/>
                <w:sz w:val="18"/>
                <w:szCs w:val="18"/>
              </w:rPr>
              <w:t>2024</w:t>
            </w:r>
          </w:p>
        </w:tc>
        <w:tc>
          <w:tcPr>
            <w:tcW w:w="708" w:type="dxa"/>
            <w:noWrap/>
            <w:vAlign w:val="center"/>
          </w:tcPr>
          <w:p w:rsidR="00C75765" w:rsidRPr="00B40E65" w:rsidRDefault="00C75765" w:rsidP="00784722">
            <w:pPr>
              <w:jc w:val="center"/>
              <w:rPr>
                <w:rFonts w:ascii="Calibri" w:hAnsi="Calibri"/>
                <w:color w:val="000000"/>
                <w:sz w:val="18"/>
                <w:szCs w:val="18"/>
              </w:rPr>
            </w:pPr>
            <w:r w:rsidRPr="00B40E65">
              <w:rPr>
                <w:rFonts w:ascii="Calibri" w:hAnsi="Calibri"/>
                <w:color w:val="000000"/>
                <w:sz w:val="18"/>
                <w:szCs w:val="18"/>
              </w:rPr>
              <w:t>2027</w:t>
            </w:r>
          </w:p>
        </w:tc>
        <w:tc>
          <w:tcPr>
            <w:tcW w:w="709" w:type="dxa"/>
            <w:noWrap/>
            <w:vAlign w:val="center"/>
          </w:tcPr>
          <w:p w:rsidR="00C75765" w:rsidRPr="00B40E65" w:rsidRDefault="00C75765" w:rsidP="00784722">
            <w:pPr>
              <w:jc w:val="center"/>
              <w:rPr>
                <w:rFonts w:ascii="Calibri" w:hAnsi="Calibri"/>
                <w:color w:val="000000"/>
                <w:sz w:val="18"/>
                <w:szCs w:val="18"/>
              </w:rPr>
            </w:pPr>
            <w:r w:rsidRPr="00B40E65">
              <w:rPr>
                <w:rFonts w:ascii="Calibri" w:hAnsi="Calibri"/>
                <w:color w:val="000000"/>
                <w:sz w:val="18"/>
                <w:szCs w:val="18"/>
              </w:rPr>
              <w:t>2030</w:t>
            </w:r>
          </w:p>
        </w:tc>
      </w:tr>
      <w:tr w:rsidR="00597C7C" w:rsidRPr="0028419C" w:rsidTr="00C6342A">
        <w:trPr>
          <w:trHeight w:val="300"/>
        </w:trPr>
        <w:tc>
          <w:tcPr>
            <w:tcW w:w="2269" w:type="dxa"/>
            <w:noWrap/>
            <w:vAlign w:val="center"/>
          </w:tcPr>
          <w:p w:rsidR="00597C7C" w:rsidRPr="00B40E65" w:rsidRDefault="00597C7C" w:rsidP="00CE7201">
            <w:pPr>
              <w:jc w:val="left"/>
              <w:rPr>
                <w:rFonts w:ascii="Calibri" w:hAnsi="Calibri"/>
                <w:color w:val="000000"/>
                <w:sz w:val="18"/>
                <w:szCs w:val="18"/>
                <w:lang w:val="en-US"/>
              </w:rPr>
            </w:pPr>
            <w:r>
              <w:rPr>
                <w:rFonts w:ascii="Calibri" w:hAnsi="Calibri"/>
                <w:color w:val="000000"/>
                <w:sz w:val="18"/>
                <w:szCs w:val="18"/>
                <w:lang w:val="en-US"/>
              </w:rPr>
              <w:t xml:space="preserve">1. </w:t>
            </w:r>
            <w:r w:rsidRPr="00B40E65">
              <w:rPr>
                <w:rFonts w:ascii="Calibri" w:hAnsi="Calibri"/>
                <w:color w:val="000000"/>
                <w:sz w:val="18"/>
                <w:szCs w:val="18"/>
                <w:lang w:val="en-US"/>
              </w:rPr>
              <w:t>Ban 404A First</w:t>
            </w:r>
            <w:r>
              <w:rPr>
                <w:rFonts w:ascii="Calibri" w:hAnsi="Calibri"/>
                <w:color w:val="000000"/>
                <w:sz w:val="18"/>
                <w:szCs w:val="18"/>
                <w:lang w:val="en-US"/>
              </w:rPr>
              <w:t xml:space="preserve"> </w:t>
            </w:r>
            <w:r w:rsidRPr="00B40E65">
              <w:rPr>
                <w:rFonts w:ascii="Calibri" w:hAnsi="Calibri"/>
                <w:color w:val="000000"/>
                <w:sz w:val="18"/>
                <w:szCs w:val="18"/>
                <w:lang w:val="en-US"/>
              </w:rPr>
              <w:t xml:space="preserve">fill 2015 </w:t>
            </w:r>
            <w:r>
              <w:rPr>
                <w:rFonts w:ascii="Calibri" w:hAnsi="Calibri"/>
                <w:color w:val="000000"/>
                <w:sz w:val="18"/>
                <w:szCs w:val="18"/>
                <w:lang w:val="en-US"/>
              </w:rPr>
              <w:t>+</w:t>
            </w:r>
            <w:r w:rsidRPr="00B40E65">
              <w:rPr>
                <w:rFonts w:ascii="Calibri" w:hAnsi="Calibri"/>
                <w:color w:val="000000"/>
                <w:sz w:val="18"/>
                <w:szCs w:val="18"/>
                <w:lang w:val="en-US"/>
              </w:rPr>
              <w:t xml:space="preserve"> 404A Refill 2017</w:t>
            </w:r>
            <w:r>
              <w:rPr>
                <w:rFonts w:ascii="Calibri" w:hAnsi="Calibri"/>
                <w:color w:val="000000"/>
                <w:sz w:val="18"/>
                <w:szCs w:val="18"/>
                <w:lang w:val="en-US"/>
              </w:rPr>
              <w:t xml:space="preserve"> (new 2013 proposal)</w:t>
            </w:r>
          </w:p>
        </w:tc>
        <w:tc>
          <w:tcPr>
            <w:tcW w:w="851"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56</w:t>
            </w:r>
          </w:p>
        </w:tc>
        <w:tc>
          <w:tcPr>
            <w:tcW w:w="709"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39</w:t>
            </w:r>
          </w:p>
        </w:tc>
        <w:tc>
          <w:tcPr>
            <w:tcW w:w="850"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38</w:t>
            </w:r>
          </w:p>
        </w:tc>
        <w:tc>
          <w:tcPr>
            <w:tcW w:w="709"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16</w:t>
            </w:r>
          </w:p>
        </w:tc>
        <w:tc>
          <w:tcPr>
            <w:tcW w:w="708"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15</w:t>
            </w:r>
          </w:p>
        </w:tc>
        <w:tc>
          <w:tcPr>
            <w:tcW w:w="708" w:type="dxa"/>
            <w:vAlign w:val="center"/>
          </w:tcPr>
          <w:p w:rsidR="00597C7C" w:rsidRPr="0028419C" w:rsidRDefault="00597C7C" w:rsidP="0083795F">
            <w:pPr>
              <w:jc w:val="center"/>
              <w:rPr>
                <w:rFonts w:ascii="Calibri" w:hAnsi="Calibri"/>
                <w:color w:val="000000"/>
                <w:sz w:val="18"/>
                <w:szCs w:val="18"/>
                <w:lang w:val="en-US"/>
              </w:rPr>
            </w:pPr>
            <w:r>
              <w:rPr>
                <w:rFonts w:ascii="Calibri" w:hAnsi="Calibri"/>
                <w:color w:val="000000"/>
                <w:sz w:val="18"/>
                <w:szCs w:val="18"/>
                <w:lang w:val="en-US"/>
              </w:rPr>
              <w:t>13</w:t>
            </w:r>
          </w:p>
        </w:tc>
        <w:tc>
          <w:tcPr>
            <w:tcW w:w="708" w:type="dxa"/>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12</w:t>
            </w:r>
          </w:p>
        </w:tc>
        <w:tc>
          <w:tcPr>
            <w:tcW w:w="850" w:type="dxa"/>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8</w:t>
            </w:r>
          </w:p>
        </w:tc>
        <w:tc>
          <w:tcPr>
            <w:tcW w:w="708"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5</w:t>
            </w:r>
          </w:p>
        </w:tc>
        <w:tc>
          <w:tcPr>
            <w:tcW w:w="709"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3</w:t>
            </w:r>
          </w:p>
        </w:tc>
      </w:tr>
      <w:tr w:rsidR="00597C7C" w:rsidRPr="0028419C" w:rsidTr="00155CEE">
        <w:trPr>
          <w:trHeight w:val="300"/>
        </w:trPr>
        <w:tc>
          <w:tcPr>
            <w:tcW w:w="2269" w:type="dxa"/>
            <w:noWrap/>
            <w:vAlign w:val="center"/>
          </w:tcPr>
          <w:p w:rsidR="00597C7C" w:rsidRPr="00B40E65" w:rsidRDefault="00597C7C" w:rsidP="0028419C">
            <w:pPr>
              <w:jc w:val="left"/>
              <w:rPr>
                <w:rFonts w:ascii="Calibri" w:hAnsi="Calibri"/>
                <w:color w:val="000000"/>
                <w:sz w:val="18"/>
                <w:szCs w:val="18"/>
                <w:lang w:val="en-US"/>
              </w:rPr>
            </w:pPr>
            <w:r>
              <w:rPr>
                <w:rFonts w:ascii="Calibri" w:hAnsi="Calibri"/>
                <w:color w:val="000000"/>
                <w:sz w:val="18"/>
                <w:szCs w:val="18"/>
                <w:lang w:val="en-US"/>
              </w:rPr>
              <w:t>2. Ban on</w:t>
            </w:r>
            <w:r w:rsidRPr="00B40E65">
              <w:rPr>
                <w:rFonts w:ascii="Calibri" w:hAnsi="Calibri"/>
                <w:color w:val="000000"/>
                <w:sz w:val="18"/>
                <w:szCs w:val="18"/>
                <w:lang w:val="en-US"/>
              </w:rPr>
              <w:t xml:space="preserve"> Refill </w:t>
            </w:r>
            <w:r>
              <w:rPr>
                <w:rFonts w:ascii="Calibri" w:hAnsi="Calibri"/>
                <w:color w:val="000000"/>
                <w:sz w:val="18"/>
                <w:szCs w:val="18"/>
                <w:lang w:val="en-US"/>
              </w:rPr>
              <w:t xml:space="preserve">of any 404A </w:t>
            </w:r>
            <w:r w:rsidRPr="00B40E65">
              <w:rPr>
                <w:rFonts w:ascii="Calibri" w:hAnsi="Calibri"/>
                <w:color w:val="000000"/>
                <w:sz w:val="18"/>
                <w:szCs w:val="18"/>
                <w:lang w:val="en-US"/>
              </w:rPr>
              <w:t>20</w:t>
            </w:r>
            <w:r>
              <w:rPr>
                <w:rFonts w:ascii="Calibri" w:hAnsi="Calibri"/>
                <w:color w:val="000000"/>
                <w:sz w:val="18"/>
                <w:szCs w:val="18"/>
                <w:lang w:val="en-US"/>
              </w:rPr>
              <w:t>20 (2012 Com Proposal)</w:t>
            </w:r>
          </w:p>
        </w:tc>
        <w:tc>
          <w:tcPr>
            <w:tcW w:w="851" w:type="dxa"/>
            <w:noWrap/>
            <w:vAlign w:val="center"/>
          </w:tcPr>
          <w:p w:rsidR="00597C7C" w:rsidRPr="0028419C" w:rsidRDefault="00597C7C" w:rsidP="00727D0B">
            <w:pPr>
              <w:jc w:val="center"/>
              <w:rPr>
                <w:rFonts w:ascii="Calibri" w:hAnsi="Calibri"/>
                <w:color w:val="000000"/>
                <w:sz w:val="18"/>
                <w:szCs w:val="18"/>
                <w:lang w:val="en-US"/>
              </w:rPr>
            </w:pPr>
            <w:r w:rsidRPr="0028419C">
              <w:rPr>
                <w:rFonts w:ascii="Calibri" w:hAnsi="Calibri"/>
                <w:color w:val="000000"/>
                <w:sz w:val="18"/>
                <w:szCs w:val="18"/>
                <w:lang w:val="en-US"/>
              </w:rPr>
              <w:t>56</w:t>
            </w:r>
          </w:p>
        </w:tc>
        <w:tc>
          <w:tcPr>
            <w:tcW w:w="709" w:type="dxa"/>
            <w:noWrap/>
            <w:vAlign w:val="center"/>
          </w:tcPr>
          <w:p w:rsidR="00597C7C" w:rsidRPr="0028419C" w:rsidRDefault="00597C7C" w:rsidP="00727D0B">
            <w:pPr>
              <w:jc w:val="center"/>
              <w:rPr>
                <w:rFonts w:ascii="Calibri" w:hAnsi="Calibri"/>
                <w:color w:val="000000"/>
                <w:sz w:val="18"/>
                <w:szCs w:val="18"/>
                <w:lang w:val="en-US"/>
              </w:rPr>
            </w:pPr>
            <w:r w:rsidRPr="0028419C">
              <w:rPr>
                <w:rFonts w:ascii="Calibri" w:hAnsi="Calibri"/>
                <w:color w:val="000000"/>
                <w:sz w:val="18"/>
                <w:szCs w:val="18"/>
                <w:lang w:val="en-US"/>
              </w:rPr>
              <w:t>52</w:t>
            </w:r>
          </w:p>
        </w:tc>
        <w:tc>
          <w:tcPr>
            <w:tcW w:w="850" w:type="dxa"/>
            <w:noWrap/>
            <w:vAlign w:val="center"/>
          </w:tcPr>
          <w:p w:rsidR="00597C7C" w:rsidRPr="0028419C" w:rsidRDefault="00597C7C" w:rsidP="00727D0B">
            <w:pPr>
              <w:jc w:val="center"/>
              <w:rPr>
                <w:rFonts w:ascii="Calibri" w:hAnsi="Calibri"/>
                <w:color w:val="000000"/>
                <w:sz w:val="18"/>
                <w:szCs w:val="18"/>
                <w:lang w:val="en-US"/>
              </w:rPr>
            </w:pPr>
            <w:r w:rsidRPr="0028419C">
              <w:rPr>
                <w:rFonts w:ascii="Calibri" w:hAnsi="Calibri"/>
                <w:color w:val="000000"/>
                <w:sz w:val="18"/>
                <w:szCs w:val="18"/>
                <w:lang w:val="en-US"/>
              </w:rPr>
              <w:t>50</w:t>
            </w:r>
          </w:p>
        </w:tc>
        <w:tc>
          <w:tcPr>
            <w:tcW w:w="709" w:type="dxa"/>
            <w:noWrap/>
            <w:vAlign w:val="center"/>
          </w:tcPr>
          <w:p w:rsidR="00597C7C" w:rsidRPr="0028419C" w:rsidRDefault="00597C7C" w:rsidP="00727D0B">
            <w:pPr>
              <w:jc w:val="center"/>
              <w:rPr>
                <w:rFonts w:ascii="Calibri" w:hAnsi="Calibri"/>
                <w:color w:val="000000"/>
                <w:sz w:val="18"/>
                <w:szCs w:val="18"/>
                <w:lang w:val="en-US"/>
              </w:rPr>
            </w:pPr>
            <w:r w:rsidRPr="0028419C">
              <w:rPr>
                <w:rFonts w:ascii="Calibri" w:hAnsi="Calibri"/>
                <w:color w:val="000000"/>
                <w:sz w:val="18"/>
                <w:szCs w:val="18"/>
                <w:lang w:val="en-US"/>
              </w:rPr>
              <w:t>48</w:t>
            </w:r>
          </w:p>
        </w:tc>
        <w:tc>
          <w:tcPr>
            <w:tcW w:w="708"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46</w:t>
            </w:r>
          </w:p>
        </w:tc>
        <w:tc>
          <w:tcPr>
            <w:tcW w:w="708" w:type="dxa"/>
            <w:vAlign w:val="center"/>
          </w:tcPr>
          <w:p w:rsidR="00597C7C" w:rsidRPr="0028419C" w:rsidRDefault="00597C7C" w:rsidP="0083795F">
            <w:pPr>
              <w:jc w:val="center"/>
              <w:rPr>
                <w:rFonts w:ascii="Calibri" w:hAnsi="Calibri"/>
                <w:color w:val="000000"/>
                <w:sz w:val="18"/>
                <w:szCs w:val="18"/>
                <w:lang w:val="en-US"/>
              </w:rPr>
            </w:pPr>
            <w:r>
              <w:rPr>
                <w:rFonts w:ascii="Calibri" w:hAnsi="Calibri"/>
                <w:color w:val="000000"/>
                <w:sz w:val="18"/>
                <w:szCs w:val="18"/>
                <w:lang w:val="en-US"/>
              </w:rPr>
              <w:t>71</w:t>
            </w:r>
          </w:p>
        </w:tc>
        <w:tc>
          <w:tcPr>
            <w:tcW w:w="708" w:type="dxa"/>
            <w:vAlign w:val="center"/>
          </w:tcPr>
          <w:p w:rsidR="00597C7C" w:rsidRPr="0028419C" w:rsidRDefault="00597C7C" w:rsidP="00784722">
            <w:pPr>
              <w:jc w:val="center"/>
              <w:rPr>
                <w:rFonts w:ascii="Calibri" w:hAnsi="Calibri"/>
                <w:color w:val="000000"/>
                <w:sz w:val="18"/>
                <w:szCs w:val="18"/>
                <w:lang w:val="en-US"/>
              </w:rPr>
            </w:pPr>
            <w:r>
              <w:rPr>
                <w:rFonts w:ascii="Calibri" w:hAnsi="Calibri"/>
                <w:color w:val="000000"/>
                <w:sz w:val="18"/>
                <w:szCs w:val="18"/>
                <w:lang w:val="en-US"/>
              </w:rPr>
              <w:t>61</w:t>
            </w:r>
          </w:p>
        </w:tc>
        <w:tc>
          <w:tcPr>
            <w:tcW w:w="850" w:type="dxa"/>
            <w:vAlign w:val="center"/>
          </w:tcPr>
          <w:p w:rsidR="00597C7C" w:rsidRPr="0028419C" w:rsidRDefault="00597C7C" w:rsidP="00784722">
            <w:pPr>
              <w:jc w:val="center"/>
              <w:rPr>
                <w:rFonts w:ascii="Calibri" w:hAnsi="Calibri"/>
                <w:color w:val="000000"/>
                <w:sz w:val="18"/>
                <w:szCs w:val="18"/>
                <w:lang w:val="en-US"/>
              </w:rPr>
            </w:pPr>
            <w:r>
              <w:rPr>
                <w:rFonts w:ascii="Calibri" w:hAnsi="Calibri"/>
                <w:color w:val="000000"/>
                <w:sz w:val="18"/>
                <w:szCs w:val="18"/>
                <w:lang w:val="en-US"/>
              </w:rPr>
              <w:t>13</w:t>
            </w:r>
          </w:p>
        </w:tc>
        <w:tc>
          <w:tcPr>
            <w:tcW w:w="708" w:type="dxa"/>
            <w:noWrap/>
            <w:vAlign w:val="center"/>
          </w:tcPr>
          <w:p w:rsidR="00597C7C" w:rsidRPr="0028419C" w:rsidRDefault="00597C7C" w:rsidP="00784722">
            <w:pPr>
              <w:jc w:val="center"/>
              <w:rPr>
                <w:rFonts w:ascii="Calibri" w:hAnsi="Calibri"/>
                <w:color w:val="000000"/>
                <w:sz w:val="18"/>
                <w:szCs w:val="18"/>
                <w:lang w:val="en-US"/>
              </w:rPr>
            </w:pPr>
            <w:r>
              <w:rPr>
                <w:rFonts w:ascii="Calibri" w:hAnsi="Calibri"/>
                <w:color w:val="000000"/>
                <w:sz w:val="18"/>
                <w:szCs w:val="18"/>
                <w:lang w:val="en-US"/>
              </w:rPr>
              <w:t>8</w:t>
            </w:r>
          </w:p>
        </w:tc>
        <w:tc>
          <w:tcPr>
            <w:tcW w:w="709" w:type="dxa"/>
            <w:noWrap/>
            <w:vAlign w:val="center"/>
          </w:tcPr>
          <w:p w:rsidR="00597C7C" w:rsidRPr="0028419C" w:rsidRDefault="00597C7C" w:rsidP="00784722">
            <w:pPr>
              <w:jc w:val="center"/>
              <w:rPr>
                <w:rFonts w:ascii="Calibri" w:hAnsi="Calibri"/>
                <w:color w:val="000000"/>
                <w:sz w:val="18"/>
                <w:szCs w:val="18"/>
                <w:lang w:val="en-US"/>
              </w:rPr>
            </w:pPr>
            <w:r>
              <w:rPr>
                <w:rFonts w:ascii="Calibri" w:hAnsi="Calibri"/>
                <w:color w:val="000000"/>
                <w:sz w:val="18"/>
                <w:szCs w:val="18"/>
                <w:lang w:val="en-US"/>
              </w:rPr>
              <w:t>5</w:t>
            </w:r>
          </w:p>
        </w:tc>
      </w:tr>
      <w:tr w:rsidR="00597C7C" w:rsidRPr="0028419C" w:rsidTr="00155CEE">
        <w:trPr>
          <w:trHeight w:val="300"/>
        </w:trPr>
        <w:tc>
          <w:tcPr>
            <w:tcW w:w="2269" w:type="dxa"/>
            <w:noWrap/>
            <w:vAlign w:val="center"/>
          </w:tcPr>
          <w:p w:rsidR="00597C7C" w:rsidRPr="00BB2F1E" w:rsidRDefault="00597C7C" w:rsidP="0028419C">
            <w:pPr>
              <w:jc w:val="left"/>
              <w:rPr>
                <w:rFonts w:ascii="Calibri" w:hAnsi="Calibri"/>
                <w:color w:val="000000"/>
                <w:sz w:val="18"/>
                <w:szCs w:val="18"/>
                <w:lang w:val="pt-PT"/>
              </w:rPr>
            </w:pPr>
            <w:r w:rsidRPr="00BB2F1E">
              <w:rPr>
                <w:rFonts w:ascii="Calibri" w:hAnsi="Calibri"/>
                <w:color w:val="000000"/>
                <w:sz w:val="18"/>
                <w:szCs w:val="18"/>
                <w:lang w:val="pt-PT"/>
              </w:rPr>
              <w:t>3. WAM Demand 404A (2011 COM WAM scenario)</w:t>
            </w:r>
          </w:p>
        </w:tc>
        <w:tc>
          <w:tcPr>
            <w:tcW w:w="851"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56</w:t>
            </w:r>
          </w:p>
        </w:tc>
        <w:tc>
          <w:tcPr>
            <w:tcW w:w="709"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52</w:t>
            </w:r>
          </w:p>
        </w:tc>
        <w:tc>
          <w:tcPr>
            <w:tcW w:w="850"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50</w:t>
            </w:r>
          </w:p>
        </w:tc>
        <w:tc>
          <w:tcPr>
            <w:tcW w:w="709"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48</w:t>
            </w:r>
          </w:p>
        </w:tc>
        <w:tc>
          <w:tcPr>
            <w:tcW w:w="708"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46</w:t>
            </w:r>
          </w:p>
        </w:tc>
        <w:tc>
          <w:tcPr>
            <w:tcW w:w="708" w:type="dxa"/>
            <w:vAlign w:val="center"/>
          </w:tcPr>
          <w:p w:rsidR="00597C7C" w:rsidRPr="0028419C" w:rsidRDefault="00597C7C" w:rsidP="00C75765">
            <w:pPr>
              <w:jc w:val="center"/>
              <w:rPr>
                <w:rFonts w:ascii="Calibri" w:hAnsi="Calibri"/>
                <w:color w:val="000000"/>
                <w:sz w:val="18"/>
                <w:szCs w:val="18"/>
                <w:lang w:val="en-US"/>
              </w:rPr>
            </w:pPr>
            <w:r w:rsidRPr="0028419C">
              <w:rPr>
                <w:rFonts w:ascii="Calibri" w:hAnsi="Calibri"/>
                <w:color w:val="000000"/>
                <w:sz w:val="18"/>
                <w:szCs w:val="18"/>
                <w:lang w:val="en-US"/>
              </w:rPr>
              <w:t>4</w:t>
            </w:r>
            <w:r>
              <w:rPr>
                <w:rFonts w:ascii="Calibri" w:hAnsi="Calibri"/>
                <w:color w:val="000000"/>
                <w:sz w:val="18"/>
                <w:szCs w:val="18"/>
                <w:lang w:val="en-US"/>
              </w:rPr>
              <w:t>0</w:t>
            </w:r>
          </w:p>
        </w:tc>
        <w:tc>
          <w:tcPr>
            <w:tcW w:w="708" w:type="dxa"/>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37</w:t>
            </w:r>
          </w:p>
        </w:tc>
        <w:tc>
          <w:tcPr>
            <w:tcW w:w="850" w:type="dxa"/>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26</w:t>
            </w:r>
          </w:p>
        </w:tc>
        <w:tc>
          <w:tcPr>
            <w:tcW w:w="708"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17</w:t>
            </w:r>
          </w:p>
        </w:tc>
        <w:tc>
          <w:tcPr>
            <w:tcW w:w="709"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11</w:t>
            </w:r>
          </w:p>
        </w:tc>
      </w:tr>
      <w:tr w:rsidR="00597C7C" w:rsidRPr="0028419C" w:rsidTr="00D05CFE">
        <w:trPr>
          <w:trHeight w:val="300"/>
        </w:trPr>
        <w:tc>
          <w:tcPr>
            <w:tcW w:w="2269" w:type="dxa"/>
            <w:noWrap/>
            <w:vAlign w:val="center"/>
          </w:tcPr>
          <w:p w:rsidR="00597C7C" w:rsidRPr="0028419C" w:rsidRDefault="00597C7C" w:rsidP="00784722">
            <w:pPr>
              <w:jc w:val="left"/>
              <w:rPr>
                <w:rFonts w:ascii="Calibri" w:hAnsi="Calibri"/>
                <w:color w:val="000000"/>
                <w:sz w:val="18"/>
                <w:szCs w:val="18"/>
                <w:lang w:val="en-US"/>
              </w:rPr>
            </w:pPr>
            <w:r w:rsidRPr="0028419C">
              <w:rPr>
                <w:rFonts w:ascii="Calibri" w:hAnsi="Calibri"/>
                <w:color w:val="000000"/>
                <w:sz w:val="18"/>
                <w:szCs w:val="18"/>
                <w:lang w:val="en-US"/>
              </w:rPr>
              <w:t>Difference</w:t>
            </w:r>
            <w:r>
              <w:rPr>
                <w:rFonts w:ascii="Calibri" w:hAnsi="Calibri"/>
                <w:color w:val="000000"/>
                <w:sz w:val="18"/>
                <w:szCs w:val="18"/>
                <w:lang w:val="en-US"/>
              </w:rPr>
              <w:t xml:space="preserve"> 1. – 3.</w:t>
            </w:r>
          </w:p>
        </w:tc>
        <w:tc>
          <w:tcPr>
            <w:tcW w:w="851"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0</w:t>
            </w:r>
          </w:p>
        </w:tc>
        <w:tc>
          <w:tcPr>
            <w:tcW w:w="709"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-12,4</w:t>
            </w:r>
          </w:p>
        </w:tc>
        <w:tc>
          <w:tcPr>
            <w:tcW w:w="850"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-12,0</w:t>
            </w:r>
          </w:p>
        </w:tc>
        <w:tc>
          <w:tcPr>
            <w:tcW w:w="709"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-32,1</w:t>
            </w:r>
          </w:p>
        </w:tc>
        <w:tc>
          <w:tcPr>
            <w:tcW w:w="708"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-30,6</w:t>
            </w:r>
          </w:p>
        </w:tc>
        <w:tc>
          <w:tcPr>
            <w:tcW w:w="708" w:type="dxa"/>
            <w:vAlign w:val="center"/>
          </w:tcPr>
          <w:p w:rsidR="00597C7C" w:rsidRPr="0028419C" w:rsidRDefault="00597C7C" w:rsidP="00597C7C">
            <w:pPr>
              <w:jc w:val="center"/>
              <w:rPr>
                <w:rFonts w:ascii="Calibri" w:hAnsi="Calibri"/>
                <w:color w:val="000000"/>
                <w:sz w:val="18"/>
                <w:szCs w:val="18"/>
                <w:lang w:val="en-US"/>
              </w:rPr>
            </w:pPr>
            <w:r w:rsidRPr="0028419C">
              <w:rPr>
                <w:rFonts w:ascii="Calibri" w:hAnsi="Calibri"/>
                <w:color w:val="000000"/>
                <w:sz w:val="18"/>
                <w:szCs w:val="18"/>
                <w:lang w:val="en-US"/>
              </w:rPr>
              <w:t>-</w:t>
            </w:r>
            <w:r>
              <w:rPr>
                <w:rFonts w:ascii="Calibri" w:hAnsi="Calibri"/>
                <w:color w:val="000000"/>
                <w:sz w:val="18"/>
                <w:szCs w:val="18"/>
                <w:lang w:val="en-US"/>
              </w:rPr>
              <w:t>27,0</w:t>
            </w:r>
          </w:p>
        </w:tc>
        <w:tc>
          <w:tcPr>
            <w:tcW w:w="708" w:type="dxa"/>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-24,6</w:t>
            </w:r>
          </w:p>
        </w:tc>
        <w:tc>
          <w:tcPr>
            <w:tcW w:w="850" w:type="dxa"/>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-18,1</w:t>
            </w:r>
          </w:p>
        </w:tc>
        <w:tc>
          <w:tcPr>
            <w:tcW w:w="708"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-11,7</w:t>
            </w:r>
          </w:p>
        </w:tc>
        <w:tc>
          <w:tcPr>
            <w:tcW w:w="709" w:type="dxa"/>
            <w:noWrap/>
            <w:vAlign w:val="center"/>
          </w:tcPr>
          <w:p w:rsidR="00597C7C" w:rsidRPr="0028419C" w:rsidRDefault="00597C7C" w:rsidP="00784722">
            <w:pPr>
              <w:jc w:val="center"/>
              <w:rPr>
                <w:rFonts w:ascii="Calibri" w:hAnsi="Calibri"/>
                <w:color w:val="000000"/>
                <w:sz w:val="18"/>
                <w:szCs w:val="18"/>
                <w:lang w:val="en-US"/>
              </w:rPr>
            </w:pPr>
            <w:r w:rsidRPr="0028419C">
              <w:rPr>
                <w:rFonts w:ascii="Calibri" w:hAnsi="Calibri"/>
                <w:color w:val="000000"/>
                <w:sz w:val="18"/>
                <w:szCs w:val="18"/>
                <w:lang w:val="en-US"/>
              </w:rPr>
              <w:t>-7,9</w:t>
            </w:r>
          </w:p>
        </w:tc>
      </w:tr>
    </w:tbl>
    <w:p w:rsidR="00B40E65" w:rsidRDefault="00B40E65" w:rsidP="00C84CB6">
      <w:pPr>
        <w:rPr>
          <w:sz w:val="20"/>
          <w:szCs w:val="20"/>
          <w:lang w:val="en-US"/>
        </w:rPr>
      </w:pPr>
    </w:p>
    <w:p w:rsidR="00B40E65" w:rsidRDefault="00784722" w:rsidP="00C84CB6">
      <w:pPr>
        <w:rPr>
          <w:sz w:val="20"/>
          <w:szCs w:val="20"/>
          <w:lang w:val="en-US"/>
        </w:rPr>
      </w:pPr>
      <w:r>
        <w:rPr>
          <w:sz w:val="20"/>
          <w:szCs w:val="20"/>
          <w:lang w:val="en-US"/>
        </w:rPr>
        <w:t>From the above table is emerges that substantial reduction in HFC demand will achieved if the new proposal (May 2013) is applied instead of the COM proposal (Nov 2012)</w:t>
      </w:r>
      <w:r w:rsidR="0028419C">
        <w:rPr>
          <w:sz w:val="20"/>
          <w:szCs w:val="20"/>
          <w:lang w:val="en-US"/>
        </w:rPr>
        <w:t>. This can be seen in the bottom line on the difference between 1. and 3.</w:t>
      </w:r>
      <w:r>
        <w:rPr>
          <w:sz w:val="20"/>
          <w:szCs w:val="20"/>
          <w:lang w:val="en-US"/>
        </w:rPr>
        <w:t xml:space="preserve"> The Ban of first fill as of 2015 will even decrease significantly the demand in the first reference year (2015) of the Phase-Down.</w:t>
      </w:r>
    </w:p>
    <w:p w:rsidR="00784722" w:rsidRDefault="00784722" w:rsidP="00C84CB6">
      <w:pPr>
        <w:rPr>
          <w:sz w:val="20"/>
          <w:szCs w:val="20"/>
          <w:lang w:val="en-US"/>
        </w:rPr>
      </w:pPr>
      <w:r>
        <w:rPr>
          <w:sz w:val="20"/>
          <w:szCs w:val="20"/>
          <w:lang w:val="en-US"/>
        </w:rPr>
        <w:lastRenderedPageBreak/>
        <w:t xml:space="preserve">Graphically the difference between the </w:t>
      </w:r>
      <w:r w:rsidR="0028419C">
        <w:rPr>
          <w:sz w:val="20"/>
          <w:szCs w:val="20"/>
          <w:lang w:val="en-US"/>
        </w:rPr>
        <w:t>new 2013 proposal and the 2012 Com proposal</w:t>
      </w:r>
      <w:r>
        <w:rPr>
          <w:sz w:val="20"/>
          <w:szCs w:val="20"/>
          <w:lang w:val="en-US"/>
        </w:rPr>
        <w:t xml:space="preserve"> is shown by comparison of the COM proposal diagram (this diagram has also been shown above) with the diagram for the new proposal, with </w:t>
      </w:r>
      <w:r w:rsidR="00827A98">
        <w:rPr>
          <w:sz w:val="20"/>
          <w:szCs w:val="20"/>
          <w:lang w:val="en-US"/>
        </w:rPr>
        <w:t>regard to</w:t>
      </w:r>
      <w:r>
        <w:rPr>
          <w:sz w:val="20"/>
          <w:szCs w:val="20"/>
          <w:lang w:val="en-US"/>
        </w:rPr>
        <w:t xml:space="preserve"> R-404A and R-404A</w:t>
      </w:r>
      <w:r w:rsidR="00827A98">
        <w:rPr>
          <w:sz w:val="20"/>
          <w:szCs w:val="20"/>
          <w:lang w:val="en-US"/>
        </w:rPr>
        <w:t xml:space="preserve">+407A/F, respectively. </w:t>
      </w:r>
    </w:p>
    <w:p w:rsidR="00E24370" w:rsidRDefault="00B40E65" w:rsidP="00C84CB6">
      <w:pPr>
        <w:rPr>
          <w:sz w:val="20"/>
          <w:szCs w:val="20"/>
          <w:lang w:val="en-US"/>
        </w:rPr>
      </w:pPr>
      <w:r w:rsidRPr="00B40E65">
        <w:rPr>
          <w:noProof/>
          <w:lang w:val="en-US" w:eastAsia="en-US"/>
        </w:rPr>
        <w:drawing>
          <wp:inline distT="0" distB="0" distL="0" distR="0">
            <wp:extent cx="5397500" cy="3159760"/>
            <wp:effectExtent l="0" t="0" r="0" b="254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7500" cy="3159760"/>
                    </a:xfrm>
                    <a:prstGeom prst="rect">
                      <a:avLst/>
                    </a:prstGeom>
                    <a:noFill/>
                    <a:ln>
                      <a:noFill/>
                    </a:ln>
                  </pic:spPr>
                </pic:pic>
              </a:graphicData>
            </a:graphic>
          </wp:inline>
        </w:drawing>
      </w:r>
    </w:p>
    <w:p w:rsidR="00E24370" w:rsidRDefault="00E24370" w:rsidP="00C84CB6">
      <w:pPr>
        <w:rPr>
          <w:sz w:val="20"/>
          <w:szCs w:val="20"/>
          <w:lang w:val="en-US"/>
        </w:rPr>
      </w:pPr>
    </w:p>
    <w:p w:rsidR="00E24370" w:rsidRDefault="00B40E65" w:rsidP="00C84CB6">
      <w:pPr>
        <w:rPr>
          <w:sz w:val="20"/>
          <w:szCs w:val="20"/>
          <w:lang w:val="en-US"/>
        </w:rPr>
      </w:pPr>
      <w:r w:rsidRPr="00B40E65">
        <w:rPr>
          <w:noProof/>
          <w:lang w:val="en-US" w:eastAsia="en-US"/>
        </w:rPr>
        <w:drawing>
          <wp:inline distT="0" distB="0" distL="0" distR="0" wp14:anchorId="7F6F62C5" wp14:editId="6F2D1607">
            <wp:extent cx="5760720" cy="3291750"/>
            <wp:effectExtent l="0" t="0" r="0" b="444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3291750"/>
                    </a:xfrm>
                    <a:prstGeom prst="rect">
                      <a:avLst/>
                    </a:prstGeom>
                    <a:noFill/>
                    <a:ln>
                      <a:noFill/>
                    </a:ln>
                  </pic:spPr>
                </pic:pic>
              </a:graphicData>
            </a:graphic>
          </wp:inline>
        </w:drawing>
      </w:r>
    </w:p>
    <w:p w:rsidR="00E24370" w:rsidRDefault="00E24370" w:rsidP="00C84CB6">
      <w:pPr>
        <w:rPr>
          <w:sz w:val="20"/>
          <w:szCs w:val="20"/>
          <w:lang w:val="en-US"/>
        </w:rPr>
      </w:pPr>
    </w:p>
    <w:p w:rsidR="00827A98" w:rsidRDefault="00827A98" w:rsidP="00C84CB6">
      <w:pPr>
        <w:rPr>
          <w:sz w:val="20"/>
          <w:szCs w:val="20"/>
          <w:lang w:val="en-US"/>
        </w:rPr>
      </w:pPr>
      <w:r>
        <w:rPr>
          <w:sz w:val="20"/>
          <w:szCs w:val="20"/>
          <w:lang w:val="en-US"/>
        </w:rPr>
        <w:t>The quantitative differences between R-404A in the COM proposal and R404A</w:t>
      </w:r>
      <w:r w:rsidR="00744818">
        <w:rPr>
          <w:sz w:val="20"/>
          <w:szCs w:val="20"/>
          <w:lang w:val="en-US"/>
        </w:rPr>
        <w:t>+R407A/F in the new proposal was</w:t>
      </w:r>
      <w:r>
        <w:rPr>
          <w:sz w:val="20"/>
          <w:szCs w:val="20"/>
          <w:lang w:val="en-US"/>
        </w:rPr>
        <w:t xml:space="preserve"> applied to the new overall HFC demand, which is shown in the next diagram in relation to the requirements from the phase-down reduction steps as per Annex V.</w:t>
      </w:r>
    </w:p>
    <w:p w:rsidR="00827A98" w:rsidRDefault="00827A98" w:rsidP="00C84CB6">
      <w:pPr>
        <w:rPr>
          <w:sz w:val="20"/>
          <w:szCs w:val="20"/>
          <w:lang w:val="en-US"/>
        </w:rPr>
      </w:pPr>
    </w:p>
    <w:p w:rsidR="00E24370" w:rsidRDefault="00D45650" w:rsidP="00C84CB6">
      <w:pPr>
        <w:rPr>
          <w:sz w:val="20"/>
          <w:szCs w:val="20"/>
          <w:lang w:val="en-US"/>
        </w:rPr>
      </w:pPr>
      <w:r w:rsidRPr="00D45650">
        <w:rPr>
          <w:noProof/>
          <w:lang w:val="en-US" w:eastAsia="en-US"/>
        </w:rPr>
        <w:lastRenderedPageBreak/>
        <w:drawing>
          <wp:inline distT="0" distB="0" distL="0" distR="0" wp14:anchorId="7BE7C2D7" wp14:editId="052A9FCE">
            <wp:extent cx="5760720" cy="3729259"/>
            <wp:effectExtent l="0" t="0" r="0" b="508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729259"/>
                    </a:xfrm>
                    <a:prstGeom prst="rect">
                      <a:avLst/>
                    </a:prstGeom>
                    <a:noFill/>
                    <a:ln>
                      <a:noFill/>
                    </a:ln>
                  </pic:spPr>
                </pic:pic>
              </a:graphicData>
            </a:graphic>
          </wp:inline>
        </w:drawing>
      </w:r>
    </w:p>
    <w:p w:rsidR="00E24370" w:rsidRDefault="00EC5688" w:rsidP="00C84CB6">
      <w:pPr>
        <w:rPr>
          <w:sz w:val="20"/>
          <w:szCs w:val="20"/>
          <w:lang w:val="en-US"/>
        </w:rPr>
      </w:pPr>
      <w:r>
        <w:rPr>
          <w:sz w:val="20"/>
          <w:szCs w:val="20"/>
          <w:lang w:val="en-US"/>
        </w:rPr>
        <w:t>This diagram should be compared with the diagram on page 3.</w:t>
      </w:r>
    </w:p>
    <w:p w:rsidR="00EC5688" w:rsidRDefault="00EC5688" w:rsidP="00C84CB6">
      <w:pPr>
        <w:rPr>
          <w:sz w:val="20"/>
          <w:szCs w:val="20"/>
          <w:lang w:val="en-US"/>
        </w:rPr>
      </w:pPr>
    </w:p>
    <w:p w:rsidR="00E24370" w:rsidRDefault="00827A98" w:rsidP="00C84CB6">
      <w:pPr>
        <w:rPr>
          <w:sz w:val="20"/>
          <w:szCs w:val="20"/>
          <w:lang w:val="en-US"/>
        </w:rPr>
      </w:pPr>
      <w:r>
        <w:rPr>
          <w:sz w:val="20"/>
          <w:szCs w:val="20"/>
          <w:lang w:val="en-US"/>
        </w:rPr>
        <w:t xml:space="preserve">Conclusion: Under the requirements of the new proposal (May 2013) the phase-down steps can easily be met. In every year from 2015 onwards, the distance between the calculated HFC demand and the Phase-Down requirements is fairly high. </w:t>
      </w:r>
    </w:p>
    <w:p w:rsidR="00827A98" w:rsidRDefault="00827A98" w:rsidP="00C84CB6">
      <w:pPr>
        <w:rPr>
          <w:sz w:val="20"/>
          <w:szCs w:val="20"/>
          <w:lang w:val="en-US"/>
        </w:rPr>
      </w:pPr>
      <w:r>
        <w:rPr>
          <w:sz w:val="20"/>
          <w:szCs w:val="20"/>
          <w:lang w:val="en-US"/>
        </w:rPr>
        <w:t xml:space="preserve">It must be noted that all these values are realistic only under the precondition that </w:t>
      </w:r>
    </w:p>
    <w:p w:rsidR="00E24370" w:rsidRDefault="00827A98" w:rsidP="00C84CB6">
      <w:pPr>
        <w:rPr>
          <w:sz w:val="20"/>
          <w:szCs w:val="20"/>
          <w:lang w:val="en-US"/>
        </w:rPr>
      </w:pPr>
      <w:r>
        <w:rPr>
          <w:sz w:val="20"/>
          <w:szCs w:val="20"/>
          <w:lang w:val="en-US"/>
        </w:rPr>
        <w:t xml:space="preserve">(1) the projected replacement of conventional HFC applications by alternative, low-GWP technologies will take place </w:t>
      </w:r>
      <w:r w:rsidR="00E4791D">
        <w:rPr>
          <w:sz w:val="20"/>
          <w:szCs w:val="20"/>
          <w:lang w:val="en-US"/>
        </w:rPr>
        <w:t xml:space="preserve">as indicated in the 2011 preparatory study" </w:t>
      </w:r>
      <w:r>
        <w:rPr>
          <w:sz w:val="20"/>
          <w:szCs w:val="20"/>
          <w:lang w:val="en-US"/>
        </w:rPr>
        <w:t>and</w:t>
      </w:r>
    </w:p>
    <w:p w:rsidR="00827A98" w:rsidRDefault="00827A98" w:rsidP="00C84CB6">
      <w:pPr>
        <w:rPr>
          <w:sz w:val="20"/>
          <w:szCs w:val="20"/>
          <w:lang w:val="en-US"/>
        </w:rPr>
      </w:pPr>
      <w:r>
        <w:rPr>
          <w:sz w:val="20"/>
          <w:szCs w:val="20"/>
          <w:lang w:val="en-US"/>
        </w:rPr>
        <w:t>(2) the requirements to bans on refill and first fill of HFCs with GWP &gt; 2500</w:t>
      </w:r>
      <w:r w:rsidR="00E4791D">
        <w:rPr>
          <w:sz w:val="20"/>
          <w:szCs w:val="20"/>
          <w:lang w:val="en-US"/>
        </w:rPr>
        <w:t>, set by the new proposal,</w:t>
      </w:r>
      <w:r>
        <w:rPr>
          <w:sz w:val="20"/>
          <w:szCs w:val="20"/>
          <w:lang w:val="en-US"/>
        </w:rPr>
        <w:t xml:space="preserve"> will be met in reality.</w:t>
      </w:r>
    </w:p>
    <w:p w:rsidR="00E24370" w:rsidRDefault="00E24370" w:rsidP="00C84CB6">
      <w:pPr>
        <w:rPr>
          <w:sz w:val="20"/>
          <w:szCs w:val="20"/>
          <w:lang w:val="en-US"/>
        </w:rPr>
      </w:pPr>
    </w:p>
    <w:p w:rsidR="00E24370" w:rsidRDefault="00E4791D" w:rsidP="00C84CB6">
      <w:pPr>
        <w:rPr>
          <w:sz w:val="20"/>
          <w:szCs w:val="20"/>
          <w:lang w:val="en-US"/>
        </w:rPr>
      </w:pPr>
      <w:r>
        <w:rPr>
          <w:sz w:val="20"/>
          <w:szCs w:val="20"/>
          <w:lang w:val="en-US"/>
        </w:rPr>
        <w:t>Frankfurt/Main, 6.5.2013</w:t>
      </w:r>
    </w:p>
    <w:p w:rsidR="00E24370" w:rsidRDefault="00E24370" w:rsidP="00C84CB6">
      <w:pPr>
        <w:rPr>
          <w:sz w:val="20"/>
          <w:szCs w:val="20"/>
          <w:lang w:val="en-US"/>
        </w:rPr>
      </w:pPr>
    </w:p>
    <w:p w:rsidR="00E24370" w:rsidRPr="00E4791D" w:rsidRDefault="00E4791D" w:rsidP="00C84CB6">
      <w:pPr>
        <w:rPr>
          <w:b/>
          <w:sz w:val="20"/>
          <w:szCs w:val="20"/>
          <w:lang w:val="en-US"/>
        </w:rPr>
      </w:pPr>
      <w:r w:rsidRPr="00E4791D">
        <w:rPr>
          <w:b/>
          <w:sz w:val="20"/>
          <w:szCs w:val="20"/>
          <w:lang w:val="en-US"/>
        </w:rPr>
        <w:t>Annex: (can be deleted, of course)</w:t>
      </w:r>
    </w:p>
    <w:p w:rsidR="00E24370" w:rsidRDefault="00E24370" w:rsidP="00C84CB6">
      <w:pPr>
        <w:rPr>
          <w:sz w:val="20"/>
          <w:szCs w:val="20"/>
          <w:lang w:val="en-US"/>
        </w:rPr>
      </w:pPr>
      <w:r>
        <w:rPr>
          <w:sz w:val="20"/>
          <w:szCs w:val="20"/>
          <w:lang w:val="en-US"/>
        </w:rPr>
        <w:t>Elements of the recent proposal:</w:t>
      </w:r>
    </w:p>
    <w:p w:rsidR="00E24370" w:rsidRDefault="00E24370" w:rsidP="00C84CB6">
      <w:pPr>
        <w:rPr>
          <w:sz w:val="20"/>
          <w:szCs w:val="20"/>
          <w:lang w:val="en-US"/>
        </w:rPr>
      </w:pPr>
    </w:p>
    <w:tbl>
      <w:tblPr>
        <w:tblW w:w="0" w:type="auto"/>
        <w:tblCellMar>
          <w:left w:w="0" w:type="dxa"/>
          <w:right w:w="0" w:type="dxa"/>
        </w:tblCellMar>
        <w:tblLook w:val="04A0" w:firstRow="1" w:lastRow="0" w:firstColumn="1" w:lastColumn="0" w:noHBand="0" w:noVBand="1"/>
      </w:tblPr>
      <w:tblGrid>
        <w:gridCol w:w="6181"/>
        <w:gridCol w:w="3107"/>
      </w:tblGrid>
      <w:tr w:rsidR="00E24370" w:rsidRPr="00862FCF" w:rsidTr="00DB33E3">
        <w:trPr>
          <w:trHeight w:val="757"/>
        </w:trPr>
        <w:tc>
          <w:tcPr>
            <w:tcW w:w="65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24370" w:rsidRPr="00C84CB6" w:rsidRDefault="00862FCF" w:rsidP="00DB33E3">
            <w:pPr>
              <w:rPr>
                <w:sz w:val="20"/>
                <w:szCs w:val="20"/>
                <w:lang w:val="en-US"/>
              </w:rPr>
            </w:pPr>
            <w:r>
              <w:rPr>
                <w:bCs/>
                <w:i/>
                <w:iCs/>
                <w:sz w:val="20"/>
                <w:szCs w:val="20"/>
                <w:lang w:val="en-US"/>
              </w:rPr>
              <w:t>10a. Stationary r</w:t>
            </w:r>
            <w:r w:rsidR="00E24370" w:rsidRPr="00C84CB6">
              <w:rPr>
                <w:bCs/>
                <w:i/>
                <w:iCs/>
                <w:sz w:val="20"/>
                <w:szCs w:val="20"/>
                <w:lang w:val="en-US"/>
              </w:rPr>
              <w:t>efrigeration equipment that contains fluorinated greenhouse gases with GWP of 2500 or more, except equipment intended for use at operating temperatures of below -50°C  </w:t>
            </w:r>
          </w:p>
        </w:tc>
        <w:tc>
          <w:tcPr>
            <w:tcW w:w="3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24370" w:rsidRPr="00862FCF" w:rsidRDefault="00E24370" w:rsidP="00DB33E3">
            <w:pPr>
              <w:rPr>
                <w:sz w:val="20"/>
                <w:szCs w:val="20"/>
                <w:lang w:val="en-GB"/>
              </w:rPr>
            </w:pPr>
            <w:r w:rsidRPr="00862FCF">
              <w:rPr>
                <w:bCs/>
                <w:i/>
                <w:iCs/>
                <w:sz w:val="20"/>
                <w:szCs w:val="20"/>
                <w:lang w:val="en-GB"/>
              </w:rPr>
              <w:t>1 January 2015</w:t>
            </w:r>
          </w:p>
        </w:tc>
      </w:tr>
    </w:tbl>
    <w:p w:rsidR="00E24370" w:rsidRPr="00C84CB6" w:rsidRDefault="00E24370" w:rsidP="00C84CB6">
      <w:pPr>
        <w:rPr>
          <w:sz w:val="20"/>
          <w:szCs w:val="20"/>
          <w:lang w:val="en-US"/>
        </w:rPr>
      </w:pPr>
    </w:p>
    <w:p w:rsidR="00C84CB6" w:rsidRPr="00C84CB6" w:rsidRDefault="00C84CB6" w:rsidP="00C84CB6">
      <w:pPr>
        <w:pBdr>
          <w:top w:val="single" w:sz="4" w:space="1" w:color="auto"/>
          <w:left w:val="single" w:sz="4" w:space="4" w:color="auto"/>
          <w:bottom w:val="single" w:sz="4" w:space="1" w:color="auto"/>
          <w:right w:val="single" w:sz="4" w:space="4" w:color="auto"/>
        </w:pBdr>
        <w:rPr>
          <w:bCs/>
          <w:i/>
          <w:iCs/>
          <w:sz w:val="20"/>
          <w:szCs w:val="20"/>
          <w:u w:val="single"/>
          <w:lang w:val="en-US"/>
        </w:rPr>
      </w:pPr>
      <w:r w:rsidRPr="00C84CB6">
        <w:rPr>
          <w:sz w:val="20"/>
          <w:szCs w:val="20"/>
          <w:lang w:val="en-US"/>
        </w:rPr>
        <w:t xml:space="preserve">11.3 The use of fluorinated greenhouse gases, or of mixtures that contain fluorinated greenhouse gases, with a global warming potential of </w:t>
      </w:r>
      <w:r w:rsidRPr="00C84CB6">
        <w:rPr>
          <w:b/>
          <w:bCs/>
          <w:i/>
          <w:iCs/>
          <w:sz w:val="20"/>
          <w:szCs w:val="20"/>
          <w:lang w:val="en-US"/>
        </w:rPr>
        <w:t>2500</w:t>
      </w:r>
      <w:r w:rsidRPr="00C84CB6">
        <w:rPr>
          <w:sz w:val="20"/>
          <w:szCs w:val="20"/>
          <w:lang w:val="en-US"/>
        </w:rPr>
        <w:t xml:space="preserve"> or more, to service or maintain refrigeration equipment with a charge size equivalent to </w:t>
      </w:r>
      <w:r w:rsidRPr="00C84CB6">
        <w:rPr>
          <w:bCs/>
          <w:i/>
          <w:iCs/>
          <w:sz w:val="20"/>
          <w:szCs w:val="20"/>
          <w:lang w:val="en-US"/>
        </w:rPr>
        <w:t>50</w:t>
      </w:r>
      <w:r w:rsidRPr="00C84CB6">
        <w:rPr>
          <w:sz w:val="20"/>
          <w:szCs w:val="20"/>
          <w:lang w:val="en-US"/>
        </w:rPr>
        <w:t xml:space="preserve"> tonnes of CO</w:t>
      </w:r>
      <w:r w:rsidRPr="00C84CB6">
        <w:rPr>
          <w:sz w:val="20"/>
          <w:szCs w:val="20"/>
          <w:vertAlign w:val="subscript"/>
          <w:lang w:val="en-US"/>
        </w:rPr>
        <w:t>2</w:t>
      </w:r>
      <w:r w:rsidRPr="00C84CB6">
        <w:rPr>
          <w:sz w:val="20"/>
          <w:szCs w:val="20"/>
          <w:lang w:val="en-US"/>
        </w:rPr>
        <w:t xml:space="preserve"> or more, shall be prohibited from 1 January </w:t>
      </w:r>
      <w:r w:rsidRPr="00C84CB6">
        <w:rPr>
          <w:bCs/>
          <w:i/>
          <w:iCs/>
          <w:sz w:val="20"/>
          <w:szCs w:val="20"/>
          <w:u w:val="single"/>
          <w:lang w:val="en-US"/>
        </w:rPr>
        <w:t xml:space="preserve">2017. </w:t>
      </w:r>
    </w:p>
    <w:p w:rsidR="00C84CB6" w:rsidRPr="00C84CB6" w:rsidRDefault="00C84CB6" w:rsidP="00C84CB6">
      <w:pPr>
        <w:pBdr>
          <w:top w:val="single" w:sz="4" w:space="1" w:color="auto"/>
          <w:left w:val="single" w:sz="4" w:space="4" w:color="auto"/>
          <w:bottom w:val="single" w:sz="4" w:space="1" w:color="auto"/>
          <w:right w:val="single" w:sz="4" w:space="4" w:color="auto"/>
        </w:pBdr>
        <w:rPr>
          <w:sz w:val="20"/>
          <w:szCs w:val="20"/>
          <w:lang w:val="en-US"/>
        </w:rPr>
      </w:pPr>
      <w:r w:rsidRPr="00C84CB6">
        <w:rPr>
          <w:bCs/>
          <w:i/>
          <w:iCs/>
          <w:sz w:val="20"/>
          <w:szCs w:val="20"/>
          <w:u w:val="single"/>
          <w:lang w:val="en-US"/>
        </w:rPr>
        <w:lastRenderedPageBreak/>
        <w:t>This provision shall not apply to equipment intended for applications designed to cool products to temperatures below -50°C or equipment converted to use fluorinated greenhouse gases with a global warming potential above 2500 to meet commitments under the Ozone Depleting Substances Regulation (Regulation (EC) No 1005/2009)</w:t>
      </w:r>
      <w:r w:rsidRPr="00C84CB6">
        <w:rPr>
          <w:sz w:val="20"/>
          <w:szCs w:val="20"/>
          <w:u w:val="single"/>
          <w:lang w:val="en-US"/>
        </w:rPr>
        <w:t>.</w:t>
      </w:r>
    </w:p>
    <w:p w:rsidR="00C84CB6" w:rsidRPr="00C84CB6" w:rsidRDefault="00C84CB6" w:rsidP="00C84CB6">
      <w:pPr>
        <w:pBdr>
          <w:top w:val="single" w:sz="4" w:space="1" w:color="auto"/>
          <w:left w:val="single" w:sz="4" w:space="4" w:color="auto"/>
          <w:bottom w:val="single" w:sz="4" w:space="1" w:color="auto"/>
          <w:right w:val="single" w:sz="4" w:space="4" w:color="auto"/>
        </w:pBdr>
        <w:rPr>
          <w:sz w:val="20"/>
          <w:szCs w:val="20"/>
          <w:lang w:val="en-US"/>
        </w:rPr>
      </w:pPr>
      <w:r w:rsidRPr="00C84CB6">
        <w:rPr>
          <w:bCs/>
          <w:sz w:val="20"/>
          <w:szCs w:val="20"/>
          <w:lang w:val="en-US"/>
        </w:rPr>
        <w:t> </w:t>
      </w:r>
      <w:r w:rsidRPr="00C84CB6">
        <w:rPr>
          <w:bCs/>
          <w:i/>
          <w:iCs/>
          <w:sz w:val="20"/>
          <w:szCs w:val="20"/>
          <w:u w:val="single"/>
          <w:lang w:val="en-GB"/>
        </w:rPr>
        <w:t>Until 1 January 2022, this provision shall not apply to reclaimed fluorinated greenhouse gases with</w:t>
      </w:r>
      <w:r w:rsidRPr="00C84CB6">
        <w:rPr>
          <w:sz w:val="20"/>
          <w:szCs w:val="20"/>
          <w:u w:val="single"/>
          <w:lang w:val="en-GB"/>
        </w:rPr>
        <w:t xml:space="preserve"> </w:t>
      </w:r>
      <w:r w:rsidRPr="00C84CB6">
        <w:rPr>
          <w:bCs/>
          <w:i/>
          <w:iCs/>
          <w:sz w:val="20"/>
          <w:szCs w:val="20"/>
          <w:u w:val="single"/>
          <w:lang w:val="en-GB"/>
        </w:rPr>
        <w:t>a</w:t>
      </w:r>
      <w:r w:rsidRPr="00C84CB6">
        <w:rPr>
          <w:sz w:val="20"/>
          <w:szCs w:val="20"/>
          <w:u w:val="single"/>
          <w:lang w:val="en-GB"/>
        </w:rPr>
        <w:t xml:space="preserve"> </w:t>
      </w:r>
      <w:r w:rsidRPr="00C84CB6">
        <w:rPr>
          <w:bCs/>
          <w:i/>
          <w:iCs/>
          <w:sz w:val="20"/>
          <w:szCs w:val="20"/>
          <w:u w:val="single"/>
          <w:lang w:val="en-GB"/>
        </w:rPr>
        <w:t>global warming potential of 2500 or more used for the maintenance or servicing of existing refrigeration equipment, provided that they have been labelled in accordance with Article 10(5).</w:t>
      </w:r>
    </w:p>
    <w:p w:rsidR="00C84CB6" w:rsidRDefault="00C84CB6" w:rsidP="00C84CB6">
      <w:pPr>
        <w:pBdr>
          <w:top w:val="single" w:sz="4" w:space="1" w:color="auto"/>
          <w:left w:val="single" w:sz="4" w:space="4" w:color="auto"/>
          <w:bottom w:val="single" w:sz="4" w:space="1" w:color="auto"/>
          <w:right w:val="single" w:sz="4" w:space="4" w:color="auto"/>
        </w:pBdr>
        <w:rPr>
          <w:sz w:val="20"/>
          <w:szCs w:val="20"/>
          <w:lang w:val="en-GB"/>
        </w:rPr>
      </w:pPr>
      <w:r w:rsidRPr="00C84CB6">
        <w:rPr>
          <w:bCs/>
          <w:i/>
          <w:iCs/>
          <w:sz w:val="20"/>
          <w:szCs w:val="20"/>
          <w:u w:val="single"/>
          <w:lang w:val="en-GB"/>
        </w:rPr>
        <w:t>Until 1 January 2022 this provision shall not apply to recycled fluorinated greenhouse gases with a global warming potential of 2500 or more used for the maintenance or servicing of existing refrigeration equipment provided they have been recovered from such equipment. Such recycled gases may only be used by the undertaking which carried out their recovery as part of maintenance or servicing or the undertaking for which the recovery was carried out as part of maintenance or servicing.</w:t>
      </w:r>
      <w:r w:rsidRPr="00C84CB6">
        <w:rPr>
          <w:sz w:val="20"/>
          <w:szCs w:val="20"/>
          <w:lang w:val="en-GB"/>
        </w:rPr>
        <w:t xml:space="preserve"> </w:t>
      </w:r>
    </w:p>
    <w:p w:rsidR="00C84CB6" w:rsidRPr="00C84CB6" w:rsidRDefault="00C84CB6" w:rsidP="00C84CB6">
      <w:pPr>
        <w:rPr>
          <w:sz w:val="20"/>
          <w:szCs w:val="20"/>
          <w:lang w:val="en-US"/>
        </w:rPr>
      </w:pPr>
    </w:p>
    <w:p w:rsidR="008F7BF1" w:rsidRDefault="008F7BF1" w:rsidP="00C7116D">
      <w:pPr>
        <w:rPr>
          <w:lang w:val="en-US"/>
        </w:rPr>
      </w:pPr>
    </w:p>
    <w:sectPr w:rsidR="008F7BF1">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867" w:rsidRDefault="00B87867" w:rsidP="004975EB">
      <w:pPr>
        <w:spacing w:after="0" w:line="240" w:lineRule="auto"/>
      </w:pPr>
      <w:r>
        <w:separator/>
      </w:r>
    </w:p>
  </w:endnote>
  <w:endnote w:type="continuationSeparator" w:id="0">
    <w:p w:rsidR="00B87867" w:rsidRDefault="00B87867" w:rsidP="00497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867" w:rsidRDefault="00B87867" w:rsidP="004975EB">
      <w:pPr>
        <w:spacing w:after="0" w:line="240" w:lineRule="auto"/>
      </w:pPr>
      <w:r>
        <w:separator/>
      </w:r>
    </w:p>
  </w:footnote>
  <w:footnote w:type="continuationSeparator" w:id="0">
    <w:p w:rsidR="00B87867" w:rsidRDefault="00B87867" w:rsidP="004975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9310630"/>
      <w:docPartObj>
        <w:docPartGallery w:val="Page Numbers (Top of Page)"/>
        <w:docPartUnique/>
      </w:docPartObj>
    </w:sdtPr>
    <w:sdtEndPr/>
    <w:sdtContent>
      <w:p w:rsidR="00DB33E3" w:rsidRDefault="00DB33E3" w:rsidP="004975EB">
        <w:pPr>
          <w:pStyle w:val="Header"/>
          <w:jc w:val="right"/>
        </w:pPr>
        <w:r>
          <w:fldChar w:fldCharType="begin"/>
        </w:r>
        <w:r>
          <w:instrText>PAGE   \* MERGEFORMAT</w:instrText>
        </w:r>
        <w:r>
          <w:fldChar w:fldCharType="separate"/>
        </w:r>
        <w:r w:rsidR="00F05E87">
          <w:rPr>
            <w:noProof/>
          </w:rPr>
          <w:t>7</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16D"/>
    <w:rsid w:val="0004627E"/>
    <w:rsid w:val="000530B2"/>
    <w:rsid w:val="000810F1"/>
    <w:rsid w:val="001B2D9B"/>
    <w:rsid w:val="001C3A42"/>
    <w:rsid w:val="001E04E3"/>
    <w:rsid w:val="0028419C"/>
    <w:rsid w:val="002A3927"/>
    <w:rsid w:val="003248CF"/>
    <w:rsid w:val="004975EB"/>
    <w:rsid w:val="00533B8F"/>
    <w:rsid w:val="00597C7C"/>
    <w:rsid w:val="00655B9D"/>
    <w:rsid w:val="006B48CC"/>
    <w:rsid w:val="007134FB"/>
    <w:rsid w:val="00744818"/>
    <w:rsid w:val="00784722"/>
    <w:rsid w:val="007A11C0"/>
    <w:rsid w:val="00827A98"/>
    <w:rsid w:val="008556A5"/>
    <w:rsid w:val="00862FCF"/>
    <w:rsid w:val="00894849"/>
    <w:rsid w:val="008F7BF1"/>
    <w:rsid w:val="009A2A4F"/>
    <w:rsid w:val="00A754CD"/>
    <w:rsid w:val="00AF35C0"/>
    <w:rsid w:val="00B40E65"/>
    <w:rsid w:val="00B87867"/>
    <w:rsid w:val="00BA6906"/>
    <w:rsid w:val="00BB2F1E"/>
    <w:rsid w:val="00BC07E0"/>
    <w:rsid w:val="00C7116D"/>
    <w:rsid w:val="00C75765"/>
    <w:rsid w:val="00C84CB6"/>
    <w:rsid w:val="00CE7201"/>
    <w:rsid w:val="00D104FA"/>
    <w:rsid w:val="00D45650"/>
    <w:rsid w:val="00D87D2D"/>
    <w:rsid w:val="00D92DB5"/>
    <w:rsid w:val="00DB33E3"/>
    <w:rsid w:val="00E24370"/>
    <w:rsid w:val="00E4791D"/>
    <w:rsid w:val="00EC5688"/>
    <w:rsid w:val="00F05E87"/>
    <w:rsid w:val="00F160C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16D"/>
    <w:pPr>
      <w:spacing w:after="120"/>
      <w:jc w:val="both"/>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62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27E"/>
    <w:rPr>
      <w:rFonts w:ascii="Tahoma" w:hAnsi="Tahoma" w:cs="Tahoma"/>
      <w:sz w:val="16"/>
      <w:szCs w:val="16"/>
    </w:rPr>
  </w:style>
  <w:style w:type="paragraph" w:styleId="Header">
    <w:name w:val="header"/>
    <w:basedOn w:val="Normal"/>
    <w:link w:val="HeaderChar"/>
    <w:uiPriority w:val="99"/>
    <w:unhideWhenUsed/>
    <w:rsid w:val="004975EB"/>
    <w:pPr>
      <w:tabs>
        <w:tab w:val="center" w:pos="4536"/>
        <w:tab w:val="right" w:pos="9072"/>
      </w:tabs>
      <w:spacing w:after="0" w:line="240" w:lineRule="auto"/>
    </w:pPr>
  </w:style>
  <w:style w:type="character" w:customStyle="1" w:styleId="HeaderChar">
    <w:name w:val="Header Char"/>
    <w:basedOn w:val="DefaultParagraphFont"/>
    <w:link w:val="Header"/>
    <w:uiPriority w:val="99"/>
    <w:rsid w:val="004975EB"/>
    <w:rPr>
      <w:rFonts w:ascii="Arial" w:hAnsi="Arial"/>
    </w:rPr>
  </w:style>
  <w:style w:type="paragraph" w:styleId="Footer">
    <w:name w:val="footer"/>
    <w:basedOn w:val="Normal"/>
    <w:link w:val="FooterChar"/>
    <w:uiPriority w:val="99"/>
    <w:unhideWhenUsed/>
    <w:rsid w:val="004975EB"/>
    <w:pPr>
      <w:tabs>
        <w:tab w:val="center" w:pos="4536"/>
        <w:tab w:val="right" w:pos="9072"/>
      </w:tabs>
      <w:spacing w:after="0" w:line="240" w:lineRule="auto"/>
    </w:pPr>
  </w:style>
  <w:style w:type="character" w:customStyle="1" w:styleId="FooterChar">
    <w:name w:val="Footer Char"/>
    <w:basedOn w:val="DefaultParagraphFont"/>
    <w:link w:val="Footer"/>
    <w:uiPriority w:val="99"/>
    <w:rsid w:val="004975EB"/>
    <w:rPr>
      <w:rFonts w:ascii="Arial" w:hAnsi="Arial"/>
    </w:rPr>
  </w:style>
  <w:style w:type="table" w:styleId="TableGrid">
    <w:name w:val="Table Grid"/>
    <w:basedOn w:val="TableNormal"/>
    <w:uiPriority w:val="59"/>
    <w:rsid w:val="00B40E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16D"/>
    <w:pPr>
      <w:spacing w:after="120"/>
      <w:jc w:val="both"/>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62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27E"/>
    <w:rPr>
      <w:rFonts w:ascii="Tahoma" w:hAnsi="Tahoma" w:cs="Tahoma"/>
      <w:sz w:val="16"/>
      <w:szCs w:val="16"/>
    </w:rPr>
  </w:style>
  <w:style w:type="paragraph" w:styleId="Header">
    <w:name w:val="header"/>
    <w:basedOn w:val="Normal"/>
    <w:link w:val="HeaderChar"/>
    <w:uiPriority w:val="99"/>
    <w:unhideWhenUsed/>
    <w:rsid w:val="004975EB"/>
    <w:pPr>
      <w:tabs>
        <w:tab w:val="center" w:pos="4536"/>
        <w:tab w:val="right" w:pos="9072"/>
      </w:tabs>
      <w:spacing w:after="0" w:line="240" w:lineRule="auto"/>
    </w:pPr>
  </w:style>
  <w:style w:type="character" w:customStyle="1" w:styleId="HeaderChar">
    <w:name w:val="Header Char"/>
    <w:basedOn w:val="DefaultParagraphFont"/>
    <w:link w:val="Header"/>
    <w:uiPriority w:val="99"/>
    <w:rsid w:val="004975EB"/>
    <w:rPr>
      <w:rFonts w:ascii="Arial" w:hAnsi="Arial"/>
    </w:rPr>
  </w:style>
  <w:style w:type="paragraph" w:styleId="Footer">
    <w:name w:val="footer"/>
    <w:basedOn w:val="Normal"/>
    <w:link w:val="FooterChar"/>
    <w:uiPriority w:val="99"/>
    <w:unhideWhenUsed/>
    <w:rsid w:val="004975EB"/>
    <w:pPr>
      <w:tabs>
        <w:tab w:val="center" w:pos="4536"/>
        <w:tab w:val="right" w:pos="9072"/>
      </w:tabs>
      <w:spacing w:after="0" w:line="240" w:lineRule="auto"/>
    </w:pPr>
  </w:style>
  <w:style w:type="character" w:customStyle="1" w:styleId="FooterChar">
    <w:name w:val="Footer Char"/>
    <w:basedOn w:val="DefaultParagraphFont"/>
    <w:link w:val="Footer"/>
    <w:uiPriority w:val="99"/>
    <w:rsid w:val="004975EB"/>
    <w:rPr>
      <w:rFonts w:ascii="Arial" w:hAnsi="Arial"/>
    </w:rPr>
  </w:style>
  <w:style w:type="table" w:styleId="TableGrid">
    <w:name w:val="Table Grid"/>
    <w:basedOn w:val="TableNormal"/>
    <w:uiPriority w:val="59"/>
    <w:rsid w:val="00B40E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89788">
      <w:bodyDiv w:val="1"/>
      <w:marLeft w:val="0"/>
      <w:marRight w:val="0"/>
      <w:marTop w:val="0"/>
      <w:marBottom w:val="0"/>
      <w:divBdr>
        <w:top w:val="none" w:sz="0" w:space="0" w:color="auto"/>
        <w:left w:val="none" w:sz="0" w:space="0" w:color="auto"/>
        <w:bottom w:val="none" w:sz="0" w:space="0" w:color="auto"/>
        <w:right w:val="none" w:sz="0" w:space="0" w:color="auto"/>
      </w:divBdr>
    </w:div>
    <w:div w:id="725682167">
      <w:bodyDiv w:val="1"/>
      <w:marLeft w:val="0"/>
      <w:marRight w:val="0"/>
      <w:marTop w:val="0"/>
      <w:marBottom w:val="0"/>
      <w:divBdr>
        <w:top w:val="none" w:sz="0" w:space="0" w:color="auto"/>
        <w:left w:val="none" w:sz="0" w:space="0" w:color="auto"/>
        <w:bottom w:val="none" w:sz="0" w:space="0" w:color="auto"/>
        <w:right w:val="none" w:sz="0" w:space="0" w:color="auto"/>
      </w:divBdr>
    </w:div>
    <w:div w:id="917324424">
      <w:bodyDiv w:val="1"/>
      <w:marLeft w:val="0"/>
      <w:marRight w:val="0"/>
      <w:marTop w:val="0"/>
      <w:marBottom w:val="0"/>
      <w:divBdr>
        <w:top w:val="none" w:sz="0" w:space="0" w:color="auto"/>
        <w:left w:val="none" w:sz="0" w:space="0" w:color="auto"/>
        <w:bottom w:val="none" w:sz="0" w:space="0" w:color="auto"/>
        <w:right w:val="none" w:sz="0" w:space="0" w:color="auto"/>
      </w:divBdr>
    </w:div>
    <w:div w:id="197482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1901</Words>
  <Characters>10838</Characters>
  <Application>Microsoft Office Word</Application>
  <DocSecurity>4</DocSecurity>
  <Lines>90</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Parliament</Company>
  <LinksUpToDate>false</LinksUpToDate>
  <CharactersWithSpaces>12714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zaguiler</cp:lastModifiedBy>
  <cp:revision>2</cp:revision>
  <dcterms:created xsi:type="dcterms:W3CDTF">2014-04-30T15:03:00Z</dcterms:created>
  <dcterms:modified xsi:type="dcterms:W3CDTF">2014-04-30T15:03:00Z</dcterms:modified>
</cp:coreProperties>
</file>