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06433" w14:textId="326AD50B" w:rsidR="00F1174C" w:rsidRDefault="00F1174C" w:rsidP="00F1174C">
      <w:pPr>
        <w:jc w:val="right"/>
        <w:rPr>
          <w:rFonts w:cstheme="minorHAnsi"/>
        </w:rPr>
      </w:pPr>
      <w:r>
        <w:rPr>
          <w:rFonts w:cstheme="minorHAnsi"/>
        </w:rPr>
        <w:t>September 23, 2021</w:t>
      </w:r>
    </w:p>
    <w:p w14:paraId="7912DE6E" w14:textId="2A5CD8A8" w:rsidR="002F5F27" w:rsidRDefault="00F1174C" w:rsidP="002F5F27">
      <w:pPr>
        <w:rPr>
          <w:rFonts w:cstheme="minorHAnsi"/>
        </w:rPr>
      </w:pPr>
      <w:r>
        <w:rPr>
          <w:rFonts w:cstheme="minorHAnsi"/>
        </w:rPr>
        <w:t>To: California Air Resources Board</w:t>
      </w:r>
    </w:p>
    <w:p w14:paraId="7E17FC67" w14:textId="50911903" w:rsidR="00F1174C" w:rsidRDefault="00F1174C" w:rsidP="002F5F27">
      <w:pPr>
        <w:rPr>
          <w:rFonts w:cstheme="minorHAnsi"/>
        </w:rPr>
      </w:pPr>
      <w:r>
        <w:rPr>
          <w:rFonts w:cstheme="minorHAnsi"/>
        </w:rPr>
        <w:t>From: Daniel Chandler, PhD</w:t>
      </w:r>
    </w:p>
    <w:p w14:paraId="697970B0" w14:textId="702EC6EE" w:rsidR="000341FC" w:rsidRDefault="00F1315F" w:rsidP="002F5F27">
      <w:pPr>
        <w:rPr>
          <w:rFonts w:cstheme="minorHAnsi"/>
        </w:rPr>
      </w:pPr>
      <w:r>
        <w:rPr>
          <w:rFonts w:cstheme="minorHAnsi"/>
        </w:rPr>
        <w:t>436 Old Wagon Road, Trinidad CA</w:t>
      </w:r>
    </w:p>
    <w:p w14:paraId="4D928B7A" w14:textId="73D58F65" w:rsidR="00F1315F" w:rsidRDefault="00F1315F" w:rsidP="002F5F27">
      <w:pPr>
        <w:rPr>
          <w:rFonts w:cstheme="minorHAnsi"/>
        </w:rPr>
      </w:pPr>
      <w:r>
        <w:rPr>
          <w:rFonts w:cstheme="minorHAnsi"/>
        </w:rPr>
        <w:t>Individual submission. Phone 707 677 3359; email: dwchandl@gmail.com</w:t>
      </w:r>
    </w:p>
    <w:p w14:paraId="44694AAE" w14:textId="77777777" w:rsidR="002F5F27" w:rsidRDefault="002F5F27" w:rsidP="002F5F27">
      <w:pPr>
        <w:rPr>
          <w:rFonts w:cstheme="minorHAnsi"/>
        </w:rPr>
      </w:pPr>
    </w:p>
    <w:p w14:paraId="3FCF5BF2" w14:textId="3AE6D43F" w:rsidR="002F5F27" w:rsidRPr="002F5F27" w:rsidRDefault="00C23922" w:rsidP="002F5F27">
      <w:pPr>
        <w:rPr>
          <w:rFonts w:eastAsia="Times New Roman" w:cstheme="minorHAnsi"/>
        </w:rPr>
      </w:pPr>
      <w:r w:rsidRPr="002F5F27">
        <w:rPr>
          <w:rFonts w:cstheme="minorHAnsi"/>
        </w:rPr>
        <w:t>Comments</w:t>
      </w:r>
      <w:r w:rsidR="002F5F27" w:rsidRPr="002F5F27">
        <w:rPr>
          <w:rFonts w:cstheme="minorHAnsi"/>
        </w:rPr>
        <w:t xml:space="preserve"> on </w:t>
      </w:r>
      <w:r w:rsidR="002F5F27" w:rsidRPr="002F5F27">
        <w:rPr>
          <w:rFonts w:eastAsia="Times New Roman" w:cstheme="minorHAnsi"/>
          <w:color w:val="000000"/>
        </w:rPr>
        <w:t>21-9-5: Public Hearing to Consider Proposed Amendments to the Airborne Toxic Control Measure for In-Use Diesel-Fueled Transport Refrigeration Units (TRU) and TRU Generator Sets, and Facilities Where TRUs Operate.</w:t>
      </w:r>
    </w:p>
    <w:p w14:paraId="1C096314" w14:textId="2F2ABD00" w:rsidR="00877107" w:rsidRPr="002F5F27" w:rsidRDefault="00877107" w:rsidP="00137B83">
      <w:pPr>
        <w:ind w:left="720" w:hanging="720"/>
        <w:rPr>
          <w:rFonts w:cstheme="minorHAnsi"/>
        </w:rPr>
      </w:pPr>
    </w:p>
    <w:p w14:paraId="15A16E76" w14:textId="11915A27" w:rsidR="00877107" w:rsidRPr="002F5F27" w:rsidRDefault="00001396" w:rsidP="00137B83">
      <w:pPr>
        <w:ind w:left="720" w:hanging="720"/>
        <w:rPr>
          <w:rFonts w:cstheme="minorHAnsi"/>
        </w:rPr>
      </w:pPr>
      <w:r w:rsidRPr="002F5F27">
        <w:rPr>
          <w:rFonts w:cstheme="minorHAnsi"/>
        </w:rPr>
        <w:t>1</w:t>
      </w:r>
      <w:r w:rsidR="00877107" w:rsidRPr="002F5F27">
        <w:rPr>
          <w:rFonts w:cstheme="minorHAnsi"/>
        </w:rPr>
        <w:t>)</w:t>
      </w:r>
      <w:r w:rsidR="00877107" w:rsidRPr="002F5F27">
        <w:rPr>
          <w:rFonts w:cstheme="minorHAnsi"/>
        </w:rPr>
        <w:tab/>
        <w:t xml:space="preserve">Recent scientific findings have underlined the necessity of </w:t>
      </w:r>
      <w:r w:rsidR="003154B0" w:rsidRPr="002F5F27">
        <w:rPr>
          <w:rFonts w:cstheme="minorHAnsi"/>
        </w:rPr>
        <w:t xml:space="preserve">quickly and </w:t>
      </w:r>
      <w:r w:rsidR="00877107" w:rsidRPr="002F5F27">
        <w:rPr>
          <w:rFonts w:cstheme="minorHAnsi"/>
        </w:rPr>
        <w:t>drastically reducing high GWP refrigerants.</w:t>
      </w:r>
      <w:r w:rsidR="00C44A67">
        <w:rPr>
          <w:rStyle w:val="FootnoteReference"/>
          <w:rFonts w:cstheme="minorHAnsi"/>
        </w:rPr>
        <w:footnoteReference w:id="1"/>
      </w:r>
      <w:r w:rsidR="00877107" w:rsidRPr="002F5F27">
        <w:rPr>
          <w:rFonts w:cstheme="minorHAnsi"/>
        </w:rPr>
        <w:t xml:space="preserve">  This is the ideal opportunity to do that. </w:t>
      </w:r>
    </w:p>
    <w:p w14:paraId="094F07C1" w14:textId="37E9378D" w:rsidR="00E10581" w:rsidRPr="002F5F27" w:rsidRDefault="00E10581">
      <w:pPr>
        <w:rPr>
          <w:rFonts w:cstheme="minorHAnsi"/>
        </w:rPr>
      </w:pPr>
    </w:p>
    <w:p w14:paraId="1D4AB648" w14:textId="4074075E" w:rsidR="00001396" w:rsidRPr="002F5F27" w:rsidRDefault="00001396" w:rsidP="00001396">
      <w:pPr>
        <w:ind w:left="720" w:hanging="720"/>
        <w:rPr>
          <w:rFonts w:cstheme="minorHAnsi"/>
        </w:rPr>
      </w:pPr>
      <w:r w:rsidRPr="002F5F27">
        <w:rPr>
          <w:rFonts w:cstheme="minorHAnsi"/>
        </w:rPr>
        <w:t>2)</w:t>
      </w:r>
      <w:r w:rsidRPr="002F5F27">
        <w:rPr>
          <w:rFonts w:cstheme="minorHAnsi"/>
        </w:rPr>
        <w:tab/>
        <w:t xml:space="preserve"> CA has to bear in mind that it is a model for the rest of the US states and many other countries. So far on refrigerants, we have come up short. The so called “lower GWP” refrigerants still have 1500 to 2200 more GWP than Carbon Dioxide.</w:t>
      </w:r>
      <w:r w:rsidR="00107DE7">
        <w:rPr>
          <w:rFonts w:cstheme="minorHAnsi"/>
        </w:rPr>
        <w:t xml:space="preserve"> </w:t>
      </w:r>
      <w:r w:rsidRPr="002F5F27">
        <w:rPr>
          <w:rFonts w:cstheme="minorHAnsi"/>
        </w:rPr>
        <w:t>This is a chance to move the dial significantly with no risks</w:t>
      </w:r>
      <w:r w:rsidR="00107DE7">
        <w:rPr>
          <w:rFonts w:cstheme="minorHAnsi"/>
        </w:rPr>
        <w:t xml:space="preserve"> or costs</w:t>
      </w:r>
      <w:r w:rsidRPr="002F5F27">
        <w:rPr>
          <w:rFonts w:cstheme="minorHAnsi"/>
        </w:rPr>
        <w:t>.</w:t>
      </w:r>
    </w:p>
    <w:p w14:paraId="0904FE28" w14:textId="77777777" w:rsidR="00E10581" w:rsidRPr="002F5F27" w:rsidRDefault="00E10581">
      <w:pPr>
        <w:rPr>
          <w:rFonts w:cstheme="minorHAnsi"/>
        </w:rPr>
      </w:pPr>
    </w:p>
    <w:p w14:paraId="5CF361F0" w14:textId="35740F9D" w:rsidR="002A1EEB" w:rsidRPr="002F5F27" w:rsidRDefault="00001396" w:rsidP="00315F81">
      <w:pPr>
        <w:ind w:left="720" w:hanging="720"/>
        <w:rPr>
          <w:rFonts w:cstheme="minorHAnsi"/>
        </w:rPr>
      </w:pPr>
      <w:r w:rsidRPr="002F5F27">
        <w:rPr>
          <w:rFonts w:cstheme="minorHAnsi"/>
        </w:rPr>
        <w:t>3)</w:t>
      </w:r>
      <w:r w:rsidRPr="002F5F27">
        <w:rPr>
          <w:rFonts w:cstheme="minorHAnsi"/>
        </w:rPr>
        <w:tab/>
      </w:r>
      <w:r w:rsidR="002A1EEB" w:rsidRPr="002F5F27">
        <w:rPr>
          <w:rFonts w:cstheme="minorHAnsi"/>
        </w:rPr>
        <w:t>Cryogenic refrigeration has a long history, is widely used in Europe and should be the only option for the new rule making.</w:t>
      </w:r>
      <w:r w:rsidR="00105615" w:rsidRPr="002F5F27">
        <w:rPr>
          <w:rFonts w:cstheme="minorHAnsi"/>
        </w:rPr>
        <w:t xml:space="preserve"> </w:t>
      </w:r>
      <w:r w:rsidR="002A1EEB" w:rsidRPr="002F5F27">
        <w:rPr>
          <w:rFonts w:cstheme="minorHAnsi"/>
        </w:rPr>
        <w:t xml:space="preserve"> In 2016 CARB was</w:t>
      </w:r>
      <w:r w:rsidR="002A1EEB" w:rsidRPr="002F5F27">
        <w:rPr>
          <w:rFonts w:cstheme="minorHAnsi"/>
        </w:rPr>
        <w:t xml:space="preserve"> already</w:t>
      </w:r>
      <w:r w:rsidR="002A1EEB" w:rsidRPr="002F5F27">
        <w:rPr>
          <w:rFonts w:cstheme="minorHAnsi"/>
        </w:rPr>
        <w:t xml:space="preserve"> promoting cryogenic refrigeration</w:t>
      </w:r>
      <w:r w:rsidR="006F7CC9">
        <w:rPr>
          <w:rFonts w:cstheme="minorHAnsi"/>
        </w:rPr>
        <w:t xml:space="preserve"> for TRUs</w:t>
      </w:r>
      <w:r w:rsidR="002A1EEB" w:rsidRPr="002F5F27">
        <w:rPr>
          <w:rFonts w:cstheme="minorHAnsi"/>
        </w:rPr>
        <w:t xml:space="preserve"> in a </w:t>
      </w:r>
      <w:r w:rsidR="00315F81">
        <w:rPr>
          <w:rFonts w:cstheme="minorHAnsi"/>
        </w:rPr>
        <w:t xml:space="preserve">presentation that is still available on the web: </w:t>
      </w:r>
      <w:r w:rsidR="00315F81" w:rsidRPr="00315F81">
        <w:rPr>
          <w:rFonts w:cstheme="minorHAnsi"/>
        </w:rPr>
        <w:t>https://ww2.arb.ca.gov/sites/default/files/classic/cc/cold-storage/documents/clean_tru_technology_webinar_slides_handout.pdf</w:t>
      </w:r>
      <w:r w:rsidR="002A1EEB" w:rsidRPr="002F5F27">
        <w:rPr>
          <w:rFonts w:cstheme="minorHAnsi"/>
        </w:rPr>
        <w:t xml:space="preserve"> </w:t>
      </w:r>
    </w:p>
    <w:p w14:paraId="00011BF8" w14:textId="77777777" w:rsidR="002A1EEB" w:rsidRPr="002F5F27" w:rsidRDefault="002A1EEB" w:rsidP="002A1EEB">
      <w:pPr>
        <w:ind w:left="1440" w:hanging="720"/>
        <w:rPr>
          <w:rFonts w:cstheme="minorHAnsi"/>
        </w:rPr>
      </w:pPr>
    </w:p>
    <w:p w14:paraId="000697BA" w14:textId="14997272" w:rsidR="002A1EEB" w:rsidRDefault="000341FC" w:rsidP="000341FC">
      <w:pPr>
        <w:ind w:left="720" w:hanging="720"/>
        <w:rPr>
          <w:rFonts w:eastAsia="Times New Roman" w:cstheme="minorHAnsi"/>
          <w:color w:val="222222"/>
          <w:shd w:val="clear" w:color="auto" w:fill="FFFFFF"/>
        </w:rPr>
      </w:pPr>
      <w:r>
        <w:rPr>
          <w:rFonts w:cstheme="minorHAnsi"/>
        </w:rPr>
        <w:t>4)</w:t>
      </w:r>
      <w:r w:rsidR="002A1EEB" w:rsidRPr="002F5F27">
        <w:rPr>
          <w:rFonts w:cstheme="minorHAnsi"/>
        </w:rPr>
        <w:tab/>
        <w:t>European use of cryogenic refrigeration</w:t>
      </w:r>
      <w:r w:rsidR="002A1EEB" w:rsidRPr="002F5F27">
        <w:rPr>
          <w:rFonts w:cstheme="minorHAnsi"/>
        </w:rPr>
        <w:t xml:space="preserve"> (liquid nitrogen or CO2)</w:t>
      </w:r>
      <w:r w:rsidR="002A1EEB" w:rsidRPr="002F5F27">
        <w:rPr>
          <w:rFonts w:cstheme="minorHAnsi"/>
        </w:rPr>
        <w:t xml:space="preserve"> in TRUs is widespread, and a rule requiring them would mean immediate expansion of the US market. At the time of the 2016 CARB webinar, models by CryoTech and ThermoKind were already available.</w:t>
      </w:r>
      <w:r w:rsidR="00105615" w:rsidRPr="002F5F27">
        <w:rPr>
          <w:rFonts w:cstheme="minorHAnsi"/>
        </w:rPr>
        <w:t xml:space="preserve"> </w:t>
      </w:r>
      <w:r w:rsidR="00105615" w:rsidRPr="002F5F27">
        <w:rPr>
          <w:rFonts w:cstheme="minorHAnsi"/>
        </w:rPr>
        <w:t>You heard in the hearing from Tom Keller, a representative</w:t>
      </w:r>
      <w:r w:rsidR="006F7CC9">
        <w:rPr>
          <w:rFonts w:cstheme="minorHAnsi"/>
        </w:rPr>
        <w:t xml:space="preserve"> of</w:t>
      </w:r>
      <w:r w:rsidR="00105615" w:rsidRPr="002F5F27">
        <w:rPr>
          <w:rFonts w:cstheme="minorHAnsi"/>
        </w:rPr>
        <w:t xml:space="preserve"> </w:t>
      </w:r>
      <w:r>
        <w:rPr>
          <w:rFonts w:cstheme="minorHAnsi"/>
        </w:rPr>
        <w:t>cryogenic technology</w:t>
      </w:r>
      <w:r w:rsidR="00105615" w:rsidRPr="002F5F27">
        <w:rPr>
          <w:rFonts w:cstheme="minorHAnsi"/>
        </w:rPr>
        <w:t xml:space="preserve">, that his company is ready to go. </w:t>
      </w:r>
      <w:r w:rsidR="002A1EEB" w:rsidRPr="002F5F27">
        <w:rPr>
          <w:rFonts w:cstheme="minorHAnsi"/>
        </w:rPr>
        <w:t xml:space="preserve">Cryogenic units have several advantages: </w:t>
      </w:r>
      <w:r w:rsidR="002A1EEB" w:rsidRPr="002F5F27">
        <w:rPr>
          <w:rFonts w:cstheme="minorHAnsi"/>
        </w:rPr>
        <w:t>They are quiet and emit no odors</w:t>
      </w:r>
      <w:r w:rsidR="002A1EEB" w:rsidRPr="002F5F27">
        <w:rPr>
          <w:rFonts w:cstheme="minorHAnsi"/>
        </w:rPr>
        <w:t xml:space="preserve">; </w:t>
      </w:r>
      <w:r w:rsidR="00105615" w:rsidRPr="002F5F27">
        <w:rPr>
          <w:rFonts w:cstheme="minorHAnsi"/>
        </w:rPr>
        <w:t>t</w:t>
      </w:r>
      <w:r w:rsidR="002A1EEB" w:rsidRPr="002F5F27">
        <w:rPr>
          <w:rFonts w:eastAsia="Times New Roman" w:cstheme="minorHAnsi"/>
          <w:color w:val="222222"/>
          <w:shd w:val="clear" w:color="auto" w:fill="FFFFFF"/>
        </w:rPr>
        <w:t>hey are more efficient at maintaining temperatures over time in a closed container</w:t>
      </w:r>
      <w:r w:rsidR="00105615" w:rsidRPr="002F5F27">
        <w:rPr>
          <w:rFonts w:eastAsia="Times New Roman" w:cstheme="minorHAnsi"/>
          <w:color w:val="222222"/>
          <w:shd w:val="clear" w:color="auto" w:fill="FFFFFF"/>
        </w:rPr>
        <w:t>; t</w:t>
      </w:r>
      <w:r w:rsidR="002A1EEB" w:rsidRPr="002F5F27">
        <w:rPr>
          <w:rFonts w:eastAsia="Times New Roman" w:cstheme="minorHAnsi"/>
          <w:color w:val="222222"/>
          <w:shd w:val="clear" w:color="auto" w:fill="FFFFFF"/>
        </w:rPr>
        <w:t>hey have a lower cost to operate</w:t>
      </w:r>
      <w:r w:rsidR="00105615" w:rsidRPr="002F5F27">
        <w:rPr>
          <w:rFonts w:eastAsia="Times New Roman" w:cstheme="minorHAnsi"/>
          <w:color w:val="222222"/>
          <w:shd w:val="clear" w:color="auto" w:fill="FFFFFF"/>
        </w:rPr>
        <w:t xml:space="preserve">; </w:t>
      </w:r>
      <w:r w:rsidR="002A1EEB" w:rsidRPr="002F5F27">
        <w:rPr>
          <w:rFonts w:eastAsia="Times New Roman" w:cstheme="minorHAnsi"/>
          <w:color w:val="222222"/>
          <w:shd w:val="clear" w:color="auto" w:fill="FFFFFF"/>
        </w:rPr>
        <w:t xml:space="preserve"> and the drastic reduction in moving parts means little wear and tear to the system.</w:t>
      </w:r>
    </w:p>
    <w:p w14:paraId="15CE489F" w14:textId="25C4BF33" w:rsidR="000341FC" w:rsidRDefault="000341FC" w:rsidP="000341FC">
      <w:pPr>
        <w:ind w:left="720" w:hanging="720"/>
        <w:rPr>
          <w:rFonts w:eastAsia="Times New Roman" w:cstheme="minorHAnsi"/>
          <w:color w:val="222222"/>
          <w:shd w:val="clear" w:color="auto" w:fill="FFFFFF"/>
        </w:rPr>
      </w:pPr>
    </w:p>
    <w:p w14:paraId="07E7CD4A" w14:textId="33E76EC4" w:rsidR="000341FC" w:rsidRPr="002F5F27" w:rsidRDefault="000341FC" w:rsidP="000341FC">
      <w:pPr>
        <w:ind w:left="720" w:hanging="720"/>
        <w:rPr>
          <w:rFonts w:eastAsia="Times New Roman" w:cstheme="minorHAnsi"/>
        </w:rPr>
      </w:pPr>
      <w:r>
        <w:rPr>
          <w:rFonts w:eastAsia="Times New Roman" w:cstheme="minorHAnsi"/>
          <w:color w:val="222222"/>
          <w:shd w:val="clear" w:color="auto" w:fill="FFFFFF"/>
        </w:rPr>
        <w:t>Please remove the option to use 2200 GWP refrigerants.</w:t>
      </w:r>
    </w:p>
    <w:p w14:paraId="17F76F53" w14:textId="77777777" w:rsidR="002A1EEB" w:rsidRPr="002F5F27" w:rsidRDefault="002A1EEB" w:rsidP="002A1EEB">
      <w:pPr>
        <w:ind w:left="1440" w:hanging="720"/>
        <w:rPr>
          <w:rFonts w:eastAsia="Times New Roman" w:cstheme="minorHAnsi"/>
        </w:rPr>
      </w:pPr>
    </w:p>
    <w:p w14:paraId="6E4C50F0" w14:textId="0A7671D6" w:rsidR="00243A78" w:rsidRPr="002F5F27" w:rsidRDefault="00243A78">
      <w:pPr>
        <w:rPr>
          <w:rFonts w:cstheme="minorHAnsi"/>
        </w:rPr>
      </w:pPr>
    </w:p>
    <w:p w14:paraId="58501C2F" w14:textId="77777777" w:rsidR="002F5F27" w:rsidRPr="002F5F27" w:rsidRDefault="002F5F27">
      <w:pPr>
        <w:rPr>
          <w:rFonts w:cstheme="minorHAnsi"/>
        </w:rPr>
      </w:pPr>
    </w:p>
    <w:sectPr w:rsidR="002F5F27" w:rsidRPr="002F5F27" w:rsidSect="002D579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D3FC2" w14:textId="77777777" w:rsidR="0048014C" w:rsidRDefault="0048014C" w:rsidP="00C44A67">
      <w:r>
        <w:separator/>
      </w:r>
    </w:p>
  </w:endnote>
  <w:endnote w:type="continuationSeparator" w:id="0">
    <w:p w14:paraId="79F17F4D" w14:textId="77777777" w:rsidR="0048014C" w:rsidRDefault="0048014C" w:rsidP="00C44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82498" w14:textId="77777777" w:rsidR="0048014C" w:rsidRDefault="0048014C" w:rsidP="00C44A67">
      <w:r>
        <w:separator/>
      </w:r>
    </w:p>
  </w:footnote>
  <w:footnote w:type="continuationSeparator" w:id="0">
    <w:p w14:paraId="38F2295B" w14:textId="77777777" w:rsidR="0048014C" w:rsidRDefault="0048014C" w:rsidP="00C44A67">
      <w:r>
        <w:continuationSeparator/>
      </w:r>
    </w:p>
  </w:footnote>
  <w:footnote w:id="1">
    <w:p w14:paraId="103C4CC8" w14:textId="04B775F8" w:rsidR="00C44A67" w:rsidRDefault="00C44A67">
      <w:pPr>
        <w:pStyle w:val="FootnoteText"/>
      </w:pPr>
      <w:r>
        <w:rPr>
          <w:rStyle w:val="FootnoteReference"/>
        </w:rPr>
        <w:footnoteRef/>
      </w:r>
      <w:r>
        <w:t xml:space="preserve"> </w:t>
      </w:r>
      <w:r w:rsidR="00107DE7" w:rsidRPr="00BE3302">
        <w:rPr>
          <w:rFonts w:cstheme="minorHAnsi"/>
          <w:b/>
          <w:bCs/>
          <w:i/>
          <w:iCs/>
          <w:color w:val="000000"/>
        </w:rPr>
        <w:t xml:space="preserve"> </w:t>
      </w:r>
      <w:hyperlink r:id="rId1" w:history="1">
        <w:r w:rsidR="00107DE7" w:rsidRPr="00107DE7">
          <w:rPr>
            <w:rFonts w:cstheme="minorHAnsi"/>
            <w:i/>
            <w:iCs/>
            <w:color w:val="000000"/>
          </w:rPr>
          <w:t>Daniel M Kammen</w:t>
        </w:r>
      </w:hyperlink>
      <w:r w:rsidR="00107DE7" w:rsidRPr="00107DE7">
        <w:rPr>
          <w:rFonts w:cstheme="minorHAnsi"/>
          <w:i/>
          <w:iCs/>
          <w:color w:val="000000"/>
        </w:rPr>
        <w:t>, </w:t>
      </w:r>
      <w:hyperlink r:id="rId2" w:history="1">
        <w:r w:rsidR="00107DE7" w:rsidRPr="00107DE7">
          <w:rPr>
            <w:rFonts w:cstheme="minorHAnsi"/>
            <w:i/>
            <w:iCs/>
            <w:color w:val="000000"/>
          </w:rPr>
          <w:t>Teenie Matlock</w:t>
        </w:r>
      </w:hyperlink>
      <w:r w:rsidR="00107DE7" w:rsidRPr="00107DE7">
        <w:rPr>
          <w:rFonts w:cstheme="minorHAnsi"/>
          <w:i/>
          <w:iCs/>
          <w:color w:val="000000"/>
        </w:rPr>
        <w:t>, </w:t>
      </w:r>
      <w:hyperlink r:id="rId3" w:history="1">
        <w:r w:rsidR="00107DE7" w:rsidRPr="00107DE7">
          <w:rPr>
            <w:rFonts w:cstheme="minorHAnsi"/>
            <w:i/>
            <w:iCs/>
            <w:color w:val="000000"/>
          </w:rPr>
          <w:t>Manuel Pastor</w:t>
        </w:r>
      </w:hyperlink>
      <w:r w:rsidR="00107DE7" w:rsidRPr="00107DE7">
        <w:rPr>
          <w:rFonts w:cstheme="minorHAnsi"/>
          <w:i/>
          <w:iCs/>
          <w:color w:val="000000"/>
        </w:rPr>
        <w:t>, </w:t>
      </w:r>
      <w:hyperlink r:id="rId4" w:history="1">
        <w:r w:rsidR="00107DE7" w:rsidRPr="00107DE7">
          <w:rPr>
            <w:rFonts w:cstheme="minorHAnsi"/>
            <w:i/>
            <w:iCs/>
            <w:color w:val="000000"/>
          </w:rPr>
          <w:t>David Pellow</w:t>
        </w:r>
      </w:hyperlink>
      <w:r w:rsidR="00107DE7" w:rsidRPr="00107DE7">
        <w:rPr>
          <w:rFonts w:cstheme="minorHAnsi"/>
          <w:i/>
          <w:iCs/>
          <w:color w:val="000000"/>
        </w:rPr>
        <w:t>, </w:t>
      </w:r>
      <w:hyperlink r:id="rId5" w:history="1">
        <w:r w:rsidR="00107DE7" w:rsidRPr="00107DE7">
          <w:rPr>
            <w:rFonts w:cstheme="minorHAnsi"/>
            <w:i/>
            <w:iCs/>
            <w:color w:val="000000"/>
          </w:rPr>
          <w:t>Veerabhadran Ramanathan</w:t>
        </w:r>
      </w:hyperlink>
      <w:r w:rsidR="00107DE7" w:rsidRPr="00107DE7">
        <w:rPr>
          <w:rFonts w:cstheme="minorHAnsi"/>
          <w:i/>
          <w:iCs/>
          <w:color w:val="000000"/>
        </w:rPr>
        <w:t>, </w:t>
      </w:r>
      <w:hyperlink r:id="rId6" w:history="1">
        <w:r w:rsidR="00107DE7" w:rsidRPr="00107DE7">
          <w:rPr>
            <w:rFonts w:cstheme="minorHAnsi"/>
            <w:i/>
            <w:iCs/>
            <w:color w:val="000000"/>
          </w:rPr>
          <w:t>Tom Steyer</w:t>
        </w:r>
      </w:hyperlink>
      <w:r w:rsidR="00107DE7" w:rsidRPr="00107DE7">
        <w:rPr>
          <w:rFonts w:cstheme="minorHAnsi"/>
          <w:i/>
          <w:iCs/>
          <w:color w:val="000000"/>
        </w:rPr>
        <w:t>, </w:t>
      </w:r>
      <w:hyperlink r:id="rId7" w:history="1">
        <w:r w:rsidR="00107DE7" w:rsidRPr="00107DE7">
          <w:rPr>
            <w:rFonts w:cstheme="minorHAnsi"/>
            <w:i/>
            <w:iCs/>
            <w:color w:val="000000"/>
          </w:rPr>
          <w:t>Leah Stokes</w:t>
        </w:r>
      </w:hyperlink>
      <w:r w:rsidR="00107DE7" w:rsidRPr="00107DE7">
        <w:rPr>
          <w:rFonts w:cstheme="minorHAnsi"/>
          <w:i/>
          <w:iCs/>
          <w:color w:val="000000"/>
        </w:rPr>
        <w:t>, </w:t>
      </w:r>
      <w:hyperlink r:id="rId8" w:history="1">
        <w:r w:rsidR="00107DE7" w:rsidRPr="00107DE7">
          <w:rPr>
            <w:rFonts w:cstheme="minorHAnsi"/>
            <w:i/>
            <w:iCs/>
            <w:color w:val="000000"/>
          </w:rPr>
          <w:t>Feliz Ventura</w:t>
        </w:r>
      </w:hyperlink>
      <w:r w:rsidR="00107DE7" w:rsidRPr="00107DE7">
        <w:rPr>
          <w:rFonts w:cstheme="minorHAnsi"/>
          <w:i/>
          <w:iCs/>
          <w:color w:val="000000"/>
        </w:rPr>
        <w:t>,  Accelerating the timeline for climate action in California, March 2021,  </w:t>
      </w:r>
      <w:hyperlink r:id="rId9" w:history="1">
        <w:r w:rsidR="00107DE7" w:rsidRPr="00107DE7">
          <w:rPr>
            <w:rFonts w:cstheme="minorHAnsi"/>
            <w:i/>
            <w:iCs/>
            <w:color w:val="000000"/>
          </w:rPr>
          <w:t>https://arxiv.org/abs/2103.07801</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922"/>
    <w:rsid w:val="00001396"/>
    <w:rsid w:val="000329AB"/>
    <w:rsid w:val="000341FC"/>
    <w:rsid w:val="00105615"/>
    <w:rsid w:val="00107DE7"/>
    <w:rsid w:val="00137B83"/>
    <w:rsid w:val="00243A78"/>
    <w:rsid w:val="002A1EEB"/>
    <w:rsid w:val="002D5799"/>
    <w:rsid w:val="002F5F27"/>
    <w:rsid w:val="003154B0"/>
    <w:rsid w:val="00315F81"/>
    <w:rsid w:val="00353E98"/>
    <w:rsid w:val="003F230B"/>
    <w:rsid w:val="0048014C"/>
    <w:rsid w:val="00502CB8"/>
    <w:rsid w:val="005133C7"/>
    <w:rsid w:val="006F7CC9"/>
    <w:rsid w:val="00856FDC"/>
    <w:rsid w:val="00877107"/>
    <w:rsid w:val="00BE1D0C"/>
    <w:rsid w:val="00C23922"/>
    <w:rsid w:val="00C44A67"/>
    <w:rsid w:val="00DD60F1"/>
    <w:rsid w:val="00E10581"/>
    <w:rsid w:val="00F1174C"/>
    <w:rsid w:val="00F13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4F6942B"/>
  <w15:chartTrackingRefBased/>
  <w15:docId w15:val="{C4327524-CC20-C945-ACB1-53F5CCD91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37B83"/>
  </w:style>
  <w:style w:type="paragraph" w:styleId="FootnoteText">
    <w:name w:val="footnote text"/>
    <w:basedOn w:val="Normal"/>
    <w:link w:val="FootnoteTextChar"/>
    <w:uiPriority w:val="99"/>
    <w:semiHidden/>
    <w:unhideWhenUsed/>
    <w:rsid w:val="00C44A67"/>
    <w:rPr>
      <w:sz w:val="20"/>
      <w:szCs w:val="20"/>
    </w:rPr>
  </w:style>
  <w:style w:type="character" w:customStyle="1" w:styleId="FootnoteTextChar">
    <w:name w:val="Footnote Text Char"/>
    <w:basedOn w:val="DefaultParagraphFont"/>
    <w:link w:val="FootnoteText"/>
    <w:uiPriority w:val="99"/>
    <w:semiHidden/>
    <w:rsid w:val="00C44A67"/>
    <w:rPr>
      <w:sz w:val="20"/>
      <w:szCs w:val="20"/>
    </w:rPr>
  </w:style>
  <w:style w:type="character" w:styleId="FootnoteReference">
    <w:name w:val="footnote reference"/>
    <w:basedOn w:val="DefaultParagraphFont"/>
    <w:uiPriority w:val="99"/>
    <w:semiHidden/>
    <w:unhideWhenUsed/>
    <w:rsid w:val="00C44A6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449123">
      <w:bodyDiv w:val="1"/>
      <w:marLeft w:val="0"/>
      <w:marRight w:val="0"/>
      <w:marTop w:val="0"/>
      <w:marBottom w:val="0"/>
      <w:divBdr>
        <w:top w:val="none" w:sz="0" w:space="0" w:color="auto"/>
        <w:left w:val="none" w:sz="0" w:space="0" w:color="auto"/>
        <w:bottom w:val="none" w:sz="0" w:space="0" w:color="auto"/>
        <w:right w:val="none" w:sz="0" w:space="0" w:color="auto"/>
      </w:divBdr>
    </w:div>
    <w:div w:id="794837274">
      <w:bodyDiv w:val="1"/>
      <w:marLeft w:val="0"/>
      <w:marRight w:val="0"/>
      <w:marTop w:val="0"/>
      <w:marBottom w:val="0"/>
      <w:divBdr>
        <w:top w:val="none" w:sz="0" w:space="0" w:color="auto"/>
        <w:left w:val="none" w:sz="0" w:space="0" w:color="auto"/>
        <w:bottom w:val="none" w:sz="0" w:space="0" w:color="auto"/>
        <w:right w:val="none" w:sz="0" w:space="0" w:color="auto"/>
      </w:divBdr>
    </w:div>
    <w:div w:id="141750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s://arxiv.org/search/eess?searchtype=author&amp;query=Ventura%2C+F" TargetMode="External"/><Relationship Id="rId3" Type="http://schemas.openxmlformats.org/officeDocument/2006/relationships/hyperlink" Target="https://arxiv.org/search/eess?searchtype=author&amp;query=Pastor%2C+M" TargetMode="External"/><Relationship Id="rId7" Type="http://schemas.openxmlformats.org/officeDocument/2006/relationships/hyperlink" Target="https://arxiv.org/search/eess?searchtype=author&amp;query=Stokes%2C+L" TargetMode="External"/><Relationship Id="rId2" Type="http://schemas.openxmlformats.org/officeDocument/2006/relationships/hyperlink" Target="https://arxiv.org/search/eess?searchtype=author&amp;query=Matlock%2C+T" TargetMode="External"/><Relationship Id="rId1" Type="http://schemas.openxmlformats.org/officeDocument/2006/relationships/hyperlink" Target="https://arxiv.org/search/eess?searchtype=author&amp;query=Kammen%2C+D+M" TargetMode="External"/><Relationship Id="rId6" Type="http://schemas.openxmlformats.org/officeDocument/2006/relationships/hyperlink" Target="https://arxiv.org/search/eess?searchtype=author&amp;query=Steyer%2C+T" TargetMode="External"/><Relationship Id="rId5" Type="http://schemas.openxmlformats.org/officeDocument/2006/relationships/hyperlink" Target="https://arxiv.org/search/eess?searchtype=author&amp;query=Ramanathan%2C+V" TargetMode="External"/><Relationship Id="rId4" Type="http://schemas.openxmlformats.org/officeDocument/2006/relationships/hyperlink" Target="https://arxiv.org/search/eess?searchtype=author&amp;query=Pellow%2C+D" TargetMode="External"/><Relationship Id="rId9" Type="http://schemas.openxmlformats.org/officeDocument/2006/relationships/hyperlink" Target="https://arxiv.org/abs/2103.078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Chandler</dc:creator>
  <cp:keywords/>
  <dc:description/>
  <cp:lastModifiedBy>Dan Chandler</cp:lastModifiedBy>
  <cp:revision>2</cp:revision>
  <cp:lastPrinted>2021-09-23T19:15:00Z</cp:lastPrinted>
  <dcterms:created xsi:type="dcterms:W3CDTF">2021-09-23T20:51:00Z</dcterms:created>
  <dcterms:modified xsi:type="dcterms:W3CDTF">2021-09-23T20:51:00Z</dcterms:modified>
</cp:coreProperties>
</file>