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71CF11" w14:textId="7AF56230" w:rsidR="00BD15FC" w:rsidRPr="00A45447" w:rsidRDefault="00A45447" w:rsidP="00A45447">
      <w:pPr>
        <w:ind w:left="6480"/>
        <w:rPr>
          <w:sz w:val="22"/>
        </w:rPr>
      </w:pPr>
      <w:r w:rsidRPr="00A45447">
        <w:rPr>
          <w:sz w:val="22"/>
        </w:rPr>
        <w:t xml:space="preserve">James Ford </w:t>
      </w:r>
    </w:p>
    <w:p w14:paraId="3FCCD692" w14:textId="30506C5E" w:rsidR="00A45447" w:rsidRPr="00A45447" w:rsidRDefault="00A45447" w:rsidP="00A45447">
      <w:pPr>
        <w:ind w:left="6480"/>
        <w:rPr>
          <w:sz w:val="22"/>
        </w:rPr>
      </w:pPr>
      <w:r w:rsidRPr="00A45447">
        <w:rPr>
          <w:sz w:val="22"/>
        </w:rPr>
        <w:t>Project Director</w:t>
      </w:r>
    </w:p>
    <w:p w14:paraId="185A1703" w14:textId="77777777" w:rsidR="00A45447" w:rsidRPr="00A45447" w:rsidRDefault="00A45447" w:rsidP="00A45447">
      <w:pPr>
        <w:ind w:left="6480"/>
        <w:rPr>
          <w:sz w:val="22"/>
        </w:rPr>
      </w:pPr>
      <w:r w:rsidRPr="00A45447">
        <w:rPr>
          <w:sz w:val="22"/>
        </w:rPr>
        <w:t xml:space="preserve">Climate for Ideas </w:t>
      </w:r>
    </w:p>
    <w:p w14:paraId="14414C6D" w14:textId="77777777" w:rsidR="00A45447" w:rsidRPr="00A45447" w:rsidRDefault="00A45447" w:rsidP="00A45447">
      <w:pPr>
        <w:ind w:left="6480"/>
        <w:rPr>
          <w:sz w:val="22"/>
        </w:rPr>
      </w:pPr>
      <w:r w:rsidRPr="00A45447">
        <w:rPr>
          <w:sz w:val="22"/>
        </w:rPr>
        <w:t xml:space="preserve">Berkeley, California </w:t>
      </w:r>
    </w:p>
    <w:p w14:paraId="00CF5CDF" w14:textId="1C378F26" w:rsidR="00A45447" w:rsidRDefault="00A45447" w:rsidP="00A45447">
      <w:pPr>
        <w:spacing w:line="360" w:lineRule="auto"/>
      </w:pPr>
      <w:r>
        <w:tab/>
      </w:r>
    </w:p>
    <w:p w14:paraId="24218AA1" w14:textId="77777777" w:rsidR="00BD15FC" w:rsidRPr="00A45447" w:rsidRDefault="00224014" w:rsidP="00A45447">
      <w:pPr>
        <w:spacing w:line="360" w:lineRule="auto"/>
        <w:ind w:left="6480"/>
        <w:rPr>
          <w:sz w:val="22"/>
        </w:rPr>
      </w:pPr>
      <w:r w:rsidRPr="00A45447">
        <w:rPr>
          <w:sz w:val="22"/>
        </w:rPr>
        <w:t xml:space="preserve">October 30, 2015 </w:t>
      </w:r>
    </w:p>
    <w:p w14:paraId="35D018F5" w14:textId="77777777" w:rsidR="00224014" w:rsidRDefault="00224014" w:rsidP="00BD15FC">
      <w:pPr>
        <w:spacing w:line="360" w:lineRule="auto"/>
      </w:pPr>
    </w:p>
    <w:p w14:paraId="1F7031C0" w14:textId="77777777" w:rsidR="00B33D09" w:rsidRPr="00B04651" w:rsidRDefault="00BD15FC" w:rsidP="00BD15FC">
      <w:pPr>
        <w:spacing w:line="360" w:lineRule="auto"/>
        <w:rPr>
          <w:sz w:val="22"/>
        </w:rPr>
      </w:pPr>
      <w:r w:rsidRPr="00B04651">
        <w:rPr>
          <w:sz w:val="22"/>
        </w:rPr>
        <w:t xml:space="preserve">Dear California Air Resources Board, </w:t>
      </w:r>
    </w:p>
    <w:p w14:paraId="2E31501E" w14:textId="77777777" w:rsidR="00BD15FC" w:rsidRPr="00B04651" w:rsidRDefault="00BD15FC" w:rsidP="00BD15FC">
      <w:pPr>
        <w:spacing w:line="360" w:lineRule="auto"/>
        <w:rPr>
          <w:sz w:val="22"/>
        </w:rPr>
      </w:pPr>
    </w:p>
    <w:p w14:paraId="34DB5FAC" w14:textId="77777777" w:rsidR="005346D1" w:rsidRPr="00B04651" w:rsidRDefault="00BD15FC" w:rsidP="00BD15FC">
      <w:pPr>
        <w:spacing w:line="360" w:lineRule="auto"/>
        <w:rPr>
          <w:sz w:val="22"/>
        </w:rPr>
      </w:pPr>
      <w:r w:rsidRPr="00B04651">
        <w:rPr>
          <w:sz w:val="22"/>
        </w:rPr>
        <w:t xml:space="preserve">Please accept these comments regarding the </w:t>
      </w:r>
      <w:r w:rsidR="00224014" w:rsidRPr="00B04651">
        <w:rPr>
          <w:sz w:val="22"/>
        </w:rPr>
        <w:t>State of California’s strategic planning regarding Short-Live Climate Pollutants (SLCP)</w:t>
      </w:r>
      <w:r w:rsidRPr="00B04651">
        <w:rPr>
          <w:sz w:val="22"/>
        </w:rPr>
        <w:t xml:space="preserve">. </w:t>
      </w:r>
      <w:r w:rsidR="005346D1" w:rsidRPr="00B04651">
        <w:rPr>
          <w:sz w:val="22"/>
        </w:rPr>
        <w:t xml:space="preserve">I am making these comments with particular insights I have gained as a member of the US </w:t>
      </w:r>
      <w:r w:rsidR="00224014" w:rsidRPr="00B04651">
        <w:rPr>
          <w:sz w:val="22"/>
        </w:rPr>
        <w:t xml:space="preserve">Technical Advisory Group to the </w:t>
      </w:r>
      <w:r w:rsidR="005346D1" w:rsidRPr="00B04651">
        <w:rPr>
          <w:sz w:val="22"/>
        </w:rPr>
        <w:t>International Standards Organization, as an official US Delegate and Expert to ISO Environmental Management Committee</w:t>
      </w:r>
      <w:r w:rsidR="00E65D18" w:rsidRPr="00B04651">
        <w:rPr>
          <w:sz w:val="22"/>
        </w:rPr>
        <w:t>,</w:t>
      </w:r>
      <w:r w:rsidR="005346D1" w:rsidRPr="00B04651">
        <w:rPr>
          <w:sz w:val="22"/>
        </w:rPr>
        <w:t xml:space="preserve"> and as a long-time proponent of good accounting for carbon footprints and life cycle assessment.</w:t>
      </w:r>
      <w:r w:rsidR="00DE0B4B" w:rsidRPr="00B04651">
        <w:rPr>
          <w:sz w:val="22"/>
        </w:rPr>
        <w:t xml:space="preserve"> I also send these comments as the coordinator of a coalition of </w:t>
      </w:r>
      <w:r w:rsidR="007B353F" w:rsidRPr="00B04651">
        <w:rPr>
          <w:sz w:val="22"/>
        </w:rPr>
        <w:t xml:space="preserve">environmental </w:t>
      </w:r>
      <w:r w:rsidR="00DE0B4B" w:rsidRPr="00B04651">
        <w:rPr>
          <w:sz w:val="22"/>
        </w:rPr>
        <w:t xml:space="preserve">NGOs worldwide seeking reforms in both Life Cycle Assessment and climate metrics. </w:t>
      </w:r>
    </w:p>
    <w:p w14:paraId="5EF21BFB" w14:textId="77777777" w:rsidR="005346D1" w:rsidRPr="00B04651" w:rsidRDefault="005346D1" w:rsidP="00BD15FC">
      <w:pPr>
        <w:spacing w:line="360" w:lineRule="auto"/>
        <w:rPr>
          <w:sz w:val="22"/>
        </w:rPr>
      </w:pPr>
    </w:p>
    <w:p w14:paraId="09284580" w14:textId="77777777" w:rsidR="00BD15FC" w:rsidRPr="00B04651" w:rsidRDefault="00BD15FC" w:rsidP="00BD15FC">
      <w:pPr>
        <w:spacing w:line="360" w:lineRule="auto"/>
        <w:rPr>
          <w:sz w:val="22"/>
        </w:rPr>
      </w:pPr>
      <w:r w:rsidRPr="00B04651">
        <w:rPr>
          <w:sz w:val="22"/>
        </w:rPr>
        <w:t xml:space="preserve">California has been a leader in fighting climate change, but I believe critical changes are required for California to have the desired impact on mitigating climate change. If certain changes are made in the </w:t>
      </w:r>
      <w:r w:rsidR="00224014" w:rsidRPr="00B04651">
        <w:rPr>
          <w:sz w:val="22"/>
        </w:rPr>
        <w:t>strategy and regulatory framework</w:t>
      </w:r>
      <w:r w:rsidRPr="00B04651">
        <w:rPr>
          <w:sz w:val="22"/>
        </w:rPr>
        <w:t xml:space="preserve">, California could vault itself again into the primary leadership position in the world given new insights into climate accounting based on scientific studies, UNEP, IPCC and the WMO in recent reports. </w:t>
      </w:r>
    </w:p>
    <w:p w14:paraId="68FF06C1" w14:textId="77777777" w:rsidR="00BD15FC" w:rsidRPr="00B04651" w:rsidRDefault="00BD15FC" w:rsidP="00BD15FC">
      <w:pPr>
        <w:spacing w:line="360" w:lineRule="auto"/>
        <w:rPr>
          <w:sz w:val="22"/>
        </w:rPr>
      </w:pPr>
    </w:p>
    <w:p w14:paraId="1AB3105A" w14:textId="77777777" w:rsidR="00122B87" w:rsidRPr="00B04651" w:rsidRDefault="00122B87" w:rsidP="00BD15FC">
      <w:pPr>
        <w:spacing w:line="360" w:lineRule="auto"/>
        <w:rPr>
          <w:sz w:val="22"/>
        </w:rPr>
      </w:pPr>
      <w:r w:rsidRPr="00B04651">
        <w:rPr>
          <w:sz w:val="22"/>
        </w:rPr>
        <w:t xml:space="preserve">The key reforms that the State of California should adopt are the following: </w:t>
      </w:r>
    </w:p>
    <w:p w14:paraId="6287184C" w14:textId="77777777" w:rsidR="00122B87" w:rsidRPr="00B04651" w:rsidRDefault="00122B87" w:rsidP="00BD15FC">
      <w:pPr>
        <w:spacing w:line="360" w:lineRule="auto"/>
        <w:rPr>
          <w:sz w:val="22"/>
        </w:rPr>
      </w:pPr>
    </w:p>
    <w:p w14:paraId="73BC0003" w14:textId="791493BF" w:rsidR="00122B87" w:rsidRPr="00B04651" w:rsidRDefault="00122B87" w:rsidP="00122B87">
      <w:pPr>
        <w:pStyle w:val="ListParagraph"/>
        <w:numPr>
          <w:ilvl w:val="0"/>
          <w:numId w:val="1"/>
        </w:numPr>
        <w:spacing w:line="360" w:lineRule="auto"/>
        <w:rPr>
          <w:sz w:val="22"/>
        </w:rPr>
      </w:pPr>
      <w:r w:rsidRPr="00B04651">
        <w:rPr>
          <w:sz w:val="22"/>
        </w:rPr>
        <w:t xml:space="preserve">Assessment of </w:t>
      </w:r>
      <w:r w:rsidR="007B353F" w:rsidRPr="00B04651">
        <w:rPr>
          <w:sz w:val="22"/>
        </w:rPr>
        <w:t xml:space="preserve">all </w:t>
      </w:r>
      <w:r w:rsidRPr="00B04651">
        <w:rPr>
          <w:sz w:val="22"/>
        </w:rPr>
        <w:t xml:space="preserve">Short-Lived Climate </w:t>
      </w:r>
      <w:r w:rsidR="007B353F" w:rsidRPr="00B04651">
        <w:rPr>
          <w:sz w:val="22"/>
        </w:rPr>
        <w:t xml:space="preserve">Pollutants </w:t>
      </w:r>
      <w:r w:rsidRPr="00B04651">
        <w:rPr>
          <w:sz w:val="22"/>
        </w:rPr>
        <w:t>(</w:t>
      </w:r>
      <w:r w:rsidR="009F2B51" w:rsidRPr="00B04651">
        <w:rPr>
          <w:sz w:val="22"/>
        </w:rPr>
        <w:t xml:space="preserve">including </w:t>
      </w:r>
      <w:r w:rsidRPr="00B04651">
        <w:rPr>
          <w:sz w:val="22"/>
        </w:rPr>
        <w:t xml:space="preserve">methane, </w:t>
      </w:r>
      <w:r w:rsidR="007B353F" w:rsidRPr="00B04651">
        <w:rPr>
          <w:sz w:val="22"/>
        </w:rPr>
        <w:t xml:space="preserve">fluorinated gases, and </w:t>
      </w:r>
      <w:r w:rsidRPr="00B04651">
        <w:rPr>
          <w:sz w:val="22"/>
        </w:rPr>
        <w:t>black carbon</w:t>
      </w:r>
      <w:r w:rsidR="007B353F" w:rsidRPr="00B04651">
        <w:rPr>
          <w:sz w:val="22"/>
        </w:rPr>
        <w:t xml:space="preserve">, </w:t>
      </w:r>
      <w:r w:rsidR="000C5CC8" w:rsidRPr="00B04651">
        <w:rPr>
          <w:sz w:val="22"/>
        </w:rPr>
        <w:t xml:space="preserve">plus coolants, </w:t>
      </w:r>
      <w:r w:rsidR="007B353F" w:rsidRPr="00B04651">
        <w:rPr>
          <w:sz w:val="22"/>
        </w:rPr>
        <w:t xml:space="preserve">tropospheric ozone </w:t>
      </w:r>
      <w:r w:rsidR="009F2B51" w:rsidRPr="00B04651">
        <w:rPr>
          <w:sz w:val="22"/>
        </w:rPr>
        <w:t xml:space="preserve">precursors </w:t>
      </w:r>
      <w:r w:rsidR="007B353F" w:rsidRPr="00B04651">
        <w:rPr>
          <w:sz w:val="22"/>
        </w:rPr>
        <w:t>and brown carbon</w:t>
      </w:r>
      <w:r w:rsidRPr="00B04651">
        <w:rPr>
          <w:sz w:val="22"/>
        </w:rPr>
        <w:t xml:space="preserve">) </w:t>
      </w:r>
      <w:r w:rsidR="007B353F" w:rsidRPr="00B04651">
        <w:rPr>
          <w:sz w:val="22"/>
        </w:rPr>
        <w:t xml:space="preserve">as well as long-lived greenhouse gases </w:t>
      </w:r>
      <w:r w:rsidRPr="00B04651">
        <w:rPr>
          <w:sz w:val="22"/>
        </w:rPr>
        <w:t xml:space="preserve">on the basis of comparative Radiative Forcing. </w:t>
      </w:r>
    </w:p>
    <w:p w14:paraId="0E595C38" w14:textId="77777777" w:rsidR="00122B87" w:rsidRPr="00B04651" w:rsidRDefault="00122B87" w:rsidP="00122B87">
      <w:pPr>
        <w:pStyle w:val="ListParagraph"/>
        <w:numPr>
          <w:ilvl w:val="0"/>
          <w:numId w:val="1"/>
        </w:numPr>
        <w:spacing w:line="360" w:lineRule="auto"/>
        <w:rPr>
          <w:sz w:val="22"/>
        </w:rPr>
      </w:pPr>
      <w:r w:rsidRPr="00B04651">
        <w:rPr>
          <w:sz w:val="22"/>
        </w:rPr>
        <w:t xml:space="preserve">Ensure that upstream impacts from all </w:t>
      </w:r>
      <w:r w:rsidR="005346D1" w:rsidRPr="00B04651">
        <w:rPr>
          <w:sz w:val="22"/>
        </w:rPr>
        <w:t>major economic sectors</w:t>
      </w:r>
      <w:r w:rsidRPr="00B04651">
        <w:rPr>
          <w:sz w:val="22"/>
        </w:rPr>
        <w:t xml:space="preserve"> and products consumed in California are assessed and become part of the regulatory framework. </w:t>
      </w:r>
    </w:p>
    <w:p w14:paraId="15337DD4" w14:textId="77777777" w:rsidR="00C1669C" w:rsidRPr="00B04651" w:rsidRDefault="00C1669C" w:rsidP="00122B87">
      <w:pPr>
        <w:pStyle w:val="ListParagraph"/>
        <w:numPr>
          <w:ilvl w:val="0"/>
          <w:numId w:val="1"/>
        </w:numPr>
        <w:spacing w:line="360" w:lineRule="auto"/>
        <w:rPr>
          <w:sz w:val="22"/>
        </w:rPr>
      </w:pPr>
      <w:r w:rsidRPr="00B04651">
        <w:rPr>
          <w:sz w:val="22"/>
        </w:rPr>
        <w:t xml:space="preserve">Include all major </w:t>
      </w:r>
      <w:r w:rsidR="00D077EB" w:rsidRPr="00B04651">
        <w:rPr>
          <w:sz w:val="22"/>
        </w:rPr>
        <w:t>climate impacts</w:t>
      </w:r>
      <w:r w:rsidRPr="00B04651">
        <w:rPr>
          <w:sz w:val="22"/>
        </w:rPr>
        <w:t xml:space="preserve">, especially including livestock management and the consumption of agricultural products. </w:t>
      </w:r>
    </w:p>
    <w:p w14:paraId="736EEB4E" w14:textId="77777777" w:rsidR="00D33A4D" w:rsidRPr="00B04651" w:rsidRDefault="00D33A4D" w:rsidP="00122B87">
      <w:pPr>
        <w:pStyle w:val="ListParagraph"/>
        <w:numPr>
          <w:ilvl w:val="0"/>
          <w:numId w:val="1"/>
        </w:numPr>
        <w:spacing w:line="360" w:lineRule="auto"/>
        <w:rPr>
          <w:sz w:val="22"/>
        </w:rPr>
      </w:pPr>
      <w:r w:rsidRPr="00B04651">
        <w:rPr>
          <w:sz w:val="22"/>
        </w:rPr>
        <w:lastRenderedPageBreak/>
        <w:t xml:space="preserve">Include an accounting of the added climate impacts from the loss of negative climate forcers such as sulfate aerosols as these </w:t>
      </w:r>
      <w:r w:rsidR="00783F9C" w:rsidRPr="00B04651">
        <w:rPr>
          <w:sz w:val="22"/>
        </w:rPr>
        <w:t xml:space="preserve">unhealthy </w:t>
      </w:r>
      <w:r w:rsidRPr="00B04651">
        <w:rPr>
          <w:sz w:val="22"/>
        </w:rPr>
        <w:t>air pollutants are reduced</w:t>
      </w:r>
      <w:r w:rsidR="00783F9C" w:rsidRPr="00B04651">
        <w:rPr>
          <w:sz w:val="22"/>
        </w:rPr>
        <w:t xml:space="preserve"> through ongoing pollution prevention efforts</w:t>
      </w:r>
      <w:r w:rsidRPr="00B04651">
        <w:rPr>
          <w:sz w:val="22"/>
        </w:rPr>
        <w:t>.</w:t>
      </w:r>
    </w:p>
    <w:p w14:paraId="0145FF82" w14:textId="77777777" w:rsidR="00D33A4D" w:rsidRPr="00B04651" w:rsidRDefault="00D33A4D" w:rsidP="00122B87">
      <w:pPr>
        <w:pStyle w:val="ListParagraph"/>
        <w:numPr>
          <w:ilvl w:val="0"/>
          <w:numId w:val="1"/>
        </w:numPr>
        <w:spacing w:line="360" w:lineRule="auto"/>
        <w:rPr>
          <w:sz w:val="22"/>
        </w:rPr>
      </w:pPr>
      <w:r w:rsidRPr="00B04651">
        <w:rPr>
          <w:sz w:val="22"/>
        </w:rPr>
        <w:t xml:space="preserve">Recalculate the California carbon footprint to incorporate the cumulative historic emissions of greenhouse gases that are still present in the atmosphere today and actively contributing to climate change. </w:t>
      </w:r>
    </w:p>
    <w:p w14:paraId="7567CE8D" w14:textId="77777777" w:rsidR="00C1669C" w:rsidRPr="00B04651" w:rsidRDefault="00C1669C" w:rsidP="00BD15FC">
      <w:pPr>
        <w:spacing w:line="360" w:lineRule="auto"/>
        <w:rPr>
          <w:sz w:val="22"/>
        </w:rPr>
      </w:pPr>
    </w:p>
    <w:p w14:paraId="02C1D530" w14:textId="225741E4" w:rsidR="00B818EA" w:rsidRPr="00B04651" w:rsidRDefault="00B818EA" w:rsidP="00BD15FC">
      <w:pPr>
        <w:spacing w:line="360" w:lineRule="auto"/>
        <w:rPr>
          <w:sz w:val="22"/>
        </w:rPr>
      </w:pPr>
      <w:r w:rsidRPr="00B04651">
        <w:rPr>
          <w:sz w:val="22"/>
        </w:rPr>
        <w:t xml:space="preserve">Many of the observations and recommendations contained in this document reflect my work with scientists who have analyzed the State of California’s contribution to radiative forcing. Their preliminary findings are in an addendum to this letter. </w:t>
      </w:r>
    </w:p>
    <w:p w14:paraId="611C4DEE" w14:textId="77777777" w:rsidR="00B818EA" w:rsidRPr="00B04651" w:rsidRDefault="00B818EA" w:rsidP="00BD15FC">
      <w:pPr>
        <w:spacing w:line="360" w:lineRule="auto"/>
        <w:rPr>
          <w:sz w:val="22"/>
        </w:rPr>
      </w:pPr>
    </w:p>
    <w:p w14:paraId="2A6BFD7F" w14:textId="77777777" w:rsidR="00224014" w:rsidRPr="00B04651" w:rsidRDefault="00224014" w:rsidP="00BD15FC">
      <w:pPr>
        <w:spacing w:line="360" w:lineRule="auto"/>
        <w:rPr>
          <w:b/>
          <w:sz w:val="22"/>
        </w:rPr>
      </w:pPr>
      <w:r w:rsidRPr="00B04651">
        <w:rPr>
          <w:b/>
          <w:sz w:val="22"/>
        </w:rPr>
        <w:t xml:space="preserve">Specific Comments: </w:t>
      </w:r>
    </w:p>
    <w:p w14:paraId="0BE8C356" w14:textId="77777777" w:rsidR="00224014" w:rsidRPr="00B04651" w:rsidRDefault="00224014" w:rsidP="00BD15FC">
      <w:pPr>
        <w:spacing w:line="360" w:lineRule="auto"/>
        <w:rPr>
          <w:sz w:val="22"/>
        </w:rPr>
      </w:pPr>
    </w:p>
    <w:p w14:paraId="7B9A77AE" w14:textId="1D355895" w:rsidR="00B42D09" w:rsidRPr="00B04651" w:rsidRDefault="00B42D09" w:rsidP="00BD15FC">
      <w:pPr>
        <w:spacing w:line="360" w:lineRule="auto"/>
        <w:rPr>
          <w:sz w:val="22"/>
        </w:rPr>
      </w:pPr>
      <w:r w:rsidRPr="00B04651">
        <w:rPr>
          <w:sz w:val="22"/>
        </w:rPr>
        <w:t>In order to keep below +2°C, California must understand that latest science from the IPCC AR5 that radiative forcing is a critical measure. Currently, the world is at 2.3 W/m</w:t>
      </w:r>
      <w:r w:rsidRPr="00B04651">
        <w:rPr>
          <w:sz w:val="22"/>
          <w:vertAlign w:val="superscript"/>
        </w:rPr>
        <w:t>2</w:t>
      </w:r>
      <w:r w:rsidRPr="00B04651">
        <w:rPr>
          <w:sz w:val="22"/>
        </w:rPr>
        <w:t xml:space="preserve">. However, </w:t>
      </w:r>
      <w:r w:rsidR="00783F9C" w:rsidRPr="00B04651">
        <w:rPr>
          <w:sz w:val="22"/>
        </w:rPr>
        <w:t xml:space="preserve">in the very near future, we are likely to reach </w:t>
      </w:r>
      <w:r w:rsidRPr="00B04651">
        <w:rPr>
          <w:sz w:val="22"/>
        </w:rPr>
        <w:t>2.6 W/m</w:t>
      </w:r>
      <w:r w:rsidRPr="00B04651">
        <w:rPr>
          <w:sz w:val="22"/>
          <w:vertAlign w:val="superscript"/>
        </w:rPr>
        <w:t>2</w:t>
      </w:r>
      <w:r w:rsidR="00783F9C" w:rsidRPr="00B04651">
        <w:rPr>
          <w:sz w:val="22"/>
        </w:rPr>
        <w:t>,</w:t>
      </w:r>
      <w:r w:rsidRPr="00B04651">
        <w:rPr>
          <w:sz w:val="22"/>
        </w:rPr>
        <w:t xml:space="preserve"> the point </w:t>
      </w:r>
      <w:r w:rsidR="00783F9C" w:rsidRPr="00B04651">
        <w:rPr>
          <w:sz w:val="22"/>
        </w:rPr>
        <w:t xml:space="preserve">beyond </w:t>
      </w:r>
      <w:r w:rsidRPr="00B04651">
        <w:rPr>
          <w:sz w:val="22"/>
        </w:rPr>
        <w:t xml:space="preserve">which the planet </w:t>
      </w:r>
      <w:r w:rsidR="00783F9C" w:rsidRPr="00B04651">
        <w:rPr>
          <w:sz w:val="22"/>
        </w:rPr>
        <w:t xml:space="preserve">will </w:t>
      </w:r>
      <w:r w:rsidRPr="00B04651">
        <w:rPr>
          <w:sz w:val="22"/>
        </w:rPr>
        <w:t>surpass</w:t>
      </w:r>
      <w:r w:rsidR="00B22B49" w:rsidRPr="00B04651">
        <w:rPr>
          <w:sz w:val="22"/>
        </w:rPr>
        <w:t xml:space="preserve"> +2°C. Given global needs and California’s drought crisis, more urgent action is required </w:t>
      </w:r>
      <w:r w:rsidR="00783F9C" w:rsidRPr="00B04651">
        <w:rPr>
          <w:sz w:val="22"/>
        </w:rPr>
        <w:t>t</w:t>
      </w:r>
      <w:r w:rsidR="00B22B49" w:rsidRPr="00B04651">
        <w:rPr>
          <w:sz w:val="22"/>
        </w:rPr>
        <w:t xml:space="preserve">o </w:t>
      </w:r>
      <w:r w:rsidR="00783F9C" w:rsidRPr="00B04651">
        <w:rPr>
          <w:sz w:val="22"/>
        </w:rPr>
        <w:t>prevent</w:t>
      </w:r>
      <w:r w:rsidR="00E6026D" w:rsidRPr="00B04651">
        <w:rPr>
          <w:sz w:val="22"/>
        </w:rPr>
        <w:t xml:space="preserve"> </w:t>
      </w:r>
      <w:r w:rsidR="00B22B49" w:rsidRPr="00B04651">
        <w:rPr>
          <w:sz w:val="22"/>
        </w:rPr>
        <w:t>radiative forcing</w:t>
      </w:r>
      <w:r w:rsidR="00E6026D" w:rsidRPr="00B04651">
        <w:rPr>
          <w:sz w:val="22"/>
        </w:rPr>
        <w:t xml:space="preserve"> from crossing this 2.6 W/m</w:t>
      </w:r>
      <w:r w:rsidR="00E6026D" w:rsidRPr="00B04651">
        <w:rPr>
          <w:sz w:val="22"/>
          <w:vertAlign w:val="superscript"/>
        </w:rPr>
        <w:t>2</w:t>
      </w:r>
      <w:r w:rsidR="00E6026D" w:rsidRPr="00B04651">
        <w:rPr>
          <w:sz w:val="22"/>
        </w:rPr>
        <w:t xml:space="preserve"> threshold</w:t>
      </w:r>
      <w:r w:rsidR="00B22B49" w:rsidRPr="00B04651">
        <w:rPr>
          <w:sz w:val="22"/>
        </w:rPr>
        <w:t>. While long-term elimination of CO</w:t>
      </w:r>
      <w:r w:rsidR="00B22B49" w:rsidRPr="00B04651">
        <w:rPr>
          <w:sz w:val="22"/>
          <w:vertAlign w:val="subscript"/>
        </w:rPr>
        <w:t>2</w:t>
      </w:r>
      <w:r w:rsidR="00B22B49" w:rsidRPr="00B04651">
        <w:rPr>
          <w:sz w:val="22"/>
        </w:rPr>
        <w:t xml:space="preserve"> </w:t>
      </w:r>
      <w:r w:rsidR="00783F9C" w:rsidRPr="00B04651">
        <w:rPr>
          <w:sz w:val="22"/>
        </w:rPr>
        <w:t xml:space="preserve">and other long-lived greenhouse gas (GHG) </w:t>
      </w:r>
      <w:r w:rsidR="00B22B49" w:rsidRPr="00B04651">
        <w:rPr>
          <w:sz w:val="22"/>
        </w:rPr>
        <w:t xml:space="preserve">emissions </w:t>
      </w:r>
      <w:r w:rsidR="00783F9C" w:rsidRPr="00B04651">
        <w:rPr>
          <w:sz w:val="22"/>
        </w:rPr>
        <w:t>is</w:t>
      </w:r>
      <w:r w:rsidR="00B22B49" w:rsidRPr="00B04651">
        <w:rPr>
          <w:sz w:val="22"/>
        </w:rPr>
        <w:t xml:space="preserve"> needed, short-term needs are critical and analysis of this problem via radiative forcing is required. </w:t>
      </w:r>
    </w:p>
    <w:p w14:paraId="6FEE4C50" w14:textId="77777777" w:rsidR="009C1C4D" w:rsidRPr="00B04651" w:rsidRDefault="009C1C4D" w:rsidP="009C1C4D">
      <w:pPr>
        <w:spacing w:line="360" w:lineRule="auto"/>
        <w:rPr>
          <w:sz w:val="22"/>
        </w:rPr>
      </w:pPr>
    </w:p>
    <w:p w14:paraId="23F28DE1" w14:textId="77777777" w:rsidR="009C1C4D" w:rsidRPr="00B04651" w:rsidRDefault="009C1C4D" w:rsidP="009C1C4D">
      <w:pPr>
        <w:spacing w:line="360" w:lineRule="auto"/>
        <w:rPr>
          <w:sz w:val="22"/>
        </w:rPr>
      </w:pPr>
      <w:r w:rsidRPr="00B04651">
        <w:rPr>
          <w:sz w:val="22"/>
        </w:rPr>
        <w:t>1.</w:t>
      </w:r>
      <w:r w:rsidRPr="00B04651">
        <w:rPr>
          <w:sz w:val="22"/>
        </w:rPr>
        <w:tab/>
        <w:t>The title of the first section of this strategy is "Showing the Way to 2°C". The Intergovernmental Panel on Climate Change (IPCC) has stated that temperatures could “most likely” be kept below this level if global mean radiative forcing is stabilized below 2.6 W/m²; yet radiative forcing is currently 2.3 W/m² and will</w:t>
      </w:r>
      <w:r w:rsidR="00466E3B" w:rsidRPr="00B04651">
        <w:rPr>
          <w:sz w:val="22"/>
        </w:rPr>
        <w:t xml:space="preserve"> likely exceed 2.6 W/m² by 2025</w:t>
      </w:r>
      <w:r w:rsidRPr="00B04651">
        <w:rPr>
          <w:sz w:val="22"/>
        </w:rPr>
        <w:t>. In order to avoid the 2°C temperature increase, radiative forcing must be reduced immediately. While radiative forcing is mentioned in this report, it is only cursorily discussed and the immediate timeframe for action required in order to stabilize temperatures beneath 2°C is not discussed.</w:t>
      </w:r>
    </w:p>
    <w:p w14:paraId="2B39AB1C" w14:textId="77777777" w:rsidR="009C1C4D" w:rsidRPr="00B04651" w:rsidRDefault="009C1C4D" w:rsidP="009C1C4D">
      <w:pPr>
        <w:spacing w:line="360" w:lineRule="auto"/>
        <w:rPr>
          <w:sz w:val="22"/>
        </w:rPr>
      </w:pPr>
    </w:p>
    <w:p w14:paraId="5E6617C1" w14:textId="08077FE1" w:rsidR="009C1C4D" w:rsidRPr="00B04651" w:rsidRDefault="009C1C4D" w:rsidP="009C1C4D">
      <w:pPr>
        <w:spacing w:line="360" w:lineRule="auto"/>
        <w:rPr>
          <w:b/>
          <w:sz w:val="22"/>
        </w:rPr>
      </w:pPr>
      <w:r w:rsidRPr="00B04651">
        <w:rPr>
          <w:b/>
          <w:sz w:val="22"/>
        </w:rPr>
        <w:t xml:space="preserve">RECOMMENDATION: A discussion of current and projected radiative forcing </w:t>
      </w:r>
      <w:r w:rsidR="00783F9C" w:rsidRPr="00B04651">
        <w:rPr>
          <w:b/>
          <w:sz w:val="22"/>
        </w:rPr>
        <w:t xml:space="preserve">should </w:t>
      </w:r>
      <w:r w:rsidRPr="00B04651">
        <w:rPr>
          <w:b/>
          <w:sz w:val="22"/>
        </w:rPr>
        <w:t xml:space="preserve">be included in this introductory section, </w:t>
      </w:r>
      <w:r w:rsidR="00783F9C" w:rsidRPr="00B04651">
        <w:rPr>
          <w:b/>
          <w:sz w:val="22"/>
        </w:rPr>
        <w:t xml:space="preserve">along with a discussion of </w:t>
      </w:r>
      <w:r w:rsidRPr="00B04651">
        <w:rPr>
          <w:b/>
          <w:sz w:val="22"/>
        </w:rPr>
        <w:t xml:space="preserve">the immediate reductions in radiative forcing needed to </w:t>
      </w:r>
      <w:r w:rsidR="00095D0A" w:rsidRPr="00B04651">
        <w:rPr>
          <w:b/>
          <w:sz w:val="22"/>
        </w:rPr>
        <w:t>stabilize r</w:t>
      </w:r>
      <w:r w:rsidR="00783F9C" w:rsidRPr="00B04651">
        <w:rPr>
          <w:b/>
          <w:sz w:val="22"/>
        </w:rPr>
        <w:t>adiative forcing below</w:t>
      </w:r>
      <w:r w:rsidRPr="00B04651">
        <w:rPr>
          <w:b/>
          <w:sz w:val="22"/>
        </w:rPr>
        <w:t xml:space="preserve"> 2.6 W/m</w:t>
      </w:r>
      <w:r w:rsidRPr="00B04651">
        <w:rPr>
          <w:b/>
          <w:sz w:val="22"/>
          <w:vertAlign w:val="superscript"/>
        </w:rPr>
        <w:t>2</w:t>
      </w:r>
      <w:r w:rsidRPr="00B04651">
        <w:rPr>
          <w:b/>
          <w:sz w:val="22"/>
        </w:rPr>
        <w:t>.</w:t>
      </w:r>
    </w:p>
    <w:p w14:paraId="0DAA2500" w14:textId="77777777" w:rsidR="009C1C4D" w:rsidRPr="00B04651" w:rsidRDefault="009C1C4D" w:rsidP="009C1C4D">
      <w:pPr>
        <w:spacing w:line="360" w:lineRule="auto"/>
        <w:rPr>
          <w:b/>
          <w:sz w:val="22"/>
        </w:rPr>
      </w:pPr>
    </w:p>
    <w:p w14:paraId="535A3B54" w14:textId="77777777" w:rsidR="009C1C4D" w:rsidRPr="00B04651" w:rsidRDefault="009C1C4D" w:rsidP="009C1C4D">
      <w:pPr>
        <w:spacing w:line="360" w:lineRule="auto"/>
        <w:rPr>
          <w:sz w:val="22"/>
        </w:rPr>
      </w:pPr>
      <w:r w:rsidRPr="00B04651">
        <w:rPr>
          <w:sz w:val="22"/>
        </w:rPr>
        <w:t>2.</w:t>
      </w:r>
      <w:r w:rsidRPr="00B04651">
        <w:rPr>
          <w:sz w:val="22"/>
        </w:rPr>
        <w:tab/>
        <w:t xml:space="preserve">In its Fifth Assessment Report (2013), the IPCC published a set of Representative Concentration Pathway (RCP) scenarios. In these scenarios, IPCC established the historic increases in global radiative forcing since pre-industrial times, and projected changes in radiative forcing under different mitigations scenarios until 2100. In one of these scenarios, called RCP2.6, IPCC projected the required forcing needed to stay below 2.6 W/m2, which is needed to stay below 2C. We can find no reference to the RCP scenarios anywhere in this report, nor specifically any references to the RCP2.6. </w:t>
      </w:r>
    </w:p>
    <w:p w14:paraId="47A2E68C" w14:textId="77777777" w:rsidR="009C1C4D" w:rsidRPr="00B04651" w:rsidRDefault="009C1C4D" w:rsidP="009C1C4D">
      <w:pPr>
        <w:spacing w:line="360" w:lineRule="auto"/>
        <w:rPr>
          <w:sz w:val="22"/>
        </w:rPr>
      </w:pPr>
    </w:p>
    <w:p w14:paraId="4F736B51" w14:textId="22C19F86" w:rsidR="009C1C4D" w:rsidRPr="00B04651" w:rsidRDefault="009C1C4D" w:rsidP="009C1C4D">
      <w:pPr>
        <w:spacing w:line="360" w:lineRule="auto"/>
        <w:rPr>
          <w:b/>
          <w:sz w:val="22"/>
        </w:rPr>
      </w:pPr>
      <w:r w:rsidRPr="00B04651">
        <w:rPr>
          <w:b/>
          <w:sz w:val="22"/>
        </w:rPr>
        <w:t xml:space="preserve">RECOMMENDATION: In the introduction, the required global emissions reductions of SLCPs and GHGs needed to </w:t>
      </w:r>
      <w:r w:rsidR="00E807C1" w:rsidRPr="00B04651">
        <w:rPr>
          <w:b/>
          <w:sz w:val="22"/>
        </w:rPr>
        <w:t>align with</w:t>
      </w:r>
      <w:r w:rsidRPr="00B04651">
        <w:rPr>
          <w:b/>
          <w:sz w:val="22"/>
        </w:rPr>
        <w:t xml:space="preserve"> the RCP2.6 should be presented for context. It should be highlighted that immediate stabilization and reduction is required if there is any hope of actually stabilizing temperatures below 2°C.</w:t>
      </w:r>
    </w:p>
    <w:p w14:paraId="19E8CFD4" w14:textId="77777777" w:rsidR="009C1C4D" w:rsidRPr="00B04651" w:rsidRDefault="009C1C4D" w:rsidP="009C1C4D">
      <w:pPr>
        <w:spacing w:line="360" w:lineRule="auto"/>
        <w:rPr>
          <w:b/>
          <w:sz w:val="22"/>
        </w:rPr>
      </w:pPr>
    </w:p>
    <w:p w14:paraId="415B086A" w14:textId="71A3ABA9" w:rsidR="009C1C4D" w:rsidRPr="00B04651" w:rsidRDefault="009C1C4D" w:rsidP="009C1C4D">
      <w:pPr>
        <w:spacing w:line="360" w:lineRule="auto"/>
        <w:rPr>
          <w:sz w:val="22"/>
        </w:rPr>
      </w:pPr>
      <w:r w:rsidRPr="00B04651">
        <w:rPr>
          <w:sz w:val="22"/>
        </w:rPr>
        <w:t>3.</w:t>
      </w:r>
      <w:r w:rsidRPr="00B04651">
        <w:rPr>
          <w:sz w:val="22"/>
        </w:rPr>
        <w:tab/>
      </w:r>
      <w:r w:rsidR="00E807C1" w:rsidRPr="00B04651">
        <w:rPr>
          <w:sz w:val="22"/>
        </w:rPr>
        <w:t>T</w:t>
      </w:r>
      <w:r w:rsidRPr="00B04651">
        <w:rPr>
          <w:sz w:val="22"/>
        </w:rPr>
        <w:t>he Science-Based Targets which ARB outlines</w:t>
      </w:r>
      <w:r w:rsidR="00E807C1" w:rsidRPr="00B04651">
        <w:rPr>
          <w:sz w:val="22"/>
        </w:rPr>
        <w:t xml:space="preserve"> </w:t>
      </w:r>
      <w:r w:rsidRPr="00B04651">
        <w:rPr>
          <w:sz w:val="22"/>
        </w:rPr>
        <w:t xml:space="preserve">are not based on achieving the RCP2.6 pathway, and are </w:t>
      </w:r>
      <w:r w:rsidR="00E807C1" w:rsidRPr="00B04651">
        <w:rPr>
          <w:sz w:val="22"/>
        </w:rPr>
        <w:t>not</w:t>
      </w:r>
      <w:r w:rsidRPr="00B04651">
        <w:rPr>
          <w:sz w:val="22"/>
        </w:rPr>
        <w:t xml:space="preserve"> consistent with stabilization below 2°C. </w:t>
      </w:r>
      <w:r w:rsidR="00E807C1" w:rsidRPr="00B04651">
        <w:rPr>
          <w:rFonts w:eastAsia="Times New Roman"/>
          <w:sz w:val="22"/>
          <w:szCs w:val="20"/>
        </w:rPr>
        <w:t>While laudable, these targets are not sufficient to stabilize temperatures below +2°C, given the rapid rise in radiative forcing. The targets are described as "aligned with leading scientific assessments for what levels of SLCP reductions can, and should be, achieved globally," as well as with “with other countries' commitments to reducing SLCP emissions." However, these targets do not accurately reflect the level of effort required to meet the RCP2.6 pathway within the short timeframe remaining before radiative forcing levels reach 2.6 W/m</w:t>
      </w:r>
      <w:r w:rsidR="00E807C1" w:rsidRPr="00B04651">
        <w:rPr>
          <w:rFonts w:eastAsia="Times New Roman"/>
          <w:sz w:val="22"/>
          <w:szCs w:val="20"/>
          <w:vertAlign w:val="superscript"/>
        </w:rPr>
        <w:t>2</w:t>
      </w:r>
      <w:r w:rsidR="00E807C1" w:rsidRPr="00B04651">
        <w:rPr>
          <w:rFonts w:eastAsia="Times New Roman"/>
          <w:sz w:val="22"/>
          <w:szCs w:val="20"/>
        </w:rPr>
        <w:t>.</w:t>
      </w:r>
    </w:p>
    <w:p w14:paraId="5C5EA745" w14:textId="77777777" w:rsidR="00E807C1" w:rsidRPr="00B04651" w:rsidRDefault="00E807C1" w:rsidP="009C1C4D">
      <w:pPr>
        <w:spacing w:line="360" w:lineRule="auto"/>
        <w:rPr>
          <w:b/>
          <w:sz w:val="22"/>
        </w:rPr>
      </w:pPr>
    </w:p>
    <w:p w14:paraId="3643D6F6" w14:textId="03D740B0" w:rsidR="009C1C4D" w:rsidRPr="00B04651" w:rsidRDefault="009C1C4D" w:rsidP="009C1C4D">
      <w:pPr>
        <w:spacing w:line="360" w:lineRule="auto"/>
        <w:rPr>
          <w:b/>
          <w:sz w:val="22"/>
        </w:rPr>
      </w:pPr>
      <w:r w:rsidRPr="00B04651">
        <w:rPr>
          <w:b/>
          <w:sz w:val="22"/>
        </w:rPr>
        <w:t xml:space="preserve">RECOMMENDATION. </w:t>
      </w:r>
      <w:r w:rsidR="006C7412" w:rsidRPr="00B04651">
        <w:rPr>
          <w:rFonts w:eastAsia="Times New Roman"/>
          <w:b/>
          <w:bCs/>
          <w:sz w:val="22"/>
        </w:rPr>
        <w:t xml:space="preserve">As the Strategy document takes shape, it is extremely important for </w:t>
      </w:r>
      <w:r w:rsidRPr="00B04651">
        <w:rPr>
          <w:b/>
          <w:sz w:val="22"/>
        </w:rPr>
        <w:t>ARB to transparent</w:t>
      </w:r>
      <w:r w:rsidR="006C7412" w:rsidRPr="00B04651">
        <w:rPr>
          <w:b/>
          <w:sz w:val="22"/>
        </w:rPr>
        <w:t>ly describe not only the strengths, but</w:t>
      </w:r>
      <w:r w:rsidRPr="00B04651">
        <w:rPr>
          <w:b/>
          <w:sz w:val="22"/>
        </w:rPr>
        <w:t xml:space="preserve"> a</w:t>
      </w:r>
      <w:r w:rsidR="006C7412" w:rsidRPr="00B04651">
        <w:rPr>
          <w:b/>
          <w:sz w:val="22"/>
        </w:rPr>
        <w:t>lso</w:t>
      </w:r>
      <w:r w:rsidRPr="00B04651">
        <w:rPr>
          <w:b/>
          <w:sz w:val="22"/>
        </w:rPr>
        <w:t xml:space="preserve"> the limitations</w:t>
      </w:r>
      <w:r w:rsidR="006C7412" w:rsidRPr="00B04651">
        <w:rPr>
          <w:b/>
          <w:sz w:val="22"/>
        </w:rPr>
        <w:t>, of the targets</w:t>
      </w:r>
      <w:r w:rsidRPr="00B04651">
        <w:rPr>
          <w:b/>
          <w:sz w:val="22"/>
        </w:rPr>
        <w:t xml:space="preserve"> </w:t>
      </w:r>
      <w:r w:rsidR="006C7412" w:rsidRPr="00B04651">
        <w:rPr>
          <w:b/>
          <w:sz w:val="22"/>
        </w:rPr>
        <w:t>and</w:t>
      </w:r>
      <w:r w:rsidRPr="00B04651">
        <w:rPr>
          <w:b/>
          <w:sz w:val="22"/>
        </w:rPr>
        <w:t xml:space="preserve"> goals</w:t>
      </w:r>
      <w:r w:rsidR="006C7412" w:rsidRPr="00B04651">
        <w:rPr>
          <w:b/>
          <w:sz w:val="22"/>
        </w:rPr>
        <w:t xml:space="preserve"> set by the state, here</w:t>
      </w:r>
      <w:r w:rsidRPr="00B04651">
        <w:rPr>
          <w:b/>
          <w:sz w:val="22"/>
        </w:rPr>
        <w:t xml:space="preserve"> in this report and elsewhere in designing the AB 32 policy</w:t>
      </w:r>
      <w:r w:rsidR="006C7412" w:rsidRPr="00B04651">
        <w:rPr>
          <w:b/>
          <w:sz w:val="22"/>
        </w:rPr>
        <w:t xml:space="preserve"> and implementation</w:t>
      </w:r>
      <w:r w:rsidRPr="00B04651">
        <w:rPr>
          <w:b/>
          <w:sz w:val="22"/>
        </w:rPr>
        <w:t xml:space="preserve">. If it is unable to achieve the RCP2.6 </w:t>
      </w:r>
      <w:r w:rsidR="006C7412" w:rsidRPr="00B04651">
        <w:rPr>
          <w:b/>
          <w:sz w:val="22"/>
        </w:rPr>
        <w:t xml:space="preserve">in order to </w:t>
      </w:r>
      <w:r w:rsidRPr="00B04651">
        <w:rPr>
          <w:b/>
          <w:sz w:val="22"/>
        </w:rPr>
        <w:t>stabilize temperatures below 2°C</w:t>
      </w:r>
      <w:r w:rsidR="006C7412" w:rsidRPr="00B04651">
        <w:rPr>
          <w:b/>
          <w:sz w:val="22"/>
        </w:rPr>
        <w:t>,</w:t>
      </w:r>
      <w:r w:rsidRPr="00B04651">
        <w:rPr>
          <w:b/>
          <w:sz w:val="22"/>
        </w:rPr>
        <w:t xml:space="preserve"> </w:t>
      </w:r>
      <w:r w:rsidR="006C7412" w:rsidRPr="00B04651">
        <w:rPr>
          <w:rFonts w:eastAsia="Times New Roman"/>
          <w:b/>
          <w:bCs/>
          <w:sz w:val="22"/>
        </w:rPr>
        <w:t>this should be clearly stated to ensure that the public is fully informed, to ensure that policy setters have the most accurate information to work with, and to reinforce efforts to strengthen the response. Without such transparency, the public could be led to believe that the problem has been solved, which could</w:t>
      </w:r>
      <w:r w:rsidRPr="00B04651">
        <w:rPr>
          <w:b/>
          <w:sz w:val="22"/>
        </w:rPr>
        <w:t xml:space="preserve"> lead to incorrect policy choices, </w:t>
      </w:r>
      <w:r w:rsidR="006C7412" w:rsidRPr="00B04651">
        <w:rPr>
          <w:rFonts w:eastAsia="Times New Roman"/>
          <w:b/>
          <w:bCs/>
          <w:sz w:val="22"/>
        </w:rPr>
        <w:t xml:space="preserve">and poor public resource and business investment decisions. Given the pace of change, </w:t>
      </w:r>
      <w:r w:rsidRPr="00B04651">
        <w:rPr>
          <w:b/>
          <w:sz w:val="22"/>
        </w:rPr>
        <w:t xml:space="preserve">goals </w:t>
      </w:r>
      <w:r w:rsidR="006C7412" w:rsidRPr="00B04651">
        <w:rPr>
          <w:b/>
          <w:sz w:val="22"/>
        </w:rPr>
        <w:t xml:space="preserve">that </w:t>
      </w:r>
      <w:r w:rsidRPr="00B04651">
        <w:rPr>
          <w:b/>
          <w:sz w:val="22"/>
        </w:rPr>
        <w:t xml:space="preserve">far more aggressive than what </w:t>
      </w:r>
      <w:r w:rsidR="006C7412" w:rsidRPr="00B04651">
        <w:rPr>
          <w:rFonts w:eastAsia="Times New Roman"/>
          <w:b/>
          <w:bCs/>
          <w:sz w:val="22"/>
        </w:rPr>
        <w:t xml:space="preserve">than what was originally envisioned in </w:t>
      </w:r>
      <w:r w:rsidRPr="00B04651">
        <w:rPr>
          <w:b/>
          <w:sz w:val="22"/>
        </w:rPr>
        <w:t xml:space="preserve">AB32 are </w:t>
      </w:r>
      <w:r w:rsidR="006C7412" w:rsidRPr="00B04651">
        <w:rPr>
          <w:b/>
          <w:sz w:val="22"/>
        </w:rPr>
        <w:t xml:space="preserve">now </w:t>
      </w:r>
      <w:r w:rsidRPr="00B04651">
        <w:rPr>
          <w:b/>
          <w:sz w:val="22"/>
        </w:rPr>
        <w:t>required.</w:t>
      </w:r>
    </w:p>
    <w:p w14:paraId="639A6D7D" w14:textId="77777777" w:rsidR="009C1C4D" w:rsidRPr="00B04651" w:rsidRDefault="009C1C4D" w:rsidP="009C1C4D">
      <w:pPr>
        <w:spacing w:line="360" w:lineRule="auto"/>
        <w:rPr>
          <w:b/>
          <w:sz w:val="22"/>
        </w:rPr>
      </w:pPr>
    </w:p>
    <w:p w14:paraId="3667313F" w14:textId="21BED19B" w:rsidR="009C1C4D" w:rsidRPr="00B04651" w:rsidRDefault="007D20BA" w:rsidP="009C1C4D">
      <w:pPr>
        <w:spacing w:line="360" w:lineRule="auto"/>
        <w:rPr>
          <w:sz w:val="22"/>
        </w:rPr>
      </w:pPr>
      <w:r w:rsidRPr="00B04651">
        <w:rPr>
          <w:sz w:val="22"/>
        </w:rPr>
        <w:t>4.</w:t>
      </w:r>
      <w:r w:rsidRPr="00B04651">
        <w:rPr>
          <w:sz w:val="22"/>
        </w:rPr>
        <w:tab/>
      </w:r>
      <w:r w:rsidR="009C1C4D" w:rsidRPr="00B04651">
        <w:rPr>
          <w:sz w:val="22"/>
        </w:rPr>
        <w:t xml:space="preserve">The US and California are major contributors to current radiative forcing as described in the </w:t>
      </w:r>
      <w:r w:rsidR="006C7412" w:rsidRPr="00B04651">
        <w:rPr>
          <w:sz w:val="22"/>
        </w:rPr>
        <w:t xml:space="preserve">IPCC </w:t>
      </w:r>
      <w:r w:rsidR="009C1C4D" w:rsidRPr="00B04651">
        <w:rPr>
          <w:sz w:val="22"/>
        </w:rPr>
        <w:t xml:space="preserve">RCPs. A </w:t>
      </w:r>
      <w:r w:rsidR="006C7412" w:rsidRPr="00B04651">
        <w:rPr>
          <w:sz w:val="22"/>
        </w:rPr>
        <w:t xml:space="preserve">carbon </w:t>
      </w:r>
      <w:r w:rsidR="009C1C4D" w:rsidRPr="00B04651">
        <w:rPr>
          <w:sz w:val="22"/>
        </w:rPr>
        <w:t xml:space="preserve">footprint </w:t>
      </w:r>
      <w:r w:rsidR="006C7412" w:rsidRPr="00B04651">
        <w:rPr>
          <w:sz w:val="22"/>
        </w:rPr>
        <w:t xml:space="preserve">that </w:t>
      </w:r>
      <w:r w:rsidR="009C1C4D" w:rsidRPr="00B04651">
        <w:rPr>
          <w:sz w:val="22"/>
        </w:rPr>
        <w:t xml:space="preserve">only </w:t>
      </w:r>
      <w:r w:rsidR="006C7412" w:rsidRPr="00B04651">
        <w:rPr>
          <w:sz w:val="22"/>
        </w:rPr>
        <w:t xml:space="preserve">reports </w:t>
      </w:r>
      <w:r w:rsidR="009C1C4D" w:rsidRPr="00B04651">
        <w:rPr>
          <w:sz w:val="22"/>
        </w:rPr>
        <w:t>annual emissions in CO</w:t>
      </w:r>
      <w:r w:rsidR="009C1C4D" w:rsidRPr="00B04651">
        <w:rPr>
          <w:sz w:val="22"/>
          <w:vertAlign w:val="subscript"/>
        </w:rPr>
        <w:t>2</w:t>
      </w:r>
      <w:r w:rsidR="009C1C4D" w:rsidRPr="00B04651">
        <w:rPr>
          <w:sz w:val="22"/>
        </w:rPr>
        <w:t xml:space="preserve">e </w:t>
      </w:r>
      <w:r w:rsidR="006C7412" w:rsidRPr="00B04651">
        <w:rPr>
          <w:rFonts w:eastAsia="Times New Roman"/>
          <w:color w:val="262626" w:themeColor="text1" w:themeTint="D9"/>
          <w:sz w:val="22"/>
        </w:rPr>
        <w:t>reflects only a small part of the actual footprint, as it does not include</w:t>
      </w:r>
      <w:r w:rsidR="006C7412" w:rsidRPr="00B04651">
        <w:rPr>
          <w:rFonts w:asciiTheme="majorHAnsi" w:eastAsia="Times New Roman" w:hAnsiTheme="majorHAnsi"/>
          <w:color w:val="262626" w:themeColor="text1" w:themeTint="D9"/>
          <w:sz w:val="18"/>
          <w:szCs w:val="20"/>
        </w:rPr>
        <w:t xml:space="preserve"> </w:t>
      </w:r>
      <w:r w:rsidR="009C1C4D" w:rsidRPr="00B04651">
        <w:rPr>
          <w:sz w:val="22"/>
        </w:rPr>
        <w:t>the real climate effects of 200</w:t>
      </w:r>
      <w:r w:rsidR="00DC2995" w:rsidRPr="00B04651">
        <w:rPr>
          <w:sz w:val="22"/>
        </w:rPr>
        <w:t>+</w:t>
      </w:r>
      <w:r w:rsidR="009C1C4D" w:rsidRPr="00B04651">
        <w:rPr>
          <w:sz w:val="22"/>
        </w:rPr>
        <w:t xml:space="preserve"> years of emissions in California and their contribution to current global forcing. </w:t>
      </w:r>
      <w:r w:rsidR="00DC2995" w:rsidRPr="00B04651">
        <w:rPr>
          <w:sz w:val="22"/>
        </w:rPr>
        <w:t xml:space="preserve">The State of </w:t>
      </w:r>
      <w:r w:rsidR="009C1C4D" w:rsidRPr="00B04651">
        <w:rPr>
          <w:sz w:val="22"/>
        </w:rPr>
        <w:t xml:space="preserve">California must come to terms with </w:t>
      </w:r>
      <w:r w:rsidR="00DC2995" w:rsidRPr="00B04651">
        <w:rPr>
          <w:sz w:val="22"/>
        </w:rPr>
        <w:t xml:space="preserve">its </w:t>
      </w:r>
      <w:r w:rsidR="009C1C4D" w:rsidRPr="00B04651">
        <w:rPr>
          <w:sz w:val="22"/>
        </w:rPr>
        <w:t xml:space="preserve">historic impact on current radiative forcing, </w:t>
      </w:r>
      <w:r w:rsidR="00DC2995" w:rsidRPr="00B04651">
        <w:rPr>
          <w:sz w:val="22"/>
        </w:rPr>
        <w:t xml:space="preserve">including </w:t>
      </w:r>
      <w:r w:rsidR="00DC2995" w:rsidRPr="00B04651">
        <w:rPr>
          <w:rFonts w:eastAsia="Times New Roman"/>
          <w:color w:val="262626" w:themeColor="text1" w:themeTint="D9"/>
          <w:sz w:val="22"/>
        </w:rPr>
        <w:t>the continuing legacy of past long-lived and mid-lived emissions in the present day,</w:t>
      </w:r>
      <w:r w:rsidR="00DC2995" w:rsidRPr="00B04651">
        <w:rPr>
          <w:sz w:val="22"/>
        </w:rPr>
        <w:t xml:space="preserve"> </w:t>
      </w:r>
      <w:r w:rsidR="009C1C4D" w:rsidRPr="00B04651">
        <w:rPr>
          <w:sz w:val="22"/>
        </w:rPr>
        <w:t xml:space="preserve">in order to design mitigation strategies </w:t>
      </w:r>
      <w:r w:rsidR="00DC2995" w:rsidRPr="00B04651">
        <w:rPr>
          <w:rFonts w:eastAsia="Times New Roman"/>
          <w:color w:val="262626" w:themeColor="text1" w:themeTint="D9"/>
          <w:sz w:val="22"/>
        </w:rPr>
        <w:t xml:space="preserve">sufficiently scaled to meet </w:t>
      </w:r>
      <w:r w:rsidR="009C1C4D" w:rsidRPr="00B04651">
        <w:rPr>
          <w:sz w:val="22"/>
        </w:rPr>
        <w:t xml:space="preserve">RCP2.6 </w:t>
      </w:r>
      <w:r w:rsidR="00DC2995" w:rsidRPr="00B04651">
        <w:rPr>
          <w:sz w:val="22"/>
        </w:rPr>
        <w:t xml:space="preserve">goals </w:t>
      </w:r>
      <w:r w:rsidR="009C1C4D" w:rsidRPr="00B04651">
        <w:rPr>
          <w:sz w:val="22"/>
        </w:rPr>
        <w:t xml:space="preserve">and </w:t>
      </w:r>
      <w:r w:rsidR="00DC2995" w:rsidRPr="00B04651">
        <w:rPr>
          <w:sz w:val="22"/>
        </w:rPr>
        <w:t>stabilize global mean temperature below +</w:t>
      </w:r>
      <w:r w:rsidR="009C1C4D" w:rsidRPr="00B04651">
        <w:rPr>
          <w:sz w:val="22"/>
        </w:rPr>
        <w:t>2°C.</w:t>
      </w:r>
    </w:p>
    <w:p w14:paraId="2FD919C0" w14:textId="77777777" w:rsidR="009C1C4D" w:rsidRPr="00B04651" w:rsidRDefault="009C1C4D" w:rsidP="009C1C4D">
      <w:pPr>
        <w:spacing w:line="360" w:lineRule="auto"/>
        <w:rPr>
          <w:sz w:val="22"/>
        </w:rPr>
      </w:pPr>
    </w:p>
    <w:p w14:paraId="36BDA8C0" w14:textId="150B1612" w:rsidR="009C1C4D" w:rsidRPr="00B04651" w:rsidRDefault="009C1C4D" w:rsidP="009C1C4D">
      <w:pPr>
        <w:spacing w:line="360" w:lineRule="auto"/>
        <w:rPr>
          <w:b/>
          <w:sz w:val="22"/>
        </w:rPr>
      </w:pPr>
      <w:r w:rsidRPr="00B04651">
        <w:rPr>
          <w:b/>
          <w:sz w:val="22"/>
        </w:rPr>
        <w:t>RECOMMENDATION. ARB should develop and publish the state's contribution to the IPCC AR5's Representative Concentration Pathway (RCP). This requires establishing the state's contribution to global mean radiative forcing compared to preindustrial</w:t>
      </w:r>
      <w:r w:rsidR="00B16582" w:rsidRPr="00B04651">
        <w:rPr>
          <w:b/>
          <w:sz w:val="22"/>
        </w:rPr>
        <w:t xml:space="preserve"> levels</w:t>
      </w:r>
      <w:r w:rsidRPr="00B04651">
        <w:rPr>
          <w:b/>
          <w:sz w:val="22"/>
        </w:rPr>
        <w:t>, measured in mW/m</w:t>
      </w:r>
      <w:r w:rsidRPr="00B04651">
        <w:rPr>
          <w:b/>
          <w:sz w:val="22"/>
          <w:vertAlign w:val="superscript"/>
        </w:rPr>
        <w:t>2</w:t>
      </w:r>
      <w:r w:rsidRPr="00B04651">
        <w:rPr>
          <w:b/>
          <w:sz w:val="22"/>
        </w:rPr>
        <w:t xml:space="preserve">, considering all climate pollutants and losses of biogenic carbon storage (including aboveground forest losses at a minimum). This will highlight the state’s contribution to the current global issue of radiative forcing, and the historic contribution to the current radiative forcing represented in the IPCC defined </w:t>
      </w:r>
      <w:r w:rsidR="00B16582" w:rsidRPr="00B04651">
        <w:rPr>
          <w:b/>
          <w:sz w:val="22"/>
        </w:rPr>
        <w:t>RCP</w:t>
      </w:r>
      <w:r w:rsidRPr="00B04651">
        <w:rPr>
          <w:b/>
          <w:sz w:val="22"/>
        </w:rPr>
        <w:t>. The state’s contribution to radiative forcing should be evaluated in W/m</w:t>
      </w:r>
      <w:r w:rsidRPr="00B04651">
        <w:rPr>
          <w:b/>
          <w:sz w:val="22"/>
          <w:vertAlign w:val="superscript"/>
        </w:rPr>
        <w:t>2</w:t>
      </w:r>
      <w:r w:rsidRPr="00B04651">
        <w:rPr>
          <w:b/>
          <w:sz w:val="22"/>
        </w:rPr>
        <w:t>, but can also be evaluated relative to CO</w:t>
      </w:r>
      <w:r w:rsidRPr="00B04651">
        <w:rPr>
          <w:b/>
          <w:sz w:val="22"/>
          <w:vertAlign w:val="subscript"/>
        </w:rPr>
        <w:t>2</w:t>
      </w:r>
      <w:r w:rsidRPr="00B04651">
        <w:rPr>
          <w:b/>
          <w:sz w:val="22"/>
        </w:rPr>
        <w:t xml:space="preserve"> in units of tons or ppm CO</w:t>
      </w:r>
      <w:r w:rsidRPr="00B04651">
        <w:rPr>
          <w:b/>
          <w:sz w:val="22"/>
          <w:vertAlign w:val="subscript"/>
        </w:rPr>
        <w:t>2</w:t>
      </w:r>
      <w:r w:rsidRPr="00B04651">
        <w:rPr>
          <w:b/>
          <w:sz w:val="22"/>
        </w:rPr>
        <w:t>e.</w:t>
      </w:r>
    </w:p>
    <w:p w14:paraId="24FFAAF6" w14:textId="77777777" w:rsidR="009C1C4D" w:rsidRPr="00B04651" w:rsidRDefault="009C1C4D" w:rsidP="009C1C4D">
      <w:pPr>
        <w:spacing w:line="360" w:lineRule="auto"/>
        <w:rPr>
          <w:b/>
          <w:sz w:val="22"/>
        </w:rPr>
      </w:pPr>
    </w:p>
    <w:p w14:paraId="7F4E77B4" w14:textId="164483F5" w:rsidR="009C1C4D" w:rsidRPr="00B04651" w:rsidRDefault="009C1C4D" w:rsidP="009C1C4D">
      <w:pPr>
        <w:spacing w:line="360" w:lineRule="auto"/>
        <w:rPr>
          <w:b/>
          <w:sz w:val="22"/>
        </w:rPr>
      </w:pPr>
      <w:r w:rsidRPr="00B04651">
        <w:rPr>
          <w:b/>
          <w:sz w:val="22"/>
        </w:rPr>
        <w:t xml:space="preserve">RECOMMENDATION. The state’s RCP contribution should be evaluated in the present year, and then out to at least 2050, per year, </w:t>
      </w:r>
      <w:r w:rsidR="00B16582" w:rsidRPr="00B04651">
        <w:rPr>
          <w:b/>
          <w:sz w:val="22"/>
        </w:rPr>
        <w:t>based on</w:t>
      </w:r>
      <w:r w:rsidRPr="00B04651">
        <w:rPr>
          <w:b/>
          <w:sz w:val="22"/>
        </w:rPr>
        <w:t xml:space="preserve"> current policy and economic growth projections</w:t>
      </w:r>
      <w:r w:rsidR="00B16582" w:rsidRPr="00B04651">
        <w:rPr>
          <w:b/>
          <w:sz w:val="22"/>
        </w:rPr>
        <w:t>.</w:t>
      </w:r>
      <w:r w:rsidR="002F0F3D" w:rsidRPr="00B04651">
        <w:rPr>
          <w:b/>
          <w:sz w:val="22"/>
        </w:rPr>
        <w:t xml:space="preserve"> </w:t>
      </w:r>
      <w:r w:rsidR="00B16582" w:rsidRPr="00B04651">
        <w:rPr>
          <w:b/>
          <w:sz w:val="22"/>
        </w:rPr>
        <w:t xml:space="preserve">Additionally, the levels of emission reduction required </w:t>
      </w:r>
      <w:r w:rsidRPr="00B04651">
        <w:rPr>
          <w:b/>
          <w:sz w:val="22"/>
        </w:rPr>
        <w:t>to be consistent with the radiative forcing in RCP2.6</w:t>
      </w:r>
      <w:r w:rsidR="00B16582" w:rsidRPr="00B04651">
        <w:rPr>
          <w:b/>
          <w:sz w:val="22"/>
        </w:rPr>
        <w:t xml:space="preserve"> should be determined. </w:t>
      </w:r>
    </w:p>
    <w:p w14:paraId="00533A84" w14:textId="77777777" w:rsidR="009C1C4D" w:rsidRPr="00B04651" w:rsidRDefault="009C1C4D" w:rsidP="009C1C4D">
      <w:pPr>
        <w:spacing w:line="360" w:lineRule="auto"/>
        <w:rPr>
          <w:b/>
          <w:sz w:val="22"/>
        </w:rPr>
      </w:pPr>
    </w:p>
    <w:p w14:paraId="13F892D4" w14:textId="180D38F5" w:rsidR="009C1C4D" w:rsidRPr="00B04651" w:rsidRDefault="009C1C4D" w:rsidP="009C1C4D">
      <w:pPr>
        <w:spacing w:line="360" w:lineRule="auto"/>
        <w:rPr>
          <w:b/>
          <w:sz w:val="22"/>
        </w:rPr>
      </w:pPr>
      <w:r w:rsidRPr="00B04651">
        <w:rPr>
          <w:b/>
          <w:sz w:val="22"/>
        </w:rPr>
        <w:t xml:space="preserve">RECOMMENDATION. The state should evaluate its RCP contribution </w:t>
      </w:r>
      <w:r w:rsidR="00B16582" w:rsidRPr="00B04651">
        <w:rPr>
          <w:b/>
          <w:sz w:val="22"/>
        </w:rPr>
        <w:t xml:space="preserve">from the present </w:t>
      </w:r>
      <w:r w:rsidRPr="00B04651">
        <w:rPr>
          <w:b/>
          <w:sz w:val="22"/>
        </w:rPr>
        <w:t>to 2035</w:t>
      </w:r>
      <w:r w:rsidR="00B16582" w:rsidRPr="00B04651">
        <w:rPr>
          <w:b/>
          <w:sz w:val="22"/>
        </w:rPr>
        <w:t>, year</w:t>
      </w:r>
      <w:r w:rsidRPr="00B04651">
        <w:rPr>
          <w:b/>
          <w:sz w:val="22"/>
        </w:rPr>
        <w:t xml:space="preserve"> by year, in a contribution analysis by pollutant</w:t>
      </w:r>
      <w:r w:rsidR="00B16582" w:rsidRPr="00B04651">
        <w:rPr>
          <w:b/>
          <w:sz w:val="22"/>
        </w:rPr>
        <w:t>.</w:t>
      </w:r>
      <w:r w:rsidR="002F0F3D" w:rsidRPr="00B04651">
        <w:rPr>
          <w:b/>
          <w:sz w:val="22"/>
        </w:rPr>
        <w:t xml:space="preserve"> </w:t>
      </w:r>
      <w:r w:rsidR="00B16582" w:rsidRPr="00B04651">
        <w:rPr>
          <w:b/>
          <w:sz w:val="22"/>
        </w:rPr>
        <w:t xml:space="preserve">This evaluation should </w:t>
      </w:r>
      <w:r w:rsidRPr="00B04651">
        <w:rPr>
          <w:b/>
          <w:sz w:val="22"/>
        </w:rPr>
        <w:t>distinguish between historic accumulated pollutants (i.e., CO</w:t>
      </w:r>
      <w:r w:rsidRPr="00B04651">
        <w:rPr>
          <w:b/>
          <w:sz w:val="22"/>
          <w:vertAlign w:val="subscript"/>
        </w:rPr>
        <w:t>2</w:t>
      </w:r>
      <w:r w:rsidRPr="00B04651">
        <w:rPr>
          <w:b/>
          <w:sz w:val="22"/>
        </w:rPr>
        <w:t>, N</w:t>
      </w:r>
      <w:r w:rsidRPr="00B04651">
        <w:rPr>
          <w:b/>
          <w:sz w:val="22"/>
          <w:vertAlign w:val="subscript"/>
        </w:rPr>
        <w:t>2</w:t>
      </w:r>
      <w:r w:rsidRPr="00B04651">
        <w:rPr>
          <w:b/>
          <w:sz w:val="22"/>
        </w:rPr>
        <w:t>O, CFCs, CH</w:t>
      </w:r>
      <w:r w:rsidRPr="00B04651">
        <w:rPr>
          <w:b/>
          <w:sz w:val="22"/>
          <w:vertAlign w:val="subscript"/>
        </w:rPr>
        <w:t>4</w:t>
      </w:r>
      <w:r w:rsidRPr="00B04651">
        <w:rPr>
          <w:b/>
          <w:sz w:val="22"/>
        </w:rPr>
        <w:t xml:space="preserve">, etc.), and the </w:t>
      </w:r>
      <w:r w:rsidR="00B16582" w:rsidRPr="00B04651">
        <w:rPr>
          <w:b/>
          <w:sz w:val="22"/>
        </w:rPr>
        <w:t xml:space="preserve">radiative </w:t>
      </w:r>
      <w:r w:rsidRPr="00B04651">
        <w:rPr>
          <w:b/>
          <w:sz w:val="22"/>
        </w:rPr>
        <w:t xml:space="preserve">forcing caused by emissions from 2015 going forward. </w:t>
      </w:r>
      <w:r w:rsidR="00B16582" w:rsidRPr="00B04651">
        <w:rPr>
          <w:rFonts w:eastAsia="Times New Roman"/>
          <w:b/>
          <w:bCs/>
          <w:color w:val="262626" w:themeColor="text1" w:themeTint="D9"/>
          <w:sz w:val="22"/>
        </w:rPr>
        <w:t>Such an assessment would illustrate the relative</w:t>
      </w:r>
      <w:r w:rsidR="00B16582" w:rsidRPr="00B04651">
        <w:rPr>
          <w:rFonts w:eastAsia="Times New Roman"/>
          <w:bCs/>
          <w:color w:val="262626" w:themeColor="text1" w:themeTint="D9"/>
          <w:sz w:val="22"/>
        </w:rPr>
        <w:t xml:space="preserve"> </w:t>
      </w:r>
      <w:r w:rsidRPr="00B04651">
        <w:rPr>
          <w:b/>
          <w:sz w:val="22"/>
        </w:rPr>
        <w:t>importance of historic CO</w:t>
      </w:r>
      <w:r w:rsidRPr="00B04651">
        <w:rPr>
          <w:b/>
          <w:sz w:val="22"/>
          <w:vertAlign w:val="subscript"/>
        </w:rPr>
        <w:t>2</w:t>
      </w:r>
      <w:r w:rsidRPr="00B04651">
        <w:rPr>
          <w:b/>
          <w:sz w:val="22"/>
        </w:rPr>
        <w:t xml:space="preserve"> accumulation</w:t>
      </w:r>
      <w:r w:rsidR="00B16582" w:rsidRPr="00B04651">
        <w:rPr>
          <w:b/>
          <w:sz w:val="22"/>
        </w:rPr>
        <w:t>,</w:t>
      </w:r>
      <w:r w:rsidRPr="00B04651">
        <w:rPr>
          <w:b/>
          <w:sz w:val="22"/>
        </w:rPr>
        <w:t xml:space="preserve"> </w:t>
      </w:r>
      <w:r w:rsidR="00B16582" w:rsidRPr="00B04651">
        <w:rPr>
          <w:b/>
          <w:sz w:val="22"/>
        </w:rPr>
        <w:t>and looking</w:t>
      </w:r>
      <w:r w:rsidRPr="00B04651">
        <w:rPr>
          <w:b/>
          <w:sz w:val="22"/>
        </w:rPr>
        <w:t xml:space="preserve"> forward, </w:t>
      </w:r>
      <w:r w:rsidR="00B16582" w:rsidRPr="00B04651">
        <w:rPr>
          <w:b/>
          <w:sz w:val="22"/>
        </w:rPr>
        <w:t xml:space="preserve">help </w:t>
      </w:r>
      <w:r w:rsidRPr="00B04651">
        <w:rPr>
          <w:b/>
          <w:sz w:val="22"/>
        </w:rPr>
        <w:t>identify the best avenues for mitigating radiative forcing.</w:t>
      </w:r>
      <w:r w:rsidR="002F0F3D" w:rsidRPr="00B04651">
        <w:rPr>
          <w:b/>
          <w:sz w:val="22"/>
        </w:rPr>
        <w:t xml:space="preserve"> </w:t>
      </w:r>
      <w:r w:rsidR="00B16582" w:rsidRPr="00B04651">
        <w:rPr>
          <w:rFonts w:eastAsia="Times New Roman"/>
          <w:b/>
          <w:bCs/>
          <w:color w:val="262626" w:themeColor="text1" w:themeTint="D9"/>
          <w:sz w:val="22"/>
        </w:rPr>
        <w:t>The mitigation program under AB 32 should then be based upon this contribution analysis, by pollutant.</w:t>
      </w:r>
      <w:r w:rsidR="002F0F3D" w:rsidRPr="00B04651">
        <w:rPr>
          <w:rFonts w:eastAsia="Times New Roman"/>
          <w:b/>
          <w:color w:val="262626" w:themeColor="text1" w:themeTint="D9"/>
          <w:sz w:val="22"/>
        </w:rPr>
        <w:t xml:space="preserve"> </w:t>
      </w:r>
      <w:r w:rsidR="00B16582" w:rsidRPr="00B04651">
        <w:rPr>
          <w:rFonts w:eastAsia="Times New Roman"/>
          <w:b/>
          <w:bCs/>
          <w:color w:val="262626" w:themeColor="text1" w:themeTint="D9"/>
          <w:sz w:val="22"/>
        </w:rPr>
        <w:t>The contribution analysis would reinforce the importance of focusing on in-state methane emissions, which are tod</w:t>
      </w:r>
      <w:r w:rsidR="003C7719" w:rsidRPr="00B04651">
        <w:rPr>
          <w:rFonts w:eastAsia="Times New Roman"/>
          <w:b/>
          <w:bCs/>
          <w:color w:val="262626" w:themeColor="text1" w:themeTint="D9"/>
          <w:sz w:val="22"/>
        </w:rPr>
        <w:t>ay responsible for roughly 4 mW</w:t>
      </w:r>
      <w:r w:rsidR="00B16582" w:rsidRPr="00B04651">
        <w:rPr>
          <w:rFonts w:eastAsia="Times New Roman"/>
          <w:b/>
          <w:bCs/>
          <w:color w:val="262626" w:themeColor="text1" w:themeTint="D9"/>
          <w:sz w:val="22"/>
        </w:rPr>
        <w:t>/m</w:t>
      </w:r>
      <w:r w:rsidR="00B16582" w:rsidRPr="00B04651">
        <w:rPr>
          <w:rFonts w:eastAsia="Times New Roman"/>
          <w:b/>
          <w:bCs/>
          <w:color w:val="262626" w:themeColor="text1" w:themeTint="D9"/>
          <w:sz w:val="22"/>
          <w:vertAlign w:val="superscript"/>
        </w:rPr>
        <w:t>2</w:t>
      </w:r>
      <w:r w:rsidR="00B16582" w:rsidRPr="00B04651">
        <w:rPr>
          <w:rFonts w:eastAsia="Times New Roman"/>
          <w:b/>
          <w:bCs/>
          <w:color w:val="262626" w:themeColor="text1" w:themeTint="D9"/>
          <w:sz w:val="22"/>
        </w:rPr>
        <w:t>.</w:t>
      </w:r>
      <w:r w:rsidR="00B16582" w:rsidRPr="00B04651">
        <w:rPr>
          <w:rFonts w:eastAsia="Times New Roman"/>
          <w:b/>
          <w:color w:val="262626" w:themeColor="text1" w:themeTint="D9"/>
          <w:sz w:val="22"/>
        </w:rPr>
        <w:t xml:space="preserve"> It </w:t>
      </w:r>
      <w:r w:rsidR="00B16582" w:rsidRPr="00B04651">
        <w:rPr>
          <w:rFonts w:eastAsia="Times New Roman"/>
          <w:b/>
          <w:bCs/>
          <w:color w:val="262626" w:themeColor="text1" w:themeTint="D9"/>
          <w:sz w:val="22"/>
        </w:rPr>
        <w:t>will also highlight the potential CO</w:t>
      </w:r>
      <w:r w:rsidR="00B16582" w:rsidRPr="00B04651">
        <w:rPr>
          <w:rFonts w:eastAsia="Times New Roman"/>
          <w:b/>
          <w:bCs/>
          <w:color w:val="262626" w:themeColor="text1" w:themeTint="D9"/>
          <w:sz w:val="22"/>
          <w:vertAlign w:val="subscript"/>
        </w:rPr>
        <w:t>2</w:t>
      </w:r>
      <w:r w:rsidR="00B16582" w:rsidRPr="00B04651">
        <w:rPr>
          <w:rFonts w:eastAsia="Times New Roman"/>
          <w:b/>
          <w:bCs/>
          <w:color w:val="262626" w:themeColor="text1" w:themeTint="D9"/>
          <w:sz w:val="22"/>
        </w:rPr>
        <w:t xml:space="preserve"> absorption that could be realized through afforestation and reforestation.</w:t>
      </w:r>
      <w:r w:rsidR="002F0F3D" w:rsidRPr="00B04651">
        <w:rPr>
          <w:rFonts w:eastAsia="Times New Roman"/>
          <w:b/>
          <w:bCs/>
          <w:color w:val="262626" w:themeColor="text1" w:themeTint="D9"/>
          <w:sz w:val="22"/>
        </w:rPr>
        <w:t xml:space="preserve"> </w:t>
      </w:r>
      <w:r w:rsidR="003C7719" w:rsidRPr="00B04651">
        <w:rPr>
          <w:rFonts w:eastAsia="Times New Roman"/>
          <w:b/>
          <w:bCs/>
          <w:color w:val="262626" w:themeColor="text1" w:themeTint="D9"/>
          <w:sz w:val="22"/>
        </w:rPr>
        <w:t>(</w:t>
      </w:r>
      <w:r w:rsidR="00B16582" w:rsidRPr="00B04651">
        <w:rPr>
          <w:rFonts w:eastAsia="Times New Roman"/>
          <w:b/>
          <w:bCs/>
          <w:color w:val="262626" w:themeColor="text1" w:themeTint="D9"/>
          <w:sz w:val="22"/>
        </w:rPr>
        <w:t>Preliminary estimates suggest that aggressive reforestation and improved forest management in California could result in additional absorption of almost 50 million tons of CO</w:t>
      </w:r>
      <w:r w:rsidR="00B16582" w:rsidRPr="00B04651">
        <w:rPr>
          <w:rFonts w:eastAsia="Times New Roman"/>
          <w:b/>
          <w:bCs/>
          <w:color w:val="262626" w:themeColor="text1" w:themeTint="D9"/>
          <w:sz w:val="22"/>
          <w:vertAlign w:val="subscript"/>
        </w:rPr>
        <w:t>2</w:t>
      </w:r>
      <w:r w:rsidR="00B16582" w:rsidRPr="00B04651">
        <w:rPr>
          <w:rFonts w:eastAsia="Times New Roman"/>
          <w:b/>
          <w:bCs/>
          <w:color w:val="262626" w:themeColor="text1" w:themeTint="D9"/>
          <w:sz w:val="22"/>
        </w:rPr>
        <w:t xml:space="preserve"> each year, an amount sufficient to reduce radiative forcing by 2 mW/m</w:t>
      </w:r>
      <w:r w:rsidR="00B16582" w:rsidRPr="00B04651">
        <w:rPr>
          <w:rFonts w:eastAsia="Times New Roman"/>
          <w:b/>
          <w:bCs/>
          <w:color w:val="262626" w:themeColor="text1" w:themeTint="D9"/>
          <w:sz w:val="22"/>
          <w:vertAlign w:val="superscript"/>
        </w:rPr>
        <w:t>2</w:t>
      </w:r>
      <w:r w:rsidR="00B16582" w:rsidRPr="00B04651">
        <w:rPr>
          <w:rFonts w:eastAsia="Times New Roman"/>
          <w:b/>
          <w:bCs/>
          <w:color w:val="262626" w:themeColor="text1" w:themeTint="D9"/>
          <w:sz w:val="22"/>
        </w:rPr>
        <w:t xml:space="preserve"> by 2035.</w:t>
      </w:r>
      <w:r w:rsidR="003C7719" w:rsidRPr="00B04651">
        <w:rPr>
          <w:rFonts w:eastAsia="Times New Roman"/>
          <w:b/>
          <w:bCs/>
          <w:color w:val="262626" w:themeColor="text1" w:themeTint="D9"/>
          <w:sz w:val="22"/>
        </w:rPr>
        <w:t>)</w:t>
      </w:r>
    </w:p>
    <w:p w14:paraId="5EA22F0B" w14:textId="77777777" w:rsidR="007D20BA" w:rsidRPr="00B04651" w:rsidRDefault="007D20BA" w:rsidP="009C1C4D">
      <w:pPr>
        <w:spacing w:line="360" w:lineRule="auto"/>
        <w:rPr>
          <w:sz w:val="22"/>
        </w:rPr>
      </w:pPr>
    </w:p>
    <w:p w14:paraId="4AEC9C4A" w14:textId="04411CE6" w:rsidR="00D32F32" w:rsidRPr="00B04651" w:rsidRDefault="007D20BA" w:rsidP="00095D0A">
      <w:pPr>
        <w:pStyle w:val="ListParagraph"/>
        <w:spacing w:line="360" w:lineRule="auto"/>
        <w:ind w:left="0"/>
        <w:rPr>
          <w:rFonts w:asciiTheme="majorHAnsi" w:eastAsia="Times New Roman" w:hAnsiTheme="majorHAnsi"/>
          <w:sz w:val="18"/>
          <w:szCs w:val="20"/>
        </w:rPr>
      </w:pPr>
      <w:r w:rsidRPr="00B04651">
        <w:rPr>
          <w:sz w:val="22"/>
        </w:rPr>
        <w:t>5</w:t>
      </w:r>
      <w:r w:rsidR="009C1C4D" w:rsidRPr="00B04651">
        <w:rPr>
          <w:sz w:val="22"/>
        </w:rPr>
        <w:t>.</w:t>
      </w:r>
      <w:r w:rsidR="009C1C4D" w:rsidRPr="00B04651">
        <w:rPr>
          <w:sz w:val="22"/>
        </w:rPr>
        <w:tab/>
      </w:r>
      <w:r w:rsidR="00866C6D" w:rsidRPr="00B04651">
        <w:rPr>
          <w:sz w:val="22"/>
        </w:rPr>
        <w:t xml:space="preserve">A </w:t>
      </w:r>
      <w:r w:rsidR="009C1C4D" w:rsidRPr="00B04651">
        <w:rPr>
          <w:sz w:val="22"/>
        </w:rPr>
        <w:t xml:space="preserve">preliminary </w:t>
      </w:r>
      <w:r w:rsidR="00866C6D" w:rsidRPr="00B04651">
        <w:rPr>
          <w:rFonts w:eastAsia="Times New Roman"/>
          <w:color w:val="262626" w:themeColor="text1" w:themeTint="D9"/>
          <w:sz w:val="22"/>
        </w:rPr>
        <w:t xml:space="preserve">radiative forcing </w:t>
      </w:r>
      <w:r w:rsidR="009C1C4D" w:rsidRPr="00B04651">
        <w:rPr>
          <w:sz w:val="22"/>
        </w:rPr>
        <w:t xml:space="preserve">analysis </w:t>
      </w:r>
      <w:r w:rsidR="00866C6D" w:rsidRPr="00B04651">
        <w:rPr>
          <w:rFonts w:eastAsia="Times New Roman"/>
          <w:color w:val="262626" w:themeColor="text1" w:themeTint="D9"/>
          <w:sz w:val="22"/>
        </w:rPr>
        <w:t>based on the IPCC AR 5 RCP 2.6</w:t>
      </w:r>
      <w:r w:rsidR="00866C6D" w:rsidRPr="00B04651">
        <w:rPr>
          <w:rFonts w:asciiTheme="majorHAnsi" w:eastAsia="Times New Roman" w:hAnsiTheme="majorHAnsi"/>
          <w:color w:val="262626" w:themeColor="text1" w:themeTint="D9"/>
          <w:sz w:val="18"/>
          <w:szCs w:val="20"/>
        </w:rPr>
        <w:t xml:space="preserve"> </w:t>
      </w:r>
      <w:r w:rsidR="009C1C4D" w:rsidRPr="00B04651">
        <w:rPr>
          <w:sz w:val="22"/>
        </w:rPr>
        <w:t>i</w:t>
      </w:r>
      <w:r w:rsidR="00866C6D" w:rsidRPr="00B04651">
        <w:rPr>
          <w:sz w:val="22"/>
        </w:rPr>
        <w:t>ndic</w:t>
      </w:r>
      <w:r w:rsidR="00D32F32" w:rsidRPr="00B04651">
        <w:rPr>
          <w:sz w:val="22"/>
        </w:rPr>
        <w:t>a</w:t>
      </w:r>
      <w:r w:rsidR="00866C6D" w:rsidRPr="00B04651">
        <w:rPr>
          <w:sz w:val="22"/>
        </w:rPr>
        <w:t>tes</w:t>
      </w:r>
      <w:r w:rsidR="009C1C4D" w:rsidRPr="00B04651">
        <w:rPr>
          <w:sz w:val="22"/>
        </w:rPr>
        <w:t xml:space="preserve"> that the state</w:t>
      </w:r>
      <w:r w:rsidR="00866C6D" w:rsidRPr="00B04651">
        <w:rPr>
          <w:sz w:val="22"/>
        </w:rPr>
        <w:t xml:space="preserve"> of California</w:t>
      </w:r>
      <w:r w:rsidR="009C1C4D" w:rsidRPr="00B04651">
        <w:rPr>
          <w:sz w:val="22"/>
        </w:rPr>
        <w:t>’s RCP contribution in 2013 was roughly 40 W/m</w:t>
      </w:r>
      <w:r w:rsidR="009C1C4D" w:rsidRPr="00B04651">
        <w:rPr>
          <w:sz w:val="22"/>
          <w:vertAlign w:val="superscript"/>
        </w:rPr>
        <w:t>2</w:t>
      </w:r>
      <w:r w:rsidR="009C1C4D" w:rsidRPr="00B04651">
        <w:rPr>
          <w:sz w:val="22"/>
        </w:rPr>
        <w:t xml:space="preserve">, </w:t>
      </w:r>
      <w:r w:rsidR="00D32F32" w:rsidRPr="00B04651">
        <w:rPr>
          <w:sz w:val="22"/>
        </w:rPr>
        <w:t xml:space="preserve">over </w:t>
      </w:r>
      <w:r w:rsidR="009C1C4D" w:rsidRPr="00B04651">
        <w:rPr>
          <w:sz w:val="22"/>
        </w:rPr>
        <w:t>20 billion tons of CO</w:t>
      </w:r>
      <w:r w:rsidR="009C1C4D" w:rsidRPr="00B04651">
        <w:rPr>
          <w:sz w:val="22"/>
          <w:vertAlign w:val="subscript"/>
        </w:rPr>
        <w:t>2</w:t>
      </w:r>
      <w:r w:rsidR="009C1C4D" w:rsidRPr="00B04651">
        <w:rPr>
          <w:sz w:val="22"/>
        </w:rPr>
        <w:t xml:space="preserve">e. The current ARB-reported footprint of 459 million tons per year only represents the small fraction caused by current annual emissions. The </w:t>
      </w:r>
      <w:r w:rsidR="00866C6D" w:rsidRPr="00B04651">
        <w:rPr>
          <w:sz w:val="22"/>
        </w:rPr>
        <w:t xml:space="preserve">target </w:t>
      </w:r>
      <w:r w:rsidR="009C1C4D" w:rsidRPr="00B04651">
        <w:rPr>
          <w:sz w:val="22"/>
        </w:rPr>
        <w:t xml:space="preserve">set by to reduce SLCP emissions from BAU by roughly </w:t>
      </w:r>
      <w:r w:rsidR="00866C6D" w:rsidRPr="00B04651">
        <w:rPr>
          <w:sz w:val="22"/>
        </w:rPr>
        <w:t xml:space="preserve">114 </w:t>
      </w:r>
      <w:r w:rsidR="009C1C4D" w:rsidRPr="00B04651">
        <w:rPr>
          <w:sz w:val="22"/>
        </w:rPr>
        <w:t xml:space="preserve">million tons by 2030 </w:t>
      </w:r>
      <w:r w:rsidR="00866C6D" w:rsidRPr="00B04651">
        <w:rPr>
          <w:rFonts w:eastAsia="Times New Roman"/>
          <w:sz w:val="22"/>
        </w:rPr>
        <w:t xml:space="preserve">(Table 1, Draft Strategy, page 9) </w:t>
      </w:r>
      <w:r w:rsidR="009C1C4D" w:rsidRPr="00B04651">
        <w:rPr>
          <w:sz w:val="22"/>
        </w:rPr>
        <w:t xml:space="preserve">represent less than 1% of the state's contribution to radiative forcing. These </w:t>
      </w:r>
      <w:r w:rsidR="00866C6D" w:rsidRPr="00B04651">
        <w:rPr>
          <w:sz w:val="22"/>
        </w:rPr>
        <w:t xml:space="preserve">targets, though aggressive, </w:t>
      </w:r>
      <w:r w:rsidR="009C1C4D" w:rsidRPr="00B04651">
        <w:rPr>
          <w:sz w:val="22"/>
        </w:rPr>
        <w:t xml:space="preserve">are not nearly </w:t>
      </w:r>
      <w:r w:rsidR="00866C6D" w:rsidRPr="00B04651">
        <w:rPr>
          <w:sz w:val="22"/>
        </w:rPr>
        <w:t>sufficient</w:t>
      </w:r>
      <w:r w:rsidR="009C1C4D" w:rsidRPr="00B04651">
        <w:rPr>
          <w:sz w:val="22"/>
        </w:rPr>
        <w:t xml:space="preserve"> </w:t>
      </w:r>
      <w:r w:rsidR="00866C6D" w:rsidRPr="00B04651">
        <w:rPr>
          <w:rFonts w:eastAsia="Times New Roman"/>
          <w:sz w:val="22"/>
        </w:rPr>
        <w:t>to meet the challenge based on reduction of in-state emissions alone.</w:t>
      </w:r>
      <w:r w:rsidR="009550E7">
        <w:rPr>
          <w:rFonts w:eastAsia="Times New Roman"/>
          <w:sz w:val="22"/>
        </w:rPr>
        <w:t xml:space="preserve"> </w:t>
      </w:r>
      <w:r w:rsidR="00D32F32" w:rsidRPr="00B04651">
        <w:rPr>
          <w:rFonts w:eastAsia="Times New Roman"/>
          <w:sz w:val="22"/>
        </w:rPr>
        <w:t xml:space="preserve">In order to realize the greatest potential reductions in the most cost-effective manner, within the state’s budget, reduction targets and strategies should </w:t>
      </w:r>
      <w:r w:rsidR="009C1C4D" w:rsidRPr="00B04651">
        <w:rPr>
          <w:sz w:val="22"/>
        </w:rPr>
        <w:t xml:space="preserve">be extended to include projects out of state. </w:t>
      </w:r>
      <w:r w:rsidR="00D32F32" w:rsidRPr="00B04651">
        <w:rPr>
          <w:rFonts w:eastAsia="Times New Roman"/>
          <w:sz w:val="22"/>
        </w:rPr>
        <w:t>For instance, most global black carbon emissions occur in developing countries (e.g., in Asia); resources expended to help mitigate black carbon emissions abroad could significantly reduce radiative forcing far more aggressively at less cost.</w:t>
      </w:r>
      <w:r w:rsidR="002F0F3D" w:rsidRPr="00B04651">
        <w:rPr>
          <w:rFonts w:eastAsia="Times New Roman"/>
          <w:sz w:val="22"/>
        </w:rPr>
        <w:t xml:space="preserve"> </w:t>
      </w:r>
      <w:r w:rsidR="00D32F32" w:rsidRPr="00B04651">
        <w:rPr>
          <w:rFonts w:eastAsia="Times New Roman"/>
          <w:sz w:val="22"/>
        </w:rPr>
        <w:t xml:space="preserve">Thus, </w:t>
      </w:r>
      <w:r w:rsidR="00D32F32" w:rsidRPr="00B04651">
        <w:rPr>
          <w:rFonts w:eastAsia="Times New Roman"/>
          <w:bCs/>
          <w:sz w:val="22"/>
        </w:rPr>
        <w:t>focusing on in-state emissions reductions alone is not only insufficient to achieve the stated goal of maintaining global mean temperatures below 2°C, but is also not the most effective way to use funds available through the AB32 program.</w:t>
      </w:r>
      <w:r w:rsidR="002F0F3D" w:rsidRPr="00B04651">
        <w:rPr>
          <w:rFonts w:eastAsia="Times New Roman"/>
          <w:bCs/>
          <w:sz w:val="22"/>
        </w:rPr>
        <w:t xml:space="preserve"> </w:t>
      </w:r>
      <w:r w:rsidR="00D32F32" w:rsidRPr="00B04651">
        <w:rPr>
          <w:rFonts w:eastAsia="Times New Roman"/>
          <w:bCs/>
          <w:sz w:val="22"/>
        </w:rPr>
        <w:t>On the other hand, working with its sub-national and national partners on joint projects, both here in the US and abroad, could have enormous positive ramifications for climate stabilization.</w:t>
      </w:r>
    </w:p>
    <w:p w14:paraId="34432BA9" w14:textId="77777777" w:rsidR="007D20BA" w:rsidRPr="00B04651" w:rsidRDefault="007D20BA" w:rsidP="00D32F32">
      <w:pPr>
        <w:spacing w:line="360" w:lineRule="auto"/>
        <w:rPr>
          <w:sz w:val="22"/>
        </w:rPr>
      </w:pPr>
    </w:p>
    <w:p w14:paraId="0FEECA5D" w14:textId="181632A1" w:rsidR="009C1C4D" w:rsidRPr="00B04651" w:rsidRDefault="009C1C4D" w:rsidP="009C1C4D">
      <w:pPr>
        <w:spacing w:line="360" w:lineRule="auto"/>
        <w:rPr>
          <w:b/>
          <w:sz w:val="22"/>
        </w:rPr>
      </w:pPr>
      <w:r w:rsidRPr="00B04651">
        <w:rPr>
          <w:b/>
          <w:sz w:val="22"/>
        </w:rPr>
        <w:t xml:space="preserve">RECOMMENDATION. </w:t>
      </w:r>
      <w:r w:rsidR="00D32F32" w:rsidRPr="00B04651">
        <w:rPr>
          <w:rFonts w:eastAsia="Times New Roman"/>
          <w:b/>
          <w:bCs/>
          <w:sz w:val="22"/>
        </w:rPr>
        <w:t>The ARB should recommend the inclusion of out-of-state SLCP projects within the plan scope, in order to fund projects that will have the greatest effect on total radiative forcing reduction.</w:t>
      </w:r>
    </w:p>
    <w:p w14:paraId="56D60EB3" w14:textId="77777777" w:rsidR="007D20BA" w:rsidRPr="00B04651" w:rsidRDefault="007D20BA" w:rsidP="009C1C4D">
      <w:pPr>
        <w:spacing w:line="360" w:lineRule="auto"/>
        <w:rPr>
          <w:b/>
          <w:sz w:val="22"/>
        </w:rPr>
      </w:pPr>
    </w:p>
    <w:p w14:paraId="6CFEDCB7" w14:textId="232337E4" w:rsidR="009C1C4D" w:rsidRPr="00B04651" w:rsidRDefault="007D20BA" w:rsidP="009C1C4D">
      <w:pPr>
        <w:spacing w:line="360" w:lineRule="auto"/>
        <w:rPr>
          <w:sz w:val="22"/>
        </w:rPr>
      </w:pPr>
      <w:r w:rsidRPr="00B04651">
        <w:rPr>
          <w:sz w:val="22"/>
        </w:rPr>
        <w:t>6</w:t>
      </w:r>
      <w:r w:rsidR="009C1C4D" w:rsidRPr="00B04651">
        <w:rPr>
          <w:sz w:val="22"/>
        </w:rPr>
        <w:t>.</w:t>
      </w:r>
      <w:r w:rsidR="009C1C4D" w:rsidRPr="00B04651">
        <w:rPr>
          <w:sz w:val="22"/>
        </w:rPr>
        <w:tab/>
      </w:r>
      <w:r w:rsidR="00C66888" w:rsidRPr="00B04651">
        <w:rPr>
          <w:rFonts w:eastAsia="Times New Roman"/>
          <w:sz w:val="22"/>
        </w:rPr>
        <w:t xml:space="preserve">The current Draft Strategy is </w:t>
      </w:r>
      <w:r w:rsidR="009C1C4D" w:rsidRPr="00B04651">
        <w:rPr>
          <w:sz w:val="22"/>
        </w:rPr>
        <w:t xml:space="preserve">inconsistent in the GWPs it recommends. </w:t>
      </w:r>
      <w:r w:rsidR="00C66888" w:rsidRPr="00B04651">
        <w:rPr>
          <w:rFonts w:eastAsia="Times New Roman"/>
          <w:sz w:val="22"/>
        </w:rPr>
        <w:t>GWPs from the IPCC Fourth Assessment Report (2007) are proposed for methane and fluorinated gases to be consistent with UNFCCC reporting requirements, while the GWP for black carbon is take from the Fifth Assessment Report (from 2013).</w:t>
      </w:r>
      <w:r w:rsidR="002F0F3D" w:rsidRPr="00B04651">
        <w:rPr>
          <w:rFonts w:eastAsia="Times New Roman"/>
          <w:sz w:val="22"/>
        </w:rPr>
        <w:t xml:space="preserve"> </w:t>
      </w:r>
      <w:r w:rsidR="00C66888" w:rsidRPr="00B04651">
        <w:rPr>
          <w:rFonts w:eastAsia="Times New Roman"/>
          <w:sz w:val="22"/>
        </w:rPr>
        <w:t>Unfortunately, continuing climate research and consensus has shown that the 2007 values are now out of date. Only updated GWPs should be used to ensure that ongoing calculations more accurately reflect the actual radiative forcing effects of each pollutant type.</w:t>
      </w:r>
      <w:r w:rsidR="002F0F3D" w:rsidRPr="00B04651">
        <w:rPr>
          <w:rFonts w:eastAsia="Times New Roman"/>
          <w:sz w:val="22"/>
        </w:rPr>
        <w:t xml:space="preserve"> </w:t>
      </w:r>
      <w:r w:rsidR="00C66888" w:rsidRPr="00B04651">
        <w:rPr>
          <w:rFonts w:eastAsia="Times New Roman"/>
          <w:sz w:val="22"/>
        </w:rPr>
        <w:t>Also, there is an additional issue surrounding the GWP for methane.</w:t>
      </w:r>
      <w:r w:rsidR="002F0F3D" w:rsidRPr="00B04651">
        <w:rPr>
          <w:rFonts w:eastAsia="Times New Roman"/>
          <w:sz w:val="22"/>
        </w:rPr>
        <w:t xml:space="preserve"> </w:t>
      </w:r>
      <w:r w:rsidR="00C66888" w:rsidRPr="00B04651">
        <w:rPr>
          <w:rFonts w:eastAsia="Times New Roman"/>
          <w:sz w:val="22"/>
        </w:rPr>
        <w:t>Two GWPs should be considered:</w:t>
      </w:r>
      <w:r w:rsidR="002F0F3D" w:rsidRPr="00B04651">
        <w:rPr>
          <w:rFonts w:eastAsia="Times New Roman"/>
          <w:sz w:val="22"/>
        </w:rPr>
        <w:t xml:space="preserve"> </w:t>
      </w:r>
      <w:r w:rsidR="00C66888" w:rsidRPr="00B04651">
        <w:rPr>
          <w:rFonts w:eastAsia="Times New Roman"/>
          <w:sz w:val="22"/>
        </w:rPr>
        <w:t xml:space="preserve">84, the value which does not include indirect effects 84 from the formation of tropospheric ozone and destruction of coolants, or 104, the value that does include these indirect effects. </w:t>
      </w:r>
      <w:r w:rsidR="007D72D7" w:rsidRPr="00B04651">
        <w:rPr>
          <w:sz w:val="22"/>
        </w:rPr>
        <w:t>Using other values does not signal policy that would allow California to be most effective in reducing the state’s contribution to radiative forcing.</w:t>
      </w:r>
      <w:r w:rsidR="009C1C4D" w:rsidRPr="00B04651">
        <w:rPr>
          <w:sz w:val="22"/>
        </w:rPr>
        <w:t xml:space="preserve"> </w:t>
      </w:r>
    </w:p>
    <w:p w14:paraId="56402788" w14:textId="77777777" w:rsidR="007D72D7" w:rsidRPr="00B04651" w:rsidRDefault="007D72D7" w:rsidP="009C1C4D">
      <w:pPr>
        <w:spacing w:line="360" w:lineRule="auto"/>
        <w:rPr>
          <w:sz w:val="22"/>
        </w:rPr>
      </w:pPr>
    </w:p>
    <w:p w14:paraId="76396FC2" w14:textId="77777777" w:rsidR="009C1C4D" w:rsidRPr="00B04651" w:rsidRDefault="009C1C4D" w:rsidP="009C1C4D">
      <w:pPr>
        <w:spacing w:line="360" w:lineRule="auto"/>
        <w:rPr>
          <w:b/>
          <w:sz w:val="22"/>
        </w:rPr>
      </w:pPr>
      <w:r w:rsidRPr="00B04651">
        <w:rPr>
          <w:b/>
          <w:sz w:val="22"/>
        </w:rPr>
        <w:t>RECOMMENDATION. In this document, only the latest GWPs should be used for all SLCPs. IPCC AR5 is used as a basis, but newer science can be included.</w:t>
      </w:r>
    </w:p>
    <w:p w14:paraId="14816023" w14:textId="77777777" w:rsidR="007D72D7" w:rsidRPr="00B04651" w:rsidRDefault="007D72D7" w:rsidP="009C1C4D">
      <w:pPr>
        <w:spacing w:line="360" w:lineRule="auto"/>
        <w:rPr>
          <w:sz w:val="22"/>
        </w:rPr>
      </w:pPr>
    </w:p>
    <w:p w14:paraId="6B59B98A" w14:textId="032A911D" w:rsidR="00C66888" w:rsidRPr="00B04651" w:rsidRDefault="007D72D7" w:rsidP="00C66888">
      <w:pPr>
        <w:spacing w:line="360" w:lineRule="auto"/>
        <w:rPr>
          <w:rFonts w:eastAsia="Times New Roman"/>
          <w:sz w:val="22"/>
        </w:rPr>
      </w:pPr>
      <w:r w:rsidRPr="00B04651">
        <w:rPr>
          <w:sz w:val="22"/>
        </w:rPr>
        <w:t>7</w:t>
      </w:r>
      <w:r w:rsidR="009C1C4D" w:rsidRPr="00B04651">
        <w:rPr>
          <w:sz w:val="22"/>
        </w:rPr>
        <w:t>.</w:t>
      </w:r>
      <w:r w:rsidR="009C1C4D" w:rsidRPr="00B04651">
        <w:rPr>
          <w:sz w:val="22"/>
        </w:rPr>
        <w:tab/>
      </w:r>
      <w:r w:rsidR="00C66888" w:rsidRPr="00B04651">
        <w:rPr>
          <w:rFonts w:eastAsia="Times New Roman"/>
          <w:sz w:val="22"/>
        </w:rPr>
        <w:t>The loss of climate coolants – i.e., emissions that reflect incoming solar radiation and lead to the cooling rather than warming of the planet – need to be accounted for within the ARB methodology (</w:t>
      </w:r>
      <w:r w:rsidR="00C66888" w:rsidRPr="00B04651">
        <w:rPr>
          <w:rFonts w:cs="Calibri"/>
          <w:color w:val="0000E9"/>
          <w:sz w:val="22"/>
          <w:u w:val="single" w:color="0000E9"/>
        </w:rPr>
        <w:t>http://www.atmos-chem-phys-discuss.net/15/9293/2015/acpd-15-9293-2015.html</w:t>
      </w:r>
      <w:r w:rsidR="00C66888" w:rsidRPr="00B04651">
        <w:rPr>
          <w:rFonts w:eastAsia="Times New Roman"/>
          <w:sz w:val="22"/>
        </w:rPr>
        <w:t>). Globally, coolants have historically accounted for well over -2 W/m</w:t>
      </w:r>
      <w:r w:rsidR="00C66888" w:rsidRPr="00B04651">
        <w:rPr>
          <w:rFonts w:eastAsia="Times New Roman"/>
          <w:sz w:val="22"/>
          <w:vertAlign w:val="superscript"/>
        </w:rPr>
        <w:t>2</w:t>
      </w:r>
      <w:r w:rsidR="00C66888" w:rsidRPr="00B04651">
        <w:rPr>
          <w:rFonts w:eastAsia="Times New Roman"/>
          <w:sz w:val="22"/>
        </w:rPr>
        <w:t>, sufficient to mask the effects of other em</w:t>
      </w:r>
      <w:r w:rsidR="00386E17" w:rsidRPr="00B04651">
        <w:rPr>
          <w:rFonts w:eastAsia="Times New Roman"/>
          <w:sz w:val="22"/>
        </w:rPr>
        <w:t xml:space="preserve">issions that warm the planet. </w:t>
      </w:r>
      <w:r w:rsidR="00C66888" w:rsidRPr="00B04651">
        <w:rPr>
          <w:rFonts w:eastAsia="Times New Roman"/>
          <w:sz w:val="22"/>
        </w:rPr>
        <w:t>While it is extremely important from a health standpoint to clean up these emissions, the lost cooling from these emissions must be factored in to ensure that policy makers and ARB planners can accurately estimate the net radiative forcing from various SCLPs and GHGs.</w:t>
      </w:r>
    </w:p>
    <w:p w14:paraId="6C2FC549" w14:textId="77777777" w:rsidR="00C66888" w:rsidRPr="00B04651" w:rsidRDefault="00C66888" w:rsidP="00386E17">
      <w:pPr>
        <w:spacing w:line="360" w:lineRule="auto"/>
        <w:rPr>
          <w:rFonts w:eastAsia="Times New Roman"/>
          <w:sz w:val="22"/>
        </w:rPr>
      </w:pPr>
    </w:p>
    <w:p w14:paraId="7FB07FEC" w14:textId="0F8254F1" w:rsidR="00C66888" w:rsidRPr="00B04651" w:rsidRDefault="00C66888" w:rsidP="00C66888">
      <w:pPr>
        <w:spacing w:line="360" w:lineRule="auto"/>
        <w:rPr>
          <w:rFonts w:eastAsia="Times New Roman"/>
          <w:b/>
          <w:sz w:val="22"/>
        </w:rPr>
      </w:pPr>
      <w:r w:rsidRPr="00B04651">
        <w:rPr>
          <w:rFonts w:eastAsia="Times New Roman"/>
          <w:b/>
          <w:sz w:val="22"/>
        </w:rPr>
        <w:t>RECOMMENDATION:</w:t>
      </w:r>
      <w:r w:rsidR="002F0F3D" w:rsidRPr="00B04651">
        <w:rPr>
          <w:rFonts w:eastAsia="Times New Roman"/>
          <w:b/>
          <w:sz w:val="22"/>
        </w:rPr>
        <w:t xml:space="preserve"> </w:t>
      </w:r>
      <w:r w:rsidRPr="00B04651">
        <w:rPr>
          <w:rFonts w:eastAsia="Times New Roman"/>
          <w:b/>
          <w:sz w:val="22"/>
        </w:rPr>
        <w:t xml:space="preserve">Include short-lived emissions that act as climate coolants in ARB calculations of the California climate footprint, and develop targets that take into account the loss of these pollutants and their cooling effects. </w:t>
      </w:r>
    </w:p>
    <w:p w14:paraId="77D3D134" w14:textId="77777777" w:rsidR="00C66888" w:rsidRPr="00B04651" w:rsidRDefault="00C66888" w:rsidP="00C66888">
      <w:pPr>
        <w:spacing w:line="360" w:lineRule="auto"/>
        <w:rPr>
          <w:sz w:val="22"/>
        </w:rPr>
      </w:pPr>
    </w:p>
    <w:p w14:paraId="4A649FC8" w14:textId="0CAB997E" w:rsidR="00C66888" w:rsidRPr="00B04651" w:rsidRDefault="00C66888" w:rsidP="00C66888">
      <w:pPr>
        <w:spacing w:line="360" w:lineRule="auto"/>
        <w:rPr>
          <w:rFonts w:eastAsia="Times New Roman"/>
          <w:sz w:val="22"/>
        </w:rPr>
      </w:pPr>
      <w:r w:rsidRPr="00B04651">
        <w:rPr>
          <w:rFonts w:eastAsia="Times New Roman"/>
          <w:sz w:val="22"/>
        </w:rPr>
        <w:t>8.</w:t>
      </w:r>
      <w:r w:rsidR="002F0F3D" w:rsidRPr="00B04651">
        <w:rPr>
          <w:rFonts w:eastAsia="Times New Roman"/>
          <w:sz w:val="22"/>
        </w:rPr>
        <w:t xml:space="preserve"> </w:t>
      </w:r>
      <w:r w:rsidRPr="00B04651">
        <w:rPr>
          <w:rFonts w:eastAsia="Times New Roman"/>
          <w:sz w:val="22"/>
        </w:rPr>
        <w:t>The renewable energy component of the Draft Strategy is contingent upon fa</w:t>
      </w:r>
      <w:r w:rsidR="00386E17" w:rsidRPr="00B04651">
        <w:rPr>
          <w:rFonts w:eastAsia="Times New Roman"/>
          <w:sz w:val="22"/>
        </w:rPr>
        <w:t>ctors that may slow deployment.</w:t>
      </w:r>
      <w:r w:rsidRPr="00B04651">
        <w:rPr>
          <w:rFonts w:eastAsia="Times New Roman"/>
          <w:sz w:val="22"/>
        </w:rPr>
        <w:t xml:space="preserve"> For instance, California hydropower is now only producing less than half of the TWh reported based on past performance, given the drought.</w:t>
      </w:r>
      <w:r w:rsidR="002F0F3D" w:rsidRPr="00B04651">
        <w:rPr>
          <w:rFonts w:eastAsia="Times New Roman"/>
          <w:sz w:val="22"/>
        </w:rPr>
        <w:t xml:space="preserve"> </w:t>
      </w:r>
      <w:r w:rsidRPr="00B04651">
        <w:rPr>
          <w:rFonts w:eastAsia="Times New Roman"/>
          <w:sz w:val="22"/>
        </w:rPr>
        <w:t>Much of this lost power generation is made up for with natural gas (</w:t>
      </w:r>
      <w:hyperlink r:id="rId8" w:history="1">
        <w:r w:rsidRPr="00B04651">
          <w:rPr>
            <w:rStyle w:val="Hyperlink"/>
            <w:rFonts w:eastAsia="Times New Roman"/>
            <w:sz w:val="22"/>
          </w:rPr>
          <w:t>http://www.energy.ca.gov/drought/</w:t>
        </w:r>
      </w:hyperlink>
      <w:r w:rsidRPr="00B04651">
        <w:rPr>
          <w:rFonts w:eastAsia="Times New Roman"/>
          <w:sz w:val="22"/>
        </w:rPr>
        <w:t>). In addition, broader environmental concerns may stymie efforts at renewable deployment expansion.</w:t>
      </w:r>
      <w:r w:rsidR="002F0F3D" w:rsidRPr="00B04651">
        <w:rPr>
          <w:rFonts w:eastAsia="Times New Roman"/>
          <w:sz w:val="22"/>
        </w:rPr>
        <w:t xml:space="preserve"> </w:t>
      </w:r>
      <w:r w:rsidRPr="00B04651">
        <w:rPr>
          <w:rFonts w:eastAsia="Times New Roman"/>
          <w:sz w:val="22"/>
        </w:rPr>
        <w:t>For example, the Sierra Club and Natural Resources Defense Council, both staunch supporters of renewable power, successfully spearheaded an effort to block construction of a large solar project planned in San Bernadino County, California, due to concerns about impacts on local habitat.</w:t>
      </w:r>
      <w:r w:rsidR="002F0F3D" w:rsidRPr="00B04651">
        <w:rPr>
          <w:rFonts w:eastAsia="Times New Roman"/>
          <w:sz w:val="22"/>
        </w:rPr>
        <w:t xml:space="preserve"> </w:t>
      </w:r>
      <w:r w:rsidRPr="00B04651">
        <w:rPr>
          <w:rFonts w:eastAsia="Times New Roman"/>
          <w:sz w:val="22"/>
        </w:rPr>
        <w:t>A third issues relates to the degree to which renewable energy projects require back-up from fossil fuel-powered spinning reserves, and the climate implications of this added back-up power</w:t>
      </w:r>
      <w:r w:rsidR="002F0F3D" w:rsidRPr="00B04651">
        <w:rPr>
          <w:rFonts w:eastAsia="Times New Roman"/>
          <w:sz w:val="22"/>
        </w:rPr>
        <w:t xml:space="preserve"> </w:t>
      </w:r>
      <w:r w:rsidRPr="00B04651">
        <w:rPr>
          <w:rFonts w:eastAsia="Times New Roman"/>
          <w:sz w:val="22"/>
        </w:rPr>
        <w:t>(</w:t>
      </w:r>
      <w:hyperlink r:id="rId9" w:history="1">
        <w:r w:rsidRPr="00B04651">
          <w:rPr>
            <w:rStyle w:val="Hyperlink"/>
            <w:rFonts w:cs="Calibri"/>
            <w:sz w:val="22"/>
            <w:u w:color="0000E9"/>
          </w:rPr>
          <w:t>http://www.ieor.berkeley.edu/~oren/pubs/I.A.109.pdf</w:t>
        </w:r>
      </w:hyperlink>
      <w:r w:rsidRPr="00B04651">
        <w:rPr>
          <w:rFonts w:cs="Calibri"/>
          <w:color w:val="0000E9"/>
          <w:sz w:val="22"/>
          <w:u w:val="single" w:color="0000E9"/>
        </w:rPr>
        <w:t>).</w:t>
      </w:r>
      <w:r w:rsidR="002F0F3D" w:rsidRPr="00B04651">
        <w:rPr>
          <w:rFonts w:cs="Calibri"/>
          <w:color w:val="0000E9"/>
          <w:sz w:val="22"/>
          <w:u w:val="single" w:color="0000E9"/>
        </w:rPr>
        <w:t xml:space="preserve"> </w:t>
      </w:r>
      <w:r w:rsidRPr="00B04651">
        <w:rPr>
          <w:rFonts w:eastAsia="Times New Roman"/>
          <w:sz w:val="22"/>
        </w:rPr>
        <w:t>More focus on this entire topic is needed to ensure that the environmental and climate benefits and tradeoffs of renewable power are to be fully accounted for by the state in the implementation of its plan.</w:t>
      </w:r>
    </w:p>
    <w:p w14:paraId="363C4303" w14:textId="77777777" w:rsidR="00C66888" w:rsidRPr="00B04651" w:rsidRDefault="00C66888" w:rsidP="00C66888">
      <w:pPr>
        <w:rPr>
          <w:rFonts w:asciiTheme="majorHAnsi" w:eastAsia="Times New Roman" w:hAnsiTheme="majorHAnsi"/>
          <w:bCs/>
          <w:i/>
          <w:sz w:val="18"/>
          <w:szCs w:val="20"/>
        </w:rPr>
      </w:pPr>
    </w:p>
    <w:p w14:paraId="7BD40DAC" w14:textId="77777777" w:rsidR="00C66888" w:rsidRPr="00B04651" w:rsidRDefault="00C66888" w:rsidP="00C66888">
      <w:pPr>
        <w:spacing w:line="360" w:lineRule="auto"/>
        <w:rPr>
          <w:rFonts w:eastAsia="Times New Roman"/>
          <w:b/>
          <w:bCs/>
          <w:sz w:val="22"/>
        </w:rPr>
      </w:pPr>
      <w:r w:rsidRPr="00B04651">
        <w:rPr>
          <w:rFonts w:eastAsia="Times New Roman"/>
          <w:b/>
          <w:bCs/>
          <w:sz w:val="22"/>
        </w:rPr>
        <w:t>RECOMMENDATION. The actual performance and impacts of various renewable power options by source — hydro, wind, solar, biomass, and biogas-derived sources – needs careful examination to support the best informed decisions.</w:t>
      </w:r>
    </w:p>
    <w:p w14:paraId="636F62A6" w14:textId="77777777" w:rsidR="009D46F7" w:rsidRPr="00B04651" w:rsidRDefault="009D46F7" w:rsidP="00C66888">
      <w:pPr>
        <w:spacing w:line="360" w:lineRule="auto"/>
        <w:rPr>
          <w:sz w:val="22"/>
        </w:rPr>
      </w:pPr>
    </w:p>
    <w:p w14:paraId="602A1D70" w14:textId="6EA2D353" w:rsidR="00F957E6" w:rsidRPr="00B04651" w:rsidRDefault="00C66888" w:rsidP="00BD15FC">
      <w:pPr>
        <w:spacing w:line="360" w:lineRule="auto"/>
        <w:rPr>
          <w:sz w:val="22"/>
        </w:rPr>
      </w:pPr>
      <w:r w:rsidRPr="00B04651">
        <w:rPr>
          <w:sz w:val="22"/>
        </w:rPr>
        <w:t>9</w:t>
      </w:r>
      <w:r w:rsidR="009C1C4D" w:rsidRPr="00B04651">
        <w:rPr>
          <w:sz w:val="22"/>
        </w:rPr>
        <w:t>.</w:t>
      </w:r>
      <w:r w:rsidR="009C1C4D" w:rsidRPr="00B04651">
        <w:rPr>
          <w:sz w:val="22"/>
        </w:rPr>
        <w:tab/>
        <w:t xml:space="preserve">According to </w:t>
      </w:r>
      <w:r w:rsidR="00F957E6" w:rsidRPr="00B04651">
        <w:rPr>
          <w:sz w:val="22"/>
        </w:rPr>
        <w:t xml:space="preserve">a 2015 </w:t>
      </w:r>
      <w:r w:rsidR="009C1C4D" w:rsidRPr="00B04651">
        <w:rPr>
          <w:sz w:val="22"/>
        </w:rPr>
        <w:t>National Academy of Sciences</w:t>
      </w:r>
      <w:r w:rsidR="00F957E6" w:rsidRPr="00B04651">
        <w:rPr>
          <w:sz w:val="22"/>
        </w:rPr>
        <w:t xml:space="preserve"> report</w:t>
      </w:r>
      <w:r w:rsidR="009C1C4D" w:rsidRPr="00B04651">
        <w:rPr>
          <w:sz w:val="22"/>
        </w:rPr>
        <w:t xml:space="preserve">, anthropogenic warming from </w:t>
      </w:r>
      <w:r w:rsidR="009D46F7" w:rsidRPr="00B04651">
        <w:rPr>
          <w:sz w:val="22"/>
        </w:rPr>
        <w:t xml:space="preserve">radiative </w:t>
      </w:r>
      <w:r w:rsidR="009C1C4D" w:rsidRPr="00B04651">
        <w:rPr>
          <w:sz w:val="22"/>
        </w:rPr>
        <w:t>forcing increas</w:t>
      </w:r>
      <w:r w:rsidR="00F957E6" w:rsidRPr="00B04651">
        <w:rPr>
          <w:sz w:val="22"/>
        </w:rPr>
        <w:t>es</w:t>
      </w:r>
      <w:r w:rsidR="009C1C4D" w:rsidRPr="00B04651">
        <w:rPr>
          <w:sz w:val="22"/>
        </w:rPr>
        <w:t xml:space="preserve"> the probability</w:t>
      </w:r>
      <w:r w:rsidR="009D46F7" w:rsidRPr="00B04651">
        <w:rPr>
          <w:sz w:val="22"/>
        </w:rPr>
        <w:t xml:space="preserve"> that California’s </w:t>
      </w:r>
      <w:r w:rsidR="00F957E6" w:rsidRPr="00B04651">
        <w:rPr>
          <w:sz w:val="22"/>
        </w:rPr>
        <w:t>current</w:t>
      </w:r>
      <w:r w:rsidR="009C1C4D" w:rsidRPr="00B04651">
        <w:rPr>
          <w:sz w:val="22"/>
        </w:rPr>
        <w:t xml:space="preserve"> drought </w:t>
      </w:r>
      <w:r w:rsidR="00F957E6" w:rsidRPr="00B04651">
        <w:rPr>
          <w:rFonts w:eastAsia="Times New Roman"/>
          <w:color w:val="262626" w:themeColor="text1" w:themeTint="D9"/>
          <w:sz w:val="22"/>
        </w:rPr>
        <w:t>actually signals a transition in climate toward a more semi-arid to arid climate (</w:t>
      </w:r>
      <w:hyperlink r:id="rId10" w:history="1">
        <w:r w:rsidR="00F957E6" w:rsidRPr="00B04651">
          <w:rPr>
            <w:rStyle w:val="Hyperlink"/>
            <w:rFonts w:cs="Calibri"/>
            <w:sz w:val="22"/>
            <w:u w:color="0000E9"/>
          </w:rPr>
          <w:t>www.sequoiaparksfoundation.org/2013/heat-and-hadley-cells</w:t>
        </w:r>
      </w:hyperlink>
      <w:r w:rsidR="00F957E6" w:rsidRPr="00B04651">
        <w:rPr>
          <w:rFonts w:cs="Calibri"/>
          <w:sz w:val="22"/>
        </w:rPr>
        <w:t>).</w:t>
      </w:r>
      <w:r w:rsidR="00F957E6" w:rsidRPr="00B04651">
        <w:rPr>
          <w:sz w:val="22"/>
        </w:rPr>
        <w:t xml:space="preserve"> C</w:t>
      </w:r>
      <w:r w:rsidR="009C1C4D" w:rsidRPr="00B04651">
        <w:rPr>
          <w:sz w:val="22"/>
        </w:rPr>
        <w:t>limate models now predict that</w:t>
      </w:r>
      <w:r w:rsidR="00386E17" w:rsidRPr="00B04651">
        <w:rPr>
          <w:sz w:val="22"/>
        </w:rPr>
        <w:t>,</w:t>
      </w:r>
      <w:r w:rsidR="009C1C4D" w:rsidRPr="00B04651">
        <w:rPr>
          <w:sz w:val="22"/>
        </w:rPr>
        <w:t xml:space="preserve"> within a few decades, this type of drought will become the new normal for a climate in California</w:t>
      </w:r>
      <w:r w:rsidR="00F957E6" w:rsidRPr="00B04651">
        <w:rPr>
          <w:rFonts w:eastAsia="Times New Roman"/>
          <w:color w:val="262626" w:themeColor="text1" w:themeTint="D9"/>
          <w:sz w:val="22"/>
        </w:rPr>
        <w:t xml:space="preserve"> a pattern also being seen elsewhere at comparable latitudes around the world (</w:t>
      </w:r>
      <w:hyperlink r:id="rId11" w:history="1">
        <w:r w:rsidR="00F957E6" w:rsidRPr="00B04651">
          <w:rPr>
            <w:rStyle w:val="Hyperlink"/>
            <w:rFonts w:eastAsia="Times New Roman"/>
            <w:sz w:val="22"/>
          </w:rPr>
          <w:t>www.pnas.org/content/112/13/3931.full.pdf</w:t>
        </w:r>
      </w:hyperlink>
      <w:r w:rsidR="00F957E6" w:rsidRPr="00B04651">
        <w:rPr>
          <w:rFonts w:eastAsia="Times New Roman"/>
          <w:color w:val="262626" w:themeColor="text1" w:themeTint="D9"/>
          <w:sz w:val="22"/>
        </w:rPr>
        <w:t xml:space="preserve">; </w:t>
      </w:r>
      <w:hyperlink r:id="rId12" w:history="1">
        <w:r w:rsidR="00F957E6" w:rsidRPr="00B04651">
          <w:rPr>
            <w:rStyle w:val="Hyperlink"/>
            <w:rFonts w:eastAsia="Times New Roman"/>
            <w:sz w:val="22"/>
          </w:rPr>
          <w:t>www.pnas.org/content/112/12/3630</w:t>
        </w:r>
      </w:hyperlink>
      <w:r w:rsidR="00F957E6" w:rsidRPr="00B04651">
        <w:rPr>
          <w:rFonts w:eastAsia="Times New Roman"/>
          <w:sz w:val="22"/>
        </w:rPr>
        <w:t>).</w:t>
      </w:r>
      <w:r w:rsidR="002F0F3D" w:rsidRPr="00B04651">
        <w:rPr>
          <w:rFonts w:eastAsia="Times New Roman"/>
          <w:sz w:val="22"/>
        </w:rPr>
        <w:t xml:space="preserve"> </w:t>
      </w:r>
      <w:r w:rsidR="00F957E6" w:rsidRPr="00B04651">
        <w:rPr>
          <w:rFonts w:eastAsia="Times New Roman"/>
          <w:sz w:val="22"/>
        </w:rPr>
        <w:t>These findings are consistent with UC Davis research that has been tracking changes in wildflower species over the past several years (</w:t>
      </w:r>
      <w:hyperlink r:id="rId13" w:history="1">
        <w:r w:rsidR="00F957E6" w:rsidRPr="00B04651">
          <w:rPr>
            <w:rFonts w:cs="Calibri"/>
            <w:color w:val="0000E9"/>
            <w:sz w:val="22"/>
            <w:u w:val="single" w:color="0000E9"/>
          </w:rPr>
          <w:t>http://conservationmagazine.org/2015/06/climate-change-drives-away-californias-stunning-wildflowers</w:t>
        </w:r>
      </w:hyperlink>
      <w:r w:rsidR="00F957E6" w:rsidRPr="00B04651">
        <w:rPr>
          <w:rFonts w:cs="Calibri"/>
          <w:sz w:val="22"/>
        </w:rPr>
        <w:t>/).</w:t>
      </w:r>
      <w:r w:rsidR="00F957E6" w:rsidRPr="00B04651">
        <w:rPr>
          <w:rFonts w:asciiTheme="majorHAnsi" w:eastAsia="Times New Roman" w:hAnsiTheme="majorHAnsi"/>
          <w:sz w:val="18"/>
          <w:szCs w:val="20"/>
        </w:rPr>
        <w:t xml:space="preserve"> </w:t>
      </w:r>
    </w:p>
    <w:p w14:paraId="19FFA276" w14:textId="77777777" w:rsidR="00F957E6" w:rsidRPr="00B04651" w:rsidRDefault="00F957E6" w:rsidP="00BD15FC">
      <w:pPr>
        <w:spacing w:line="360" w:lineRule="auto"/>
        <w:rPr>
          <w:sz w:val="22"/>
        </w:rPr>
      </w:pPr>
    </w:p>
    <w:p w14:paraId="7FE58331" w14:textId="032509F4" w:rsidR="00B04651" w:rsidRPr="00B04651" w:rsidRDefault="00F957E6" w:rsidP="00BD15FC">
      <w:pPr>
        <w:spacing w:line="360" w:lineRule="auto"/>
        <w:rPr>
          <w:b/>
          <w:sz w:val="22"/>
        </w:rPr>
      </w:pPr>
      <w:r w:rsidRPr="00B04651">
        <w:rPr>
          <w:b/>
          <w:sz w:val="22"/>
        </w:rPr>
        <w:t>RECOMMENDATION:</w:t>
      </w:r>
      <w:r w:rsidR="002F0F3D" w:rsidRPr="00B04651">
        <w:rPr>
          <w:b/>
          <w:sz w:val="22"/>
        </w:rPr>
        <w:t xml:space="preserve"> </w:t>
      </w:r>
      <w:r w:rsidRPr="00B04651">
        <w:rPr>
          <w:b/>
          <w:sz w:val="22"/>
        </w:rPr>
        <w:t>ARB could further emphasize the urgency of this climate issue for the state of California, in light of these findings, to motivate accelerated action.</w:t>
      </w:r>
    </w:p>
    <w:p w14:paraId="4F751689" w14:textId="77777777" w:rsidR="00B04651" w:rsidRDefault="00B04651">
      <w:pPr>
        <w:rPr>
          <w:b/>
        </w:rPr>
      </w:pPr>
      <w:r>
        <w:rPr>
          <w:b/>
        </w:rPr>
        <w:br w:type="page"/>
      </w:r>
    </w:p>
    <w:p w14:paraId="5FC09D10" w14:textId="77777777" w:rsidR="00B04651" w:rsidRDefault="00B04651" w:rsidP="00B04651">
      <w:pPr>
        <w:jc w:val="center"/>
        <w:rPr>
          <w:rFonts w:ascii="Helvetica" w:hAnsi="Helvetica"/>
          <w:b/>
          <w:sz w:val="28"/>
          <w:szCs w:val="28"/>
        </w:rPr>
      </w:pPr>
      <w:r w:rsidRPr="006652AC">
        <w:rPr>
          <w:rFonts w:ascii="Helvetica" w:hAnsi="Helvetica"/>
          <w:b/>
          <w:sz w:val="28"/>
          <w:szCs w:val="28"/>
        </w:rPr>
        <w:t xml:space="preserve">Radiative Forcing Accounting Protocols </w:t>
      </w:r>
      <w:r>
        <w:rPr>
          <w:rFonts w:ascii="Helvetica" w:hAnsi="Helvetica"/>
          <w:b/>
          <w:sz w:val="28"/>
          <w:szCs w:val="28"/>
        </w:rPr>
        <w:t>—</w:t>
      </w:r>
    </w:p>
    <w:p w14:paraId="7B564C65" w14:textId="77777777" w:rsidR="00B04651" w:rsidRPr="000E2698" w:rsidRDefault="00B04651" w:rsidP="00B04651">
      <w:pPr>
        <w:jc w:val="center"/>
        <w:rPr>
          <w:rFonts w:ascii="Helvetica" w:hAnsi="Helvetica"/>
          <w:b/>
          <w:szCs w:val="28"/>
        </w:rPr>
      </w:pPr>
      <w:r w:rsidRPr="000E2698">
        <w:rPr>
          <w:rFonts w:ascii="Helvetica" w:hAnsi="Helvetica"/>
          <w:b/>
          <w:szCs w:val="28"/>
        </w:rPr>
        <w:t>Proposed Approach for Consideration by the California Air Resources Board</w:t>
      </w:r>
    </w:p>
    <w:p w14:paraId="38BDB9E0" w14:textId="77777777" w:rsidR="00B04651" w:rsidRPr="006652AC" w:rsidRDefault="00B04651" w:rsidP="00B04651">
      <w:pPr>
        <w:jc w:val="center"/>
        <w:rPr>
          <w:rFonts w:ascii="Helvetica" w:hAnsi="Helvetica"/>
          <w:szCs w:val="28"/>
        </w:rPr>
      </w:pPr>
      <w:r w:rsidRPr="006652AC">
        <w:rPr>
          <w:rFonts w:ascii="Helvetica" w:hAnsi="Helvetica"/>
          <w:szCs w:val="28"/>
        </w:rPr>
        <w:t>(Addendum to Comments and Recommendations by James Ford)</w:t>
      </w:r>
    </w:p>
    <w:p w14:paraId="61909187" w14:textId="77777777" w:rsidR="00B04651" w:rsidRPr="006652AC" w:rsidRDefault="00B04651" w:rsidP="00B04651">
      <w:pPr>
        <w:jc w:val="center"/>
        <w:rPr>
          <w:rFonts w:ascii="Helvetica" w:hAnsi="Helvetica"/>
          <w:b/>
          <w:sz w:val="28"/>
          <w:szCs w:val="28"/>
        </w:rPr>
      </w:pPr>
    </w:p>
    <w:p w14:paraId="022BC901" w14:textId="77777777" w:rsidR="00B04651" w:rsidRPr="006652AC" w:rsidRDefault="00B04651" w:rsidP="00B04651">
      <w:pPr>
        <w:jc w:val="center"/>
        <w:rPr>
          <w:rFonts w:ascii="Helvetica" w:hAnsi="Helvetica"/>
          <w:szCs w:val="28"/>
        </w:rPr>
      </w:pPr>
      <w:r w:rsidRPr="006652AC">
        <w:rPr>
          <w:rFonts w:ascii="Helvetica" w:hAnsi="Helvetica"/>
          <w:szCs w:val="28"/>
        </w:rPr>
        <w:t xml:space="preserve">Prepared by </w:t>
      </w:r>
      <w:r>
        <w:rPr>
          <w:rFonts w:ascii="Helvetica" w:hAnsi="Helvetica"/>
          <w:szCs w:val="28"/>
        </w:rPr>
        <w:t>SCS Global Services</w:t>
      </w:r>
      <w:r w:rsidRPr="006652AC">
        <w:rPr>
          <w:rFonts w:ascii="Helvetica" w:hAnsi="Helvetica"/>
          <w:szCs w:val="28"/>
        </w:rPr>
        <w:t xml:space="preserve"> </w:t>
      </w:r>
    </w:p>
    <w:p w14:paraId="64CAE07C" w14:textId="77777777" w:rsidR="00B04651" w:rsidRPr="006652AC" w:rsidRDefault="00B04651" w:rsidP="00B04651">
      <w:pPr>
        <w:jc w:val="center"/>
        <w:rPr>
          <w:rFonts w:ascii="Helvetica" w:hAnsi="Helvetica"/>
          <w:b/>
          <w:szCs w:val="28"/>
        </w:rPr>
      </w:pPr>
      <w:r w:rsidRPr="006652AC">
        <w:rPr>
          <w:rFonts w:ascii="Helvetica" w:hAnsi="Helvetica"/>
          <w:szCs w:val="28"/>
        </w:rPr>
        <w:t>October 30, 2015</w:t>
      </w:r>
    </w:p>
    <w:p w14:paraId="5612ECEF" w14:textId="77777777" w:rsidR="00B04651" w:rsidRPr="006652AC" w:rsidRDefault="00B04651" w:rsidP="00B04651">
      <w:pPr>
        <w:jc w:val="center"/>
        <w:rPr>
          <w:rFonts w:ascii="Helvetica" w:hAnsi="Helvetica"/>
          <w:b/>
          <w:sz w:val="28"/>
          <w:szCs w:val="28"/>
        </w:rPr>
      </w:pPr>
    </w:p>
    <w:p w14:paraId="2F186F48" w14:textId="77777777" w:rsidR="00B04651" w:rsidRDefault="00B04651" w:rsidP="00B04651">
      <w:pPr>
        <w:rPr>
          <w:rFonts w:ascii="Helvetica" w:hAnsi="Helvetica"/>
          <w:b/>
        </w:rPr>
      </w:pPr>
      <w:r>
        <w:rPr>
          <w:rFonts w:ascii="Helvetica" w:hAnsi="Helvetica"/>
          <w:b/>
        </w:rPr>
        <w:t xml:space="preserve">The Need for </w:t>
      </w:r>
      <w:r w:rsidRPr="00BA211A">
        <w:rPr>
          <w:rFonts w:ascii="Helvetica" w:hAnsi="Helvetica"/>
          <w:b/>
        </w:rPr>
        <w:t xml:space="preserve">Radiative Forcing Accounting </w:t>
      </w:r>
    </w:p>
    <w:p w14:paraId="547A0574" w14:textId="77777777" w:rsidR="00562C39" w:rsidRPr="00BA211A" w:rsidRDefault="00562C39" w:rsidP="00B04651">
      <w:pPr>
        <w:rPr>
          <w:rFonts w:ascii="Helvetica" w:hAnsi="Helvetica"/>
          <w:b/>
        </w:rPr>
      </w:pPr>
    </w:p>
    <w:p w14:paraId="5771EA8E" w14:textId="77777777" w:rsidR="00B04651" w:rsidRPr="006652AC" w:rsidRDefault="00B04651" w:rsidP="00B04651">
      <w:pPr>
        <w:ind w:firstLine="720"/>
        <w:rPr>
          <w:rFonts w:ascii="Helvetica" w:hAnsi="Helvetica"/>
        </w:rPr>
      </w:pPr>
      <w:r w:rsidRPr="006652AC">
        <w:rPr>
          <w:rFonts w:ascii="Helvetica" w:hAnsi="Helvetica"/>
        </w:rPr>
        <w:t>While the State of California</w:t>
      </w:r>
      <w:r>
        <w:rPr>
          <w:rFonts w:ascii="Helvetica" w:hAnsi="Helvetica"/>
        </w:rPr>
        <w:t xml:space="preserve"> currently </w:t>
      </w:r>
      <w:r w:rsidRPr="006652AC">
        <w:rPr>
          <w:rFonts w:ascii="Helvetica" w:hAnsi="Helvetica"/>
        </w:rPr>
        <w:t>uses the standard GWP carbon footprint protocols as it</w:t>
      </w:r>
      <w:r>
        <w:rPr>
          <w:rFonts w:ascii="Helvetica" w:hAnsi="Helvetica"/>
        </w:rPr>
        <w:t>s</w:t>
      </w:r>
      <w:r w:rsidRPr="006652AC">
        <w:rPr>
          <w:rFonts w:ascii="Helvetica" w:hAnsi="Helvetica"/>
        </w:rPr>
        <w:t xml:space="preserve"> basis of planning</w:t>
      </w:r>
      <w:r>
        <w:rPr>
          <w:rFonts w:ascii="Helvetica" w:hAnsi="Helvetica"/>
        </w:rPr>
        <w:t xml:space="preserve"> and AB 32 implementation</w:t>
      </w:r>
      <w:r w:rsidRPr="006652AC">
        <w:rPr>
          <w:rFonts w:ascii="Helvetica" w:hAnsi="Helvetica"/>
        </w:rPr>
        <w:t>, such accounting protocols have significant shortcomings in providing an accurate measure of the State’s contribution to total global Radiative Forcing.</w:t>
      </w:r>
      <w:r>
        <w:rPr>
          <w:rFonts w:ascii="Helvetica" w:hAnsi="Helvetica"/>
        </w:rPr>
        <w:t xml:space="preserve"> </w:t>
      </w:r>
    </w:p>
    <w:p w14:paraId="48403BC7" w14:textId="77777777" w:rsidR="00B04651" w:rsidRPr="006652AC" w:rsidRDefault="00B04651" w:rsidP="00B04651">
      <w:pPr>
        <w:rPr>
          <w:rFonts w:ascii="Helvetica" w:hAnsi="Helvetica"/>
        </w:rPr>
      </w:pPr>
      <w:r w:rsidRPr="006652AC">
        <w:rPr>
          <w:rFonts w:ascii="Helvetica" w:hAnsi="Helvetica"/>
        </w:rPr>
        <w:t xml:space="preserve"> </w:t>
      </w:r>
      <w:r w:rsidRPr="006652AC">
        <w:rPr>
          <w:rFonts w:ascii="Helvetica" w:hAnsi="Helvetica"/>
        </w:rPr>
        <w:tab/>
        <w:t>The Intergovernmental Panel on Climate Change (IPCC) has stated that the global mean temperature (GMT) could “most likely” be kept below 2°C if global mean radiative forcing is stabilized below 2.6 W/m²; yet radiative forcing is currently 2.3 W/m²</w:t>
      </w:r>
      <w:r>
        <w:rPr>
          <w:rStyle w:val="A2"/>
          <w:rFonts w:ascii="Helvetica" w:hAnsi="Helvetica"/>
        </w:rPr>
        <w:t>,</w:t>
      </w:r>
      <w:r>
        <w:rPr>
          <w:rFonts w:ascii="Helvetica" w:hAnsi="Helvetica"/>
        </w:rPr>
        <w:t xml:space="preserve">, </w:t>
      </w:r>
      <w:r w:rsidRPr="006652AC">
        <w:rPr>
          <w:rFonts w:ascii="Helvetica" w:hAnsi="Helvetica"/>
        </w:rPr>
        <w:t>and will likely exceed 2.6 W/m² by 2025. Even more troubling, project</w:t>
      </w:r>
      <w:r>
        <w:rPr>
          <w:rFonts w:ascii="Helvetica" w:hAnsi="Helvetica"/>
        </w:rPr>
        <w:t>ed emissions</w:t>
      </w:r>
      <w:r w:rsidRPr="006652AC">
        <w:rPr>
          <w:rFonts w:ascii="Helvetica" w:hAnsi="Helvetica"/>
        </w:rPr>
        <w:t xml:space="preserve"> of various </w:t>
      </w:r>
      <w:r>
        <w:rPr>
          <w:rFonts w:ascii="Helvetica" w:hAnsi="Helvetica"/>
        </w:rPr>
        <w:t>climate</w:t>
      </w:r>
      <w:r w:rsidRPr="006652AC">
        <w:rPr>
          <w:rFonts w:ascii="Helvetica" w:hAnsi="Helvetica"/>
        </w:rPr>
        <w:t xml:space="preserve"> pollutants</w:t>
      </w:r>
      <w:r>
        <w:rPr>
          <w:rFonts w:ascii="Helvetica" w:hAnsi="Helvetica"/>
        </w:rPr>
        <w:t>,</w:t>
      </w:r>
      <w:r w:rsidRPr="006652AC">
        <w:rPr>
          <w:rFonts w:ascii="Helvetica" w:hAnsi="Helvetica"/>
        </w:rPr>
        <w:t xml:space="preserve"> such </w:t>
      </w:r>
      <w:r>
        <w:rPr>
          <w:rFonts w:ascii="Helvetica" w:hAnsi="Helvetica"/>
        </w:rPr>
        <w:t xml:space="preserve">as </w:t>
      </w:r>
      <w:r w:rsidRPr="006652AC">
        <w:rPr>
          <w:rFonts w:ascii="Helvetica" w:hAnsi="Helvetica"/>
        </w:rPr>
        <w:t>methane</w:t>
      </w:r>
      <w:r>
        <w:rPr>
          <w:rFonts w:ascii="Helvetica" w:hAnsi="Helvetica"/>
        </w:rPr>
        <w:t xml:space="preserve"> and</w:t>
      </w:r>
      <w:r w:rsidRPr="006652AC">
        <w:rPr>
          <w:rFonts w:ascii="Helvetica" w:hAnsi="Helvetica"/>
        </w:rPr>
        <w:t xml:space="preserve"> black carbon</w:t>
      </w:r>
      <w:r>
        <w:rPr>
          <w:rFonts w:ascii="Helvetica" w:hAnsi="Helvetica"/>
        </w:rPr>
        <w:t>,</w:t>
      </w:r>
      <w:r w:rsidRPr="006652AC">
        <w:rPr>
          <w:rFonts w:ascii="Helvetica" w:hAnsi="Helvetica"/>
        </w:rPr>
        <w:t xml:space="preserve"> and the loss of sulfate coolants</w:t>
      </w:r>
      <w:r>
        <w:rPr>
          <w:rFonts w:ascii="Helvetica" w:hAnsi="Helvetica"/>
        </w:rPr>
        <w:t>,</w:t>
      </w:r>
      <w:r w:rsidRPr="006652AC">
        <w:rPr>
          <w:rFonts w:ascii="Helvetica" w:hAnsi="Helvetica"/>
        </w:rPr>
        <w:t xml:space="preserve"> are projected to push the total RF well above +3.5 W/m</w:t>
      </w:r>
      <w:r w:rsidRPr="000E2698">
        <w:rPr>
          <w:rFonts w:ascii="Helvetica" w:hAnsi="Helvetica"/>
          <w:vertAlign w:val="superscript"/>
        </w:rPr>
        <w:t>2</w:t>
      </w:r>
      <w:r w:rsidRPr="006652AC">
        <w:rPr>
          <w:rFonts w:ascii="Helvetica" w:hAnsi="Helvetica"/>
        </w:rPr>
        <w:t xml:space="preserve"> by 2035.</w:t>
      </w:r>
    </w:p>
    <w:p w14:paraId="6342143D" w14:textId="49F00D79" w:rsidR="00B04651" w:rsidRPr="006652AC" w:rsidRDefault="00B04651" w:rsidP="00B04651">
      <w:pPr>
        <w:ind w:firstLine="720"/>
        <w:rPr>
          <w:rFonts w:ascii="Helvetica" w:hAnsi="Helvetica"/>
        </w:rPr>
      </w:pPr>
      <w:r w:rsidRPr="006652AC">
        <w:rPr>
          <w:rFonts w:ascii="Helvetica" w:hAnsi="Helvetica"/>
        </w:rPr>
        <w:t>Based on th</w:t>
      </w:r>
      <w:r>
        <w:rPr>
          <w:rFonts w:ascii="Helvetica" w:hAnsi="Helvetica"/>
        </w:rPr>
        <w:t>e</w:t>
      </w:r>
      <w:r w:rsidRPr="006652AC">
        <w:rPr>
          <w:rFonts w:ascii="Helvetica" w:hAnsi="Helvetica"/>
        </w:rPr>
        <w:t>s</w:t>
      </w:r>
      <w:r>
        <w:rPr>
          <w:rFonts w:ascii="Helvetica" w:hAnsi="Helvetica"/>
        </w:rPr>
        <w:t>e</w:t>
      </w:r>
      <w:r w:rsidRPr="006652AC">
        <w:rPr>
          <w:rFonts w:ascii="Helvetica" w:hAnsi="Helvetica"/>
        </w:rPr>
        <w:t xml:space="preserve"> data from IPCC, radiative forcing must be reduced immediately</w:t>
      </w:r>
      <w:r>
        <w:rPr>
          <w:rFonts w:ascii="Helvetica" w:hAnsi="Helvetica"/>
        </w:rPr>
        <w:t xml:space="preserve"> </w:t>
      </w:r>
      <w:r w:rsidRPr="006652AC">
        <w:rPr>
          <w:rFonts w:ascii="Helvetica" w:hAnsi="Helvetica"/>
        </w:rPr>
        <w:t>in order to avoid the 2°C temperature increase.</w:t>
      </w:r>
      <w:r>
        <w:rPr>
          <w:rFonts w:ascii="Helvetica" w:hAnsi="Helvetica"/>
        </w:rPr>
        <w:t xml:space="preserve"> </w:t>
      </w:r>
      <w:r w:rsidRPr="006652AC">
        <w:rPr>
          <w:rFonts w:ascii="Helvetica" w:hAnsi="Helvetica"/>
        </w:rPr>
        <w:t xml:space="preserve">Yet the current assumption that the 2°C GMT target will not be reached until </w:t>
      </w:r>
      <w:r>
        <w:rPr>
          <w:rFonts w:ascii="Helvetica" w:hAnsi="Helvetica"/>
        </w:rPr>
        <w:t xml:space="preserve">about </w:t>
      </w:r>
      <w:r w:rsidRPr="006652AC">
        <w:rPr>
          <w:rFonts w:ascii="Helvetica" w:hAnsi="Helvetica"/>
        </w:rPr>
        <w:t xml:space="preserve">2050 has given a false sense of the time remaining to put mitigation </w:t>
      </w:r>
      <w:r>
        <w:rPr>
          <w:rFonts w:ascii="Helvetica" w:hAnsi="Helvetica"/>
        </w:rPr>
        <w:t xml:space="preserve">strategies </w:t>
      </w:r>
      <w:r w:rsidRPr="006652AC">
        <w:rPr>
          <w:rFonts w:ascii="Helvetica" w:hAnsi="Helvetica"/>
        </w:rPr>
        <w:t>in</w:t>
      </w:r>
      <w:r>
        <w:rPr>
          <w:rFonts w:ascii="Helvetica" w:hAnsi="Helvetica"/>
        </w:rPr>
        <w:t>to</w:t>
      </w:r>
      <w:r w:rsidRPr="006652AC">
        <w:rPr>
          <w:rFonts w:ascii="Helvetica" w:hAnsi="Helvetica"/>
        </w:rPr>
        <w:t xml:space="preserve"> place to prevent crossing this </w:t>
      </w:r>
      <w:r>
        <w:rPr>
          <w:rFonts w:ascii="Helvetica" w:hAnsi="Helvetica"/>
        </w:rPr>
        <w:t>dangerous threshold.</w:t>
      </w:r>
      <w:r w:rsidRPr="006652AC">
        <w:rPr>
          <w:rFonts w:ascii="Helvetica" w:hAnsi="Helvetica"/>
        </w:rPr>
        <w:t xml:space="preserve"> </w:t>
      </w:r>
      <w:r>
        <w:rPr>
          <w:rFonts w:ascii="Helvetica" w:hAnsi="Helvetica"/>
        </w:rPr>
        <w:t xml:space="preserve">That’s because temperature increases lag behind radiative forcing. </w:t>
      </w:r>
      <w:r w:rsidRPr="006652AC">
        <w:rPr>
          <w:rFonts w:ascii="Helvetica" w:hAnsi="Helvetica"/>
        </w:rPr>
        <w:t xml:space="preserve">2.6 W/m² could be passed in 10 years or less, </w:t>
      </w:r>
      <w:r>
        <w:rPr>
          <w:rFonts w:ascii="Helvetica" w:hAnsi="Helvetica"/>
        </w:rPr>
        <w:t xml:space="preserve">but </w:t>
      </w:r>
      <w:r w:rsidRPr="006652AC">
        <w:rPr>
          <w:rFonts w:ascii="Helvetica" w:hAnsi="Helvetica"/>
        </w:rPr>
        <w:t>it will take several decades for the GMT to “catch up” and pass 2°C.</w:t>
      </w:r>
      <w:r w:rsidR="009550E7">
        <w:rPr>
          <w:rFonts w:ascii="Helvetica" w:hAnsi="Helvetica"/>
        </w:rPr>
        <w:t xml:space="preserve"> </w:t>
      </w:r>
      <w:r>
        <w:rPr>
          <w:rFonts w:ascii="Helvetica" w:hAnsi="Helvetica"/>
        </w:rPr>
        <w:t xml:space="preserve"> This is analogous to </w:t>
      </w:r>
      <w:r w:rsidRPr="006652AC">
        <w:rPr>
          <w:rFonts w:ascii="Helvetica" w:hAnsi="Helvetica"/>
        </w:rPr>
        <w:t xml:space="preserve">putting cold pot of water on the stove, </w:t>
      </w:r>
      <w:r>
        <w:rPr>
          <w:rFonts w:ascii="Helvetica" w:hAnsi="Helvetica"/>
        </w:rPr>
        <w:t>which</w:t>
      </w:r>
      <w:r w:rsidRPr="006652AC">
        <w:rPr>
          <w:rFonts w:ascii="Helvetica" w:hAnsi="Helvetica"/>
        </w:rPr>
        <w:t xml:space="preserve"> takes several minutes to </w:t>
      </w:r>
      <w:r>
        <w:rPr>
          <w:rFonts w:ascii="Helvetica" w:hAnsi="Helvetica"/>
        </w:rPr>
        <w:t>come</w:t>
      </w:r>
      <w:r w:rsidRPr="006652AC">
        <w:rPr>
          <w:rFonts w:ascii="Helvetica" w:hAnsi="Helvetica"/>
        </w:rPr>
        <w:t xml:space="preserve"> to a boil</w:t>
      </w:r>
      <w:r>
        <w:rPr>
          <w:rFonts w:ascii="Helvetica" w:hAnsi="Helvetica"/>
        </w:rPr>
        <w:t>;</w:t>
      </w:r>
      <w:r w:rsidRPr="006652AC">
        <w:rPr>
          <w:rFonts w:ascii="Helvetica" w:hAnsi="Helvetica"/>
        </w:rPr>
        <w:t xml:space="preserve"> </w:t>
      </w:r>
      <w:r>
        <w:rPr>
          <w:rFonts w:ascii="Helvetica" w:hAnsi="Helvetica"/>
        </w:rPr>
        <w:t>this level of radiative</w:t>
      </w:r>
      <w:r w:rsidRPr="006652AC">
        <w:rPr>
          <w:rFonts w:ascii="Helvetica" w:hAnsi="Helvetica"/>
        </w:rPr>
        <w:t xml:space="preserve"> forcing </w:t>
      </w:r>
      <w:r>
        <w:rPr>
          <w:rFonts w:ascii="Helvetica" w:hAnsi="Helvetica"/>
        </w:rPr>
        <w:t xml:space="preserve">will take </w:t>
      </w:r>
      <w:r w:rsidRPr="006652AC">
        <w:rPr>
          <w:rFonts w:ascii="Helvetica" w:hAnsi="Helvetica"/>
        </w:rPr>
        <w:t xml:space="preserve">several years to push the GMT over </w:t>
      </w:r>
      <w:r>
        <w:rPr>
          <w:rFonts w:ascii="Helvetica" w:hAnsi="Helvetica"/>
        </w:rPr>
        <w:t>the</w:t>
      </w:r>
      <w:r w:rsidRPr="006652AC">
        <w:rPr>
          <w:rFonts w:ascii="Helvetica" w:hAnsi="Helvetica"/>
        </w:rPr>
        <w:t xml:space="preserve"> tipping point.</w:t>
      </w:r>
      <w:r>
        <w:rPr>
          <w:rFonts w:ascii="Helvetica" w:hAnsi="Helvetica"/>
        </w:rPr>
        <w:t xml:space="preserve"> </w:t>
      </w:r>
      <w:r w:rsidRPr="006652AC">
        <w:rPr>
          <w:rFonts w:ascii="Helvetica" w:hAnsi="Helvetica"/>
        </w:rPr>
        <w:t xml:space="preserve">The confusion on this point has led to policy planning </w:t>
      </w:r>
      <w:r>
        <w:rPr>
          <w:rFonts w:ascii="Helvetica" w:hAnsi="Helvetica"/>
        </w:rPr>
        <w:t>that</w:t>
      </w:r>
      <w:r w:rsidRPr="006652AC">
        <w:rPr>
          <w:rFonts w:ascii="Helvetica" w:hAnsi="Helvetica"/>
        </w:rPr>
        <w:t xml:space="preserve"> is misaligned with the timeframe </w:t>
      </w:r>
      <w:r>
        <w:rPr>
          <w:rFonts w:ascii="Helvetica" w:hAnsi="Helvetica"/>
        </w:rPr>
        <w:t>actually</w:t>
      </w:r>
      <w:r w:rsidRPr="006652AC">
        <w:rPr>
          <w:rFonts w:ascii="Helvetica" w:hAnsi="Helvetica"/>
        </w:rPr>
        <w:t xml:space="preserve"> needed to keep </w:t>
      </w:r>
      <w:r>
        <w:rPr>
          <w:rFonts w:ascii="Helvetica" w:hAnsi="Helvetica"/>
        </w:rPr>
        <w:t xml:space="preserve">radiative </w:t>
      </w:r>
      <w:r w:rsidRPr="006652AC">
        <w:rPr>
          <w:rFonts w:ascii="Helvetica" w:hAnsi="Helvetica"/>
        </w:rPr>
        <w:t xml:space="preserve">forcing </w:t>
      </w:r>
      <w:r>
        <w:rPr>
          <w:rFonts w:ascii="Helvetica" w:hAnsi="Helvetica"/>
        </w:rPr>
        <w:t>below dangerous</w:t>
      </w:r>
      <w:r w:rsidRPr="006652AC">
        <w:rPr>
          <w:rFonts w:ascii="Helvetica" w:hAnsi="Helvetica"/>
        </w:rPr>
        <w:t xml:space="preserve"> levels.</w:t>
      </w:r>
      <w:r>
        <w:rPr>
          <w:rFonts w:ascii="Helvetica" w:hAnsi="Helvetica"/>
        </w:rPr>
        <w:t xml:space="preserve"> </w:t>
      </w:r>
    </w:p>
    <w:p w14:paraId="790F44EB" w14:textId="77777777" w:rsidR="00B04651" w:rsidRDefault="00B04651" w:rsidP="00B04651">
      <w:pPr>
        <w:ind w:firstLine="720"/>
        <w:rPr>
          <w:rFonts w:ascii="Helvetica" w:hAnsi="Helvetica"/>
        </w:rPr>
      </w:pPr>
      <w:r>
        <w:rPr>
          <w:rFonts w:ascii="Helvetica" w:hAnsi="Helvetica"/>
        </w:rPr>
        <w:t>Additionally, a</w:t>
      </w:r>
      <w:r w:rsidRPr="006652AC">
        <w:rPr>
          <w:rFonts w:ascii="Helvetica" w:hAnsi="Helvetica"/>
        </w:rPr>
        <w:t xml:space="preserve">ll official reports (UNEP, IPCC AR 5, WMO) </w:t>
      </w:r>
      <w:r>
        <w:rPr>
          <w:rFonts w:ascii="Helvetica" w:hAnsi="Helvetica"/>
        </w:rPr>
        <w:t>confirm</w:t>
      </w:r>
      <w:r w:rsidRPr="006652AC">
        <w:rPr>
          <w:rFonts w:ascii="Helvetica" w:hAnsi="Helvetica"/>
        </w:rPr>
        <w:t xml:space="preserve"> that rel</w:t>
      </w:r>
      <w:r>
        <w:rPr>
          <w:rFonts w:ascii="Helvetica" w:hAnsi="Helvetica"/>
        </w:rPr>
        <w:t>iance</w:t>
      </w:r>
      <w:r w:rsidRPr="006652AC">
        <w:rPr>
          <w:rFonts w:ascii="Helvetica" w:hAnsi="Helvetica"/>
        </w:rPr>
        <w:t xml:space="preserve"> on current GHG footprint protocols </w:t>
      </w:r>
      <w:r>
        <w:rPr>
          <w:rFonts w:ascii="Helvetica" w:hAnsi="Helvetica"/>
        </w:rPr>
        <w:t xml:space="preserve">(the same protocols </w:t>
      </w:r>
      <w:r w:rsidRPr="006652AC">
        <w:rPr>
          <w:rFonts w:ascii="Helvetica" w:hAnsi="Helvetica"/>
        </w:rPr>
        <w:t xml:space="preserve">used </w:t>
      </w:r>
      <w:r>
        <w:rPr>
          <w:rFonts w:ascii="Helvetica" w:hAnsi="Helvetica"/>
        </w:rPr>
        <w:t>for</w:t>
      </w:r>
      <w:r w:rsidRPr="006652AC">
        <w:rPr>
          <w:rFonts w:ascii="Helvetica" w:hAnsi="Helvetica"/>
        </w:rPr>
        <w:t xml:space="preserve"> AB 32 </w:t>
      </w:r>
      <w:r>
        <w:rPr>
          <w:rFonts w:ascii="Helvetica" w:hAnsi="Helvetica"/>
        </w:rPr>
        <w:t>implementation)</w:t>
      </w:r>
      <w:r w:rsidRPr="006652AC">
        <w:rPr>
          <w:rFonts w:ascii="Helvetica" w:hAnsi="Helvetica"/>
        </w:rPr>
        <w:t xml:space="preserve"> do</w:t>
      </w:r>
      <w:r>
        <w:rPr>
          <w:rFonts w:ascii="Helvetica" w:hAnsi="Helvetica"/>
        </w:rPr>
        <w:t>es</w:t>
      </w:r>
      <w:r w:rsidRPr="006652AC">
        <w:rPr>
          <w:rFonts w:ascii="Helvetica" w:hAnsi="Helvetica"/>
        </w:rPr>
        <w:t xml:space="preserve"> not offer a realistic chance of leveling off GMT at +2°C, but will result in the 3.7 to 4.5°C range increase by 2100. This will be hottest conditions on Earth in 15 million years. </w:t>
      </w:r>
    </w:p>
    <w:p w14:paraId="683020C2" w14:textId="77777777" w:rsidR="00562C39" w:rsidRDefault="00562C39" w:rsidP="00B04651">
      <w:pPr>
        <w:ind w:firstLine="720"/>
        <w:rPr>
          <w:rFonts w:ascii="Helvetica" w:hAnsi="Helvetica"/>
        </w:rPr>
      </w:pPr>
    </w:p>
    <w:p w14:paraId="59D3E6A0" w14:textId="77777777" w:rsidR="00B04651" w:rsidRDefault="00B04651" w:rsidP="00B04651">
      <w:pPr>
        <w:rPr>
          <w:rFonts w:ascii="Helvetica" w:hAnsi="Helvetica"/>
          <w:b/>
        </w:rPr>
      </w:pPr>
      <w:r w:rsidRPr="00A6475E">
        <w:rPr>
          <w:rFonts w:ascii="Helvetica" w:hAnsi="Helvetica"/>
          <w:b/>
        </w:rPr>
        <w:t>Radiative Forcing Accounting Protocols</w:t>
      </w:r>
    </w:p>
    <w:p w14:paraId="1965A8B7" w14:textId="77777777" w:rsidR="00562C39" w:rsidRPr="00A6475E" w:rsidRDefault="00562C39" w:rsidP="00B04651">
      <w:pPr>
        <w:rPr>
          <w:rFonts w:ascii="Helvetica" w:hAnsi="Helvetica"/>
          <w:b/>
        </w:rPr>
      </w:pPr>
    </w:p>
    <w:p w14:paraId="314380B0" w14:textId="46D54A08" w:rsidR="00B04651" w:rsidRDefault="00B04651" w:rsidP="00B04651">
      <w:pPr>
        <w:ind w:firstLine="720"/>
        <w:rPr>
          <w:rFonts w:ascii="Helvetica" w:hAnsi="Helvetica"/>
        </w:rPr>
      </w:pPr>
      <w:r w:rsidRPr="006652AC">
        <w:rPr>
          <w:rFonts w:ascii="Helvetica" w:hAnsi="Helvetica"/>
        </w:rPr>
        <w:t xml:space="preserve">Radiative Forcing Accounting Protocols </w:t>
      </w:r>
      <w:r w:rsidR="00562C39">
        <w:rPr>
          <w:rFonts w:ascii="Helvetica" w:hAnsi="Helvetica"/>
        </w:rPr>
        <w:t>are based solely on the IPCC AR</w:t>
      </w:r>
      <w:r w:rsidRPr="006652AC">
        <w:rPr>
          <w:rFonts w:ascii="Helvetica" w:hAnsi="Helvetica"/>
        </w:rPr>
        <w:t>5 Representative Concentration Pathway (RCP) analytical structure</w:t>
      </w:r>
      <w:r>
        <w:rPr>
          <w:rFonts w:ascii="Helvetica" w:hAnsi="Helvetica"/>
        </w:rPr>
        <w:t>,</w:t>
      </w:r>
      <w:r w:rsidRPr="006652AC">
        <w:rPr>
          <w:rFonts w:ascii="Helvetica" w:hAnsi="Helvetica"/>
        </w:rPr>
        <w:t xml:space="preserve"> and can be used to identify the major projected changes in forcing by pollutant. These protocols can shine a light on policies</w:t>
      </w:r>
      <w:r>
        <w:rPr>
          <w:rFonts w:ascii="Helvetica" w:hAnsi="Helvetica"/>
        </w:rPr>
        <w:t xml:space="preserve"> that</w:t>
      </w:r>
      <w:r w:rsidRPr="006652AC">
        <w:rPr>
          <w:rFonts w:ascii="Helvetica" w:hAnsi="Helvetica"/>
        </w:rPr>
        <w:t xml:space="preserve"> could help to stabilize global radiative forcing within the next 5-10 years.</w:t>
      </w:r>
      <w:r>
        <w:rPr>
          <w:rFonts w:ascii="Helvetica" w:hAnsi="Helvetica"/>
        </w:rPr>
        <w:t xml:space="preserve"> </w:t>
      </w:r>
      <w:r w:rsidRPr="006652AC">
        <w:rPr>
          <w:rFonts w:ascii="Helvetica" w:hAnsi="Helvetica"/>
        </w:rPr>
        <w:t>The importance of moving beyond the current annual GHG inventory footprint can be highlighted in Figure 1</w:t>
      </w:r>
      <w:r>
        <w:rPr>
          <w:rFonts w:ascii="Helvetica" w:hAnsi="Helvetica"/>
        </w:rPr>
        <w:t>, which</w:t>
      </w:r>
      <w:r w:rsidRPr="006652AC">
        <w:rPr>
          <w:rFonts w:ascii="Helvetica" w:hAnsi="Helvetica"/>
        </w:rPr>
        <w:t xml:space="preserve"> shows how misleading it can be to de</w:t>
      </w:r>
      <w:r>
        <w:rPr>
          <w:rFonts w:ascii="Helvetica" w:hAnsi="Helvetica"/>
        </w:rPr>
        <w:t xml:space="preserve">velop </w:t>
      </w:r>
      <w:r w:rsidRPr="006652AC">
        <w:rPr>
          <w:rFonts w:ascii="Helvetica" w:hAnsi="Helvetica"/>
        </w:rPr>
        <w:t xml:space="preserve">policies </w:t>
      </w:r>
      <w:r>
        <w:rPr>
          <w:rFonts w:ascii="Helvetica" w:hAnsi="Helvetica"/>
        </w:rPr>
        <w:t xml:space="preserve">based solely </w:t>
      </w:r>
      <w:r w:rsidRPr="006652AC">
        <w:rPr>
          <w:rFonts w:ascii="Helvetica" w:hAnsi="Helvetica"/>
        </w:rPr>
        <w:t>on consider</w:t>
      </w:r>
      <w:r>
        <w:rPr>
          <w:rFonts w:ascii="Helvetica" w:hAnsi="Helvetica"/>
        </w:rPr>
        <w:t>ation of</w:t>
      </w:r>
      <w:r w:rsidRPr="006652AC">
        <w:rPr>
          <w:rFonts w:ascii="Helvetica" w:hAnsi="Helvetica"/>
        </w:rPr>
        <w:t xml:space="preserve"> current annual emission rates, </w:t>
      </w:r>
      <w:r>
        <w:rPr>
          <w:rFonts w:ascii="Helvetica" w:hAnsi="Helvetica"/>
        </w:rPr>
        <w:t>without</w:t>
      </w:r>
      <w:r w:rsidRPr="006652AC">
        <w:rPr>
          <w:rFonts w:ascii="Helvetica" w:hAnsi="Helvetica"/>
        </w:rPr>
        <w:t xml:space="preserve"> considering the effect on radiative forcing from the long-term build up of CO</w:t>
      </w:r>
      <w:r w:rsidRPr="000E2698">
        <w:rPr>
          <w:rFonts w:ascii="Helvetica" w:hAnsi="Helvetica"/>
          <w:vertAlign w:val="subscript"/>
        </w:rPr>
        <w:t>2</w:t>
      </w:r>
      <w:r w:rsidRPr="006652AC">
        <w:rPr>
          <w:rFonts w:ascii="Helvetica" w:hAnsi="Helvetica"/>
        </w:rPr>
        <w:t xml:space="preserve"> linked to the state’s </w:t>
      </w:r>
      <w:r>
        <w:rPr>
          <w:rFonts w:ascii="Helvetica" w:hAnsi="Helvetica"/>
        </w:rPr>
        <w:t xml:space="preserve">historical </w:t>
      </w:r>
      <w:r w:rsidRPr="006652AC">
        <w:rPr>
          <w:rFonts w:ascii="Helvetica" w:hAnsi="Helvetica"/>
        </w:rPr>
        <w:t>activities.</w:t>
      </w:r>
      <w:r>
        <w:rPr>
          <w:rFonts w:ascii="Helvetica" w:hAnsi="Helvetica"/>
        </w:rPr>
        <w:t xml:space="preserve"> As shown in the figure, w</w:t>
      </w:r>
      <w:r w:rsidRPr="006652AC">
        <w:rPr>
          <w:rFonts w:ascii="Helvetica" w:hAnsi="Helvetica"/>
        </w:rPr>
        <w:t>hile the current stated annual emissions of CO</w:t>
      </w:r>
      <w:r w:rsidRPr="000E2698">
        <w:rPr>
          <w:rFonts w:ascii="Helvetica" w:hAnsi="Helvetica"/>
          <w:vertAlign w:val="subscript"/>
        </w:rPr>
        <w:t>2</w:t>
      </w:r>
      <w:r w:rsidRPr="006652AC">
        <w:rPr>
          <w:rFonts w:ascii="Helvetica" w:hAnsi="Helvetica"/>
        </w:rPr>
        <w:t xml:space="preserve"> in 2013 were 397 million tonnes, this does not represent the fact that, over the past few decades, over 12,000 million tonnes of CO</w:t>
      </w:r>
      <w:r w:rsidRPr="000E2698">
        <w:rPr>
          <w:rFonts w:ascii="Helvetica" w:hAnsi="Helvetica"/>
          <w:vertAlign w:val="subscript"/>
        </w:rPr>
        <w:t>2</w:t>
      </w:r>
      <w:r w:rsidRPr="006652AC">
        <w:rPr>
          <w:rFonts w:ascii="Helvetica" w:hAnsi="Helvetica"/>
        </w:rPr>
        <w:t xml:space="preserve"> have accumulated in the atmosphere. </w:t>
      </w:r>
    </w:p>
    <w:p w14:paraId="7F85FE07" w14:textId="77777777" w:rsidR="00562C39" w:rsidRPr="006652AC" w:rsidRDefault="00562C39" w:rsidP="00B04651">
      <w:pPr>
        <w:ind w:firstLine="720"/>
        <w:rPr>
          <w:rFonts w:ascii="Helvetica" w:hAnsi="Helvetica"/>
        </w:rPr>
      </w:pPr>
    </w:p>
    <w:p w14:paraId="05AC9D62" w14:textId="77777777" w:rsidR="00B04651" w:rsidRPr="006652AC" w:rsidRDefault="00B04651" w:rsidP="00B04651">
      <w:pPr>
        <w:rPr>
          <w:rFonts w:ascii="Helvetica" w:hAnsi="Helvetica"/>
        </w:rPr>
      </w:pPr>
      <w:r w:rsidRPr="006652AC">
        <w:rPr>
          <w:rFonts w:ascii="Helvetica" w:hAnsi="Helvetica"/>
          <w:noProof/>
        </w:rPr>
        <w:drawing>
          <wp:inline distT="0" distB="0" distL="0" distR="0" wp14:anchorId="23AA6FE9" wp14:editId="5C940C51">
            <wp:extent cx="5600700" cy="2822753"/>
            <wp:effectExtent l="0" t="0" r="12700" b="222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A1E69FB" w14:textId="77777777" w:rsidR="00B04651" w:rsidRPr="000E2698" w:rsidRDefault="00B04651" w:rsidP="00B04651">
      <w:pPr>
        <w:pStyle w:val="Caption"/>
        <w:ind w:left="360"/>
        <w:rPr>
          <w:rFonts w:ascii="Helvetica" w:hAnsi="Helvetica"/>
          <w:sz w:val="18"/>
        </w:rPr>
      </w:pPr>
      <w:r>
        <w:rPr>
          <w:rFonts w:ascii="Helvetica" w:hAnsi="Helvetica"/>
          <w:sz w:val="18"/>
        </w:rPr>
        <w:t>Table</w:t>
      </w:r>
      <w:r w:rsidRPr="000E2698">
        <w:rPr>
          <w:rFonts w:ascii="Helvetica" w:hAnsi="Helvetica"/>
          <w:sz w:val="18"/>
        </w:rPr>
        <w:t xml:space="preserve"> </w:t>
      </w:r>
      <w:r w:rsidRPr="000E2698">
        <w:rPr>
          <w:rFonts w:ascii="Helvetica" w:hAnsi="Helvetica"/>
          <w:sz w:val="18"/>
        </w:rPr>
        <w:fldChar w:fldCharType="begin"/>
      </w:r>
      <w:r w:rsidRPr="000E2698">
        <w:rPr>
          <w:rFonts w:ascii="Helvetica" w:hAnsi="Helvetica"/>
          <w:sz w:val="18"/>
        </w:rPr>
        <w:instrText xml:space="preserve"> SEQ Figure \* ARABIC </w:instrText>
      </w:r>
      <w:r w:rsidRPr="000E2698">
        <w:rPr>
          <w:rFonts w:ascii="Helvetica" w:hAnsi="Helvetica"/>
          <w:sz w:val="18"/>
        </w:rPr>
        <w:fldChar w:fldCharType="separate"/>
      </w:r>
      <w:r>
        <w:rPr>
          <w:rFonts w:ascii="Helvetica" w:hAnsi="Helvetica"/>
          <w:noProof/>
          <w:sz w:val="18"/>
        </w:rPr>
        <w:t>1</w:t>
      </w:r>
      <w:r w:rsidRPr="000E2698">
        <w:rPr>
          <w:rFonts w:ascii="Helvetica" w:hAnsi="Helvetica"/>
          <w:noProof/>
          <w:sz w:val="18"/>
        </w:rPr>
        <w:fldChar w:fldCharType="end"/>
      </w:r>
      <w:r w:rsidRPr="000E2698">
        <w:rPr>
          <w:rFonts w:ascii="Helvetica" w:hAnsi="Helvetica"/>
          <w:sz w:val="18"/>
        </w:rPr>
        <w:t>. The blue line shows how many million ton</w:t>
      </w:r>
      <w:r>
        <w:rPr>
          <w:rFonts w:ascii="Helvetica" w:hAnsi="Helvetica"/>
          <w:sz w:val="18"/>
        </w:rPr>
        <w:t>ne</w:t>
      </w:r>
      <w:r w:rsidRPr="000E2698">
        <w:rPr>
          <w:rFonts w:ascii="Helvetica" w:hAnsi="Helvetica"/>
          <w:sz w:val="18"/>
        </w:rPr>
        <w:t>s of CO</w:t>
      </w:r>
      <w:r w:rsidRPr="000E2698">
        <w:rPr>
          <w:rFonts w:ascii="Helvetica" w:hAnsi="Helvetica"/>
          <w:sz w:val="18"/>
          <w:vertAlign w:val="subscript"/>
        </w:rPr>
        <w:t>2</w:t>
      </w:r>
      <w:r w:rsidRPr="000E2698">
        <w:rPr>
          <w:rFonts w:ascii="Helvetica" w:hAnsi="Helvetica"/>
          <w:sz w:val="18"/>
        </w:rPr>
        <w:t xml:space="preserve"> remain in the atmosphere (starting from 1945 as zero), the red line shows the accumulated emission before decay over time. Due to data limitations, this figure only includes estimated emissions going back to 1945. The accumulated CO</w:t>
      </w:r>
      <w:r w:rsidRPr="000E2698">
        <w:rPr>
          <w:rFonts w:ascii="Helvetica" w:hAnsi="Helvetica"/>
          <w:sz w:val="18"/>
          <w:vertAlign w:val="subscript"/>
        </w:rPr>
        <w:t>2</w:t>
      </w:r>
      <w:r w:rsidRPr="000E2698">
        <w:rPr>
          <w:rFonts w:ascii="Helvetica" w:hAnsi="Helvetica"/>
          <w:sz w:val="18"/>
        </w:rPr>
        <w:t xml:space="preserve"> from emissions is likely higher due to emissions occurring prior to 1945.</w:t>
      </w:r>
    </w:p>
    <w:p w14:paraId="526F4CAD" w14:textId="59F35BE3" w:rsidR="00562C39" w:rsidRPr="006652AC" w:rsidRDefault="00B04651" w:rsidP="009550E7">
      <w:pPr>
        <w:ind w:firstLine="360"/>
        <w:rPr>
          <w:rFonts w:ascii="Helvetica" w:hAnsi="Helvetica"/>
        </w:rPr>
      </w:pPr>
      <w:r w:rsidRPr="006652AC">
        <w:rPr>
          <w:rFonts w:ascii="Helvetica" w:hAnsi="Helvetica"/>
        </w:rPr>
        <w:t xml:space="preserve">The IPCC AR 5 </w:t>
      </w:r>
      <w:r>
        <w:rPr>
          <w:rFonts w:ascii="Helvetica" w:hAnsi="Helvetica"/>
        </w:rPr>
        <w:t>identifies</w:t>
      </w:r>
      <w:r w:rsidRPr="006652AC">
        <w:rPr>
          <w:rFonts w:ascii="Helvetica" w:hAnsi="Helvetica"/>
        </w:rPr>
        <w:t xml:space="preserve"> the loss of coolants </w:t>
      </w:r>
      <w:r>
        <w:rPr>
          <w:rFonts w:ascii="Helvetica" w:hAnsi="Helvetica"/>
        </w:rPr>
        <w:t>a</w:t>
      </w:r>
      <w:r w:rsidRPr="006652AC">
        <w:rPr>
          <w:rFonts w:ascii="Helvetica" w:hAnsi="Helvetica"/>
        </w:rPr>
        <w:t xml:space="preserve">s an extremely important issues to factor into projected increases in global </w:t>
      </w:r>
      <w:r>
        <w:rPr>
          <w:rFonts w:ascii="Helvetica" w:hAnsi="Helvetica"/>
        </w:rPr>
        <w:t>r</w:t>
      </w:r>
      <w:r w:rsidRPr="006652AC">
        <w:rPr>
          <w:rFonts w:ascii="Helvetica" w:hAnsi="Helvetica"/>
        </w:rPr>
        <w:t xml:space="preserve">adiative </w:t>
      </w:r>
      <w:r>
        <w:rPr>
          <w:rFonts w:ascii="Helvetica" w:hAnsi="Helvetica"/>
        </w:rPr>
        <w:t>f</w:t>
      </w:r>
      <w:r w:rsidRPr="006652AC">
        <w:rPr>
          <w:rFonts w:ascii="Helvetica" w:hAnsi="Helvetica"/>
        </w:rPr>
        <w:t>orcing.</w:t>
      </w:r>
      <w:r>
        <w:rPr>
          <w:rFonts w:ascii="Helvetica" w:hAnsi="Helvetica"/>
        </w:rPr>
        <w:t xml:space="preserve"> </w:t>
      </w:r>
      <w:r w:rsidRPr="006652AC">
        <w:rPr>
          <w:rFonts w:ascii="Helvetica" w:hAnsi="Helvetica"/>
        </w:rPr>
        <w:t>Preliminary calculations indicate that the loss of coolants in California over the past 10 years exceeds 270 million tonnes of CO</w:t>
      </w:r>
      <w:r w:rsidRPr="00AB1453">
        <w:rPr>
          <w:rFonts w:ascii="Helvetica" w:hAnsi="Helvetica"/>
          <w:vertAlign w:val="subscript"/>
        </w:rPr>
        <w:t>2</w:t>
      </w:r>
      <w:r w:rsidRPr="006652AC">
        <w:rPr>
          <w:rFonts w:ascii="Helvetica" w:hAnsi="Helvetica"/>
        </w:rPr>
        <w:t>e. This is not considered in the current AB 32 policy, yet clearly needs to be factored into the overall mitigation obligation of the State of California.</w:t>
      </w:r>
      <w:r>
        <w:rPr>
          <w:rFonts w:ascii="Helvetica" w:hAnsi="Helvetica"/>
        </w:rPr>
        <w:t xml:space="preserve"> </w:t>
      </w:r>
      <w:bookmarkStart w:id="0" w:name="_GoBack"/>
      <w:bookmarkEnd w:id="0"/>
    </w:p>
    <w:p w14:paraId="74BA97A3" w14:textId="77777777" w:rsidR="00B04651" w:rsidRDefault="00B04651" w:rsidP="00562C39">
      <w:pPr>
        <w:ind w:firstLine="360"/>
        <w:rPr>
          <w:rFonts w:ascii="Helvetica" w:hAnsi="Helvetica"/>
        </w:rPr>
      </w:pPr>
      <w:r w:rsidRPr="006652AC">
        <w:rPr>
          <w:rFonts w:ascii="Helvetica" w:hAnsi="Helvetica"/>
        </w:rPr>
        <w:t>Lastly, California once had the greatest storage of biological carbon in term</w:t>
      </w:r>
      <w:r>
        <w:rPr>
          <w:rFonts w:ascii="Helvetica" w:hAnsi="Helvetica"/>
        </w:rPr>
        <w:t>s</w:t>
      </w:r>
      <w:r w:rsidRPr="006652AC">
        <w:rPr>
          <w:rFonts w:ascii="Helvetica" w:hAnsi="Helvetica"/>
        </w:rPr>
        <w:t xml:space="preserve"> of our ancient redwood forests</w:t>
      </w:r>
      <w:r>
        <w:rPr>
          <w:rFonts w:ascii="Helvetica" w:hAnsi="Helvetica"/>
        </w:rPr>
        <w:t>, which</w:t>
      </w:r>
      <w:r w:rsidRPr="006652AC">
        <w:rPr>
          <w:rFonts w:ascii="Helvetica" w:hAnsi="Helvetica"/>
        </w:rPr>
        <w:t xml:space="preserve"> represented over a billion tonnes of </w:t>
      </w:r>
      <w:r>
        <w:rPr>
          <w:rFonts w:ascii="Helvetica" w:hAnsi="Helvetica"/>
        </w:rPr>
        <w:t xml:space="preserve">stored </w:t>
      </w:r>
      <w:r w:rsidRPr="006652AC">
        <w:rPr>
          <w:rFonts w:ascii="Helvetica" w:hAnsi="Helvetica"/>
        </w:rPr>
        <w:t>CO</w:t>
      </w:r>
      <w:r w:rsidRPr="00AB1453">
        <w:rPr>
          <w:rFonts w:ascii="Helvetica" w:hAnsi="Helvetica"/>
          <w:vertAlign w:val="subscript"/>
        </w:rPr>
        <w:t>2</w:t>
      </w:r>
      <w:r w:rsidRPr="006652AC">
        <w:rPr>
          <w:rFonts w:ascii="Helvetica" w:hAnsi="Helvetica"/>
        </w:rPr>
        <w:t xml:space="preserve"> that could have continued to </w:t>
      </w:r>
      <w:r>
        <w:rPr>
          <w:rFonts w:ascii="Helvetica" w:hAnsi="Helvetica"/>
        </w:rPr>
        <w:t>be</w:t>
      </w:r>
      <w:r w:rsidRPr="006652AC">
        <w:rPr>
          <w:rFonts w:ascii="Helvetica" w:hAnsi="Helvetica"/>
        </w:rPr>
        <w:t xml:space="preserve"> s</w:t>
      </w:r>
      <w:r>
        <w:rPr>
          <w:rFonts w:ascii="Helvetica" w:hAnsi="Helvetica"/>
        </w:rPr>
        <w:t>equestered</w:t>
      </w:r>
      <w:r w:rsidRPr="006652AC">
        <w:rPr>
          <w:rFonts w:ascii="Helvetica" w:hAnsi="Helvetica"/>
        </w:rPr>
        <w:t xml:space="preserve"> for thousand of years.</w:t>
      </w:r>
      <w:r>
        <w:rPr>
          <w:rFonts w:ascii="Helvetica" w:hAnsi="Helvetica"/>
        </w:rPr>
        <w:t xml:space="preserve"> </w:t>
      </w:r>
      <w:r w:rsidRPr="006652AC">
        <w:rPr>
          <w:rFonts w:ascii="Helvetica" w:hAnsi="Helvetica"/>
        </w:rPr>
        <w:t>California was a legal entity at the time of the destruction of this forest system</w:t>
      </w:r>
      <w:r>
        <w:rPr>
          <w:rFonts w:ascii="Helvetica" w:hAnsi="Helvetica"/>
        </w:rPr>
        <w:t>,</w:t>
      </w:r>
      <w:r w:rsidRPr="006652AC">
        <w:rPr>
          <w:rFonts w:ascii="Helvetica" w:hAnsi="Helvetica"/>
        </w:rPr>
        <w:t xml:space="preserve"> and therefore </w:t>
      </w:r>
      <w:r>
        <w:rPr>
          <w:rFonts w:ascii="Helvetica" w:hAnsi="Helvetica"/>
        </w:rPr>
        <w:t>has</w:t>
      </w:r>
      <w:r w:rsidRPr="006652AC">
        <w:rPr>
          <w:rFonts w:ascii="Helvetica" w:hAnsi="Helvetica"/>
        </w:rPr>
        <w:t xml:space="preserve"> responsibility for this huge loss in carbon storage an</w:t>
      </w:r>
      <w:r>
        <w:rPr>
          <w:rFonts w:ascii="Helvetica" w:hAnsi="Helvetica"/>
        </w:rPr>
        <w:t>d the</w:t>
      </w:r>
      <w:r w:rsidRPr="006652AC">
        <w:rPr>
          <w:rFonts w:ascii="Helvetica" w:hAnsi="Helvetica"/>
        </w:rPr>
        <w:t xml:space="preserve"> ensuing increase in radiative forcing (Figure </w:t>
      </w:r>
      <w:r>
        <w:rPr>
          <w:rFonts w:ascii="Helvetica" w:hAnsi="Helvetica"/>
        </w:rPr>
        <w:t>1</w:t>
      </w:r>
      <w:r w:rsidRPr="006652AC">
        <w:rPr>
          <w:rFonts w:ascii="Helvetica" w:hAnsi="Helvetica"/>
        </w:rPr>
        <w:t>). The loss of carbon storage from other previously forested parts of the state represents another significant loss</w:t>
      </w:r>
      <w:r>
        <w:rPr>
          <w:rFonts w:ascii="Helvetica" w:hAnsi="Helvetica"/>
        </w:rPr>
        <w:t xml:space="preserve"> in</w:t>
      </w:r>
      <w:r w:rsidRPr="006652AC">
        <w:rPr>
          <w:rFonts w:ascii="Helvetica" w:hAnsi="Helvetica"/>
        </w:rPr>
        <w:t xml:space="preserve"> carbon storage.</w:t>
      </w:r>
      <w:r>
        <w:rPr>
          <w:rFonts w:ascii="Helvetica" w:hAnsi="Helvetica"/>
        </w:rPr>
        <w:t xml:space="preserve"> </w:t>
      </w:r>
      <w:r w:rsidRPr="006652AC">
        <w:rPr>
          <w:rFonts w:ascii="Helvetica" w:hAnsi="Helvetica"/>
        </w:rPr>
        <w:t>In total, the reductions in extent and integrity of forests in California contributed roughly between 3 and 4 billion ton</w:t>
      </w:r>
      <w:r>
        <w:rPr>
          <w:rFonts w:ascii="Helvetica" w:hAnsi="Helvetica"/>
        </w:rPr>
        <w:t>ne</w:t>
      </w:r>
      <w:r w:rsidRPr="006652AC">
        <w:rPr>
          <w:rFonts w:ascii="Helvetica" w:hAnsi="Helvetica"/>
        </w:rPr>
        <w:t>s of CO</w:t>
      </w:r>
      <w:r w:rsidRPr="00AB1453">
        <w:rPr>
          <w:rFonts w:ascii="Helvetica" w:hAnsi="Helvetica"/>
          <w:vertAlign w:val="subscript"/>
        </w:rPr>
        <w:t>2</w:t>
      </w:r>
      <w:r w:rsidRPr="006652AC">
        <w:rPr>
          <w:rFonts w:ascii="Helvetica" w:hAnsi="Helvetica"/>
        </w:rPr>
        <w:t xml:space="preserve"> to the atmosphere. (This </w:t>
      </w:r>
      <w:r>
        <w:rPr>
          <w:rFonts w:ascii="Helvetica" w:hAnsi="Helvetica"/>
        </w:rPr>
        <w:t xml:space="preserve">calculation </w:t>
      </w:r>
      <w:r w:rsidRPr="006652AC">
        <w:rPr>
          <w:rFonts w:ascii="Helvetica" w:hAnsi="Helvetica"/>
        </w:rPr>
        <w:t>only includes above</w:t>
      </w:r>
      <w:r>
        <w:rPr>
          <w:rFonts w:ascii="Helvetica" w:hAnsi="Helvetica"/>
        </w:rPr>
        <w:t>-</w:t>
      </w:r>
      <w:r w:rsidRPr="006652AC">
        <w:rPr>
          <w:rFonts w:ascii="Helvetica" w:hAnsi="Helvetica"/>
        </w:rPr>
        <w:t>ground carbon storage – if below</w:t>
      </w:r>
      <w:r>
        <w:rPr>
          <w:rFonts w:ascii="Helvetica" w:hAnsi="Helvetica"/>
        </w:rPr>
        <w:t>-</w:t>
      </w:r>
      <w:r w:rsidRPr="006652AC">
        <w:rPr>
          <w:rFonts w:ascii="Helvetica" w:hAnsi="Helvetica"/>
        </w:rPr>
        <w:t>ground changes were included, this amount could be substantially higher.)</w:t>
      </w:r>
    </w:p>
    <w:p w14:paraId="12DD65B0" w14:textId="77777777" w:rsidR="00562C39" w:rsidRPr="006652AC" w:rsidRDefault="00562C39" w:rsidP="00B04651">
      <w:pPr>
        <w:rPr>
          <w:rFonts w:ascii="Helvetica" w:hAnsi="Helvetica"/>
        </w:rPr>
      </w:pPr>
    </w:p>
    <w:p w14:paraId="35583250" w14:textId="77777777" w:rsidR="00B04651" w:rsidRPr="006652AC" w:rsidRDefault="00B04651" w:rsidP="00B04651">
      <w:pPr>
        <w:keepNext/>
        <w:rPr>
          <w:rFonts w:ascii="Helvetica" w:hAnsi="Helvetica"/>
        </w:rPr>
      </w:pPr>
      <w:r w:rsidRPr="006652AC">
        <w:rPr>
          <w:rFonts w:ascii="Helvetica" w:hAnsi="Helvetica"/>
          <w:noProof/>
        </w:rPr>
        <w:drawing>
          <wp:inline distT="0" distB="0" distL="0" distR="0" wp14:anchorId="36A974FD" wp14:editId="1DF9E787">
            <wp:extent cx="5486400" cy="3408426"/>
            <wp:effectExtent l="0" t="0" r="0" b="1905"/>
            <wp:docPr id="5" name="Picture 5" descr="C:\Users\TOBIAS~1.SCH\AppData\Local\Temp\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OBIAS~1.SCH\AppData\Local\Temp\Image.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6400" cy="3408426"/>
                    </a:xfrm>
                    <a:prstGeom prst="rect">
                      <a:avLst/>
                    </a:prstGeom>
                    <a:noFill/>
                    <a:ln>
                      <a:noFill/>
                    </a:ln>
                  </pic:spPr>
                </pic:pic>
              </a:graphicData>
            </a:graphic>
          </wp:inline>
        </w:drawing>
      </w:r>
    </w:p>
    <w:p w14:paraId="138F08B2" w14:textId="77777777" w:rsidR="00B04651" w:rsidRPr="00AB1453" w:rsidRDefault="00B04651" w:rsidP="00B04651">
      <w:pPr>
        <w:pStyle w:val="Caption"/>
        <w:rPr>
          <w:rFonts w:ascii="Helvetica" w:hAnsi="Helvetica"/>
          <w:sz w:val="18"/>
        </w:rPr>
      </w:pPr>
      <w:r w:rsidRPr="00AB1453">
        <w:rPr>
          <w:rFonts w:ascii="Helvetica" w:hAnsi="Helvetica"/>
          <w:sz w:val="18"/>
        </w:rPr>
        <w:t>Figure 1. Primary forest in the US from preindustrial times to today. Primary forests in California have been almost completely removed.</w:t>
      </w:r>
      <w:r w:rsidRPr="00AB1453">
        <w:rPr>
          <w:rStyle w:val="FootnoteReference"/>
          <w:rFonts w:ascii="Helvetica" w:hAnsi="Helvetica"/>
          <w:sz w:val="18"/>
        </w:rPr>
        <w:footnoteReference w:id="1"/>
      </w:r>
      <w:r w:rsidRPr="00AB1453">
        <w:rPr>
          <w:rFonts w:ascii="Helvetica" w:hAnsi="Helvetica"/>
          <w:sz w:val="18"/>
        </w:rPr>
        <w:t xml:space="preserve"> For example, according to WWF, only 4% of the original extent of redwood forests remain in California.</w:t>
      </w:r>
      <w:r w:rsidRPr="00AB1453">
        <w:rPr>
          <w:rStyle w:val="FootnoteReference"/>
          <w:rFonts w:ascii="Helvetica" w:hAnsi="Helvetica"/>
          <w:sz w:val="18"/>
        </w:rPr>
        <w:footnoteReference w:id="2"/>
      </w:r>
      <w:r w:rsidRPr="00AB1453">
        <w:rPr>
          <w:rFonts w:ascii="Helvetica" w:hAnsi="Helvetica"/>
          <w:sz w:val="18"/>
        </w:rPr>
        <w:t xml:space="preserve"> </w:t>
      </w:r>
    </w:p>
    <w:p w14:paraId="714D6223" w14:textId="77777777" w:rsidR="00B04651" w:rsidRPr="006652AC" w:rsidRDefault="00B04651" w:rsidP="00B04651">
      <w:pPr>
        <w:ind w:firstLine="720"/>
        <w:rPr>
          <w:rFonts w:ascii="Helvetica" w:hAnsi="Helvetica"/>
        </w:rPr>
      </w:pPr>
      <w:r w:rsidRPr="006652AC">
        <w:rPr>
          <w:rFonts w:ascii="Helvetica" w:hAnsi="Helvetica"/>
        </w:rPr>
        <w:t xml:space="preserve">When these factors, as well as the build up of </w:t>
      </w:r>
      <w:r>
        <w:rPr>
          <w:rFonts w:ascii="Helvetica" w:hAnsi="Helvetica"/>
        </w:rPr>
        <w:t>m</w:t>
      </w:r>
      <w:r w:rsidRPr="006652AC">
        <w:rPr>
          <w:rFonts w:ascii="Helvetica" w:hAnsi="Helvetica"/>
        </w:rPr>
        <w:t>ethane and N</w:t>
      </w:r>
      <w:r w:rsidRPr="00AB1453">
        <w:rPr>
          <w:rFonts w:ascii="Helvetica" w:hAnsi="Helvetica"/>
          <w:vertAlign w:val="subscript"/>
        </w:rPr>
        <w:t>2</w:t>
      </w:r>
      <w:r w:rsidRPr="006652AC">
        <w:rPr>
          <w:rFonts w:ascii="Helvetica" w:hAnsi="Helvetica"/>
        </w:rPr>
        <w:t>O, are added to the state</w:t>
      </w:r>
      <w:r>
        <w:rPr>
          <w:rFonts w:ascii="Helvetica" w:hAnsi="Helvetica"/>
        </w:rPr>
        <w:t>’s</w:t>
      </w:r>
      <w:r w:rsidRPr="006652AC">
        <w:rPr>
          <w:rFonts w:ascii="Helvetica" w:hAnsi="Helvetica"/>
        </w:rPr>
        <w:t xml:space="preserve"> contribution to the RCP</w:t>
      </w:r>
      <w:r>
        <w:rPr>
          <w:rFonts w:ascii="Helvetica" w:hAnsi="Helvetica"/>
        </w:rPr>
        <w:t>, the total</w:t>
      </w:r>
      <w:r w:rsidRPr="006652AC">
        <w:rPr>
          <w:rFonts w:ascii="Helvetica" w:hAnsi="Helvetica"/>
        </w:rPr>
        <w:t xml:space="preserve"> exceeds 20 billion tonnes CO</w:t>
      </w:r>
      <w:r w:rsidRPr="00AB1453">
        <w:rPr>
          <w:rFonts w:ascii="Helvetica" w:hAnsi="Helvetica"/>
          <w:vertAlign w:val="subscript"/>
        </w:rPr>
        <w:t>2</w:t>
      </w:r>
      <w:r w:rsidRPr="006652AC">
        <w:rPr>
          <w:rFonts w:ascii="Helvetica" w:hAnsi="Helvetica"/>
        </w:rPr>
        <w:t xml:space="preserve">e (Figure </w:t>
      </w:r>
      <w:r>
        <w:rPr>
          <w:rFonts w:ascii="Helvetica" w:hAnsi="Helvetica"/>
        </w:rPr>
        <w:t>2 and Table 2</w:t>
      </w:r>
      <w:r w:rsidRPr="006652AC">
        <w:rPr>
          <w:rFonts w:ascii="Helvetica" w:hAnsi="Helvetica"/>
        </w:rPr>
        <w:t>).</w:t>
      </w:r>
      <w:r>
        <w:rPr>
          <w:rFonts w:ascii="Helvetica" w:hAnsi="Helvetica"/>
        </w:rPr>
        <w:t xml:space="preserve"> </w:t>
      </w:r>
    </w:p>
    <w:p w14:paraId="40BAD1E0" w14:textId="77777777" w:rsidR="00B04651" w:rsidRPr="006652AC" w:rsidRDefault="00B04651" w:rsidP="00B04651">
      <w:pPr>
        <w:rPr>
          <w:rFonts w:ascii="Helvetica" w:hAnsi="Helvetica"/>
        </w:rPr>
      </w:pPr>
    </w:p>
    <w:p w14:paraId="5A124D46" w14:textId="77777777" w:rsidR="00B04651" w:rsidRPr="006652AC" w:rsidRDefault="00B04651" w:rsidP="00B04651">
      <w:pPr>
        <w:ind w:firstLine="720"/>
        <w:rPr>
          <w:rFonts w:ascii="Helvetica" w:hAnsi="Helvetica"/>
        </w:rPr>
      </w:pPr>
    </w:p>
    <w:p w14:paraId="0B2B5A8A" w14:textId="77777777" w:rsidR="00B04651" w:rsidRPr="006652AC" w:rsidRDefault="00B04651" w:rsidP="00B04651">
      <w:pPr>
        <w:rPr>
          <w:rFonts w:ascii="Helvetica" w:hAnsi="Helvetica"/>
          <w:noProof/>
        </w:rPr>
      </w:pPr>
      <w:r w:rsidRPr="006652AC">
        <w:rPr>
          <w:rFonts w:ascii="Helvetica" w:hAnsi="Helvetica"/>
        </w:rPr>
        <w:t>(a)</w:t>
      </w:r>
      <w:r w:rsidRPr="006652AC">
        <w:rPr>
          <w:rFonts w:ascii="Helvetica" w:hAnsi="Helvetica"/>
          <w:noProof/>
        </w:rPr>
        <w:drawing>
          <wp:inline distT="0" distB="0" distL="0" distR="0" wp14:anchorId="1733E2D0" wp14:editId="3C9104F4">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6652AC">
        <w:rPr>
          <w:rFonts w:ascii="Helvetica" w:hAnsi="Helvetica"/>
        </w:rPr>
        <w:br/>
        <w:t>(b)</w:t>
      </w:r>
      <w:r w:rsidRPr="006652AC">
        <w:rPr>
          <w:rFonts w:ascii="Helvetica" w:hAnsi="Helvetica"/>
          <w:noProof/>
        </w:rPr>
        <w:t xml:space="preserve"> </w:t>
      </w:r>
      <w:r w:rsidRPr="006652AC">
        <w:rPr>
          <w:rFonts w:ascii="Helvetica" w:hAnsi="Helvetica"/>
          <w:noProof/>
        </w:rPr>
        <w:drawing>
          <wp:inline distT="0" distB="0" distL="0" distR="0" wp14:anchorId="2277D1BE" wp14:editId="69B63C57">
            <wp:extent cx="457200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292C66F" w14:textId="77777777" w:rsidR="00562C39" w:rsidRDefault="00562C39" w:rsidP="00B04651">
      <w:pPr>
        <w:pStyle w:val="Caption"/>
        <w:rPr>
          <w:rFonts w:ascii="Helvetica" w:hAnsi="Helvetica"/>
          <w:sz w:val="18"/>
        </w:rPr>
      </w:pPr>
    </w:p>
    <w:p w14:paraId="193D0706" w14:textId="77777777" w:rsidR="00B04651" w:rsidRPr="00AB1453" w:rsidRDefault="00B04651" w:rsidP="00B04651">
      <w:pPr>
        <w:pStyle w:val="Caption"/>
        <w:rPr>
          <w:rFonts w:ascii="Helvetica" w:hAnsi="Helvetica"/>
          <w:sz w:val="18"/>
        </w:rPr>
      </w:pPr>
      <w:r w:rsidRPr="00AB1453">
        <w:rPr>
          <w:rFonts w:ascii="Helvetica" w:hAnsi="Helvetica"/>
          <w:sz w:val="18"/>
        </w:rPr>
        <w:t xml:space="preserve">Figure </w:t>
      </w:r>
      <w:r>
        <w:rPr>
          <w:rFonts w:ascii="Helvetica" w:hAnsi="Helvetica"/>
          <w:sz w:val="18"/>
        </w:rPr>
        <w:t>2</w:t>
      </w:r>
      <w:r w:rsidRPr="00AB1453">
        <w:rPr>
          <w:rFonts w:ascii="Helvetica" w:hAnsi="Helvetica"/>
          <w:sz w:val="18"/>
        </w:rPr>
        <w:t>. California’s contribution to the Representative Concentration Pathway from 2000-2013. (A) The contribution in units of mW</w:t>
      </w:r>
      <w:r>
        <w:rPr>
          <w:rFonts w:ascii="Helvetica" w:hAnsi="Helvetica"/>
          <w:sz w:val="18"/>
        </w:rPr>
        <w:t>/</w:t>
      </w:r>
      <w:r w:rsidRPr="00AB1453">
        <w:rPr>
          <w:rFonts w:ascii="Helvetica" w:hAnsi="Helvetica"/>
          <w:sz w:val="18"/>
        </w:rPr>
        <w:t>m</w:t>
      </w:r>
      <w:r w:rsidRPr="00A6475E">
        <w:rPr>
          <w:rFonts w:ascii="Helvetica" w:hAnsi="Helvetica"/>
          <w:sz w:val="18"/>
          <w:vertAlign w:val="superscript"/>
        </w:rPr>
        <w:t>2</w:t>
      </w:r>
      <w:r w:rsidRPr="00AB1453">
        <w:rPr>
          <w:rFonts w:ascii="Helvetica" w:hAnsi="Helvetica"/>
          <w:sz w:val="18"/>
        </w:rPr>
        <w:t>. (B) The contribution in CO</w:t>
      </w:r>
      <w:r w:rsidRPr="00A6475E">
        <w:rPr>
          <w:rFonts w:ascii="Helvetica" w:hAnsi="Helvetica"/>
          <w:sz w:val="18"/>
          <w:vertAlign w:val="subscript"/>
        </w:rPr>
        <w:t>2</w:t>
      </w:r>
      <w:r w:rsidRPr="00AB1453">
        <w:rPr>
          <w:rFonts w:ascii="Helvetica" w:hAnsi="Helvetica"/>
          <w:sz w:val="18"/>
        </w:rPr>
        <w:t>e, using the CO</w:t>
      </w:r>
      <w:r w:rsidRPr="00AB1453">
        <w:rPr>
          <w:rFonts w:ascii="Helvetica" w:hAnsi="Helvetica"/>
          <w:sz w:val="18"/>
          <w:vertAlign w:val="subscript"/>
        </w:rPr>
        <w:t>2</w:t>
      </w:r>
      <w:r w:rsidRPr="00AB1453">
        <w:rPr>
          <w:rFonts w:ascii="Helvetica" w:hAnsi="Helvetica"/>
          <w:sz w:val="18"/>
        </w:rPr>
        <w:t xml:space="preserve"> radiative efficiency from the IPCC Fifth Assessment Report (0.001772 mW</w:t>
      </w:r>
      <w:r>
        <w:rPr>
          <w:rFonts w:ascii="Helvetica" w:hAnsi="Helvetica"/>
          <w:sz w:val="18"/>
        </w:rPr>
        <w:t>/</w:t>
      </w:r>
      <w:r w:rsidRPr="00AB1453">
        <w:rPr>
          <w:rFonts w:ascii="Helvetica" w:hAnsi="Helvetica"/>
          <w:sz w:val="18"/>
        </w:rPr>
        <w:t>m</w:t>
      </w:r>
      <w:r w:rsidRPr="00AB1453">
        <w:rPr>
          <w:rFonts w:ascii="Helvetica" w:hAnsi="Helvetica"/>
          <w:sz w:val="18"/>
          <w:vertAlign w:val="superscript"/>
        </w:rPr>
        <w:t>2</w:t>
      </w:r>
      <w:r w:rsidRPr="00AB1453">
        <w:rPr>
          <w:rFonts w:ascii="Helvetica" w:hAnsi="Helvetica"/>
          <w:sz w:val="18"/>
        </w:rPr>
        <w:t xml:space="preserve"> per million tons CO</w:t>
      </w:r>
      <w:r w:rsidRPr="00AB1453">
        <w:rPr>
          <w:rFonts w:ascii="Helvetica" w:hAnsi="Helvetica"/>
          <w:sz w:val="18"/>
          <w:vertAlign w:val="subscript"/>
        </w:rPr>
        <w:t>2</w:t>
      </w:r>
      <w:r w:rsidRPr="00AB1453">
        <w:rPr>
          <w:rFonts w:ascii="Helvetica" w:hAnsi="Helvetica"/>
          <w:sz w:val="18"/>
        </w:rPr>
        <w:t>). These results are based on extrapolation of data from the California GHG Inventory, first collected in 1990. CO</w:t>
      </w:r>
      <w:r w:rsidRPr="00AB1453">
        <w:rPr>
          <w:rFonts w:ascii="Helvetica" w:hAnsi="Helvetica"/>
          <w:sz w:val="18"/>
          <w:vertAlign w:val="subscript"/>
        </w:rPr>
        <w:t>2</w:t>
      </w:r>
      <w:r w:rsidRPr="00AB1453">
        <w:rPr>
          <w:rFonts w:ascii="Helvetica" w:hAnsi="Helvetica"/>
          <w:sz w:val="18"/>
        </w:rPr>
        <w:t xml:space="preserve"> emissions before 1945 are not included. If they were included, the result would be higher.</w:t>
      </w:r>
    </w:p>
    <w:p w14:paraId="55432F12" w14:textId="77777777" w:rsidR="00B04651" w:rsidRDefault="00B04651" w:rsidP="00B04651">
      <w:pPr>
        <w:rPr>
          <w:rFonts w:ascii="Helvetica" w:hAnsi="Helvetica"/>
        </w:rPr>
      </w:pPr>
      <w:r>
        <w:rPr>
          <w:rFonts w:ascii="Helvetica" w:hAnsi="Helvetica"/>
        </w:rPr>
        <w:br w:type="page"/>
      </w:r>
    </w:p>
    <w:tbl>
      <w:tblPr>
        <w:tblStyle w:val="ListTable1Light"/>
        <w:tblW w:w="7805" w:type="dxa"/>
        <w:tblLook w:val="04A0" w:firstRow="1" w:lastRow="0" w:firstColumn="1" w:lastColumn="0" w:noHBand="0" w:noVBand="1"/>
      </w:tblPr>
      <w:tblGrid>
        <w:gridCol w:w="600"/>
        <w:gridCol w:w="719"/>
        <w:gridCol w:w="718"/>
        <w:gridCol w:w="626"/>
        <w:gridCol w:w="626"/>
        <w:gridCol w:w="626"/>
        <w:gridCol w:w="600"/>
        <w:gridCol w:w="600"/>
        <w:gridCol w:w="600"/>
        <w:gridCol w:w="626"/>
        <w:gridCol w:w="600"/>
        <w:gridCol w:w="864"/>
      </w:tblGrid>
      <w:tr w:rsidR="00B04651" w:rsidRPr="00FA0DD7" w14:paraId="58042073" w14:textId="77777777" w:rsidTr="00562C39">
        <w:trPr>
          <w:cnfStyle w:val="100000000000" w:firstRow="1" w:lastRow="0" w:firstColumn="0" w:lastColumn="0" w:oddVBand="0" w:evenVBand="0" w:oddHBand="0" w:evenHBand="0" w:firstRowFirstColumn="0" w:firstRowLastColumn="0" w:lastRowFirstColumn="0" w:lastRowLastColumn="0"/>
          <w:cantSplit/>
          <w:trHeight w:val="1440"/>
        </w:trPr>
        <w:tc>
          <w:tcPr>
            <w:cnfStyle w:val="001000000000" w:firstRow="0" w:lastRow="0" w:firstColumn="1" w:lastColumn="0" w:oddVBand="0" w:evenVBand="0" w:oddHBand="0" w:evenHBand="0" w:firstRowFirstColumn="0" w:firstRowLastColumn="0" w:lastRowFirstColumn="0" w:lastRowLastColumn="0"/>
            <w:tcW w:w="600" w:type="dxa"/>
            <w:textDirection w:val="btLr"/>
            <w:vAlign w:val="center"/>
            <w:hideMark/>
          </w:tcPr>
          <w:p w14:paraId="0D71A0BB" w14:textId="77777777" w:rsidR="00B04651" w:rsidRPr="00FA0DD7" w:rsidRDefault="00B04651" w:rsidP="00562C39">
            <w:pPr>
              <w:rPr>
                <w:rFonts w:ascii="Calibri" w:eastAsia="Times New Roman" w:hAnsi="Calibri" w:cs="Times New Roman"/>
                <w:color w:val="000000"/>
                <w:sz w:val="20"/>
                <w:szCs w:val="18"/>
              </w:rPr>
            </w:pPr>
            <w:r w:rsidRPr="00FA0DD7">
              <w:rPr>
                <w:rFonts w:ascii="Calibri" w:eastAsia="Times New Roman" w:hAnsi="Calibri" w:cs="Times New Roman"/>
                <w:color w:val="000000"/>
                <w:sz w:val="20"/>
                <w:szCs w:val="18"/>
              </w:rPr>
              <w:t>Year</w:t>
            </w:r>
          </w:p>
        </w:tc>
        <w:tc>
          <w:tcPr>
            <w:tcW w:w="719" w:type="dxa"/>
            <w:textDirection w:val="btLr"/>
            <w:vAlign w:val="center"/>
            <w:hideMark/>
          </w:tcPr>
          <w:p w14:paraId="5B2FDB95" w14:textId="77777777" w:rsidR="00B04651" w:rsidRPr="00FA0DD7" w:rsidRDefault="00B04651" w:rsidP="00562C39">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18"/>
                <w:u w:val="single"/>
              </w:rPr>
            </w:pPr>
            <w:r w:rsidRPr="00FA0DD7">
              <w:rPr>
                <w:rFonts w:ascii="Calibri" w:eastAsia="Times New Roman" w:hAnsi="Calibri" w:cs="Times New Roman"/>
                <w:color w:val="000000"/>
                <w:sz w:val="20"/>
                <w:szCs w:val="18"/>
                <w:u w:val="single"/>
              </w:rPr>
              <w:t>TOTAL</w:t>
            </w:r>
          </w:p>
        </w:tc>
        <w:tc>
          <w:tcPr>
            <w:tcW w:w="718" w:type="dxa"/>
            <w:textDirection w:val="btLr"/>
            <w:vAlign w:val="center"/>
            <w:hideMark/>
          </w:tcPr>
          <w:p w14:paraId="5607BF11" w14:textId="77777777" w:rsidR="00B04651" w:rsidRPr="00FA0DD7" w:rsidRDefault="00B04651" w:rsidP="00562C39">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18"/>
              </w:rPr>
            </w:pPr>
            <w:r w:rsidRPr="00FA0DD7">
              <w:rPr>
                <w:rFonts w:ascii="Calibri" w:eastAsia="Times New Roman" w:hAnsi="Calibri" w:cs="Times New Roman"/>
                <w:color w:val="000000"/>
                <w:sz w:val="20"/>
                <w:szCs w:val="18"/>
              </w:rPr>
              <w:t>CO2</w:t>
            </w:r>
          </w:p>
        </w:tc>
        <w:tc>
          <w:tcPr>
            <w:tcW w:w="626" w:type="dxa"/>
            <w:textDirection w:val="btLr"/>
            <w:vAlign w:val="center"/>
            <w:hideMark/>
          </w:tcPr>
          <w:p w14:paraId="0239C426" w14:textId="77777777" w:rsidR="00B04651" w:rsidRPr="00FA0DD7" w:rsidRDefault="00B04651" w:rsidP="00562C39">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18"/>
              </w:rPr>
            </w:pPr>
            <w:r w:rsidRPr="00FA0DD7">
              <w:rPr>
                <w:rFonts w:ascii="Calibri" w:eastAsia="Times New Roman" w:hAnsi="Calibri" w:cs="Times New Roman"/>
                <w:color w:val="000000"/>
                <w:sz w:val="20"/>
                <w:szCs w:val="18"/>
              </w:rPr>
              <w:t>Historic deforestation</w:t>
            </w:r>
          </w:p>
        </w:tc>
        <w:tc>
          <w:tcPr>
            <w:tcW w:w="626" w:type="dxa"/>
            <w:textDirection w:val="btLr"/>
            <w:vAlign w:val="center"/>
            <w:hideMark/>
          </w:tcPr>
          <w:p w14:paraId="7D269887" w14:textId="77777777" w:rsidR="00B04651" w:rsidRPr="00FA0DD7" w:rsidRDefault="00B04651" w:rsidP="00562C39">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18"/>
              </w:rPr>
            </w:pPr>
            <w:r w:rsidRPr="00FA0DD7">
              <w:rPr>
                <w:rFonts w:ascii="Calibri" w:eastAsia="Times New Roman" w:hAnsi="Calibri" w:cs="Times New Roman"/>
                <w:color w:val="000000"/>
                <w:sz w:val="20"/>
                <w:szCs w:val="18"/>
              </w:rPr>
              <w:t>Historic forest degradation</w:t>
            </w:r>
          </w:p>
        </w:tc>
        <w:tc>
          <w:tcPr>
            <w:tcW w:w="626" w:type="dxa"/>
            <w:textDirection w:val="btLr"/>
            <w:vAlign w:val="center"/>
            <w:hideMark/>
          </w:tcPr>
          <w:p w14:paraId="4CB67220" w14:textId="77777777" w:rsidR="00B04651" w:rsidRPr="00FA0DD7" w:rsidRDefault="00B04651" w:rsidP="00562C39">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18"/>
              </w:rPr>
            </w:pPr>
            <w:r w:rsidRPr="00FA0DD7">
              <w:rPr>
                <w:rFonts w:ascii="Calibri" w:eastAsia="Times New Roman" w:hAnsi="Calibri" w:cs="Times New Roman"/>
                <w:color w:val="000000"/>
                <w:sz w:val="20"/>
                <w:szCs w:val="18"/>
              </w:rPr>
              <w:t>CH4</w:t>
            </w:r>
          </w:p>
        </w:tc>
        <w:tc>
          <w:tcPr>
            <w:tcW w:w="600" w:type="dxa"/>
            <w:textDirection w:val="btLr"/>
            <w:vAlign w:val="center"/>
            <w:hideMark/>
          </w:tcPr>
          <w:p w14:paraId="0E450294" w14:textId="77777777" w:rsidR="00B04651" w:rsidRPr="00FA0DD7" w:rsidRDefault="00B04651" w:rsidP="00562C39">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18"/>
              </w:rPr>
            </w:pPr>
            <w:r w:rsidRPr="00FA0DD7">
              <w:rPr>
                <w:rFonts w:ascii="Calibri" w:eastAsia="Times New Roman" w:hAnsi="Calibri" w:cs="Times New Roman"/>
                <w:color w:val="000000"/>
                <w:sz w:val="20"/>
                <w:szCs w:val="18"/>
              </w:rPr>
              <w:t>N2O</w:t>
            </w:r>
          </w:p>
        </w:tc>
        <w:tc>
          <w:tcPr>
            <w:tcW w:w="600" w:type="dxa"/>
            <w:textDirection w:val="btLr"/>
            <w:vAlign w:val="center"/>
            <w:hideMark/>
          </w:tcPr>
          <w:p w14:paraId="0880B026" w14:textId="77777777" w:rsidR="00B04651" w:rsidRPr="00FA0DD7" w:rsidRDefault="00B04651" w:rsidP="00562C39">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18"/>
              </w:rPr>
            </w:pPr>
            <w:r w:rsidRPr="00FA0DD7">
              <w:rPr>
                <w:rFonts w:ascii="Calibri" w:eastAsia="Times New Roman" w:hAnsi="Calibri" w:cs="Times New Roman"/>
                <w:color w:val="000000"/>
                <w:sz w:val="20"/>
                <w:szCs w:val="18"/>
              </w:rPr>
              <w:t>SO2</w:t>
            </w:r>
          </w:p>
        </w:tc>
        <w:tc>
          <w:tcPr>
            <w:tcW w:w="600" w:type="dxa"/>
            <w:textDirection w:val="btLr"/>
            <w:vAlign w:val="center"/>
            <w:hideMark/>
          </w:tcPr>
          <w:p w14:paraId="4BF2671D" w14:textId="77777777" w:rsidR="00B04651" w:rsidRPr="00FA0DD7" w:rsidRDefault="00B04651" w:rsidP="00562C39">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18"/>
              </w:rPr>
            </w:pPr>
            <w:r w:rsidRPr="00FA0DD7">
              <w:rPr>
                <w:rFonts w:ascii="Calibri" w:eastAsia="Times New Roman" w:hAnsi="Calibri" w:cs="Times New Roman"/>
                <w:color w:val="000000"/>
                <w:sz w:val="20"/>
                <w:szCs w:val="18"/>
              </w:rPr>
              <w:t>Black Carbon - (excl. wildfires)</w:t>
            </w:r>
          </w:p>
        </w:tc>
        <w:tc>
          <w:tcPr>
            <w:tcW w:w="626" w:type="dxa"/>
            <w:textDirection w:val="btLr"/>
            <w:vAlign w:val="center"/>
            <w:hideMark/>
          </w:tcPr>
          <w:p w14:paraId="2D6A9E0D" w14:textId="77777777" w:rsidR="00B04651" w:rsidRPr="00FA0DD7" w:rsidRDefault="00B04651" w:rsidP="00562C39">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18"/>
              </w:rPr>
            </w:pPr>
            <w:r w:rsidRPr="00FA0DD7">
              <w:rPr>
                <w:rFonts w:ascii="Calibri" w:eastAsia="Times New Roman" w:hAnsi="Calibri" w:cs="Times New Roman"/>
                <w:color w:val="000000"/>
                <w:sz w:val="20"/>
                <w:szCs w:val="18"/>
              </w:rPr>
              <w:t>Black Carbon (wildfires)</w:t>
            </w:r>
          </w:p>
        </w:tc>
        <w:tc>
          <w:tcPr>
            <w:tcW w:w="600" w:type="dxa"/>
            <w:textDirection w:val="btLr"/>
            <w:vAlign w:val="center"/>
            <w:hideMark/>
          </w:tcPr>
          <w:p w14:paraId="6E3E1C61" w14:textId="77777777" w:rsidR="00B04651" w:rsidRPr="00FA0DD7" w:rsidRDefault="00B04651" w:rsidP="00562C39">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18"/>
              </w:rPr>
            </w:pPr>
            <w:r w:rsidRPr="00FA0DD7">
              <w:rPr>
                <w:rFonts w:ascii="Calibri" w:eastAsia="Times New Roman" w:hAnsi="Calibri" w:cs="Times New Roman"/>
                <w:color w:val="000000"/>
                <w:sz w:val="20"/>
                <w:szCs w:val="18"/>
              </w:rPr>
              <w:t>NOx- preliminary estimate.</w:t>
            </w:r>
          </w:p>
        </w:tc>
        <w:tc>
          <w:tcPr>
            <w:tcW w:w="864" w:type="dxa"/>
            <w:textDirection w:val="btLr"/>
            <w:vAlign w:val="center"/>
            <w:hideMark/>
          </w:tcPr>
          <w:p w14:paraId="5FD3B643" w14:textId="77777777" w:rsidR="00B04651" w:rsidRPr="00FA0DD7" w:rsidRDefault="00B04651" w:rsidP="00562C39">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18"/>
              </w:rPr>
            </w:pPr>
            <w:r w:rsidRPr="00FA0DD7">
              <w:rPr>
                <w:rFonts w:ascii="Calibri" w:eastAsia="Times New Roman" w:hAnsi="Calibri" w:cs="Times New Roman"/>
                <w:color w:val="000000"/>
                <w:sz w:val="20"/>
                <w:szCs w:val="18"/>
              </w:rPr>
              <w:t>Other GHGs</w:t>
            </w:r>
          </w:p>
        </w:tc>
      </w:tr>
      <w:tr w:rsidR="00B04651" w:rsidRPr="00FA0DD7" w14:paraId="324D71A8" w14:textId="77777777" w:rsidTr="00562C3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00" w:type="dxa"/>
            <w:noWrap/>
            <w:hideMark/>
          </w:tcPr>
          <w:p w14:paraId="315DBC23" w14:textId="77777777" w:rsidR="00B04651" w:rsidRPr="00FA0DD7" w:rsidRDefault="00B04651" w:rsidP="00562C39">
            <w:pPr>
              <w:jc w:val="right"/>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2000</w:t>
            </w:r>
          </w:p>
        </w:tc>
        <w:tc>
          <w:tcPr>
            <w:tcW w:w="719" w:type="dxa"/>
            <w:noWrap/>
            <w:vAlign w:val="bottom"/>
            <w:hideMark/>
          </w:tcPr>
          <w:p w14:paraId="740754D1" w14:textId="77777777" w:rsidR="00B04651" w:rsidRPr="00FA0DD7" w:rsidRDefault="00B04651" w:rsidP="00562C3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 w:val="18"/>
                <w:szCs w:val="18"/>
                <w:u w:val="single"/>
              </w:rPr>
            </w:pPr>
            <w:r w:rsidRPr="00EF49FF">
              <w:rPr>
                <w:rFonts w:ascii="Calibri" w:hAnsi="Calibri"/>
                <w:b/>
                <w:color w:val="000000"/>
                <w:sz w:val="18"/>
                <w:szCs w:val="18"/>
                <w:u w:val="single"/>
              </w:rPr>
              <w:t>34.5</w:t>
            </w:r>
          </w:p>
        </w:tc>
        <w:tc>
          <w:tcPr>
            <w:tcW w:w="718" w:type="dxa"/>
            <w:noWrap/>
            <w:vAlign w:val="bottom"/>
            <w:hideMark/>
          </w:tcPr>
          <w:p w14:paraId="584DC86A" w14:textId="77777777" w:rsidR="00B04651" w:rsidRPr="00FA0DD7" w:rsidRDefault="00B04651" w:rsidP="00562C3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Pr>
                <w:rFonts w:ascii="Calibri" w:hAnsi="Calibri"/>
                <w:color w:val="000000"/>
                <w:sz w:val="18"/>
                <w:szCs w:val="18"/>
              </w:rPr>
              <w:t>18.1</w:t>
            </w:r>
          </w:p>
        </w:tc>
        <w:tc>
          <w:tcPr>
            <w:tcW w:w="626" w:type="dxa"/>
            <w:noWrap/>
            <w:vAlign w:val="bottom"/>
            <w:hideMark/>
          </w:tcPr>
          <w:p w14:paraId="3B0E7954" w14:textId="77777777" w:rsidR="00B04651" w:rsidRPr="00FA0DD7" w:rsidRDefault="00B04651" w:rsidP="00562C3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Pr>
                <w:rFonts w:ascii="Calibri" w:hAnsi="Calibri"/>
                <w:color w:val="000000"/>
                <w:sz w:val="18"/>
                <w:szCs w:val="18"/>
              </w:rPr>
              <w:t>5.1</w:t>
            </w:r>
          </w:p>
        </w:tc>
        <w:tc>
          <w:tcPr>
            <w:tcW w:w="626" w:type="dxa"/>
            <w:noWrap/>
            <w:vAlign w:val="bottom"/>
            <w:hideMark/>
          </w:tcPr>
          <w:p w14:paraId="355157CB" w14:textId="77777777" w:rsidR="00B04651" w:rsidRPr="00FA0DD7" w:rsidRDefault="00B04651" w:rsidP="00562C3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Pr>
                <w:rFonts w:ascii="Calibri" w:hAnsi="Calibri"/>
                <w:color w:val="000000"/>
                <w:sz w:val="18"/>
                <w:szCs w:val="18"/>
              </w:rPr>
              <w:t>3.1</w:t>
            </w:r>
          </w:p>
        </w:tc>
        <w:tc>
          <w:tcPr>
            <w:tcW w:w="626" w:type="dxa"/>
            <w:noWrap/>
            <w:vAlign w:val="bottom"/>
            <w:hideMark/>
          </w:tcPr>
          <w:p w14:paraId="0CA1DD24" w14:textId="77777777" w:rsidR="00B04651" w:rsidRPr="00FA0DD7" w:rsidRDefault="00B04651" w:rsidP="00562C3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Pr>
                <w:rFonts w:ascii="Calibri" w:hAnsi="Calibri"/>
                <w:color w:val="000000"/>
                <w:sz w:val="18"/>
                <w:szCs w:val="18"/>
              </w:rPr>
              <w:t>4.4</w:t>
            </w:r>
          </w:p>
        </w:tc>
        <w:tc>
          <w:tcPr>
            <w:tcW w:w="600" w:type="dxa"/>
            <w:noWrap/>
            <w:vAlign w:val="bottom"/>
            <w:hideMark/>
          </w:tcPr>
          <w:p w14:paraId="38AD721D" w14:textId="77777777" w:rsidR="00B04651" w:rsidRPr="00FA0DD7" w:rsidRDefault="00B04651" w:rsidP="00562C3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Pr>
                <w:rFonts w:ascii="Calibri" w:hAnsi="Calibri"/>
                <w:color w:val="000000"/>
                <w:sz w:val="18"/>
                <w:szCs w:val="18"/>
              </w:rPr>
              <w:t>0.6</w:t>
            </w:r>
          </w:p>
        </w:tc>
        <w:tc>
          <w:tcPr>
            <w:tcW w:w="600" w:type="dxa"/>
            <w:noWrap/>
            <w:vAlign w:val="bottom"/>
            <w:hideMark/>
          </w:tcPr>
          <w:p w14:paraId="70FF99AD" w14:textId="77777777" w:rsidR="00B04651" w:rsidRPr="00FA0DD7" w:rsidRDefault="00B04651" w:rsidP="00562C3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Pr>
                <w:rFonts w:ascii="Calibri" w:hAnsi="Calibri"/>
                <w:color w:val="000000"/>
                <w:sz w:val="18"/>
                <w:szCs w:val="18"/>
              </w:rPr>
              <w:t>-0.7</w:t>
            </w:r>
          </w:p>
        </w:tc>
        <w:tc>
          <w:tcPr>
            <w:tcW w:w="600" w:type="dxa"/>
            <w:noWrap/>
            <w:vAlign w:val="bottom"/>
            <w:hideMark/>
          </w:tcPr>
          <w:p w14:paraId="18B76535" w14:textId="77777777" w:rsidR="00B04651" w:rsidRPr="00FA0DD7" w:rsidRDefault="00B04651" w:rsidP="00562C3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Pr>
                <w:rFonts w:ascii="Calibri" w:hAnsi="Calibri"/>
                <w:color w:val="000000"/>
                <w:sz w:val="18"/>
                <w:szCs w:val="18"/>
              </w:rPr>
              <w:t>0.9</w:t>
            </w:r>
          </w:p>
        </w:tc>
        <w:tc>
          <w:tcPr>
            <w:tcW w:w="626" w:type="dxa"/>
            <w:noWrap/>
            <w:vAlign w:val="bottom"/>
            <w:hideMark/>
          </w:tcPr>
          <w:p w14:paraId="4EB25056" w14:textId="77777777" w:rsidR="00B04651" w:rsidRPr="00FA0DD7" w:rsidRDefault="00B04651" w:rsidP="00562C3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Pr>
                <w:rFonts w:ascii="Calibri" w:hAnsi="Calibri"/>
                <w:color w:val="000000"/>
                <w:sz w:val="18"/>
                <w:szCs w:val="18"/>
              </w:rPr>
              <w:t>2.2</w:t>
            </w:r>
          </w:p>
        </w:tc>
        <w:tc>
          <w:tcPr>
            <w:tcW w:w="600" w:type="dxa"/>
            <w:noWrap/>
            <w:vAlign w:val="bottom"/>
            <w:hideMark/>
          </w:tcPr>
          <w:p w14:paraId="29C0C1EB" w14:textId="77777777" w:rsidR="00B04651" w:rsidRPr="00FA0DD7" w:rsidRDefault="00B04651" w:rsidP="00562C3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Pr>
                <w:rFonts w:ascii="Calibri" w:hAnsi="Calibri"/>
                <w:color w:val="000000"/>
                <w:sz w:val="18"/>
                <w:szCs w:val="18"/>
              </w:rPr>
              <w:t>34.5</w:t>
            </w:r>
          </w:p>
        </w:tc>
        <w:tc>
          <w:tcPr>
            <w:tcW w:w="864" w:type="dxa"/>
            <w:noWrap/>
            <w:hideMark/>
          </w:tcPr>
          <w:p w14:paraId="62DC2392" w14:textId="77777777" w:rsidR="00B04651" w:rsidRPr="00FA0DD7" w:rsidRDefault="00B04651" w:rsidP="00562C3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Not incl.</w:t>
            </w:r>
          </w:p>
        </w:tc>
      </w:tr>
      <w:tr w:rsidR="00B04651" w:rsidRPr="00FA0DD7" w14:paraId="6C259D2A" w14:textId="77777777" w:rsidTr="00562C39">
        <w:trPr>
          <w:trHeight w:val="20"/>
        </w:trPr>
        <w:tc>
          <w:tcPr>
            <w:cnfStyle w:val="001000000000" w:firstRow="0" w:lastRow="0" w:firstColumn="1" w:lastColumn="0" w:oddVBand="0" w:evenVBand="0" w:oddHBand="0" w:evenHBand="0" w:firstRowFirstColumn="0" w:firstRowLastColumn="0" w:lastRowFirstColumn="0" w:lastRowLastColumn="0"/>
            <w:tcW w:w="600" w:type="dxa"/>
            <w:noWrap/>
            <w:hideMark/>
          </w:tcPr>
          <w:p w14:paraId="600DF6CC" w14:textId="77777777" w:rsidR="00B04651" w:rsidRPr="00FA0DD7" w:rsidRDefault="00B04651" w:rsidP="00562C39">
            <w:pPr>
              <w:jc w:val="right"/>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2001</w:t>
            </w:r>
          </w:p>
        </w:tc>
        <w:tc>
          <w:tcPr>
            <w:tcW w:w="719" w:type="dxa"/>
            <w:noWrap/>
            <w:vAlign w:val="bottom"/>
            <w:hideMark/>
          </w:tcPr>
          <w:p w14:paraId="12C1D5DD" w14:textId="77777777" w:rsidR="00B04651" w:rsidRPr="00FA0DD7" w:rsidRDefault="00B04651" w:rsidP="00562C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sz w:val="18"/>
                <w:szCs w:val="18"/>
                <w:u w:val="single"/>
              </w:rPr>
            </w:pPr>
            <w:r w:rsidRPr="00EF49FF">
              <w:rPr>
                <w:rFonts w:ascii="Calibri" w:hAnsi="Calibri"/>
                <w:b/>
                <w:color w:val="000000"/>
                <w:sz w:val="18"/>
                <w:szCs w:val="18"/>
                <w:u w:val="single"/>
              </w:rPr>
              <w:t>34.9</w:t>
            </w:r>
          </w:p>
        </w:tc>
        <w:tc>
          <w:tcPr>
            <w:tcW w:w="718" w:type="dxa"/>
            <w:noWrap/>
            <w:vAlign w:val="bottom"/>
            <w:hideMark/>
          </w:tcPr>
          <w:p w14:paraId="31364C63" w14:textId="77777777" w:rsidR="00B04651" w:rsidRPr="00FA0DD7" w:rsidRDefault="00B04651" w:rsidP="00562C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hAnsi="Calibri"/>
                <w:color w:val="000000"/>
                <w:sz w:val="18"/>
                <w:szCs w:val="18"/>
              </w:rPr>
              <w:t>18.5</w:t>
            </w:r>
          </w:p>
        </w:tc>
        <w:tc>
          <w:tcPr>
            <w:tcW w:w="626" w:type="dxa"/>
            <w:noWrap/>
            <w:vAlign w:val="bottom"/>
            <w:hideMark/>
          </w:tcPr>
          <w:p w14:paraId="0B1D4849" w14:textId="77777777" w:rsidR="00B04651" w:rsidRPr="00FA0DD7" w:rsidRDefault="00B04651" w:rsidP="00562C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hAnsi="Calibri"/>
                <w:color w:val="000000"/>
                <w:sz w:val="18"/>
                <w:szCs w:val="18"/>
              </w:rPr>
              <w:t>5.1</w:t>
            </w:r>
          </w:p>
        </w:tc>
        <w:tc>
          <w:tcPr>
            <w:tcW w:w="626" w:type="dxa"/>
            <w:noWrap/>
            <w:vAlign w:val="bottom"/>
            <w:hideMark/>
          </w:tcPr>
          <w:p w14:paraId="7D6AD595" w14:textId="77777777" w:rsidR="00B04651" w:rsidRPr="00FA0DD7" w:rsidRDefault="00B04651" w:rsidP="00562C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hAnsi="Calibri"/>
                <w:color w:val="000000"/>
                <w:sz w:val="18"/>
                <w:szCs w:val="18"/>
              </w:rPr>
              <w:t>3.1</w:t>
            </w:r>
          </w:p>
        </w:tc>
        <w:tc>
          <w:tcPr>
            <w:tcW w:w="626" w:type="dxa"/>
            <w:noWrap/>
            <w:vAlign w:val="bottom"/>
            <w:hideMark/>
          </w:tcPr>
          <w:p w14:paraId="0690B6C2" w14:textId="77777777" w:rsidR="00B04651" w:rsidRPr="00FA0DD7" w:rsidRDefault="00B04651" w:rsidP="00562C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hAnsi="Calibri"/>
                <w:color w:val="000000"/>
                <w:sz w:val="18"/>
                <w:szCs w:val="18"/>
              </w:rPr>
              <w:t>4.4</w:t>
            </w:r>
          </w:p>
        </w:tc>
        <w:tc>
          <w:tcPr>
            <w:tcW w:w="600" w:type="dxa"/>
            <w:noWrap/>
            <w:vAlign w:val="bottom"/>
            <w:hideMark/>
          </w:tcPr>
          <w:p w14:paraId="78BFED3E" w14:textId="77777777" w:rsidR="00B04651" w:rsidRPr="00FA0DD7" w:rsidRDefault="00B04651" w:rsidP="00562C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hAnsi="Calibri"/>
                <w:color w:val="000000"/>
                <w:sz w:val="18"/>
                <w:szCs w:val="18"/>
              </w:rPr>
              <w:t>0.6</w:t>
            </w:r>
          </w:p>
        </w:tc>
        <w:tc>
          <w:tcPr>
            <w:tcW w:w="600" w:type="dxa"/>
            <w:noWrap/>
            <w:vAlign w:val="bottom"/>
            <w:hideMark/>
          </w:tcPr>
          <w:p w14:paraId="75FD4946" w14:textId="77777777" w:rsidR="00B04651" w:rsidRPr="00FA0DD7" w:rsidRDefault="00B04651" w:rsidP="00562C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hAnsi="Calibri"/>
                <w:color w:val="000000"/>
                <w:sz w:val="18"/>
                <w:szCs w:val="18"/>
              </w:rPr>
              <w:t>-0.7</w:t>
            </w:r>
          </w:p>
        </w:tc>
        <w:tc>
          <w:tcPr>
            <w:tcW w:w="600" w:type="dxa"/>
            <w:noWrap/>
            <w:vAlign w:val="bottom"/>
            <w:hideMark/>
          </w:tcPr>
          <w:p w14:paraId="10F0F60C" w14:textId="77777777" w:rsidR="00B04651" w:rsidRPr="00FA0DD7" w:rsidRDefault="00B04651" w:rsidP="00562C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hAnsi="Calibri"/>
                <w:color w:val="000000"/>
                <w:sz w:val="18"/>
                <w:szCs w:val="18"/>
              </w:rPr>
              <w:t>0.9</w:t>
            </w:r>
          </w:p>
        </w:tc>
        <w:tc>
          <w:tcPr>
            <w:tcW w:w="626" w:type="dxa"/>
            <w:noWrap/>
            <w:vAlign w:val="bottom"/>
            <w:hideMark/>
          </w:tcPr>
          <w:p w14:paraId="071BE854" w14:textId="77777777" w:rsidR="00B04651" w:rsidRPr="00FA0DD7" w:rsidRDefault="00B04651" w:rsidP="00562C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hAnsi="Calibri"/>
                <w:color w:val="000000"/>
                <w:sz w:val="18"/>
                <w:szCs w:val="18"/>
              </w:rPr>
              <w:t>2.1</w:t>
            </w:r>
          </w:p>
        </w:tc>
        <w:tc>
          <w:tcPr>
            <w:tcW w:w="600" w:type="dxa"/>
            <w:noWrap/>
            <w:vAlign w:val="bottom"/>
            <w:hideMark/>
          </w:tcPr>
          <w:p w14:paraId="54AC9A4F" w14:textId="77777777" w:rsidR="00B04651" w:rsidRPr="00FA0DD7" w:rsidRDefault="00B04651" w:rsidP="00562C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hAnsi="Calibri"/>
                <w:color w:val="000000"/>
                <w:sz w:val="18"/>
                <w:szCs w:val="18"/>
              </w:rPr>
              <w:t>34.9</w:t>
            </w:r>
          </w:p>
        </w:tc>
        <w:tc>
          <w:tcPr>
            <w:tcW w:w="864" w:type="dxa"/>
            <w:noWrap/>
            <w:hideMark/>
          </w:tcPr>
          <w:p w14:paraId="7CA8A096" w14:textId="77777777" w:rsidR="00B04651" w:rsidRPr="00FA0DD7" w:rsidRDefault="00B04651" w:rsidP="00562C3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Not incl.</w:t>
            </w:r>
          </w:p>
        </w:tc>
      </w:tr>
      <w:tr w:rsidR="00B04651" w:rsidRPr="00FA0DD7" w14:paraId="1ABE6792" w14:textId="77777777" w:rsidTr="00562C3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00" w:type="dxa"/>
            <w:noWrap/>
            <w:hideMark/>
          </w:tcPr>
          <w:p w14:paraId="7A0B4C11" w14:textId="77777777" w:rsidR="00B04651" w:rsidRPr="00FA0DD7" w:rsidRDefault="00B04651" w:rsidP="00562C39">
            <w:pPr>
              <w:jc w:val="right"/>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2002</w:t>
            </w:r>
          </w:p>
        </w:tc>
        <w:tc>
          <w:tcPr>
            <w:tcW w:w="719" w:type="dxa"/>
            <w:noWrap/>
            <w:vAlign w:val="bottom"/>
            <w:hideMark/>
          </w:tcPr>
          <w:p w14:paraId="1E72131A" w14:textId="77777777" w:rsidR="00B04651" w:rsidRPr="00FA0DD7" w:rsidRDefault="00B04651" w:rsidP="00562C3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 w:val="18"/>
                <w:szCs w:val="18"/>
                <w:u w:val="single"/>
              </w:rPr>
            </w:pPr>
            <w:r w:rsidRPr="00EF49FF">
              <w:rPr>
                <w:rFonts w:ascii="Calibri" w:hAnsi="Calibri"/>
                <w:b/>
                <w:color w:val="000000"/>
                <w:sz w:val="18"/>
                <w:szCs w:val="18"/>
                <w:u w:val="single"/>
              </w:rPr>
              <w:t>35.4</w:t>
            </w:r>
          </w:p>
        </w:tc>
        <w:tc>
          <w:tcPr>
            <w:tcW w:w="718" w:type="dxa"/>
            <w:noWrap/>
            <w:vAlign w:val="bottom"/>
            <w:hideMark/>
          </w:tcPr>
          <w:p w14:paraId="195387B7" w14:textId="77777777" w:rsidR="00B04651" w:rsidRPr="00FA0DD7" w:rsidRDefault="00B04651" w:rsidP="00562C3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Pr>
                <w:rFonts w:ascii="Calibri" w:hAnsi="Calibri"/>
                <w:color w:val="000000"/>
                <w:sz w:val="18"/>
                <w:szCs w:val="18"/>
              </w:rPr>
              <w:t>18.9</w:t>
            </w:r>
          </w:p>
        </w:tc>
        <w:tc>
          <w:tcPr>
            <w:tcW w:w="626" w:type="dxa"/>
            <w:noWrap/>
            <w:vAlign w:val="bottom"/>
            <w:hideMark/>
          </w:tcPr>
          <w:p w14:paraId="348A44F5" w14:textId="77777777" w:rsidR="00B04651" w:rsidRPr="00FA0DD7" w:rsidRDefault="00B04651" w:rsidP="00562C3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Pr>
                <w:rFonts w:ascii="Calibri" w:hAnsi="Calibri"/>
                <w:color w:val="000000"/>
                <w:sz w:val="18"/>
                <w:szCs w:val="18"/>
              </w:rPr>
              <w:t>5.1</w:t>
            </w:r>
          </w:p>
        </w:tc>
        <w:tc>
          <w:tcPr>
            <w:tcW w:w="626" w:type="dxa"/>
            <w:noWrap/>
            <w:vAlign w:val="bottom"/>
            <w:hideMark/>
          </w:tcPr>
          <w:p w14:paraId="37843DCD" w14:textId="77777777" w:rsidR="00B04651" w:rsidRPr="00FA0DD7" w:rsidRDefault="00B04651" w:rsidP="00562C3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Pr>
                <w:rFonts w:ascii="Calibri" w:hAnsi="Calibri"/>
                <w:color w:val="000000"/>
                <w:sz w:val="18"/>
                <w:szCs w:val="18"/>
              </w:rPr>
              <w:t>3.1</w:t>
            </w:r>
          </w:p>
        </w:tc>
        <w:tc>
          <w:tcPr>
            <w:tcW w:w="626" w:type="dxa"/>
            <w:noWrap/>
            <w:vAlign w:val="bottom"/>
            <w:hideMark/>
          </w:tcPr>
          <w:p w14:paraId="6743B04C" w14:textId="77777777" w:rsidR="00B04651" w:rsidRPr="00FA0DD7" w:rsidRDefault="00B04651" w:rsidP="00562C3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Pr>
                <w:rFonts w:ascii="Calibri" w:hAnsi="Calibri"/>
                <w:color w:val="000000"/>
                <w:sz w:val="18"/>
                <w:szCs w:val="18"/>
              </w:rPr>
              <w:t>4.5</w:t>
            </w:r>
          </w:p>
        </w:tc>
        <w:tc>
          <w:tcPr>
            <w:tcW w:w="600" w:type="dxa"/>
            <w:noWrap/>
            <w:vAlign w:val="bottom"/>
            <w:hideMark/>
          </w:tcPr>
          <w:p w14:paraId="2ACF30BF" w14:textId="77777777" w:rsidR="00B04651" w:rsidRPr="00FA0DD7" w:rsidRDefault="00B04651" w:rsidP="00562C3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Pr>
                <w:rFonts w:ascii="Calibri" w:hAnsi="Calibri"/>
                <w:color w:val="000000"/>
                <w:sz w:val="18"/>
                <w:szCs w:val="18"/>
              </w:rPr>
              <w:t>0.7</w:t>
            </w:r>
          </w:p>
        </w:tc>
        <w:tc>
          <w:tcPr>
            <w:tcW w:w="600" w:type="dxa"/>
            <w:noWrap/>
            <w:vAlign w:val="bottom"/>
            <w:hideMark/>
          </w:tcPr>
          <w:p w14:paraId="698DE0C2" w14:textId="77777777" w:rsidR="00B04651" w:rsidRPr="00FA0DD7" w:rsidRDefault="00B04651" w:rsidP="00562C3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Pr>
                <w:rFonts w:ascii="Calibri" w:hAnsi="Calibri"/>
                <w:color w:val="000000"/>
                <w:sz w:val="18"/>
                <w:szCs w:val="18"/>
              </w:rPr>
              <w:t>-0.7</w:t>
            </w:r>
          </w:p>
        </w:tc>
        <w:tc>
          <w:tcPr>
            <w:tcW w:w="600" w:type="dxa"/>
            <w:noWrap/>
            <w:vAlign w:val="bottom"/>
            <w:hideMark/>
          </w:tcPr>
          <w:p w14:paraId="02F4565C" w14:textId="77777777" w:rsidR="00B04651" w:rsidRPr="00FA0DD7" w:rsidRDefault="00B04651" w:rsidP="00562C3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Pr>
                <w:rFonts w:ascii="Calibri" w:hAnsi="Calibri"/>
                <w:color w:val="000000"/>
                <w:sz w:val="18"/>
                <w:szCs w:val="18"/>
              </w:rPr>
              <w:t>0.9</w:t>
            </w:r>
          </w:p>
        </w:tc>
        <w:tc>
          <w:tcPr>
            <w:tcW w:w="626" w:type="dxa"/>
            <w:noWrap/>
            <w:vAlign w:val="bottom"/>
            <w:hideMark/>
          </w:tcPr>
          <w:p w14:paraId="72A1BFC4" w14:textId="77777777" w:rsidR="00B04651" w:rsidRPr="00FA0DD7" w:rsidRDefault="00B04651" w:rsidP="00562C3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Pr>
                <w:rFonts w:ascii="Calibri" w:hAnsi="Calibri"/>
                <w:color w:val="000000"/>
                <w:sz w:val="18"/>
                <w:szCs w:val="18"/>
              </w:rPr>
              <w:t>2.1</w:t>
            </w:r>
          </w:p>
        </w:tc>
        <w:tc>
          <w:tcPr>
            <w:tcW w:w="600" w:type="dxa"/>
            <w:noWrap/>
            <w:vAlign w:val="bottom"/>
            <w:hideMark/>
          </w:tcPr>
          <w:p w14:paraId="4246B2D3" w14:textId="77777777" w:rsidR="00B04651" w:rsidRPr="00FA0DD7" w:rsidRDefault="00B04651" w:rsidP="00562C3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Pr>
                <w:rFonts w:ascii="Calibri" w:hAnsi="Calibri"/>
                <w:color w:val="000000"/>
                <w:sz w:val="18"/>
                <w:szCs w:val="18"/>
              </w:rPr>
              <w:t>35.4</w:t>
            </w:r>
          </w:p>
        </w:tc>
        <w:tc>
          <w:tcPr>
            <w:tcW w:w="864" w:type="dxa"/>
            <w:noWrap/>
            <w:hideMark/>
          </w:tcPr>
          <w:p w14:paraId="2D47135B" w14:textId="77777777" w:rsidR="00B04651" w:rsidRPr="00FA0DD7" w:rsidRDefault="00B04651" w:rsidP="00562C3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Not incl.</w:t>
            </w:r>
          </w:p>
        </w:tc>
      </w:tr>
      <w:tr w:rsidR="00B04651" w:rsidRPr="00FA0DD7" w14:paraId="4F268055" w14:textId="77777777" w:rsidTr="00562C39">
        <w:trPr>
          <w:trHeight w:val="20"/>
        </w:trPr>
        <w:tc>
          <w:tcPr>
            <w:cnfStyle w:val="001000000000" w:firstRow="0" w:lastRow="0" w:firstColumn="1" w:lastColumn="0" w:oddVBand="0" w:evenVBand="0" w:oddHBand="0" w:evenHBand="0" w:firstRowFirstColumn="0" w:firstRowLastColumn="0" w:lastRowFirstColumn="0" w:lastRowLastColumn="0"/>
            <w:tcW w:w="600" w:type="dxa"/>
            <w:noWrap/>
            <w:hideMark/>
          </w:tcPr>
          <w:p w14:paraId="159819E4" w14:textId="77777777" w:rsidR="00B04651" w:rsidRPr="00FA0DD7" w:rsidRDefault="00B04651" w:rsidP="00562C39">
            <w:pPr>
              <w:jc w:val="right"/>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2003</w:t>
            </w:r>
          </w:p>
        </w:tc>
        <w:tc>
          <w:tcPr>
            <w:tcW w:w="719" w:type="dxa"/>
            <w:noWrap/>
            <w:vAlign w:val="bottom"/>
            <w:hideMark/>
          </w:tcPr>
          <w:p w14:paraId="07260F1B" w14:textId="77777777" w:rsidR="00B04651" w:rsidRPr="00FA0DD7" w:rsidRDefault="00B04651" w:rsidP="00562C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sz w:val="18"/>
                <w:szCs w:val="18"/>
                <w:u w:val="single"/>
              </w:rPr>
            </w:pPr>
            <w:r w:rsidRPr="00EF49FF">
              <w:rPr>
                <w:rFonts w:ascii="Calibri" w:hAnsi="Calibri"/>
                <w:b/>
                <w:color w:val="000000"/>
                <w:sz w:val="18"/>
                <w:szCs w:val="18"/>
                <w:u w:val="single"/>
              </w:rPr>
              <w:t>35.8</w:t>
            </w:r>
          </w:p>
        </w:tc>
        <w:tc>
          <w:tcPr>
            <w:tcW w:w="718" w:type="dxa"/>
            <w:noWrap/>
            <w:vAlign w:val="bottom"/>
            <w:hideMark/>
          </w:tcPr>
          <w:p w14:paraId="5A1E3907" w14:textId="77777777" w:rsidR="00B04651" w:rsidRPr="00FA0DD7" w:rsidRDefault="00B04651" w:rsidP="00562C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hAnsi="Calibri"/>
                <w:color w:val="000000"/>
                <w:sz w:val="18"/>
                <w:szCs w:val="18"/>
              </w:rPr>
              <w:t>19.3</w:t>
            </w:r>
          </w:p>
        </w:tc>
        <w:tc>
          <w:tcPr>
            <w:tcW w:w="626" w:type="dxa"/>
            <w:noWrap/>
            <w:vAlign w:val="bottom"/>
            <w:hideMark/>
          </w:tcPr>
          <w:p w14:paraId="547EA08D" w14:textId="77777777" w:rsidR="00B04651" w:rsidRPr="00FA0DD7" w:rsidRDefault="00B04651" w:rsidP="00562C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hAnsi="Calibri"/>
                <w:color w:val="000000"/>
                <w:sz w:val="18"/>
                <w:szCs w:val="18"/>
              </w:rPr>
              <w:t>5.1</w:t>
            </w:r>
          </w:p>
        </w:tc>
        <w:tc>
          <w:tcPr>
            <w:tcW w:w="626" w:type="dxa"/>
            <w:noWrap/>
            <w:vAlign w:val="bottom"/>
            <w:hideMark/>
          </w:tcPr>
          <w:p w14:paraId="18E2275A" w14:textId="77777777" w:rsidR="00B04651" w:rsidRPr="00FA0DD7" w:rsidRDefault="00B04651" w:rsidP="00562C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hAnsi="Calibri"/>
                <w:color w:val="000000"/>
                <w:sz w:val="18"/>
                <w:szCs w:val="18"/>
              </w:rPr>
              <w:t>3.1</w:t>
            </w:r>
          </w:p>
        </w:tc>
        <w:tc>
          <w:tcPr>
            <w:tcW w:w="626" w:type="dxa"/>
            <w:noWrap/>
            <w:vAlign w:val="bottom"/>
            <w:hideMark/>
          </w:tcPr>
          <w:p w14:paraId="370C7147" w14:textId="77777777" w:rsidR="00B04651" w:rsidRPr="00FA0DD7" w:rsidRDefault="00B04651" w:rsidP="00562C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hAnsi="Calibri"/>
                <w:color w:val="000000"/>
                <w:sz w:val="18"/>
                <w:szCs w:val="18"/>
              </w:rPr>
              <w:t>4.5</w:t>
            </w:r>
          </w:p>
        </w:tc>
        <w:tc>
          <w:tcPr>
            <w:tcW w:w="600" w:type="dxa"/>
            <w:noWrap/>
            <w:vAlign w:val="bottom"/>
            <w:hideMark/>
          </w:tcPr>
          <w:p w14:paraId="73627281" w14:textId="77777777" w:rsidR="00B04651" w:rsidRPr="00FA0DD7" w:rsidRDefault="00B04651" w:rsidP="00562C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hAnsi="Calibri"/>
                <w:color w:val="000000"/>
                <w:sz w:val="18"/>
                <w:szCs w:val="18"/>
              </w:rPr>
              <w:t>0.7</w:t>
            </w:r>
          </w:p>
        </w:tc>
        <w:tc>
          <w:tcPr>
            <w:tcW w:w="600" w:type="dxa"/>
            <w:noWrap/>
            <w:vAlign w:val="bottom"/>
            <w:hideMark/>
          </w:tcPr>
          <w:p w14:paraId="22CFA42B" w14:textId="77777777" w:rsidR="00B04651" w:rsidRPr="00FA0DD7" w:rsidRDefault="00B04651" w:rsidP="00562C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hAnsi="Calibri"/>
                <w:color w:val="000000"/>
                <w:sz w:val="18"/>
                <w:szCs w:val="18"/>
              </w:rPr>
              <w:t>-0.7</w:t>
            </w:r>
          </w:p>
        </w:tc>
        <w:tc>
          <w:tcPr>
            <w:tcW w:w="600" w:type="dxa"/>
            <w:noWrap/>
            <w:vAlign w:val="bottom"/>
            <w:hideMark/>
          </w:tcPr>
          <w:p w14:paraId="12D9CF47" w14:textId="77777777" w:rsidR="00B04651" w:rsidRPr="00FA0DD7" w:rsidRDefault="00B04651" w:rsidP="00562C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hAnsi="Calibri"/>
                <w:color w:val="000000"/>
                <w:sz w:val="18"/>
                <w:szCs w:val="18"/>
              </w:rPr>
              <w:t>0.9</w:t>
            </w:r>
          </w:p>
        </w:tc>
        <w:tc>
          <w:tcPr>
            <w:tcW w:w="626" w:type="dxa"/>
            <w:noWrap/>
            <w:vAlign w:val="bottom"/>
            <w:hideMark/>
          </w:tcPr>
          <w:p w14:paraId="48F19F79" w14:textId="77777777" w:rsidR="00B04651" w:rsidRPr="00FA0DD7" w:rsidRDefault="00B04651" w:rsidP="00562C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hAnsi="Calibri"/>
                <w:color w:val="000000"/>
                <w:sz w:val="18"/>
                <w:szCs w:val="18"/>
              </w:rPr>
              <w:t>2.1</w:t>
            </w:r>
          </w:p>
        </w:tc>
        <w:tc>
          <w:tcPr>
            <w:tcW w:w="600" w:type="dxa"/>
            <w:noWrap/>
            <w:vAlign w:val="bottom"/>
            <w:hideMark/>
          </w:tcPr>
          <w:p w14:paraId="787FC623" w14:textId="77777777" w:rsidR="00B04651" w:rsidRPr="00FA0DD7" w:rsidRDefault="00B04651" w:rsidP="00562C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hAnsi="Calibri"/>
                <w:color w:val="000000"/>
                <w:sz w:val="18"/>
                <w:szCs w:val="18"/>
              </w:rPr>
              <w:t>35.8</w:t>
            </w:r>
          </w:p>
        </w:tc>
        <w:tc>
          <w:tcPr>
            <w:tcW w:w="864" w:type="dxa"/>
            <w:noWrap/>
            <w:hideMark/>
          </w:tcPr>
          <w:p w14:paraId="58E11D1B" w14:textId="77777777" w:rsidR="00B04651" w:rsidRPr="00FA0DD7" w:rsidRDefault="00B04651" w:rsidP="00562C3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Not incl.</w:t>
            </w:r>
          </w:p>
        </w:tc>
      </w:tr>
      <w:tr w:rsidR="00B04651" w:rsidRPr="00FA0DD7" w14:paraId="5D2CDC2A" w14:textId="77777777" w:rsidTr="00562C3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00" w:type="dxa"/>
            <w:noWrap/>
            <w:hideMark/>
          </w:tcPr>
          <w:p w14:paraId="13160975" w14:textId="77777777" w:rsidR="00B04651" w:rsidRPr="00FA0DD7" w:rsidRDefault="00B04651" w:rsidP="00562C39">
            <w:pPr>
              <w:jc w:val="right"/>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2004</w:t>
            </w:r>
          </w:p>
        </w:tc>
        <w:tc>
          <w:tcPr>
            <w:tcW w:w="719" w:type="dxa"/>
            <w:noWrap/>
            <w:vAlign w:val="bottom"/>
            <w:hideMark/>
          </w:tcPr>
          <w:p w14:paraId="4F759968" w14:textId="77777777" w:rsidR="00B04651" w:rsidRPr="00FA0DD7" w:rsidRDefault="00B04651" w:rsidP="00562C3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 w:val="18"/>
                <w:szCs w:val="18"/>
                <w:u w:val="single"/>
              </w:rPr>
            </w:pPr>
            <w:r w:rsidRPr="00EF49FF">
              <w:rPr>
                <w:rFonts w:ascii="Calibri" w:hAnsi="Calibri"/>
                <w:b/>
                <w:color w:val="000000"/>
                <w:sz w:val="18"/>
                <w:szCs w:val="18"/>
                <w:u w:val="single"/>
              </w:rPr>
              <w:t>36.2</w:t>
            </w:r>
          </w:p>
        </w:tc>
        <w:tc>
          <w:tcPr>
            <w:tcW w:w="718" w:type="dxa"/>
            <w:noWrap/>
            <w:vAlign w:val="bottom"/>
            <w:hideMark/>
          </w:tcPr>
          <w:p w14:paraId="6D8B04B1" w14:textId="77777777" w:rsidR="00B04651" w:rsidRPr="00FA0DD7" w:rsidRDefault="00B04651" w:rsidP="00562C3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Pr>
                <w:rFonts w:ascii="Calibri" w:hAnsi="Calibri"/>
                <w:color w:val="000000"/>
                <w:sz w:val="18"/>
                <w:szCs w:val="18"/>
              </w:rPr>
              <w:t>19.7</w:t>
            </w:r>
          </w:p>
        </w:tc>
        <w:tc>
          <w:tcPr>
            <w:tcW w:w="626" w:type="dxa"/>
            <w:noWrap/>
            <w:vAlign w:val="bottom"/>
            <w:hideMark/>
          </w:tcPr>
          <w:p w14:paraId="093FF94F" w14:textId="77777777" w:rsidR="00B04651" w:rsidRPr="00FA0DD7" w:rsidRDefault="00B04651" w:rsidP="00562C3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Pr>
                <w:rFonts w:ascii="Calibri" w:hAnsi="Calibri"/>
                <w:color w:val="000000"/>
                <w:sz w:val="18"/>
                <w:szCs w:val="18"/>
              </w:rPr>
              <w:t>5.1</w:t>
            </w:r>
          </w:p>
        </w:tc>
        <w:tc>
          <w:tcPr>
            <w:tcW w:w="626" w:type="dxa"/>
            <w:noWrap/>
            <w:vAlign w:val="bottom"/>
            <w:hideMark/>
          </w:tcPr>
          <w:p w14:paraId="764BFAAD" w14:textId="77777777" w:rsidR="00B04651" w:rsidRPr="00FA0DD7" w:rsidRDefault="00B04651" w:rsidP="00562C3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Pr>
                <w:rFonts w:ascii="Calibri" w:hAnsi="Calibri"/>
                <w:color w:val="000000"/>
                <w:sz w:val="18"/>
                <w:szCs w:val="18"/>
              </w:rPr>
              <w:t>3.1</w:t>
            </w:r>
          </w:p>
        </w:tc>
        <w:tc>
          <w:tcPr>
            <w:tcW w:w="626" w:type="dxa"/>
            <w:noWrap/>
            <w:vAlign w:val="bottom"/>
            <w:hideMark/>
          </w:tcPr>
          <w:p w14:paraId="5BDCBAC7" w14:textId="77777777" w:rsidR="00B04651" w:rsidRPr="00FA0DD7" w:rsidRDefault="00B04651" w:rsidP="00562C3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Pr>
                <w:rFonts w:ascii="Calibri" w:hAnsi="Calibri"/>
                <w:color w:val="000000"/>
                <w:sz w:val="18"/>
                <w:szCs w:val="18"/>
              </w:rPr>
              <w:t>4.6</w:t>
            </w:r>
          </w:p>
        </w:tc>
        <w:tc>
          <w:tcPr>
            <w:tcW w:w="600" w:type="dxa"/>
            <w:noWrap/>
            <w:vAlign w:val="bottom"/>
            <w:hideMark/>
          </w:tcPr>
          <w:p w14:paraId="3DF64EEB" w14:textId="77777777" w:rsidR="00B04651" w:rsidRPr="00FA0DD7" w:rsidRDefault="00B04651" w:rsidP="00562C3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Pr>
                <w:rFonts w:ascii="Calibri" w:hAnsi="Calibri"/>
                <w:color w:val="000000"/>
                <w:sz w:val="18"/>
                <w:szCs w:val="18"/>
              </w:rPr>
              <w:t>0.7</w:t>
            </w:r>
          </w:p>
        </w:tc>
        <w:tc>
          <w:tcPr>
            <w:tcW w:w="600" w:type="dxa"/>
            <w:noWrap/>
            <w:vAlign w:val="bottom"/>
            <w:hideMark/>
          </w:tcPr>
          <w:p w14:paraId="2D3E530E" w14:textId="77777777" w:rsidR="00B04651" w:rsidRPr="00FA0DD7" w:rsidRDefault="00B04651" w:rsidP="00562C3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Pr>
                <w:rFonts w:ascii="Calibri" w:hAnsi="Calibri"/>
                <w:color w:val="000000"/>
                <w:sz w:val="18"/>
                <w:szCs w:val="18"/>
              </w:rPr>
              <w:t>-0.7</w:t>
            </w:r>
          </w:p>
        </w:tc>
        <w:tc>
          <w:tcPr>
            <w:tcW w:w="600" w:type="dxa"/>
            <w:noWrap/>
            <w:vAlign w:val="bottom"/>
            <w:hideMark/>
          </w:tcPr>
          <w:p w14:paraId="4B051714" w14:textId="77777777" w:rsidR="00B04651" w:rsidRPr="00FA0DD7" w:rsidRDefault="00B04651" w:rsidP="00562C3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Pr>
                <w:rFonts w:ascii="Calibri" w:hAnsi="Calibri"/>
                <w:color w:val="000000"/>
                <w:sz w:val="18"/>
                <w:szCs w:val="18"/>
              </w:rPr>
              <w:t>0.9</w:t>
            </w:r>
          </w:p>
        </w:tc>
        <w:tc>
          <w:tcPr>
            <w:tcW w:w="626" w:type="dxa"/>
            <w:noWrap/>
            <w:vAlign w:val="bottom"/>
            <w:hideMark/>
          </w:tcPr>
          <w:p w14:paraId="1D532FB0" w14:textId="77777777" w:rsidR="00B04651" w:rsidRPr="00FA0DD7" w:rsidRDefault="00B04651" w:rsidP="00562C3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Pr>
                <w:rFonts w:ascii="Calibri" w:hAnsi="Calibri"/>
                <w:color w:val="000000"/>
                <w:sz w:val="18"/>
                <w:szCs w:val="18"/>
              </w:rPr>
              <w:t>2.1</w:t>
            </w:r>
          </w:p>
        </w:tc>
        <w:tc>
          <w:tcPr>
            <w:tcW w:w="600" w:type="dxa"/>
            <w:noWrap/>
            <w:vAlign w:val="bottom"/>
            <w:hideMark/>
          </w:tcPr>
          <w:p w14:paraId="1B59291D" w14:textId="77777777" w:rsidR="00B04651" w:rsidRPr="00FA0DD7" w:rsidRDefault="00B04651" w:rsidP="00562C3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Pr>
                <w:rFonts w:ascii="Calibri" w:hAnsi="Calibri"/>
                <w:color w:val="000000"/>
                <w:sz w:val="18"/>
                <w:szCs w:val="18"/>
              </w:rPr>
              <w:t>36.2</w:t>
            </w:r>
          </w:p>
        </w:tc>
        <w:tc>
          <w:tcPr>
            <w:tcW w:w="864" w:type="dxa"/>
            <w:noWrap/>
            <w:hideMark/>
          </w:tcPr>
          <w:p w14:paraId="468AFD86" w14:textId="77777777" w:rsidR="00B04651" w:rsidRPr="00FA0DD7" w:rsidRDefault="00B04651" w:rsidP="00562C3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Not incl.</w:t>
            </w:r>
          </w:p>
        </w:tc>
      </w:tr>
      <w:tr w:rsidR="00B04651" w:rsidRPr="00FA0DD7" w14:paraId="7B223384" w14:textId="77777777" w:rsidTr="00562C39">
        <w:trPr>
          <w:trHeight w:val="20"/>
        </w:trPr>
        <w:tc>
          <w:tcPr>
            <w:cnfStyle w:val="001000000000" w:firstRow="0" w:lastRow="0" w:firstColumn="1" w:lastColumn="0" w:oddVBand="0" w:evenVBand="0" w:oddHBand="0" w:evenHBand="0" w:firstRowFirstColumn="0" w:firstRowLastColumn="0" w:lastRowFirstColumn="0" w:lastRowLastColumn="0"/>
            <w:tcW w:w="600" w:type="dxa"/>
            <w:noWrap/>
            <w:hideMark/>
          </w:tcPr>
          <w:p w14:paraId="1D0712F9" w14:textId="77777777" w:rsidR="00B04651" w:rsidRPr="00FA0DD7" w:rsidRDefault="00B04651" w:rsidP="00562C39">
            <w:pPr>
              <w:jc w:val="right"/>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2005</w:t>
            </w:r>
          </w:p>
        </w:tc>
        <w:tc>
          <w:tcPr>
            <w:tcW w:w="719" w:type="dxa"/>
            <w:noWrap/>
            <w:vAlign w:val="bottom"/>
            <w:hideMark/>
          </w:tcPr>
          <w:p w14:paraId="336F9A86" w14:textId="77777777" w:rsidR="00B04651" w:rsidRPr="00FA0DD7" w:rsidRDefault="00B04651" w:rsidP="00562C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sz w:val="18"/>
                <w:szCs w:val="18"/>
                <w:u w:val="single"/>
              </w:rPr>
            </w:pPr>
            <w:r w:rsidRPr="00EF49FF">
              <w:rPr>
                <w:rFonts w:ascii="Calibri" w:hAnsi="Calibri"/>
                <w:b/>
                <w:color w:val="000000"/>
                <w:sz w:val="18"/>
                <w:szCs w:val="18"/>
                <w:u w:val="single"/>
              </w:rPr>
              <w:t>36.6</w:t>
            </w:r>
          </w:p>
        </w:tc>
        <w:tc>
          <w:tcPr>
            <w:tcW w:w="718" w:type="dxa"/>
            <w:noWrap/>
            <w:vAlign w:val="bottom"/>
            <w:hideMark/>
          </w:tcPr>
          <w:p w14:paraId="5B87C5C5" w14:textId="77777777" w:rsidR="00B04651" w:rsidRPr="00FA0DD7" w:rsidRDefault="00B04651" w:rsidP="00562C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hAnsi="Calibri"/>
                <w:color w:val="000000"/>
                <w:sz w:val="18"/>
                <w:szCs w:val="18"/>
              </w:rPr>
              <w:t>20.1</w:t>
            </w:r>
          </w:p>
        </w:tc>
        <w:tc>
          <w:tcPr>
            <w:tcW w:w="626" w:type="dxa"/>
            <w:noWrap/>
            <w:vAlign w:val="bottom"/>
            <w:hideMark/>
          </w:tcPr>
          <w:p w14:paraId="02BAEE29" w14:textId="77777777" w:rsidR="00B04651" w:rsidRPr="00FA0DD7" w:rsidRDefault="00B04651" w:rsidP="00562C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hAnsi="Calibri"/>
                <w:color w:val="000000"/>
                <w:sz w:val="18"/>
                <w:szCs w:val="18"/>
              </w:rPr>
              <w:t>5.1</w:t>
            </w:r>
          </w:p>
        </w:tc>
        <w:tc>
          <w:tcPr>
            <w:tcW w:w="626" w:type="dxa"/>
            <w:noWrap/>
            <w:vAlign w:val="bottom"/>
            <w:hideMark/>
          </w:tcPr>
          <w:p w14:paraId="584F5B55" w14:textId="77777777" w:rsidR="00B04651" w:rsidRPr="00FA0DD7" w:rsidRDefault="00B04651" w:rsidP="00562C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hAnsi="Calibri"/>
                <w:color w:val="000000"/>
                <w:sz w:val="18"/>
                <w:szCs w:val="18"/>
              </w:rPr>
              <w:t>3.1</w:t>
            </w:r>
          </w:p>
        </w:tc>
        <w:tc>
          <w:tcPr>
            <w:tcW w:w="626" w:type="dxa"/>
            <w:noWrap/>
            <w:vAlign w:val="bottom"/>
            <w:hideMark/>
          </w:tcPr>
          <w:p w14:paraId="776FADCF" w14:textId="77777777" w:rsidR="00B04651" w:rsidRPr="00FA0DD7" w:rsidRDefault="00B04651" w:rsidP="00562C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hAnsi="Calibri"/>
                <w:color w:val="000000"/>
                <w:sz w:val="18"/>
                <w:szCs w:val="18"/>
              </w:rPr>
              <w:t>4.6</w:t>
            </w:r>
          </w:p>
        </w:tc>
        <w:tc>
          <w:tcPr>
            <w:tcW w:w="600" w:type="dxa"/>
            <w:noWrap/>
            <w:vAlign w:val="bottom"/>
            <w:hideMark/>
          </w:tcPr>
          <w:p w14:paraId="126BDE8E" w14:textId="77777777" w:rsidR="00B04651" w:rsidRPr="00FA0DD7" w:rsidRDefault="00B04651" w:rsidP="00562C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hAnsi="Calibri"/>
                <w:color w:val="000000"/>
                <w:sz w:val="18"/>
                <w:szCs w:val="18"/>
              </w:rPr>
              <w:t>0.7</w:t>
            </w:r>
          </w:p>
        </w:tc>
        <w:tc>
          <w:tcPr>
            <w:tcW w:w="600" w:type="dxa"/>
            <w:noWrap/>
            <w:vAlign w:val="bottom"/>
            <w:hideMark/>
          </w:tcPr>
          <w:p w14:paraId="4F45A6E8" w14:textId="77777777" w:rsidR="00B04651" w:rsidRPr="00FA0DD7" w:rsidRDefault="00B04651" w:rsidP="00562C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hAnsi="Calibri"/>
                <w:color w:val="000000"/>
                <w:sz w:val="18"/>
                <w:szCs w:val="18"/>
              </w:rPr>
              <w:t>-0.7</w:t>
            </w:r>
          </w:p>
        </w:tc>
        <w:tc>
          <w:tcPr>
            <w:tcW w:w="600" w:type="dxa"/>
            <w:noWrap/>
            <w:vAlign w:val="bottom"/>
            <w:hideMark/>
          </w:tcPr>
          <w:p w14:paraId="3E20EA66" w14:textId="77777777" w:rsidR="00B04651" w:rsidRPr="00FA0DD7" w:rsidRDefault="00B04651" w:rsidP="00562C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hAnsi="Calibri"/>
                <w:color w:val="000000"/>
                <w:sz w:val="18"/>
                <w:szCs w:val="18"/>
              </w:rPr>
              <w:t>0.9</w:t>
            </w:r>
          </w:p>
        </w:tc>
        <w:tc>
          <w:tcPr>
            <w:tcW w:w="626" w:type="dxa"/>
            <w:noWrap/>
            <w:vAlign w:val="bottom"/>
            <w:hideMark/>
          </w:tcPr>
          <w:p w14:paraId="0FCD15E9" w14:textId="77777777" w:rsidR="00B04651" w:rsidRPr="00FA0DD7" w:rsidRDefault="00B04651" w:rsidP="00562C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hAnsi="Calibri"/>
                <w:color w:val="000000"/>
                <w:sz w:val="18"/>
                <w:szCs w:val="18"/>
              </w:rPr>
              <w:t>2.0</w:t>
            </w:r>
          </w:p>
        </w:tc>
        <w:tc>
          <w:tcPr>
            <w:tcW w:w="600" w:type="dxa"/>
            <w:noWrap/>
            <w:vAlign w:val="bottom"/>
            <w:hideMark/>
          </w:tcPr>
          <w:p w14:paraId="49CE50BA" w14:textId="77777777" w:rsidR="00B04651" w:rsidRPr="00FA0DD7" w:rsidRDefault="00B04651" w:rsidP="00562C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hAnsi="Calibri"/>
                <w:color w:val="000000"/>
                <w:sz w:val="18"/>
                <w:szCs w:val="18"/>
              </w:rPr>
              <w:t>36.6</w:t>
            </w:r>
          </w:p>
        </w:tc>
        <w:tc>
          <w:tcPr>
            <w:tcW w:w="864" w:type="dxa"/>
            <w:noWrap/>
            <w:hideMark/>
          </w:tcPr>
          <w:p w14:paraId="0AFBDB8C" w14:textId="77777777" w:rsidR="00B04651" w:rsidRPr="00FA0DD7" w:rsidRDefault="00B04651" w:rsidP="00562C3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Not incl.</w:t>
            </w:r>
          </w:p>
        </w:tc>
      </w:tr>
      <w:tr w:rsidR="00B04651" w:rsidRPr="00FA0DD7" w14:paraId="67CE62BD" w14:textId="77777777" w:rsidTr="00562C3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00" w:type="dxa"/>
            <w:noWrap/>
            <w:hideMark/>
          </w:tcPr>
          <w:p w14:paraId="6A1F4EDA" w14:textId="77777777" w:rsidR="00B04651" w:rsidRPr="00FA0DD7" w:rsidRDefault="00B04651" w:rsidP="00562C39">
            <w:pPr>
              <w:jc w:val="right"/>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2006</w:t>
            </w:r>
          </w:p>
        </w:tc>
        <w:tc>
          <w:tcPr>
            <w:tcW w:w="719" w:type="dxa"/>
            <w:noWrap/>
            <w:vAlign w:val="bottom"/>
            <w:hideMark/>
          </w:tcPr>
          <w:p w14:paraId="4E2103CB" w14:textId="77777777" w:rsidR="00B04651" w:rsidRPr="00FA0DD7" w:rsidRDefault="00B04651" w:rsidP="00562C3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 w:val="18"/>
                <w:szCs w:val="18"/>
                <w:u w:val="single"/>
              </w:rPr>
            </w:pPr>
            <w:r w:rsidRPr="00EF49FF">
              <w:rPr>
                <w:rFonts w:ascii="Calibri" w:hAnsi="Calibri"/>
                <w:b/>
                <w:color w:val="000000"/>
                <w:sz w:val="18"/>
                <w:szCs w:val="18"/>
                <w:u w:val="single"/>
              </w:rPr>
              <w:t>37.1</w:t>
            </w:r>
          </w:p>
        </w:tc>
        <w:tc>
          <w:tcPr>
            <w:tcW w:w="718" w:type="dxa"/>
            <w:noWrap/>
            <w:vAlign w:val="bottom"/>
            <w:hideMark/>
          </w:tcPr>
          <w:p w14:paraId="639B7396" w14:textId="77777777" w:rsidR="00B04651" w:rsidRPr="00FA0DD7" w:rsidRDefault="00B04651" w:rsidP="00562C3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Pr>
                <w:rFonts w:ascii="Calibri" w:hAnsi="Calibri"/>
                <w:color w:val="000000"/>
                <w:sz w:val="18"/>
                <w:szCs w:val="18"/>
              </w:rPr>
              <w:t>20.5</w:t>
            </w:r>
          </w:p>
        </w:tc>
        <w:tc>
          <w:tcPr>
            <w:tcW w:w="626" w:type="dxa"/>
            <w:noWrap/>
            <w:vAlign w:val="bottom"/>
            <w:hideMark/>
          </w:tcPr>
          <w:p w14:paraId="5DAE3076" w14:textId="77777777" w:rsidR="00B04651" w:rsidRPr="00FA0DD7" w:rsidRDefault="00B04651" w:rsidP="00562C3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Pr>
                <w:rFonts w:ascii="Calibri" w:hAnsi="Calibri"/>
                <w:color w:val="000000"/>
                <w:sz w:val="18"/>
                <w:szCs w:val="18"/>
              </w:rPr>
              <w:t>5.1</w:t>
            </w:r>
          </w:p>
        </w:tc>
        <w:tc>
          <w:tcPr>
            <w:tcW w:w="626" w:type="dxa"/>
            <w:noWrap/>
            <w:vAlign w:val="bottom"/>
            <w:hideMark/>
          </w:tcPr>
          <w:p w14:paraId="7E85F914" w14:textId="77777777" w:rsidR="00B04651" w:rsidRPr="00FA0DD7" w:rsidRDefault="00B04651" w:rsidP="00562C3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Pr>
                <w:rFonts w:ascii="Calibri" w:hAnsi="Calibri"/>
                <w:color w:val="000000"/>
                <w:sz w:val="18"/>
                <w:szCs w:val="18"/>
              </w:rPr>
              <w:t>3.1</w:t>
            </w:r>
          </w:p>
        </w:tc>
        <w:tc>
          <w:tcPr>
            <w:tcW w:w="626" w:type="dxa"/>
            <w:noWrap/>
            <w:vAlign w:val="bottom"/>
            <w:hideMark/>
          </w:tcPr>
          <w:p w14:paraId="74B168C7" w14:textId="77777777" w:rsidR="00B04651" w:rsidRPr="00FA0DD7" w:rsidRDefault="00B04651" w:rsidP="00562C3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Pr>
                <w:rFonts w:ascii="Calibri" w:hAnsi="Calibri"/>
                <w:color w:val="000000"/>
                <w:sz w:val="18"/>
                <w:szCs w:val="18"/>
              </w:rPr>
              <w:t>4.7</w:t>
            </w:r>
          </w:p>
        </w:tc>
        <w:tc>
          <w:tcPr>
            <w:tcW w:w="600" w:type="dxa"/>
            <w:noWrap/>
            <w:vAlign w:val="bottom"/>
            <w:hideMark/>
          </w:tcPr>
          <w:p w14:paraId="550D8584" w14:textId="77777777" w:rsidR="00B04651" w:rsidRPr="00FA0DD7" w:rsidRDefault="00B04651" w:rsidP="00562C3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Pr>
                <w:rFonts w:ascii="Calibri" w:hAnsi="Calibri"/>
                <w:color w:val="000000"/>
                <w:sz w:val="18"/>
                <w:szCs w:val="18"/>
              </w:rPr>
              <w:t>0.7</w:t>
            </w:r>
          </w:p>
        </w:tc>
        <w:tc>
          <w:tcPr>
            <w:tcW w:w="600" w:type="dxa"/>
            <w:noWrap/>
            <w:vAlign w:val="bottom"/>
            <w:hideMark/>
          </w:tcPr>
          <w:p w14:paraId="02C7F019" w14:textId="77777777" w:rsidR="00B04651" w:rsidRPr="00FA0DD7" w:rsidRDefault="00B04651" w:rsidP="00562C3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Pr>
                <w:rFonts w:ascii="Calibri" w:hAnsi="Calibri"/>
                <w:color w:val="000000"/>
                <w:sz w:val="18"/>
                <w:szCs w:val="18"/>
              </w:rPr>
              <w:t>-0.7</w:t>
            </w:r>
          </w:p>
        </w:tc>
        <w:tc>
          <w:tcPr>
            <w:tcW w:w="600" w:type="dxa"/>
            <w:noWrap/>
            <w:vAlign w:val="bottom"/>
            <w:hideMark/>
          </w:tcPr>
          <w:p w14:paraId="4B52AC13" w14:textId="77777777" w:rsidR="00B04651" w:rsidRPr="00FA0DD7" w:rsidRDefault="00B04651" w:rsidP="00562C3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Pr>
                <w:rFonts w:ascii="Calibri" w:hAnsi="Calibri"/>
                <w:color w:val="000000"/>
                <w:sz w:val="18"/>
                <w:szCs w:val="18"/>
              </w:rPr>
              <w:t>0.9</w:t>
            </w:r>
          </w:p>
        </w:tc>
        <w:tc>
          <w:tcPr>
            <w:tcW w:w="626" w:type="dxa"/>
            <w:noWrap/>
            <w:vAlign w:val="bottom"/>
            <w:hideMark/>
          </w:tcPr>
          <w:p w14:paraId="3DA02933" w14:textId="77777777" w:rsidR="00B04651" w:rsidRPr="00FA0DD7" w:rsidRDefault="00B04651" w:rsidP="00562C3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Pr>
                <w:rFonts w:ascii="Calibri" w:hAnsi="Calibri"/>
                <w:color w:val="000000"/>
                <w:sz w:val="18"/>
                <w:szCs w:val="18"/>
              </w:rPr>
              <w:t>2.0</w:t>
            </w:r>
          </w:p>
        </w:tc>
        <w:tc>
          <w:tcPr>
            <w:tcW w:w="600" w:type="dxa"/>
            <w:noWrap/>
            <w:vAlign w:val="bottom"/>
            <w:hideMark/>
          </w:tcPr>
          <w:p w14:paraId="44596145" w14:textId="77777777" w:rsidR="00B04651" w:rsidRPr="00FA0DD7" w:rsidRDefault="00B04651" w:rsidP="00562C3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Pr>
                <w:rFonts w:ascii="Calibri" w:hAnsi="Calibri"/>
                <w:color w:val="000000"/>
                <w:sz w:val="18"/>
                <w:szCs w:val="18"/>
              </w:rPr>
              <w:t>37.1</w:t>
            </w:r>
          </w:p>
        </w:tc>
        <w:tc>
          <w:tcPr>
            <w:tcW w:w="864" w:type="dxa"/>
            <w:noWrap/>
            <w:hideMark/>
          </w:tcPr>
          <w:p w14:paraId="33F56271" w14:textId="77777777" w:rsidR="00B04651" w:rsidRPr="00FA0DD7" w:rsidRDefault="00B04651" w:rsidP="00562C3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Not incl.</w:t>
            </w:r>
          </w:p>
        </w:tc>
      </w:tr>
      <w:tr w:rsidR="00B04651" w:rsidRPr="00FA0DD7" w14:paraId="715DA015" w14:textId="77777777" w:rsidTr="00562C39">
        <w:trPr>
          <w:trHeight w:val="20"/>
        </w:trPr>
        <w:tc>
          <w:tcPr>
            <w:cnfStyle w:val="001000000000" w:firstRow="0" w:lastRow="0" w:firstColumn="1" w:lastColumn="0" w:oddVBand="0" w:evenVBand="0" w:oddHBand="0" w:evenHBand="0" w:firstRowFirstColumn="0" w:firstRowLastColumn="0" w:lastRowFirstColumn="0" w:lastRowLastColumn="0"/>
            <w:tcW w:w="600" w:type="dxa"/>
            <w:noWrap/>
            <w:hideMark/>
          </w:tcPr>
          <w:p w14:paraId="73AED6C1" w14:textId="77777777" w:rsidR="00B04651" w:rsidRPr="00FA0DD7" w:rsidRDefault="00B04651" w:rsidP="00562C39">
            <w:pPr>
              <w:jc w:val="right"/>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2007</w:t>
            </w:r>
          </w:p>
        </w:tc>
        <w:tc>
          <w:tcPr>
            <w:tcW w:w="719" w:type="dxa"/>
            <w:noWrap/>
            <w:vAlign w:val="bottom"/>
            <w:hideMark/>
          </w:tcPr>
          <w:p w14:paraId="1571B21C" w14:textId="77777777" w:rsidR="00B04651" w:rsidRPr="00FA0DD7" w:rsidRDefault="00B04651" w:rsidP="00562C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sz w:val="18"/>
                <w:szCs w:val="18"/>
                <w:u w:val="single"/>
              </w:rPr>
            </w:pPr>
            <w:r w:rsidRPr="00EF49FF">
              <w:rPr>
                <w:rFonts w:ascii="Calibri" w:hAnsi="Calibri"/>
                <w:b/>
                <w:color w:val="000000"/>
                <w:sz w:val="18"/>
                <w:szCs w:val="18"/>
                <w:u w:val="single"/>
              </w:rPr>
              <w:t>37.6</w:t>
            </w:r>
          </w:p>
        </w:tc>
        <w:tc>
          <w:tcPr>
            <w:tcW w:w="718" w:type="dxa"/>
            <w:noWrap/>
            <w:vAlign w:val="bottom"/>
            <w:hideMark/>
          </w:tcPr>
          <w:p w14:paraId="45CAA9B9" w14:textId="77777777" w:rsidR="00B04651" w:rsidRPr="00FA0DD7" w:rsidRDefault="00B04651" w:rsidP="00562C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hAnsi="Calibri"/>
                <w:color w:val="000000"/>
                <w:sz w:val="18"/>
                <w:szCs w:val="18"/>
              </w:rPr>
              <w:t>20.9</w:t>
            </w:r>
          </w:p>
        </w:tc>
        <w:tc>
          <w:tcPr>
            <w:tcW w:w="626" w:type="dxa"/>
            <w:noWrap/>
            <w:vAlign w:val="bottom"/>
            <w:hideMark/>
          </w:tcPr>
          <w:p w14:paraId="0ADDF7FA" w14:textId="77777777" w:rsidR="00B04651" w:rsidRPr="00FA0DD7" w:rsidRDefault="00B04651" w:rsidP="00562C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hAnsi="Calibri"/>
                <w:color w:val="000000"/>
                <w:sz w:val="18"/>
                <w:szCs w:val="18"/>
              </w:rPr>
              <w:t>5.1</w:t>
            </w:r>
          </w:p>
        </w:tc>
        <w:tc>
          <w:tcPr>
            <w:tcW w:w="626" w:type="dxa"/>
            <w:noWrap/>
            <w:vAlign w:val="bottom"/>
            <w:hideMark/>
          </w:tcPr>
          <w:p w14:paraId="007ED62A" w14:textId="77777777" w:rsidR="00B04651" w:rsidRPr="00FA0DD7" w:rsidRDefault="00B04651" w:rsidP="00562C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hAnsi="Calibri"/>
                <w:color w:val="000000"/>
                <w:sz w:val="18"/>
                <w:szCs w:val="18"/>
              </w:rPr>
              <w:t>3.1</w:t>
            </w:r>
          </w:p>
        </w:tc>
        <w:tc>
          <w:tcPr>
            <w:tcW w:w="626" w:type="dxa"/>
            <w:noWrap/>
            <w:vAlign w:val="bottom"/>
            <w:hideMark/>
          </w:tcPr>
          <w:p w14:paraId="1CEAC068" w14:textId="77777777" w:rsidR="00B04651" w:rsidRPr="00FA0DD7" w:rsidRDefault="00B04651" w:rsidP="00562C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hAnsi="Calibri"/>
                <w:color w:val="000000"/>
                <w:sz w:val="18"/>
                <w:szCs w:val="18"/>
              </w:rPr>
              <w:t>4.7</w:t>
            </w:r>
          </w:p>
        </w:tc>
        <w:tc>
          <w:tcPr>
            <w:tcW w:w="600" w:type="dxa"/>
            <w:noWrap/>
            <w:vAlign w:val="bottom"/>
            <w:hideMark/>
          </w:tcPr>
          <w:p w14:paraId="74E423A1" w14:textId="77777777" w:rsidR="00B04651" w:rsidRPr="00FA0DD7" w:rsidRDefault="00B04651" w:rsidP="00562C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hAnsi="Calibri"/>
                <w:color w:val="000000"/>
                <w:sz w:val="18"/>
                <w:szCs w:val="18"/>
              </w:rPr>
              <w:t>0.7</w:t>
            </w:r>
          </w:p>
        </w:tc>
        <w:tc>
          <w:tcPr>
            <w:tcW w:w="600" w:type="dxa"/>
            <w:noWrap/>
            <w:vAlign w:val="bottom"/>
            <w:hideMark/>
          </w:tcPr>
          <w:p w14:paraId="6F37D8A0" w14:textId="77777777" w:rsidR="00B04651" w:rsidRPr="00FA0DD7" w:rsidRDefault="00B04651" w:rsidP="00562C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hAnsi="Calibri"/>
                <w:color w:val="000000"/>
                <w:sz w:val="18"/>
                <w:szCs w:val="18"/>
              </w:rPr>
              <w:t>-0.6</w:t>
            </w:r>
          </w:p>
        </w:tc>
        <w:tc>
          <w:tcPr>
            <w:tcW w:w="600" w:type="dxa"/>
            <w:noWrap/>
            <w:vAlign w:val="bottom"/>
            <w:hideMark/>
          </w:tcPr>
          <w:p w14:paraId="4C7E6165" w14:textId="77777777" w:rsidR="00B04651" w:rsidRPr="00FA0DD7" w:rsidRDefault="00B04651" w:rsidP="00562C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hAnsi="Calibri"/>
                <w:color w:val="000000"/>
                <w:sz w:val="18"/>
                <w:szCs w:val="18"/>
              </w:rPr>
              <w:t>0.8</w:t>
            </w:r>
          </w:p>
        </w:tc>
        <w:tc>
          <w:tcPr>
            <w:tcW w:w="626" w:type="dxa"/>
            <w:noWrap/>
            <w:vAlign w:val="bottom"/>
            <w:hideMark/>
          </w:tcPr>
          <w:p w14:paraId="276B2F7E" w14:textId="77777777" w:rsidR="00B04651" w:rsidRPr="00FA0DD7" w:rsidRDefault="00B04651" w:rsidP="00562C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hAnsi="Calibri"/>
                <w:color w:val="000000"/>
                <w:sz w:val="18"/>
                <w:szCs w:val="18"/>
              </w:rPr>
              <w:t>1.9</w:t>
            </w:r>
          </w:p>
        </w:tc>
        <w:tc>
          <w:tcPr>
            <w:tcW w:w="600" w:type="dxa"/>
            <w:noWrap/>
            <w:vAlign w:val="bottom"/>
            <w:hideMark/>
          </w:tcPr>
          <w:p w14:paraId="5609B968" w14:textId="77777777" w:rsidR="00B04651" w:rsidRPr="00FA0DD7" w:rsidRDefault="00B04651" w:rsidP="00562C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hAnsi="Calibri"/>
                <w:color w:val="000000"/>
                <w:sz w:val="18"/>
                <w:szCs w:val="18"/>
              </w:rPr>
              <w:t>37.6</w:t>
            </w:r>
          </w:p>
        </w:tc>
        <w:tc>
          <w:tcPr>
            <w:tcW w:w="864" w:type="dxa"/>
            <w:noWrap/>
            <w:hideMark/>
          </w:tcPr>
          <w:p w14:paraId="4E1AB34E" w14:textId="77777777" w:rsidR="00B04651" w:rsidRPr="00FA0DD7" w:rsidRDefault="00B04651" w:rsidP="00562C3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Not incl.</w:t>
            </w:r>
          </w:p>
        </w:tc>
      </w:tr>
      <w:tr w:rsidR="00B04651" w:rsidRPr="00FA0DD7" w14:paraId="7B139ACD" w14:textId="77777777" w:rsidTr="00562C3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00" w:type="dxa"/>
            <w:noWrap/>
            <w:hideMark/>
          </w:tcPr>
          <w:p w14:paraId="2FD34349" w14:textId="77777777" w:rsidR="00B04651" w:rsidRPr="00FA0DD7" w:rsidRDefault="00B04651" w:rsidP="00562C39">
            <w:pPr>
              <w:jc w:val="right"/>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2008</w:t>
            </w:r>
          </w:p>
        </w:tc>
        <w:tc>
          <w:tcPr>
            <w:tcW w:w="719" w:type="dxa"/>
            <w:noWrap/>
            <w:vAlign w:val="bottom"/>
            <w:hideMark/>
          </w:tcPr>
          <w:p w14:paraId="56C91286" w14:textId="77777777" w:rsidR="00B04651" w:rsidRPr="00FA0DD7" w:rsidRDefault="00B04651" w:rsidP="00562C3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 w:val="18"/>
                <w:szCs w:val="18"/>
                <w:u w:val="single"/>
              </w:rPr>
            </w:pPr>
            <w:r w:rsidRPr="00EF49FF">
              <w:rPr>
                <w:rFonts w:ascii="Calibri" w:hAnsi="Calibri"/>
                <w:b/>
                <w:color w:val="000000"/>
                <w:sz w:val="18"/>
                <w:szCs w:val="18"/>
                <w:u w:val="single"/>
              </w:rPr>
              <w:t>38.0</w:t>
            </w:r>
          </w:p>
        </w:tc>
        <w:tc>
          <w:tcPr>
            <w:tcW w:w="718" w:type="dxa"/>
            <w:noWrap/>
            <w:vAlign w:val="bottom"/>
            <w:hideMark/>
          </w:tcPr>
          <w:p w14:paraId="7AD871B2" w14:textId="77777777" w:rsidR="00B04651" w:rsidRPr="00FA0DD7" w:rsidRDefault="00B04651" w:rsidP="00562C3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Pr>
                <w:rFonts w:ascii="Calibri" w:hAnsi="Calibri"/>
                <w:color w:val="000000"/>
                <w:sz w:val="18"/>
                <w:szCs w:val="18"/>
              </w:rPr>
              <w:t>21.3</w:t>
            </w:r>
          </w:p>
        </w:tc>
        <w:tc>
          <w:tcPr>
            <w:tcW w:w="626" w:type="dxa"/>
            <w:noWrap/>
            <w:vAlign w:val="bottom"/>
            <w:hideMark/>
          </w:tcPr>
          <w:p w14:paraId="5C8EC3C1" w14:textId="77777777" w:rsidR="00B04651" w:rsidRPr="00FA0DD7" w:rsidRDefault="00B04651" w:rsidP="00562C3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Pr>
                <w:rFonts w:ascii="Calibri" w:hAnsi="Calibri"/>
                <w:color w:val="000000"/>
                <w:sz w:val="18"/>
                <w:szCs w:val="18"/>
              </w:rPr>
              <w:t>5.1</w:t>
            </w:r>
          </w:p>
        </w:tc>
        <w:tc>
          <w:tcPr>
            <w:tcW w:w="626" w:type="dxa"/>
            <w:noWrap/>
            <w:vAlign w:val="bottom"/>
            <w:hideMark/>
          </w:tcPr>
          <w:p w14:paraId="6BF8BA52" w14:textId="77777777" w:rsidR="00B04651" w:rsidRPr="00FA0DD7" w:rsidRDefault="00B04651" w:rsidP="00562C3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Pr>
                <w:rFonts w:ascii="Calibri" w:hAnsi="Calibri"/>
                <w:color w:val="000000"/>
                <w:sz w:val="18"/>
                <w:szCs w:val="18"/>
              </w:rPr>
              <w:t>3.1</w:t>
            </w:r>
          </w:p>
        </w:tc>
        <w:tc>
          <w:tcPr>
            <w:tcW w:w="626" w:type="dxa"/>
            <w:noWrap/>
            <w:vAlign w:val="bottom"/>
            <w:hideMark/>
          </w:tcPr>
          <w:p w14:paraId="4010DB9E" w14:textId="77777777" w:rsidR="00B04651" w:rsidRPr="00FA0DD7" w:rsidRDefault="00B04651" w:rsidP="00562C3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Pr>
                <w:rFonts w:ascii="Calibri" w:hAnsi="Calibri"/>
                <w:color w:val="000000"/>
                <w:sz w:val="18"/>
                <w:szCs w:val="18"/>
              </w:rPr>
              <w:t>4.8</w:t>
            </w:r>
          </w:p>
        </w:tc>
        <w:tc>
          <w:tcPr>
            <w:tcW w:w="600" w:type="dxa"/>
            <w:noWrap/>
            <w:vAlign w:val="bottom"/>
            <w:hideMark/>
          </w:tcPr>
          <w:p w14:paraId="61C611BD" w14:textId="77777777" w:rsidR="00B04651" w:rsidRPr="00FA0DD7" w:rsidRDefault="00B04651" w:rsidP="00562C3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Pr>
                <w:rFonts w:ascii="Calibri" w:hAnsi="Calibri"/>
                <w:color w:val="000000"/>
                <w:sz w:val="18"/>
                <w:szCs w:val="18"/>
              </w:rPr>
              <w:t>0.7</w:t>
            </w:r>
          </w:p>
        </w:tc>
        <w:tc>
          <w:tcPr>
            <w:tcW w:w="600" w:type="dxa"/>
            <w:noWrap/>
            <w:vAlign w:val="bottom"/>
            <w:hideMark/>
          </w:tcPr>
          <w:p w14:paraId="06A37B98" w14:textId="77777777" w:rsidR="00B04651" w:rsidRPr="00FA0DD7" w:rsidRDefault="00B04651" w:rsidP="00562C3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Pr>
                <w:rFonts w:ascii="Calibri" w:hAnsi="Calibri"/>
                <w:color w:val="000000"/>
                <w:sz w:val="18"/>
                <w:szCs w:val="18"/>
              </w:rPr>
              <w:t>-0.5</w:t>
            </w:r>
          </w:p>
        </w:tc>
        <w:tc>
          <w:tcPr>
            <w:tcW w:w="600" w:type="dxa"/>
            <w:noWrap/>
            <w:vAlign w:val="bottom"/>
            <w:hideMark/>
          </w:tcPr>
          <w:p w14:paraId="48C93A54" w14:textId="77777777" w:rsidR="00B04651" w:rsidRPr="00FA0DD7" w:rsidRDefault="00B04651" w:rsidP="00562C3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Pr>
                <w:rFonts w:ascii="Calibri" w:hAnsi="Calibri"/>
                <w:color w:val="000000"/>
                <w:sz w:val="18"/>
                <w:szCs w:val="18"/>
              </w:rPr>
              <w:t>0.8</w:t>
            </w:r>
          </w:p>
        </w:tc>
        <w:tc>
          <w:tcPr>
            <w:tcW w:w="626" w:type="dxa"/>
            <w:noWrap/>
            <w:vAlign w:val="bottom"/>
            <w:hideMark/>
          </w:tcPr>
          <w:p w14:paraId="6ACF86A0" w14:textId="77777777" w:rsidR="00B04651" w:rsidRPr="00FA0DD7" w:rsidRDefault="00B04651" w:rsidP="00562C3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Pr>
                <w:rFonts w:ascii="Calibri" w:hAnsi="Calibri"/>
                <w:color w:val="000000"/>
                <w:sz w:val="18"/>
                <w:szCs w:val="18"/>
              </w:rPr>
              <w:t>1.9</w:t>
            </w:r>
          </w:p>
        </w:tc>
        <w:tc>
          <w:tcPr>
            <w:tcW w:w="600" w:type="dxa"/>
            <w:noWrap/>
            <w:vAlign w:val="bottom"/>
            <w:hideMark/>
          </w:tcPr>
          <w:p w14:paraId="366C875C" w14:textId="77777777" w:rsidR="00B04651" w:rsidRPr="00FA0DD7" w:rsidRDefault="00B04651" w:rsidP="00562C3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Pr>
                <w:rFonts w:ascii="Calibri" w:hAnsi="Calibri"/>
                <w:color w:val="000000"/>
                <w:sz w:val="18"/>
                <w:szCs w:val="18"/>
              </w:rPr>
              <w:t>38.0</w:t>
            </w:r>
          </w:p>
        </w:tc>
        <w:tc>
          <w:tcPr>
            <w:tcW w:w="864" w:type="dxa"/>
            <w:noWrap/>
            <w:hideMark/>
          </w:tcPr>
          <w:p w14:paraId="7C91A92A" w14:textId="77777777" w:rsidR="00B04651" w:rsidRPr="00FA0DD7" w:rsidRDefault="00B04651" w:rsidP="00562C3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Not incl.</w:t>
            </w:r>
          </w:p>
        </w:tc>
      </w:tr>
      <w:tr w:rsidR="00B04651" w:rsidRPr="00FA0DD7" w14:paraId="7C2A7750" w14:textId="77777777" w:rsidTr="00562C39">
        <w:trPr>
          <w:trHeight w:val="20"/>
        </w:trPr>
        <w:tc>
          <w:tcPr>
            <w:cnfStyle w:val="001000000000" w:firstRow="0" w:lastRow="0" w:firstColumn="1" w:lastColumn="0" w:oddVBand="0" w:evenVBand="0" w:oddHBand="0" w:evenHBand="0" w:firstRowFirstColumn="0" w:firstRowLastColumn="0" w:lastRowFirstColumn="0" w:lastRowLastColumn="0"/>
            <w:tcW w:w="600" w:type="dxa"/>
            <w:noWrap/>
            <w:hideMark/>
          </w:tcPr>
          <w:p w14:paraId="3A26B611" w14:textId="77777777" w:rsidR="00B04651" w:rsidRPr="00FA0DD7" w:rsidRDefault="00B04651" w:rsidP="00562C39">
            <w:pPr>
              <w:jc w:val="right"/>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2009</w:t>
            </w:r>
          </w:p>
        </w:tc>
        <w:tc>
          <w:tcPr>
            <w:tcW w:w="719" w:type="dxa"/>
            <w:noWrap/>
            <w:vAlign w:val="bottom"/>
            <w:hideMark/>
          </w:tcPr>
          <w:p w14:paraId="7A236CEF" w14:textId="77777777" w:rsidR="00B04651" w:rsidRPr="00FA0DD7" w:rsidRDefault="00B04651" w:rsidP="00562C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sz w:val="18"/>
                <w:szCs w:val="18"/>
                <w:u w:val="single"/>
              </w:rPr>
            </w:pPr>
            <w:r w:rsidRPr="00EF49FF">
              <w:rPr>
                <w:rFonts w:ascii="Calibri" w:hAnsi="Calibri"/>
                <w:b/>
                <w:color w:val="000000"/>
                <w:sz w:val="18"/>
                <w:szCs w:val="18"/>
                <w:u w:val="single"/>
              </w:rPr>
              <w:t>38.4</w:t>
            </w:r>
          </w:p>
        </w:tc>
        <w:tc>
          <w:tcPr>
            <w:tcW w:w="718" w:type="dxa"/>
            <w:noWrap/>
            <w:vAlign w:val="bottom"/>
            <w:hideMark/>
          </w:tcPr>
          <w:p w14:paraId="3C1706F5" w14:textId="77777777" w:rsidR="00B04651" w:rsidRPr="00FA0DD7" w:rsidRDefault="00B04651" w:rsidP="00562C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hAnsi="Calibri"/>
                <w:color w:val="000000"/>
                <w:sz w:val="18"/>
                <w:szCs w:val="18"/>
              </w:rPr>
              <w:t>21.6</w:t>
            </w:r>
          </w:p>
        </w:tc>
        <w:tc>
          <w:tcPr>
            <w:tcW w:w="626" w:type="dxa"/>
            <w:noWrap/>
            <w:vAlign w:val="bottom"/>
            <w:hideMark/>
          </w:tcPr>
          <w:p w14:paraId="5A72C1D7" w14:textId="77777777" w:rsidR="00B04651" w:rsidRPr="00FA0DD7" w:rsidRDefault="00B04651" w:rsidP="00562C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hAnsi="Calibri"/>
                <w:color w:val="000000"/>
                <w:sz w:val="18"/>
                <w:szCs w:val="18"/>
              </w:rPr>
              <w:t>5.1</w:t>
            </w:r>
          </w:p>
        </w:tc>
        <w:tc>
          <w:tcPr>
            <w:tcW w:w="626" w:type="dxa"/>
            <w:noWrap/>
            <w:vAlign w:val="bottom"/>
            <w:hideMark/>
          </w:tcPr>
          <w:p w14:paraId="7F8330F7" w14:textId="77777777" w:rsidR="00B04651" w:rsidRPr="00FA0DD7" w:rsidRDefault="00B04651" w:rsidP="00562C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hAnsi="Calibri"/>
                <w:color w:val="000000"/>
                <w:sz w:val="18"/>
                <w:szCs w:val="18"/>
              </w:rPr>
              <w:t>3.1</w:t>
            </w:r>
          </w:p>
        </w:tc>
        <w:tc>
          <w:tcPr>
            <w:tcW w:w="626" w:type="dxa"/>
            <w:noWrap/>
            <w:vAlign w:val="bottom"/>
            <w:hideMark/>
          </w:tcPr>
          <w:p w14:paraId="66FA6818" w14:textId="77777777" w:rsidR="00B04651" w:rsidRPr="00FA0DD7" w:rsidRDefault="00B04651" w:rsidP="00562C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hAnsi="Calibri"/>
                <w:color w:val="000000"/>
                <w:sz w:val="18"/>
                <w:szCs w:val="18"/>
              </w:rPr>
              <w:t>4.9</w:t>
            </w:r>
          </w:p>
        </w:tc>
        <w:tc>
          <w:tcPr>
            <w:tcW w:w="600" w:type="dxa"/>
            <w:noWrap/>
            <w:vAlign w:val="bottom"/>
            <w:hideMark/>
          </w:tcPr>
          <w:p w14:paraId="2F783E01" w14:textId="77777777" w:rsidR="00B04651" w:rsidRPr="00FA0DD7" w:rsidRDefault="00B04651" w:rsidP="00562C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hAnsi="Calibri"/>
                <w:color w:val="000000"/>
                <w:sz w:val="18"/>
                <w:szCs w:val="18"/>
              </w:rPr>
              <w:t>0.7</w:t>
            </w:r>
          </w:p>
        </w:tc>
        <w:tc>
          <w:tcPr>
            <w:tcW w:w="600" w:type="dxa"/>
            <w:noWrap/>
            <w:vAlign w:val="bottom"/>
            <w:hideMark/>
          </w:tcPr>
          <w:p w14:paraId="32EF8BAC" w14:textId="77777777" w:rsidR="00B04651" w:rsidRPr="00FA0DD7" w:rsidRDefault="00B04651" w:rsidP="00562C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hAnsi="Calibri"/>
                <w:color w:val="000000"/>
                <w:sz w:val="18"/>
                <w:szCs w:val="18"/>
              </w:rPr>
              <w:t>-0.4</w:t>
            </w:r>
          </w:p>
        </w:tc>
        <w:tc>
          <w:tcPr>
            <w:tcW w:w="600" w:type="dxa"/>
            <w:noWrap/>
            <w:vAlign w:val="bottom"/>
            <w:hideMark/>
          </w:tcPr>
          <w:p w14:paraId="2ACE2120" w14:textId="77777777" w:rsidR="00B04651" w:rsidRPr="00FA0DD7" w:rsidRDefault="00B04651" w:rsidP="00562C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hAnsi="Calibri"/>
                <w:color w:val="000000"/>
                <w:sz w:val="18"/>
                <w:szCs w:val="18"/>
              </w:rPr>
              <w:t>0.8</w:t>
            </w:r>
          </w:p>
        </w:tc>
        <w:tc>
          <w:tcPr>
            <w:tcW w:w="626" w:type="dxa"/>
            <w:noWrap/>
            <w:vAlign w:val="bottom"/>
            <w:hideMark/>
          </w:tcPr>
          <w:p w14:paraId="40D981B8" w14:textId="77777777" w:rsidR="00B04651" w:rsidRPr="00FA0DD7" w:rsidRDefault="00B04651" w:rsidP="00562C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hAnsi="Calibri"/>
                <w:color w:val="000000"/>
                <w:sz w:val="18"/>
                <w:szCs w:val="18"/>
              </w:rPr>
              <w:t>1.8</w:t>
            </w:r>
          </w:p>
        </w:tc>
        <w:tc>
          <w:tcPr>
            <w:tcW w:w="600" w:type="dxa"/>
            <w:noWrap/>
            <w:vAlign w:val="bottom"/>
            <w:hideMark/>
          </w:tcPr>
          <w:p w14:paraId="7352596A" w14:textId="77777777" w:rsidR="00B04651" w:rsidRPr="00FA0DD7" w:rsidRDefault="00B04651" w:rsidP="00562C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hAnsi="Calibri"/>
                <w:color w:val="000000"/>
                <w:sz w:val="18"/>
                <w:szCs w:val="18"/>
              </w:rPr>
              <w:t>38.4</w:t>
            </w:r>
          </w:p>
        </w:tc>
        <w:tc>
          <w:tcPr>
            <w:tcW w:w="864" w:type="dxa"/>
            <w:noWrap/>
            <w:hideMark/>
          </w:tcPr>
          <w:p w14:paraId="393D3517" w14:textId="77777777" w:rsidR="00B04651" w:rsidRPr="00FA0DD7" w:rsidRDefault="00B04651" w:rsidP="00562C3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Not incl.</w:t>
            </w:r>
          </w:p>
        </w:tc>
      </w:tr>
      <w:tr w:rsidR="00B04651" w:rsidRPr="00FA0DD7" w14:paraId="52129022" w14:textId="77777777" w:rsidTr="00562C3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00" w:type="dxa"/>
            <w:noWrap/>
            <w:hideMark/>
          </w:tcPr>
          <w:p w14:paraId="04302E9A" w14:textId="77777777" w:rsidR="00B04651" w:rsidRPr="00FA0DD7" w:rsidRDefault="00B04651" w:rsidP="00562C39">
            <w:pPr>
              <w:jc w:val="right"/>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2010</w:t>
            </w:r>
          </w:p>
        </w:tc>
        <w:tc>
          <w:tcPr>
            <w:tcW w:w="719" w:type="dxa"/>
            <w:noWrap/>
            <w:vAlign w:val="bottom"/>
            <w:hideMark/>
          </w:tcPr>
          <w:p w14:paraId="47788B35" w14:textId="77777777" w:rsidR="00B04651" w:rsidRPr="00FA0DD7" w:rsidRDefault="00B04651" w:rsidP="00562C3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 w:val="18"/>
                <w:szCs w:val="18"/>
                <w:u w:val="single"/>
              </w:rPr>
            </w:pPr>
            <w:r w:rsidRPr="00EF49FF">
              <w:rPr>
                <w:rFonts w:ascii="Calibri" w:hAnsi="Calibri"/>
                <w:b/>
                <w:color w:val="000000"/>
                <w:sz w:val="18"/>
                <w:szCs w:val="18"/>
                <w:u w:val="single"/>
              </w:rPr>
              <w:t>38.8</w:t>
            </w:r>
          </w:p>
        </w:tc>
        <w:tc>
          <w:tcPr>
            <w:tcW w:w="718" w:type="dxa"/>
            <w:noWrap/>
            <w:vAlign w:val="bottom"/>
            <w:hideMark/>
          </w:tcPr>
          <w:p w14:paraId="7681521B" w14:textId="77777777" w:rsidR="00B04651" w:rsidRPr="00FA0DD7" w:rsidRDefault="00B04651" w:rsidP="00562C3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Pr>
                <w:rFonts w:ascii="Calibri" w:hAnsi="Calibri"/>
                <w:color w:val="000000"/>
                <w:sz w:val="18"/>
                <w:szCs w:val="18"/>
              </w:rPr>
              <w:t>21.9</w:t>
            </w:r>
          </w:p>
        </w:tc>
        <w:tc>
          <w:tcPr>
            <w:tcW w:w="626" w:type="dxa"/>
            <w:noWrap/>
            <w:vAlign w:val="bottom"/>
            <w:hideMark/>
          </w:tcPr>
          <w:p w14:paraId="5A37DE8D" w14:textId="77777777" w:rsidR="00B04651" w:rsidRPr="00FA0DD7" w:rsidRDefault="00B04651" w:rsidP="00562C3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Pr>
                <w:rFonts w:ascii="Calibri" w:hAnsi="Calibri"/>
                <w:color w:val="000000"/>
                <w:sz w:val="18"/>
                <w:szCs w:val="18"/>
              </w:rPr>
              <w:t>5.1</w:t>
            </w:r>
          </w:p>
        </w:tc>
        <w:tc>
          <w:tcPr>
            <w:tcW w:w="626" w:type="dxa"/>
            <w:noWrap/>
            <w:vAlign w:val="bottom"/>
            <w:hideMark/>
          </w:tcPr>
          <w:p w14:paraId="2C61B418" w14:textId="77777777" w:rsidR="00B04651" w:rsidRPr="00FA0DD7" w:rsidRDefault="00B04651" w:rsidP="00562C3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Pr>
                <w:rFonts w:ascii="Calibri" w:hAnsi="Calibri"/>
                <w:color w:val="000000"/>
                <w:sz w:val="18"/>
                <w:szCs w:val="18"/>
              </w:rPr>
              <w:t>3.1</w:t>
            </w:r>
          </w:p>
        </w:tc>
        <w:tc>
          <w:tcPr>
            <w:tcW w:w="626" w:type="dxa"/>
            <w:noWrap/>
            <w:vAlign w:val="bottom"/>
            <w:hideMark/>
          </w:tcPr>
          <w:p w14:paraId="3B46D3A3" w14:textId="77777777" w:rsidR="00B04651" w:rsidRPr="00FA0DD7" w:rsidRDefault="00B04651" w:rsidP="00562C3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Pr>
                <w:rFonts w:ascii="Calibri" w:hAnsi="Calibri"/>
                <w:color w:val="000000"/>
                <w:sz w:val="18"/>
                <w:szCs w:val="18"/>
              </w:rPr>
              <w:t>4.9</w:t>
            </w:r>
          </w:p>
        </w:tc>
        <w:tc>
          <w:tcPr>
            <w:tcW w:w="600" w:type="dxa"/>
            <w:noWrap/>
            <w:vAlign w:val="bottom"/>
            <w:hideMark/>
          </w:tcPr>
          <w:p w14:paraId="2731E2AB" w14:textId="77777777" w:rsidR="00B04651" w:rsidRPr="00FA0DD7" w:rsidRDefault="00B04651" w:rsidP="00562C3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Pr>
                <w:rFonts w:ascii="Calibri" w:hAnsi="Calibri"/>
                <w:color w:val="000000"/>
                <w:sz w:val="18"/>
                <w:szCs w:val="18"/>
              </w:rPr>
              <w:t>0.7</w:t>
            </w:r>
          </w:p>
        </w:tc>
        <w:tc>
          <w:tcPr>
            <w:tcW w:w="600" w:type="dxa"/>
            <w:noWrap/>
            <w:vAlign w:val="bottom"/>
            <w:hideMark/>
          </w:tcPr>
          <w:p w14:paraId="3FD1746A" w14:textId="77777777" w:rsidR="00B04651" w:rsidRPr="00FA0DD7" w:rsidRDefault="00B04651" w:rsidP="00562C3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Pr>
                <w:rFonts w:ascii="Calibri" w:hAnsi="Calibri"/>
                <w:color w:val="000000"/>
                <w:sz w:val="18"/>
                <w:szCs w:val="18"/>
              </w:rPr>
              <w:t>-0.3</w:t>
            </w:r>
          </w:p>
        </w:tc>
        <w:tc>
          <w:tcPr>
            <w:tcW w:w="600" w:type="dxa"/>
            <w:noWrap/>
            <w:vAlign w:val="bottom"/>
            <w:hideMark/>
          </w:tcPr>
          <w:p w14:paraId="616BEC7C" w14:textId="77777777" w:rsidR="00B04651" w:rsidRPr="00FA0DD7" w:rsidRDefault="00B04651" w:rsidP="00562C3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Pr>
                <w:rFonts w:ascii="Calibri" w:hAnsi="Calibri"/>
                <w:color w:val="000000"/>
                <w:sz w:val="18"/>
                <w:szCs w:val="18"/>
              </w:rPr>
              <w:t>0.8</w:t>
            </w:r>
          </w:p>
        </w:tc>
        <w:tc>
          <w:tcPr>
            <w:tcW w:w="626" w:type="dxa"/>
            <w:noWrap/>
            <w:vAlign w:val="bottom"/>
            <w:hideMark/>
          </w:tcPr>
          <w:p w14:paraId="045C330F" w14:textId="77777777" w:rsidR="00B04651" w:rsidRPr="00FA0DD7" w:rsidRDefault="00B04651" w:rsidP="00562C3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Pr>
                <w:rFonts w:ascii="Calibri" w:hAnsi="Calibri"/>
                <w:color w:val="000000"/>
                <w:sz w:val="18"/>
                <w:szCs w:val="18"/>
              </w:rPr>
              <w:t>1.8</w:t>
            </w:r>
          </w:p>
        </w:tc>
        <w:tc>
          <w:tcPr>
            <w:tcW w:w="600" w:type="dxa"/>
            <w:noWrap/>
            <w:vAlign w:val="bottom"/>
            <w:hideMark/>
          </w:tcPr>
          <w:p w14:paraId="601F6A0A" w14:textId="77777777" w:rsidR="00B04651" w:rsidRPr="00FA0DD7" w:rsidRDefault="00B04651" w:rsidP="00562C3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Pr>
                <w:rFonts w:ascii="Calibri" w:hAnsi="Calibri"/>
                <w:color w:val="000000"/>
                <w:sz w:val="18"/>
                <w:szCs w:val="18"/>
              </w:rPr>
              <w:t>38.8</w:t>
            </w:r>
          </w:p>
        </w:tc>
        <w:tc>
          <w:tcPr>
            <w:tcW w:w="864" w:type="dxa"/>
            <w:noWrap/>
            <w:hideMark/>
          </w:tcPr>
          <w:p w14:paraId="3033E630" w14:textId="77777777" w:rsidR="00B04651" w:rsidRPr="00FA0DD7" w:rsidRDefault="00B04651" w:rsidP="00562C3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Not incl.</w:t>
            </w:r>
          </w:p>
        </w:tc>
      </w:tr>
      <w:tr w:rsidR="00B04651" w:rsidRPr="00FA0DD7" w14:paraId="6B9C2505" w14:textId="77777777" w:rsidTr="00562C39">
        <w:trPr>
          <w:trHeight w:val="20"/>
        </w:trPr>
        <w:tc>
          <w:tcPr>
            <w:cnfStyle w:val="001000000000" w:firstRow="0" w:lastRow="0" w:firstColumn="1" w:lastColumn="0" w:oddVBand="0" w:evenVBand="0" w:oddHBand="0" w:evenHBand="0" w:firstRowFirstColumn="0" w:firstRowLastColumn="0" w:lastRowFirstColumn="0" w:lastRowLastColumn="0"/>
            <w:tcW w:w="600" w:type="dxa"/>
            <w:noWrap/>
            <w:hideMark/>
          </w:tcPr>
          <w:p w14:paraId="2D305A3E" w14:textId="77777777" w:rsidR="00B04651" w:rsidRPr="00FA0DD7" w:rsidRDefault="00B04651" w:rsidP="00562C39">
            <w:pPr>
              <w:jc w:val="right"/>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2011</w:t>
            </w:r>
          </w:p>
        </w:tc>
        <w:tc>
          <w:tcPr>
            <w:tcW w:w="719" w:type="dxa"/>
            <w:noWrap/>
            <w:vAlign w:val="bottom"/>
            <w:hideMark/>
          </w:tcPr>
          <w:p w14:paraId="3302D9F6" w14:textId="77777777" w:rsidR="00B04651" w:rsidRPr="00FA0DD7" w:rsidRDefault="00B04651" w:rsidP="00562C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sz w:val="18"/>
                <w:szCs w:val="18"/>
                <w:u w:val="single"/>
              </w:rPr>
            </w:pPr>
            <w:r w:rsidRPr="00EF49FF">
              <w:rPr>
                <w:rFonts w:ascii="Calibri" w:hAnsi="Calibri"/>
                <w:b/>
                <w:color w:val="000000"/>
                <w:sz w:val="18"/>
                <w:szCs w:val="18"/>
                <w:u w:val="single"/>
              </w:rPr>
              <w:t>39.1</w:t>
            </w:r>
          </w:p>
        </w:tc>
        <w:tc>
          <w:tcPr>
            <w:tcW w:w="718" w:type="dxa"/>
            <w:noWrap/>
            <w:vAlign w:val="bottom"/>
            <w:hideMark/>
          </w:tcPr>
          <w:p w14:paraId="0F707941" w14:textId="77777777" w:rsidR="00B04651" w:rsidRPr="00FA0DD7" w:rsidRDefault="00B04651" w:rsidP="00562C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hAnsi="Calibri"/>
                <w:color w:val="000000"/>
                <w:sz w:val="18"/>
                <w:szCs w:val="18"/>
              </w:rPr>
              <w:t>22.3</w:t>
            </w:r>
          </w:p>
        </w:tc>
        <w:tc>
          <w:tcPr>
            <w:tcW w:w="626" w:type="dxa"/>
            <w:noWrap/>
            <w:vAlign w:val="bottom"/>
            <w:hideMark/>
          </w:tcPr>
          <w:p w14:paraId="68E85FA5" w14:textId="77777777" w:rsidR="00B04651" w:rsidRPr="00FA0DD7" w:rsidRDefault="00B04651" w:rsidP="00562C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hAnsi="Calibri"/>
                <w:color w:val="000000"/>
                <w:sz w:val="18"/>
                <w:szCs w:val="18"/>
              </w:rPr>
              <w:t>5.1</w:t>
            </w:r>
          </w:p>
        </w:tc>
        <w:tc>
          <w:tcPr>
            <w:tcW w:w="626" w:type="dxa"/>
            <w:noWrap/>
            <w:vAlign w:val="bottom"/>
            <w:hideMark/>
          </w:tcPr>
          <w:p w14:paraId="35AA1D26" w14:textId="77777777" w:rsidR="00B04651" w:rsidRPr="00FA0DD7" w:rsidRDefault="00B04651" w:rsidP="00562C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hAnsi="Calibri"/>
                <w:color w:val="000000"/>
                <w:sz w:val="18"/>
                <w:szCs w:val="18"/>
              </w:rPr>
              <w:t>3.1</w:t>
            </w:r>
          </w:p>
        </w:tc>
        <w:tc>
          <w:tcPr>
            <w:tcW w:w="626" w:type="dxa"/>
            <w:noWrap/>
            <w:vAlign w:val="bottom"/>
            <w:hideMark/>
          </w:tcPr>
          <w:p w14:paraId="5A2D1D56" w14:textId="77777777" w:rsidR="00B04651" w:rsidRPr="00FA0DD7" w:rsidRDefault="00B04651" w:rsidP="00562C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hAnsi="Calibri"/>
                <w:color w:val="000000"/>
                <w:sz w:val="18"/>
                <w:szCs w:val="18"/>
              </w:rPr>
              <w:t>5.0</w:t>
            </w:r>
          </w:p>
        </w:tc>
        <w:tc>
          <w:tcPr>
            <w:tcW w:w="600" w:type="dxa"/>
            <w:noWrap/>
            <w:vAlign w:val="bottom"/>
            <w:hideMark/>
          </w:tcPr>
          <w:p w14:paraId="0FCB409D" w14:textId="77777777" w:rsidR="00B04651" w:rsidRPr="00FA0DD7" w:rsidRDefault="00B04651" w:rsidP="00562C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hAnsi="Calibri"/>
                <w:color w:val="000000"/>
                <w:sz w:val="18"/>
                <w:szCs w:val="18"/>
              </w:rPr>
              <w:t>0.8</w:t>
            </w:r>
          </w:p>
        </w:tc>
        <w:tc>
          <w:tcPr>
            <w:tcW w:w="600" w:type="dxa"/>
            <w:noWrap/>
            <w:vAlign w:val="bottom"/>
            <w:hideMark/>
          </w:tcPr>
          <w:p w14:paraId="037A8EBF" w14:textId="77777777" w:rsidR="00B04651" w:rsidRPr="00FA0DD7" w:rsidRDefault="00B04651" w:rsidP="00562C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hAnsi="Calibri"/>
                <w:color w:val="000000"/>
                <w:sz w:val="18"/>
                <w:szCs w:val="18"/>
              </w:rPr>
              <w:t>-0.3</w:t>
            </w:r>
          </w:p>
        </w:tc>
        <w:tc>
          <w:tcPr>
            <w:tcW w:w="600" w:type="dxa"/>
            <w:noWrap/>
            <w:vAlign w:val="bottom"/>
            <w:hideMark/>
          </w:tcPr>
          <w:p w14:paraId="0FC2E259" w14:textId="77777777" w:rsidR="00B04651" w:rsidRPr="00FA0DD7" w:rsidRDefault="00B04651" w:rsidP="00562C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hAnsi="Calibri"/>
                <w:color w:val="000000"/>
                <w:sz w:val="18"/>
                <w:szCs w:val="18"/>
              </w:rPr>
              <w:t>0.8</w:t>
            </w:r>
          </w:p>
        </w:tc>
        <w:tc>
          <w:tcPr>
            <w:tcW w:w="626" w:type="dxa"/>
            <w:noWrap/>
            <w:vAlign w:val="bottom"/>
            <w:hideMark/>
          </w:tcPr>
          <w:p w14:paraId="42722335" w14:textId="77777777" w:rsidR="00B04651" w:rsidRPr="00FA0DD7" w:rsidRDefault="00B04651" w:rsidP="00562C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hAnsi="Calibri"/>
                <w:color w:val="000000"/>
                <w:sz w:val="18"/>
                <w:szCs w:val="18"/>
              </w:rPr>
              <w:t>1.7</w:t>
            </w:r>
          </w:p>
        </w:tc>
        <w:tc>
          <w:tcPr>
            <w:tcW w:w="600" w:type="dxa"/>
            <w:noWrap/>
            <w:vAlign w:val="bottom"/>
            <w:hideMark/>
          </w:tcPr>
          <w:p w14:paraId="2FBD8EE8" w14:textId="77777777" w:rsidR="00B04651" w:rsidRPr="00FA0DD7" w:rsidRDefault="00B04651" w:rsidP="00562C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hAnsi="Calibri"/>
                <w:color w:val="000000"/>
                <w:sz w:val="18"/>
                <w:szCs w:val="18"/>
              </w:rPr>
              <w:t>39.1</w:t>
            </w:r>
          </w:p>
        </w:tc>
        <w:tc>
          <w:tcPr>
            <w:tcW w:w="864" w:type="dxa"/>
            <w:noWrap/>
            <w:hideMark/>
          </w:tcPr>
          <w:p w14:paraId="16202E47" w14:textId="77777777" w:rsidR="00B04651" w:rsidRPr="00FA0DD7" w:rsidRDefault="00B04651" w:rsidP="00562C3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Not incl.</w:t>
            </w:r>
          </w:p>
        </w:tc>
      </w:tr>
      <w:tr w:rsidR="00B04651" w:rsidRPr="00FA0DD7" w14:paraId="4E5D1BE6" w14:textId="77777777" w:rsidTr="00562C3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00" w:type="dxa"/>
            <w:noWrap/>
            <w:hideMark/>
          </w:tcPr>
          <w:p w14:paraId="604518BE" w14:textId="77777777" w:rsidR="00B04651" w:rsidRPr="00FA0DD7" w:rsidRDefault="00B04651" w:rsidP="00562C39">
            <w:pPr>
              <w:jc w:val="right"/>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2012</w:t>
            </w:r>
          </w:p>
        </w:tc>
        <w:tc>
          <w:tcPr>
            <w:tcW w:w="719" w:type="dxa"/>
            <w:noWrap/>
            <w:vAlign w:val="bottom"/>
            <w:hideMark/>
          </w:tcPr>
          <w:p w14:paraId="55D30877" w14:textId="77777777" w:rsidR="00B04651" w:rsidRPr="00FA0DD7" w:rsidRDefault="00B04651" w:rsidP="00562C3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 w:val="18"/>
                <w:szCs w:val="18"/>
                <w:u w:val="single"/>
              </w:rPr>
            </w:pPr>
            <w:r w:rsidRPr="00EF49FF">
              <w:rPr>
                <w:rFonts w:ascii="Calibri" w:hAnsi="Calibri"/>
                <w:b/>
                <w:color w:val="000000"/>
                <w:sz w:val="18"/>
                <w:szCs w:val="18"/>
                <w:u w:val="single"/>
              </w:rPr>
              <w:t>39.4</w:t>
            </w:r>
          </w:p>
        </w:tc>
        <w:tc>
          <w:tcPr>
            <w:tcW w:w="718" w:type="dxa"/>
            <w:noWrap/>
            <w:vAlign w:val="bottom"/>
            <w:hideMark/>
          </w:tcPr>
          <w:p w14:paraId="1BF89619" w14:textId="77777777" w:rsidR="00B04651" w:rsidRPr="00FA0DD7" w:rsidRDefault="00B04651" w:rsidP="00562C3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Pr>
                <w:rFonts w:ascii="Calibri" w:hAnsi="Calibri"/>
                <w:color w:val="000000"/>
                <w:sz w:val="18"/>
                <w:szCs w:val="18"/>
              </w:rPr>
              <w:t>22.6</w:t>
            </w:r>
          </w:p>
        </w:tc>
        <w:tc>
          <w:tcPr>
            <w:tcW w:w="626" w:type="dxa"/>
            <w:noWrap/>
            <w:vAlign w:val="bottom"/>
            <w:hideMark/>
          </w:tcPr>
          <w:p w14:paraId="2AA300E5" w14:textId="77777777" w:rsidR="00B04651" w:rsidRPr="00FA0DD7" w:rsidRDefault="00B04651" w:rsidP="00562C3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Pr>
                <w:rFonts w:ascii="Calibri" w:hAnsi="Calibri"/>
                <w:color w:val="000000"/>
                <w:sz w:val="18"/>
                <w:szCs w:val="18"/>
              </w:rPr>
              <w:t>5.1</w:t>
            </w:r>
          </w:p>
        </w:tc>
        <w:tc>
          <w:tcPr>
            <w:tcW w:w="626" w:type="dxa"/>
            <w:noWrap/>
            <w:vAlign w:val="bottom"/>
            <w:hideMark/>
          </w:tcPr>
          <w:p w14:paraId="4A66136D" w14:textId="77777777" w:rsidR="00B04651" w:rsidRPr="00FA0DD7" w:rsidRDefault="00B04651" w:rsidP="00562C3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Pr>
                <w:rFonts w:ascii="Calibri" w:hAnsi="Calibri"/>
                <w:color w:val="000000"/>
                <w:sz w:val="18"/>
                <w:szCs w:val="18"/>
              </w:rPr>
              <w:t>3.1</w:t>
            </w:r>
          </w:p>
        </w:tc>
        <w:tc>
          <w:tcPr>
            <w:tcW w:w="626" w:type="dxa"/>
            <w:noWrap/>
            <w:vAlign w:val="bottom"/>
            <w:hideMark/>
          </w:tcPr>
          <w:p w14:paraId="49042C51" w14:textId="77777777" w:rsidR="00B04651" w:rsidRPr="00FA0DD7" w:rsidRDefault="00B04651" w:rsidP="00562C3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Pr>
                <w:rFonts w:ascii="Calibri" w:hAnsi="Calibri"/>
                <w:color w:val="000000"/>
                <w:sz w:val="18"/>
                <w:szCs w:val="18"/>
              </w:rPr>
              <w:t>5.0</w:t>
            </w:r>
          </w:p>
        </w:tc>
        <w:tc>
          <w:tcPr>
            <w:tcW w:w="600" w:type="dxa"/>
            <w:noWrap/>
            <w:vAlign w:val="bottom"/>
            <w:hideMark/>
          </w:tcPr>
          <w:p w14:paraId="4024F299" w14:textId="77777777" w:rsidR="00B04651" w:rsidRPr="00FA0DD7" w:rsidRDefault="00B04651" w:rsidP="00562C3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Pr>
                <w:rFonts w:ascii="Calibri" w:hAnsi="Calibri"/>
                <w:color w:val="000000"/>
                <w:sz w:val="18"/>
                <w:szCs w:val="18"/>
              </w:rPr>
              <w:t>0.8</w:t>
            </w:r>
          </w:p>
        </w:tc>
        <w:tc>
          <w:tcPr>
            <w:tcW w:w="600" w:type="dxa"/>
            <w:noWrap/>
            <w:vAlign w:val="bottom"/>
            <w:hideMark/>
          </w:tcPr>
          <w:p w14:paraId="647BA2E2" w14:textId="77777777" w:rsidR="00B04651" w:rsidRPr="00FA0DD7" w:rsidRDefault="00B04651" w:rsidP="00562C3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Pr>
                <w:rFonts w:ascii="Calibri" w:hAnsi="Calibri"/>
                <w:color w:val="000000"/>
                <w:sz w:val="18"/>
                <w:szCs w:val="18"/>
              </w:rPr>
              <w:t>-0.3</w:t>
            </w:r>
          </w:p>
        </w:tc>
        <w:tc>
          <w:tcPr>
            <w:tcW w:w="600" w:type="dxa"/>
            <w:noWrap/>
            <w:vAlign w:val="bottom"/>
            <w:hideMark/>
          </w:tcPr>
          <w:p w14:paraId="7624A6FE" w14:textId="77777777" w:rsidR="00B04651" w:rsidRPr="00FA0DD7" w:rsidRDefault="00B04651" w:rsidP="00562C3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Pr>
                <w:rFonts w:ascii="Calibri" w:hAnsi="Calibri"/>
                <w:color w:val="000000"/>
                <w:sz w:val="18"/>
                <w:szCs w:val="18"/>
              </w:rPr>
              <w:t>0.7</w:t>
            </w:r>
          </w:p>
        </w:tc>
        <w:tc>
          <w:tcPr>
            <w:tcW w:w="626" w:type="dxa"/>
            <w:noWrap/>
            <w:vAlign w:val="bottom"/>
            <w:hideMark/>
          </w:tcPr>
          <w:p w14:paraId="772757E1" w14:textId="77777777" w:rsidR="00B04651" w:rsidRPr="00FA0DD7" w:rsidRDefault="00B04651" w:rsidP="00562C3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Pr>
                <w:rFonts w:ascii="Calibri" w:hAnsi="Calibri"/>
                <w:color w:val="000000"/>
                <w:sz w:val="18"/>
                <w:szCs w:val="18"/>
              </w:rPr>
              <w:t>1.7</w:t>
            </w:r>
          </w:p>
        </w:tc>
        <w:tc>
          <w:tcPr>
            <w:tcW w:w="600" w:type="dxa"/>
            <w:noWrap/>
            <w:vAlign w:val="bottom"/>
            <w:hideMark/>
          </w:tcPr>
          <w:p w14:paraId="3B634B73" w14:textId="77777777" w:rsidR="00B04651" w:rsidRPr="00FA0DD7" w:rsidRDefault="00B04651" w:rsidP="00562C3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Pr>
                <w:rFonts w:ascii="Calibri" w:hAnsi="Calibri"/>
                <w:color w:val="000000"/>
                <w:sz w:val="18"/>
                <w:szCs w:val="18"/>
              </w:rPr>
              <w:t>39.4</w:t>
            </w:r>
          </w:p>
        </w:tc>
        <w:tc>
          <w:tcPr>
            <w:tcW w:w="864" w:type="dxa"/>
            <w:noWrap/>
            <w:hideMark/>
          </w:tcPr>
          <w:p w14:paraId="6B52463A" w14:textId="77777777" w:rsidR="00B04651" w:rsidRPr="00FA0DD7" w:rsidRDefault="00B04651" w:rsidP="00562C3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Not incl.</w:t>
            </w:r>
          </w:p>
        </w:tc>
      </w:tr>
      <w:tr w:rsidR="00B04651" w:rsidRPr="00FA0DD7" w14:paraId="40DBE7FD" w14:textId="77777777" w:rsidTr="00562C39">
        <w:trPr>
          <w:trHeight w:val="20"/>
        </w:trPr>
        <w:tc>
          <w:tcPr>
            <w:cnfStyle w:val="001000000000" w:firstRow="0" w:lastRow="0" w:firstColumn="1" w:lastColumn="0" w:oddVBand="0" w:evenVBand="0" w:oddHBand="0" w:evenHBand="0" w:firstRowFirstColumn="0" w:firstRowLastColumn="0" w:lastRowFirstColumn="0" w:lastRowLastColumn="0"/>
            <w:tcW w:w="600" w:type="dxa"/>
            <w:noWrap/>
            <w:hideMark/>
          </w:tcPr>
          <w:p w14:paraId="65043812" w14:textId="77777777" w:rsidR="00B04651" w:rsidRPr="00FA0DD7" w:rsidRDefault="00B04651" w:rsidP="00562C39">
            <w:pPr>
              <w:jc w:val="right"/>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2013</w:t>
            </w:r>
          </w:p>
        </w:tc>
        <w:tc>
          <w:tcPr>
            <w:tcW w:w="719" w:type="dxa"/>
            <w:noWrap/>
            <w:vAlign w:val="bottom"/>
            <w:hideMark/>
          </w:tcPr>
          <w:p w14:paraId="6DE7EB7E" w14:textId="77777777" w:rsidR="00B04651" w:rsidRPr="00FA0DD7" w:rsidRDefault="00B04651" w:rsidP="00562C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sz w:val="18"/>
                <w:szCs w:val="18"/>
                <w:u w:val="single"/>
              </w:rPr>
            </w:pPr>
            <w:r w:rsidRPr="00EF49FF">
              <w:rPr>
                <w:rFonts w:ascii="Calibri" w:hAnsi="Calibri"/>
                <w:b/>
                <w:color w:val="000000"/>
                <w:sz w:val="18"/>
                <w:szCs w:val="18"/>
                <w:u w:val="single"/>
              </w:rPr>
              <w:t>39.8</w:t>
            </w:r>
          </w:p>
        </w:tc>
        <w:tc>
          <w:tcPr>
            <w:tcW w:w="718" w:type="dxa"/>
            <w:noWrap/>
            <w:vAlign w:val="bottom"/>
            <w:hideMark/>
          </w:tcPr>
          <w:p w14:paraId="7542429F" w14:textId="77777777" w:rsidR="00B04651" w:rsidRPr="00FA0DD7" w:rsidRDefault="00B04651" w:rsidP="00562C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hAnsi="Calibri"/>
                <w:color w:val="000000"/>
                <w:sz w:val="18"/>
                <w:szCs w:val="18"/>
              </w:rPr>
              <w:t>22.9</w:t>
            </w:r>
          </w:p>
        </w:tc>
        <w:tc>
          <w:tcPr>
            <w:tcW w:w="626" w:type="dxa"/>
            <w:noWrap/>
            <w:vAlign w:val="bottom"/>
            <w:hideMark/>
          </w:tcPr>
          <w:p w14:paraId="0A02C5BA" w14:textId="77777777" w:rsidR="00B04651" w:rsidRPr="00FA0DD7" w:rsidRDefault="00B04651" w:rsidP="00562C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hAnsi="Calibri"/>
                <w:color w:val="000000"/>
                <w:sz w:val="18"/>
                <w:szCs w:val="18"/>
              </w:rPr>
              <w:t>5.1</w:t>
            </w:r>
          </w:p>
        </w:tc>
        <w:tc>
          <w:tcPr>
            <w:tcW w:w="626" w:type="dxa"/>
            <w:noWrap/>
            <w:vAlign w:val="bottom"/>
            <w:hideMark/>
          </w:tcPr>
          <w:p w14:paraId="27681CB4" w14:textId="77777777" w:rsidR="00B04651" w:rsidRPr="00FA0DD7" w:rsidRDefault="00B04651" w:rsidP="00562C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hAnsi="Calibri"/>
                <w:color w:val="000000"/>
                <w:sz w:val="18"/>
                <w:szCs w:val="18"/>
              </w:rPr>
              <w:t>3.1</w:t>
            </w:r>
          </w:p>
        </w:tc>
        <w:tc>
          <w:tcPr>
            <w:tcW w:w="626" w:type="dxa"/>
            <w:noWrap/>
            <w:vAlign w:val="bottom"/>
            <w:hideMark/>
          </w:tcPr>
          <w:p w14:paraId="6021FEB4" w14:textId="77777777" w:rsidR="00B04651" w:rsidRPr="00FA0DD7" w:rsidRDefault="00B04651" w:rsidP="00562C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hAnsi="Calibri"/>
                <w:color w:val="000000"/>
                <w:sz w:val="18"/>
                <w:szCs w:val="18"/>
              </w:rPr>
              <w:t>5.1</w:t>
            </w:r>
          </w:p>
        </w:tc>
        <w:tc>
          <w:tcPr>
            <w:tcW w:w="600" w:type="dxa"/>
            <w:noWrap/>
            <w:vAlign w:val="bottom"/>
            <w:hideMark/>
          </w:tcPr>
          <w:p w14:paraId="13352D04" w14:textId="77777777" w:rsidR="00B04651" w:rsidRPr="00FA0DD7" w:rsidRDefault="00B04651" w:rsidP="00562C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hAnsi="Calibri"/>
                <w:color w:val="000000"/>
                <w:sz w:val="18"/>
                <w:szCs w:val="18"/>
              </w:rPr>
              <w:t>0.8</w:t>
            </w:r>
          </w:p>
        </w:tc>
        <w:tc>
          <w:tcPr>
            <w:tcW w:w="600" w:type="dxa"/>
            <w:noWrap/>
            <w:vAlign w:val="bottom"/>
            <w:hideMark/>
          </w:tcPr>
          <w:p w14:paraId="7A0C9BF6" w14:textId="77777777" w:rsidR="00B04651" w:rsidRPr="00FA0DD7" w:rsidRDefault="00B04651" w:rsidP="00562C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hAnsi="Calibri"/>
                <w:color w:val="000000"/>
                <w:sz w:val="18"/>
                <w:szCs w:val="18"/>
              </w:rPr>
              <w:t>-0.3</w:t>
            </w:r>
          </w:p>
        </w:tc>
        <w:tc>
          <w:tcPr>
            <w:tcW w:w="600" w:type="dxa"/>
            <w:noWrap/>
            <w:vAlign w:val="bottom"/>
            <w:hideMark/>
          </w:tcPr>
          <w:p w14:paraId="50C81E55" w14:textId="77777777" w:rsidR="00B04651" w:rsidRPr="00FA0DD7" w:rsidRDefault="00B04651" w:rsidP="00562C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hAnsi="Calibri"/>
                <w:color w:val="000000"/>
                <w:sz w:val="18"/>
                <w:szCs w:val="18"/>
              </w:rPr>
              <w:t>0.7</w:t>
            </w:r>
          </w:p>
        </w:tc>
        <w:tc>
          <w:tcPr>
            <w:tcW w:w="626" w:type="dxa"/>
            <w:noWrap/>
            <w:vAlign w:val="bottom"/>
            <w:hideMark/>
          </w:tcPr>
          <w:p w14:paraId="2840875C" w14:textId="77777777" w:rsidR="00B04651" w:rsidRPr="00FA0DD7" w:rsidRDefault="00B04651" w:rsidP="00562C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hAnsi="Calibri"/>
                <w:color w:val="000000"/>
                <w:sz w:val="18"/>
                <w:szCs w:val="18"/>
              </w:rPr>
              <w:t>1.7</w:t>
            </w:r>
          </w:p>
        </w:tc>
        <w:tc>
          <w:tcPr>
            <w:tcW w:w="600" w:type="dxa"/>
            <w:noWrap/>
            <w:vAlign w:val="bottom"/>
            <w:hideMark/>
          </w:tcPr>
          <w:p w14:paraId="4E959E27" w14:textId="77777777" w:rsidR="00B04651" w:rsidRPr="00FA0DD7" w:rsidRDefault="00B04651" w:rsidP="00562C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hAnsi="Calibri"/>
                <w:color w:val="000000"/>
                <w:sz w:val="18"/>
                <w:szCs w:val="18"/>
              </w:rPr>
              <w:t>39.8</w:t>
            </w:r>
          </w:p>
        </w:tc>
        <w:tc>
          <w:tcPr>
            <w:tcW w:w="864" w:type="dxa"/>
            <w:noWrap/>
            <w:hideMark/>
          </w:tcPr>
          <w:p w14:paraId="5CE10DD1" w14:textId="77777777" w:rsidR="00B04651" w:rsidRPr="00FA0DD7" w:rsidRDefault="00B04651" w:rsidP="00562C3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Not incl.</w:t>
            </w:r>
          </w:p>
        </w:tc>
      </w:tr>
    </w:tbl>
    <w:p w14:paraId="4F5F9F50" w14:textId="77777777" w:rsidR="00B04651" w:rsidRPr="00EF49FF" w:rsidRDefault="00B04651" w:rsidP="00B04651"/>
    <w:tbl>
      <w:tblPr>
        <w:tblStyle w:val="ListTable1Light"/>
        <w:tblW w:w="7805" w:type="dxa"/>
        <w:tblLook w:val="04A0" w:firstRow="1" w:lastRow="0" w:firstColumn="1" w:lastColumn="0" w:noHBand="0" w:noVBand="1"/>
      </w:tblPr>
      <w:tblGrid>
        <w:gridCol w:w="600"/>
        <w:gridCol w:w="719"/>
        <w:gridCol w:w="718"/>
        <w:gridCol w:w="626"/>
        <w:gridCol w:w="626"/>
        <w:gridCol w:w="626"/>
        <w:gridCol w:w="600"/>
        <w:gridCol w:w="600"/>
        <w:gridCol w:w="600"/>
        <w:gridCol w:w="626"/>
        <w:gridCol w:w="600"/>
        <w:gridCol w:w="864"/>
      </w:tblGrid>
      <w:tr w:rsidR="00B04651" w:rsidRPr="00FA0DD7" w14:paraId="308F4C26" w14:textId="77777777" w:rsidTr="00562C39">
        <w:trPr>
          <w:cnfStyle w:val="100000000000" w:firstRow="1" w:lastRow="0" w:firstColumn="0" w:lastColumn="0" w:oddVBand="0" w:evenVBand="0" w:oddHBand="0"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7805" w:type="dxa"/>
            <w:gridSpan w:val="12"/>
            <w:vAlign w:val="center"/>
          </w:tcPr>
          <w:p w14:paraId="226FA811" w14:textId="77777777" w:rsidR="00B04651" w:rsidRPr="00FA0DD7" w:rsidRDefault="00B04651" w:rsidP="00562C39">
            <w:pPr>
              <w:jc w:val="center"/>
              <w:rPr>
                <w:rFonts w:ascii="Calibri" w:eastAsia="Times New Roman" w:hAnsi="Calibri" w:cs="Times New Roman"/>
                <w:color w:val="000000"/>
                <w:sz w:val="20"/>
                <w:szCs w:val="18"/>
              </w:rPr>
            </w:pPr>
            <w:r>
              <w:rPr>
                <w:rFonts w:ascii="Calibri" w:eastAsia="Times New Roman" w:hAnsi="Calibri" w:cs="Times New Roman"/>
                <w:color w:val="000000"/>
                <w:sz w:val="20"/>
                <w:szCs w:val="18"/>
              </w:rPr>
              <w:t>(B) California RCP, Million tons of CO2e</w:t>
            </w:r>
          </w:p>
        </w:tc>
      </w:tr>
      <w:tr w:rsidR="00B04651" w:rsidRPr="00FA0DD7" w14:paraId="447E76F4" w14:textId="77777777" w:rsidTr="00562C39">
        <w:trPr>
          <w:cnfStyle w:val="000000100000" w:firstRow="0" w:lastRow="0" w:firstColumn="0" w:lastColumn="0" w:oddVBand="0" w:evenVBand="0" w:oddHBand="1" w:evenHBand="0" w:firstRowFirstColumn="0" w:firstRowLastColumn="0" w:lastRowFirstColumn="0" w:lastRowLastColumn="0"/>
          <w:cantSplit/>
          <w:trHeight w:val="1440"/>
        </w:trPr>
        <w:tc>
          <w:tcPr>
            <w:cnfStyle w:val="001000000000" w:firstRow="0" w:lastRow="0" w:firstColumn="1" w:lastColumn="0" w:oddVBand="0" w:evenVBand="0" w:oddHBand="0" w:evenHBand="0" w:firstRowFirstColumn="0" w:firstRowLastColumn="0" w:lastRowFirstColumn="0" w:lastRowLastColumn="0"/>
            <w:tcW w:w="600" w:type="dxa"/>
            <w:textDirection w:val="btLr"/>
            <w:vAlign w:val="center"/>
            <w:hideMark/>
          </w:tcPr>
          <w:p w14:paraId="04691B96" w14:textId="77777777" w:rsidR="00B04651" w:rsidRPr="00FA0DD7" w:rsidRDefault="00B04651" w:rsidP="00562C39">
            <w:pPr>
              <w:rPr>
                <w:rFonts w:ascii="Calibri" w:eastAsia="Times New Roman" w:hAnsi="Calibri" w:cs="Times New Roman"/>
                <w:color w:val="000000"/>
                <w:sz w:val="20"/>
                <w:szCs w:val="18"/>
              </w:rPr>
            </w:pPr>
            <w:r w:rsidRPr="00FA0DD7">
              <w:rPr>
                <w:rFonts w:ascii="Calibri" w:eastAsia="Times New Roman" w:hAnsi="Calibri" w:cs="Times New Roman"/>
                <w:color w:val="000000"/>
                <w:sz w:val="20"/>
                <w:szCs w:val="18"/>
              </w:rPr>
              <w:t>Year</w:t>
            </w:r>
          </w:p>
        </w:tc>
        <w:tc>
          <w:tcPr>
            <w:tcW w:w="719" w:type="dxa"/>
            <w:textDirection w:val="btLr"/>
            <w:vAlign w:val="center"/>
            <w:hideMark/>
          </w:tcPr>
          <w:p w14:paraId="4F53EB6F" w14:textId="77777777" w:rsidR="00B04651" w:rsidRPr="00FA0DD7" w:rsidRDefault="00B04651" w:rsidP="00562C3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18"/>
                <w:u w:val="single"/>
              </w:rPr>
            </w:pPr>
            <w:r w:rsidRPr="00FA0DD7">
              <w:rPr>
                <w:rFonts w:ascii="Calibri" w:eastAsia="Times New Roman" w:hAnsi="Calibri" w:cs="Times New Roman"/>
                <w:color w:val="000000"/>
                <w:sz w:val="20"/>
                <w:szCs w:val="18"/>
                <w:u w:val="single"/>
              </w:rPr>
              <w:t>TOTAL</w:t>
            </w:r>
          </w:p>
        </w:tc>
        <w:tc>
          <w:tcPr>
            <w:tcW w:w="718" w:type="dxa"/>
            <w:textDirection w:val="btLr"/>
            <w:vAlign w:val="center"/>
            <w:hideMark/>
          </w:tcPr>
          <w:p w14:paraId="617BE607" w14:textId="77777777" w:rsidR="00B04651" w:rsidRPr="00FA0DD7" w:rsidRDefault="00B04651" w:rsidP="00562C3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18"/>
              </w:rPr>
            </w:pPr>
            <w:r w:rsidRPr="00FA0DD7">
              <w:rPr>
                <w:rFonts w:ascii="Calibri" w:eastAsia="Times New Roman" w:hAnsi="Calibri" w:cs="Times New Roman"/>
                <w:color w:val="000000"/>
                <w:sz w:val="20"/>
                <w:szCs w:val="18"/>
              </w:rPr>
              <w:t>CO2</w:t>
            </w:r>
          </w:p>
        </w:tc>
        <w:tc>
          <w:tcPr>
            <w:tcW w:w="626" w:type="dxa"/>
            <w:textDirection w:val="btLr"/>
            <w:vAlign w:val="center"/>
            <w:hideMark/>
          </w:tcPr>
          <w:p w14:paraId="6934792D" w14:textId="77777777" w:rsidR="00B04651" w:rsidRPr="00FA0DD7" w:rsidRDefault="00B04651" w:rsidP="00562C3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18"/>
              </w:rPr>
            </w:pPr>
            <w:r w:rsidRPr="00FA0DD7">
              <w:rPr>
                <w:rFonts w:ascii="Calibri" w:eastAsia="Times New Roman" w:hAnsi="Calibri" w:cs="Times New Roman"/>
                <w:color w:val="000000"/>
                <w:sz w:val="20"/>
                <w:szCs w:val="18"/>
              </w:rPr>
              <w:t>Historic deforestation</w:t>
            </w:r>
          </w:p>
        </w:tc>
        <w:tc>
          <w:tcPr>
            <w:tcW w:w="626" w:type="dxa"/>
            <w:textDirection w:val="btLr"/>
            <w:vAlign w:val="center"/>
            <w:hideMark/>
          </w:tcPr>
          <w:p w14:paraId="1D199D00" w14:textId="77777777" w:rsidR="00B04651" w:rsidRPr="00FA0DD7" w:rsidRDefault="00B04651" w:rsidP="00562C3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18"/>
              </w:rPr>
            </w:pPr>
            <w:r w:rsidRPr="00FA0DD7">
              <w:rPr>
                <w:rFonts w:ascii="Calibri" w:eastAsia="Times New Roman" w:hAnsi="Calibri" w:cs="Times New Roman"/>
                <w:color w:val="000000"/>
                <w:sz w:val="20"/>
                <w:szCs w:val="18"/>
              </w:rPr>
              <w:t>Historic forest degradation</w:t>
            </w:r>
          </w:p>
        </w:tc>
        <w:tc>
          <w:tcPr>
            <w:tcW w:w="626" w:type="dxa"/>
            <w:textDirection w:val="btLr"/>
            <w:vAlign w:val="center"/>
            <w:hideMark/>
          </w:tcPr>
          <w:p w14:paraId="7AA8C0D1" w14:textId="77777777" w:rsidR="00B04651" w:rsidRPr="00FA0DD7" w:rsidRDefault="00B04651" w:rsidP="00562C3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18"/>
              </w:rPr>
            </w:pPr>
            <w:r w:rsidRPr="00FA0DD7">
              <w:rPr>
                <w:rFonts w:ascii="Calibri" w:eastAsia="Times New Roman" w:hAnsi="Calibri" w:cs="Times New Roman"/>
                <w:color w:val="000000"/>
                <w:sz w:val="20"/>
                <w:szCs w:val="18"/>
              </w:rPr>
              <w:t>CH4</w:t>
            </w:r>
          </w:p>
        </w:tc>
        <w:tc>
          <w:tcPr>
            <w:tcW w:w="600" w:type="dxa"/>
            <w:textDirection w:val="btLr"/>
            <w:vAlign w:val="center"/>
            <w:hideMark/>
          </w:tcPr>
          <w:p w14:paraId="36FA1E7E" w14:textId="77777777" w:rsidR="00B04651" w:rsidRPr="00FA0DD7" w:rsidRDefault="00B04651" w:rsidP="00562C3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18"/>
              </w:rPr>
            </w:pPr>
            <w:r w:rsidRPr="00FA0DD7">
              <w:rPr>
                <w:rFonts w:ascii="Calibri" w:eastAsia="Times New Roman" w:hAnsi="Calibri" w:cs="Times New Roman"/>
                <w:color w:val="000000"/>
                <w:sz w:val="20"/>
                <w:szCs w:val="18"/>
              </w:rPr>
              <w:t>N2O</w:t>
            </w:r>
          </w:p>
        </w:tc>
        <w:tc>
          <w:tcPr>
            <w:tcW w:w="600" w:type="dxa"/>
            <w:textDirection w:val="btLr"/>
            <w:vAlign w:val="center"/>
            <w:hideMark/>
          </w:tcPr>
          <w:p w14:paraId="34709853" w14:textId="77777777" w:rsidR="00B04651" w:rsidRPr="00FA0DD7" w:rsidRDefault="00B04651" w:rsidP="00562C3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18"/>
              </w:rPr>
            </w:pPr>
            <w:r w:rsidRPr="00FA0DD7">
              <w:rPr>
                <w:rFonts w:ascii="Calibri" w:eastAsia="Times New Roman" w:hAnsi="Calibri" w:cs="Times New Roman"/>
                <w:color w:val="000000"/>
                <w:sz w:val="20"/>
                <w:szCs w:val="18"/>
              </w:rPr>
              <w:t>SO2</w:t>
            </w:r>
          </w:p>
        </w:tc>
        <w:tc>
          <w:tcPr>
            <w:tcW w:w="600" w:type="dxa"/>
            <w:textDirection w:val="btLr"/>
            <w:vAlign w:val="center"/>
            <w:hideMark/>
          </w:tcPr>
          <w:p w14:paraId="5E9065BE" w14:textId="77777777" w:rsidR="00B04651" w:rsidRPr="00FA0DD7" w:rsidRDefault="00B04651" w:rsidP="00562C3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18"/>
              </w:rPr>
            </w:pPr>
            <w:r w:rsidRPr="00FA0DD7">
              <w:rPr>
                <w:rFonts w:ascii="Calibri" w:eastAsia="Times New Roman" w:hAnsi="Calibri" w:cs="Times New Roman"/>
                <w:color w:val="000000"/>
                <w:sz w:val="20"/>
                <w:szCs w:val="18"/>
              </w:rPr>
              <w:t>Black Carbon - (excl. wildfires)</w:t>
            </w:r>
          </w:p>
        </w:tc>
        <w:tc>
          <w:tcPr>
            <w:tcW w:w="626" w:type="dxa"/>
            <w:textDirection w:val="btLr"/>
            <w:vAlign w:val="center"/>
            <w:hideMark/>
          </w:tcPr>
          <w:p w14:paraId="649C0FB3" w14:textId="77777777" w:rsidR="00B04651" w:rsidRPr="00FA0DD7" w:rsidRDefault="00B04651" w:rsidP="00562C3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18"/>
              </w:rPr>
            </w:pPr>
            <w:r w:rsidRPr="00FA0DD7">
              <w:rPr>
                <w:rFonts w:ascii="Calibri" w:eastAsia="Times New Roman" w:hAnsi="Calibri" w:cs="Times New Roman"/>
                <w:color w:val="000000"/>
                <w:sz w:val="20"/>
                <w:szCs w:val="18"/>
              </w:rPr>
              <w:t>Black Carbon (wildfires)</w:t>
            </w:r>
          </w:p>
        </w:tc>
        <w:tc>
          <w:tcPr>
            <w:tcW w:w="600" w:type="dxa"/>
            <w:textDirection w:val="btLr"/>
            <w:vAlign w:val="center"/>
            <w:hideMark/>
          </w:tcPr>
          <w:p w14:paraId="52133286" w14:textId="77777777" w:rsidR="00B04651" w:rsidRPr="00FA0DD7" w:rsidRDefault="00B04651" w:rsidP="00562C3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18"/>
              </w:rPr>
            </w:pPr>
            <w:r w:rsidRPr="00FA0DD7">
              <w:rPr>
                <w:rFonts w:ascii="Calibri" w:eastAsia="Times New Roman" w:hAnsi="Calibri" w:cs="Times New Roman"/>
                <w:color w:val="000000"/>
                <w:sz w:val="20"/>
                <w:szCs w:val="18"/>
              </w:rPr>
              <w:t>NOx- preliminary estimate.</w:t>
            </w:r>
          </w:p>
        </w:tc>
        <w:tc>
          <w:tcPr>
            <w:tcW w:w="864" w:type="dxa"/>
            <w:textDirection w:val="btLr"/>
            <w:vAlign w:val="center"/>
            <w:hideMark/>
          </w:tcPr>
          <w:p w14:paraId="4586191E" w14:textId="77777777" w:rsidR="00B04651" w:rsidRPr="00FA0DD7" w:rsidRDefault="00B04651" w:rsidP="00562C3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18"/>
              </w:rPr>
            </w:pPr>
            <w:r w:rsidRPr="00FA0DD7">
              <w:rPr>
                <w:rFonts w:ascii="Calibri" w:eastAsia="Times New Roman" w:hAnsi="Calibri" w:cs="Times New Roman"/>
                <w:color w:val="000000"/>
                <w:sz w:val="20"/>
                <w:szCs w:val="18"/>
              </w:rPr>
              <w:t>Other GHGs</w:t>
            </w:r>
          </w:p>
        </w:tc>
      </w:tr>
      <w:tr w:rsidR="00B04651" w:rsidRPr="00FA0DD7" w14:paraId="1354CB47" w14:textId="77777777" w:rsidTr="00562C39">
        <w:trPr>
          <w:trHeight w:val="20"/>
        </w:trPr>
        <w:tc>
          <w:tcPr>
            <w:cnfStyle w:val="001000000000" w:firstRow="0" w:lastRow="0" w:firstColumn="1" w:lastColumn="0" w:oddVBand="0" w:evenVBand="0" w:oddHBand="0" w:evenHBand="0" w:firstRowFirstColumn="0" w:firstRowLastColumn="0" w:lastRowFirstColumn="0" w:lastRowLastColumn="0"/>
            <w:tcW w:w="600" w:type="dxa"/>
            <w:noWrap/>
            <w:hideMark/>
          </w:tcPr>
          <w:p w14:paraId="42A64D6D" w14:textId="77777777" w:rsidR="00B04651" w:rsidRPr="00FA0DD7" w:rsidRDefault="00B04651" w:rsidP="00562C39">
            <w:pPr>
              <w:jc w:val="right"/>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2000</w:t>
            </w:r>
          </w:p>
        </w:tc>
        <w:tc>
          <w:tcPr>
            <w:tcW w:w="719" w:type="dxa"/>
            <w:noWrap/>
            <w:hideMark/>
          </w:tcPr>
          <w:p w14:paraId="00F51FD3" w14:textId="77777777" w:rsidR="00B04651" w:rsidRPr="00FA0DD7" w:rsidRDefault="00B04651" w:rsidP="00562C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sz w:val="18"/>
                <w:szCs w:val="18"/>
                <w:u w:val="single"/>
              </w:rPr>
            </w:pPr>
            <w:r w:rsidRPr="00FA0DD7">
              <w:rPr>
                <w:rFonts w:ascii="Calibri" w:eastAsia="Times New Roman" w:hAnsi="Calibri" w:cs="Times New Roman"/>
                <w:b/>
                <w:color w:val="000000"/>
                <w:sz w:val="18"/>
                <w:szCs w:val="18"/>
                <w:u w:val="single"/>
              </w:rPr>
              <w:t>19,457</w:t>
            </w:r>
          </w:p>
        </w:tc>
        <w:tc>
          <w:tcPr>
            <w:tcW w:w="718" w:type="dxa"/>
            <w:noWrap/>
            <w:hideMark/>
          </w:tcPr>
          <w:p w14:paraId="56D2913B" w14:textId="77777777" w:rsidR="00B04651" w:rsidRPr="00FA0DD7" w:rsidRDefault="00B04651" w:rsidP="00562C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10,198</w:t>
            </w:r>
          </w:p>
        </w:tc>
        <w:tc>
          <w:tcPr>
            <w:tcW w:w="626" w:type="dxa"/>
            <w:noWrap/>
            <w:hideMark/>
          </w:tcPr>
          <w:p w14:paraId="671A6B62" w14:textId="77777777" w:rsidR="00B04651" w:rsidRPr="00FA0DD7" w:rsidRDefault="00B04651" w:rsidP="00562C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2,900</w:t>
            </w:r>
          </w:p>
        </w:tc>
        <w:tc>
          <w:tcPr>
            <w:tcW w:w="626" w:type="dxa"/>
            <w:noWrap/>
            <w:hideMark/>
          </w:tcPr>
          <w:p w14:paraId="7B9689EE" w14:textId="77777777" w:rsidR="00B04651" w:rsidRPr="00FA0DD7" w:rsidRDefault="00B04651" w:rsidP="00562C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1,749</w:t>
            </w:r>
          </w:p>
        </w:tc>
        <w:tc>
          <w:tcPr>
            <w:tcW w:w="626" w:type="dxa"/>
            <w:noWrap/>
            <w:hideMark/>
          </w:tcPr>
          <w:p w14:paraId="59366EEA" w14:textId="77777777" w:rsidR="00B04651" w:rsidRPr="00FA0DD7" w:rsidRDefault="00B04651" w:rsidP="00562C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2,457</w:t>
            </w:r>
          </w:p>
        </w:tc>
        <w:tc>
          <w:tcPr>
            <w:tcW w:w="600" w:type="dxa"/>
            <w:noWrap/>
            <w:hideMark/>
          </w:tcPr>
          <w:p w14:paraId="1849DFCD" w14:textId="77777777" w:rsidR="00B04651" w:rsidRPr="00FA0DD7" w:rsidRDefault="00B04651" w:rsidP="00562C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358</w:t>
            </w:r>
          </w:p>
        </w:tc>
        <w:tc>
          <w:tcPr>
            <w:tcW w:w="600" w:type="dxa"/>
            <w:noWrap/>
            <w:hideMark/>
          </w:tcPr>
          <w:p w14:paraId="651B7850" w14:textId="77777777" w:rsidR="00B04651" w:rsidRPr="00FA0DD7" w:rsidRDefault="00B04651" w:rsidP="00562C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-422</w:t>
            </w:r>
          </w:p>
        </w:tc>
        <w:tc>
          <w:tcPr>
            <w:tcW w:w="600" w:type="dxa"/>
            <w:noWrap/>
            <w:hideMark/>
          </w:tcPr>
          <w:p w14:paraId="69E381C8" w14:textId="77777777" w:rsidR="00B04651" w:rsidRPr="00FA0DD7" w:rsidRDefault="00B04651" w:rsidP="00562C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531</w:t>
            </w:r>
          </w:p>
        </w:tc>
        <w:tc>
          <w:tcPr>
            <w:tcW w:w="626" w:type="dxa"/>
            <w:noWrap/>
            <w:hideMark/>
          </w:tcPr>
          <w:p w14:paraId="57F6C500" w14:textId="77777777" w:rsidR="00B04651" w:rsidRPr="00FA0DD7" w:rsidRDefault="00B04651" w:rsidP="00562C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1,215</w:t>
            </w:r>
          </w:p>
        </w:tc>
        <w:tc>
          <w:tcPr>
            <w:tcW w:w="600" w:type="dxa"/>
            <w:noWrap/>
            <w:hideMark/>
          </w:tcPr>
          <w:p w14:paraId="30F067B1" w14:textId="77777777" w:rsidR="00B04651" w:rsidRPr="00FA0DD7" w:rsidRDefault="00B04651" w:rsidP="00562C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235</w:t>
            </w:r>
          </w:p>
        </w:tc>
        <w:tc>
          <w:tcPr>
            <w:tcW w:w="864" w:type="dxa"/>
            <w:noWrap/>
            <w:hideMark/>
          </w:tcPr>
          <w:p w14:paraId="11C6D136" w14:textId="77777777" w:rsidR="00B04651" w:rsidRPr="00FA0DD7" w:rsidRDefault="00B04651" w:rsidP="00562C3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Not incl.</w:t>
            </w:r>
          </w:p>
        </w:tc>
      </w:tr>
      <w:tr w:rsidR="00B04651" w:rsidRPr="00FA0DD7" w14:paraId="47AC181C" w14:textId="77777777" w:rsidTr="00562C3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00" w:type="dxa"/>
            <w:noWrap/>
            <w:hideMark/>
          </w:tcPr>
          <w:p w14:paraId="37072149" w14:textId="77777777" w:rsidR="00B04651" w:rsidRPr="00FA0DD7" w:rsidRDefault="00B04651" w:rsidP="00562C39">
            <w:pPr>
              <w:jc w:val="right"/>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2001</w:t>
            </w:r>
          </w:p>
        </w:tc>
        <w:tc>
          <w:tcPr>
            <w:tcW w:w="719" w:type="dxa"/>
            <w:noWrap/>
            <w:hideMark/>
          </w:tcPr>
          <w:p w14:paraId="2794B3BB" w14:textId="77777777" w:rsidR="00B04651" w:rsidRPr="00FA0DD7" w:rsidRDefault="00B04651" w:rsidP="00562C3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 w:val="18"/>
                <w:szCs w:val="18"/>
                <w:u w:val="single"/>
              </w:rPr>
            </w:pPr>
            <w:r w:rsidRPr="00FA0DD7">
              <w:rPr>
                <w:rFonts w:ascii="Calibri" w:eastAsia="Times New Roman" w:hAnsi="Calibri" w:cs="Times New Roman"/>
                <w:b/>
                <w:color w:val="000000"/>
                <w:sz w:val="18"/>
                <w:szCs w:val="18"/>
                <w:u w:val="single"/>
              </w:rPr>
              <w:t>19,707</w:t>
            </w:r>
          </w:p>
        </w:tc>
        <w:tc>
          <w:tcPr>
            <w:tcW w:w="718" w:type="dxa"/>
            <w:noWrap/>
            <w:hideMark/>
          </w:tcPr>
          <w:p w14:paraId="0EBFC7FB" w14:textId="77777777" w:rsidR="00B04651" w:rsidRPr="00FA0DD7" w:rsidRDefault="00B04651" w:rsidP="00562C3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10,435</w:t>
            </w:r>
          </w:p>
        </w:tc>
        <w:tc>
          <w:tcPr>
            <w:tcW w:w="626" w:type="dxa"/>
            <w:noWrap/>
            <w:hideMark/>
          </w:tcPr>
          <w:p w14:paraId="6E67A0C0" w14:textId="77777777" w:rsidR="00B04651" w:rsidRPr="00FA0DD7" w:rsidRDefault="00B04651" w:rsidP="00562C3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2,900</w:t>
            </w:r>
          </w:p>
        </w:tc>
        <w:tc>
          <w:tcPr>
            <w:tcW w:w="626" w:type="dxa"/>
            <w:noWrap/>
            <w:hideMark/>
          </w:tcPr>
          <w:p w14:paraId="188EEB46" w14:textId="77777777" w:rsidR="00B04651" w:rsidRPr="00FA0DD7" w:rsidRDefault="00B04651" w:rsidP="00562C3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1,749</w:t>
            </w:r>
          </w:p>
        </w:tc>
        <w:tc>
          <w:tcPr>
            <w:tcW w:w="626" w:type="dxa"/>
            <w:noWrap/>
            <w:hideMark/>
          </w:tcPr>
          <w:p w14:paraId="3DE4AA48" w14:textId="77777777" w:rsidR="00B04651" w:rsidRPr="00FA0DD7" w:rsidRDefault="00B04651" w:rsidP="00562C3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2,485</w:t>
            </w:r>
          </w:p>
        </w:tc>
        <w:tc>
          <w:tcPr>
            <w:tcW w:w="600" w:type="dxa"/>
            <w:noWrap/>
            <w:hideMark/>
          </w:tcPr>
          <w:p w14:paraId="08655B6F" w14:textId="77777777" w:rsidR="00B04651" w:rsidRPr="00FA0DD7" w:rsidRDefault="00B04651" w:rsidP="00562C3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366</w:t>
            </w:r>
          </w:p>
        </w:tc>
        <w:tc>
          <w:tcPr>
            <w:tcW w:w="600" w:type="dxa"/>
            <w:noWrap/>
            <w:hideMark/>
          </w:tcPr>
          <w:p w14:paraId="33716B8B" w14:textId="77777777" w:rsidR="00B04651" w:rsidRPr="00FA0DD7" w:rsidRDefault="00B04651" w:rsidP="00562C3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-421</w:t>
            </w:r>
          </w:p>
        </w:tc>
        <w:tc>
          <w:tcPr>
            <w:tcW w:w="600" w:type="dxa"/>
            <w:noWrap/>
            <w:hideMark/>
          </w:tcPr>
          <w:p w14:paraId="21379282" w14:textId="77777777" w:rsidR="00B04651" w:rsidRPr="00FA0DD7" w:rsidRDefault="00B04651" w:rsidP="00562C3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525</w:t>
            </w:r>
          </w:p>
        </w:tc>
        <w:tc>
          <w:tcPr>
            <w:tcW w:w="626" w:type="dxa"/>
            <w:noWrap/>
            <w:hideMark/>
          </w:tcPr>
          <w:p w14:paraId="6BFC44FD" w14:textId="77777777" w:rsidR="00B04651" w:rsidRPr="00FA0DD7" w:rsidRDefault="00B04651" w:rsidP="00562C3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1,202</w:t>
            </w:r>
          </w:p>
        </w:tc>
        <w:tc>
          <w:tcPr>
            <w:tcW w:w="600" w:type="dxa"/>
            <w:noWrap/>
            <w:hideMark/>
          </w:tcPr>
          <w:p w14:paraId="47EF8DDA" w14:textId="77777777" w:rsidR="00B04651" w:rsidRPr="00FA0DD7" w:rsidRDefault="00B04651" w:rsidP="00562C3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228</w:t>
            </w:r>
          </w:p>
        </w:tc>
        <w:tc>
          <w:tcPr>
            <w:tcW w:w="864" w:type="dxa"/>
            <w:noWrap/>
            <w:hideMark/>
          </w:tcPr>
          <w:p w14:paraId="4C21CC6C" w14:textId="77777777" w:rsidR="00B04651" w:rsidRPr="00FA0DD7" w:rsidRDefault="00B04651" w:rsidP="00562C3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Not incl.</w:t>
            </w:r>
          </w:p>
        </w:tc>
      </w:tr>
      <w:tr w:rsidR="00B04651" w:rsidRPr="00FA0DD7" w14:paraId="6A790B25" w14:textId="77777777" w:rsidTr="00562C39">
        <w:trPr>
          <w:trHeight w:val="20"/>
        </w:trPr>
        <w:tc>
          <w:tcPr>
            <w:cnfStyle w:val="001000000000" w:firstRow="0" w:lastRow="0" w:firstColumn="1" w:lastColumn="0" w:oddVBand="0" w:evenVBand="0" w:oddHBand="0" w:evenHBand="0" w:firstRowFirstColumn="0" w:firstRowLastColumn="0" w:lastRowFirstColumn="0" w:lastRowLastColumn="0"/>
            <w:tcW w:w="600" w:type="dxa"/>
            <w:noWrap/>
            <w:hideMark/>
          </w:tcPr>
          <w:p w14:paraId="3025D1F3" w14:textId="77777777" w:rsidR="00B04651" w:rsidRPr="00FA0DD7" w:rsidRDefault="00B04651" w:rsidP="00562C39">
            <w:pPr>
              <w:jc w:val="right"/>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2002</w:t>
            </w:r>
          </w:p>
        </w:tc>
        <w:tc>
          <w:tcPr>
            <w:tcW w:w="719" w:type="dxa"/>
            <w:noWrap/>
            <w:hideMark/>
          </w:tcPr>
          <w:p w14:paraId="35F420B5" w14:textId="77777777" w:rsidR="00B04651" w:rsidRPr="00FA0DD7" w:rsidRDefault="00B04651" w:rsidP="00562C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sz w:val="18"/>
                <w:szCs w:val="18"/>
                <w:u w:val="single"/>
              </w:rPr>
            </w:pPr>
            <w:r w:rsidRPr="00FA0DD7">
              <w:rPr>
                <w:rFonts w:ascii="Calibri" w:eastAsia="Times New Roman" w:hAnsi="Calibri" w:cs="Times New Roman"/>
                <w:b/>
                <w:color w:val="000000"/>
                <w:sz w:val="18"/>
                <w:szCs w:val="18"/>
                <w:u w:val="single"/>
              </w:rPr>
              <w:t>19,955</w:t>
            </w:r>
          </w:p>
        </w:tc>
        <w:tc>
          <w:tcPr>
            <w:tcW w:w="718" w:type="dxa"/>
            <w:noWrap/>
            <w:hideMark/>
          </w:tcPr>
          <w:p w14:paraId="719799E4" w14:textId="77777777" w:rsidR="00B04651" w:rsidRPr="00FA0DD7" w:rsidRDefault="00B04651" w:rsidP="00562C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10,665</w:t>
            </w:r>
          </w:p>
        </w:tc>
        <w:tc>
          <w:tcPr>
            <w:tcW w:w="626" w:type="dxa"/>
            <w:noWrap/>
            <w:hideMark/>
          </w:tcPr>
          <w:p w14:paraId="5FF7AD5F" w14:textId="77777777" w:rsidR="00B04651" w:rsidRPr="00FA0DD7" w:rsidRDefault="00B04651" w:rsidP="00562C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2,900</w:t>
            </w:r>
          </w:p>
        </w:tc>
        <w:tc>
          <w:tcPr>
            <w:tcW w:w="626" w:type="dxa"/>
            <w:noWrap/>
            <w:hideMark/>
          </w:tcPr>
          <w:p w14:paraId="3BC304EE" w14:textId="77777777" w:rsidR="00B04651" w:rsidRPr="00FA0DD7" w:rsidRDefault="00B04651" w:rsidP="00562C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1,749</w:t>
            </w:r>
          </w:p>
        </w:tc>
        <w:tc>
          <w:tcPr>
            <w:tcW w:w="626" w:type="dxa"/>
            <w:noWrap/>
            <w:hideMark/>
          </w:tcPr>
          <w:p w14:paraId="43A0FC1F" w14:textId="77777777" w:rsidR="00B04651" w:rsidRPr="00FA0DD7" w:rsidRDefault="00B04651" w:rsidP="00562C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2,519</w:t>
            </w:r>
          </w:p>
        </w:tc>
        <w:tc>
          <w:tcPr>
            <w:tcW w:w="600" w:type="dxa"/>
            <w:noWrap/>
            <w:hideMark/>
          </w:tcPr>
          <w:p w14:paraId="11F50D0D" w14:textId="77777777" w:rsidR="00B04651" w:rsidRPr="00FA0DD7" w:rsidRDefault="00B04651" w:rsidP="00562C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373</w:t>
            </w:r>
          </w:p>
        </w:tc>
        <w:tc>
          <w:tcPr>
            <w:tcW w:w="600" w:type="dxa"/>
            <w:noWrap/>
            <w:hideMark/>
          </w:tcPr>
          <w:p w14:paraId="010272C2" w14:textId="77777777" w:rsidR="00B04651" w:rsidRPr="00FA0DD7" w:rsidRDefault="00B04651" w:rsidP="00562C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-420</w:t>
            </w:r>
          </w:p>
        </w:tc>
        <w:tc>
          <w:tcPr>
            <w:tcW w:w="600" w:type="dxa"/>
            <w:noWrap/>
            <w:hideMark/>
          </w:tcPr>
          <w:p w14:paraId="55F93772" w14:textId="77777777" w:rsidR="00B04651" w:rsidRPr="00FA0DD7" w:rsidRDefault="00B04651" w:rsidP="00562C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519</w:t>
            </w:r>
          </w:p>
        </w:tc>
        <w:tc>
          <w:tcPr>
            <w:tcW w:w="626" w:type="dxa"/>
            <w:noWrap/>
            <w:hideMark/>
          </w:tcPr>
          <w:p w14:paraId="54D0E861" w14:textId="77777777" w:rsidR="00B04651" w:rsidRPr="00FA0DD7" w:rsidRDefault="00B04651" w:rsidP="00562C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1,188</w:t>
            </w:r>
          </w:p>
        </w:tc>
        <w:tc>
          <w:tcPr>
            <w:tcW w:w="600" w:type="dxa"/>
            <w:noWrap/>
            <w:hideMark/>
          </w:tcPr>
          <w:p w14:paraId="6D6FBFFB" w14:textId="77777777" w:rsidR="00B04651" w:rsidRPr="00FA0DD7" w:rsidRDefault="00B04651" w:rsidP="00562C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221</w:t>
            </w:r>
          </w:p>
        </w:tc>
        <w:tc>
          <w:tcPr>
            <w:tcW w:w="864" w:type="dxa"/>
            <w:noWrap/>
            <w:hideMark/>
          </w:tcPr>
          <w:p w14:paraId="7324EBDA" w14:textId="77777777" w:rsidR="00B04651" w:rsidRPr="00FA0DD7" w:rsidRDefault="00B04651" w:rsidP="00562C3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Not incl.</w:t>
            </w:r>
          </w:p>
        </w:tc>
      </w:tr>
      <w:tr w:rsidR="00B04651" w:rsidRPr="00FA0DD7" w14:paraId="28CA6D81" w14:textId="77777777" w:rsidTr="00562C3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00" w:type="dxa"/>
            <w:noWrap/>
            <w:hideMark/>
          </w:tcPr>
          <w:p w14:paraId="40AD7B82" w14:textId="77777777" w:rsidR="00B04651" w:rsidRPr="00FA0DD7" w:rsidRDefault="00B04651" w:rsidP="00562C39">
            <w:pPr>
              <w:jc w:val="right"/>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2003</w:t>
            </w:r>
          </w:p>
        </w:tc>
        <w:tc>
          <w:tcPr>
            <w:tcW w:w="719" w:type="dxa"/>
            <w:noWrap/>
            <w:hideMark/>
          </w:tcPr>
          <w:p w14:paraId="5A6807BC" w14:textId="77777777" w:rsidR="00B04651" w:rsidRPr="00FA0DD7" w:rsidRDefault="00B04651" w:rsidP="00562C3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 w:val="18"/>
                <w:szCs w:val="18"/>
                <w:u w:val="single"/>
              </w:rPr>
            </w:pPr>
            <w:r w:rsidRPr="00FA0DD7">
              <w:rPr>
                <w:rFonts w:ascii="Calibri" w:eastAsia="Times New Roman" w:hAnsi="Calibri" w:cs="Times New Roman"/>
                <w:b/>
                <w:color w:val="000000"/>
                <w:sz w:val="18"/>
                <w:szCs w:val="18"/>
                <w:u w:val="single"/>
              </w:rPr>
              <w:t>20,199</w:t>
            </w:r>
          </w:p>
        </w:tc>
        <w:tc>
          <w:tcPr>
            <w:tcW w:w="718" w:type="dxa"/>
            <w:noWrap/>
            <w:hideMark/>
          </w:tcPr>
          <w:p w14:paraId="63FDAB82" w14:textId="77777777" w:rsidR="00B04651" w:rsidRPr="00FA0DD7" w:rsidRDefault="00B04651" w:rsidP="00562C3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10,895</w:t>
            </w:r>
          </w:p>
        </w:tc>
        <w:tc>
          <w:tcPr>
            <w:tcW w:w="626" w:type="dxa"/>
            <w:noWrap/>
            <w:hideMark/>
          </w:tcPr>
          <w:p w14:paraId="15A98FDE" w14:textId="77777777" w:rsidR="00B04651" w:rsidRPr="00FA0DD7" w:rsidRDefault="00B04651" w:rsidP="00562C3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2,900</w:t>
            </w:r>
          </w:p>
        </w:tc>
        <w:tc>
          <w:tcPr>
            <w:tcW w:w="626" w:type="dxa"/>
            <w:noWrap/>
            <w:hideMark/>
          </w:tcPr>
          <w:p w14:paraId="2500F1DF" w14:textId="77777777" w:rsidR="00B04651" w:rsidRPr="00FA0DD7" w:rsidRDefault="00B04651" w:rsidP="00562C3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1,749</w:t>
            </w:r>
          </w:p>
        </w:tc>
        <w:tc>
          <w:tcPr>
            <w:tcW w:w="626" w:type="dxa"/>
            <w:noWrap/>
            <w:hideMark/>
          </w:tcPr>
          <w:p w14:paraId="304BB0A9" w14:textId="77777777" w:rsidR="00B04651" w:rsidRPr="00FA0DD7" w:rsidRDefault="00B04651" w:rsidP="00562C3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2,549</w:t>
            </w:r>
          </w:p>
        </w:tc>
        <w:tc>
          <w:tcPr>
            <w:tcW w:w="600" w:type="dxa"/>
            <w:noWrap/>
            <w:hideMark/>
          </w:tcPr>
          <w:p w14:paraId="62C50328" w14:textId="77777777" w:rsidR="00B04651" w:rsidRPr="00FA0DD7" w:rsidRDefault="00B04651" w:rsidP="00562C3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380</w:t>
            </w:r>
          </w:p>
        </w:tc>
        <w:tc>
          <w:tcPr>
            <w:tcW w:w="600" w:type="dxa"/>
            <w:noWrap/>
            <w:hideMark/>
          </w:tcPr>
          <w:p w14:paraId="3B17057A" w14:textId="77777777" w:rsidR="00B04651" w:rsidRPr="00FA0DD7" w:rsidRDefault="00B04651" w:rsidP="00562C3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-419</w:t>
            </w:r>
          </w:p>
        </w:tc>
        <w:tc>
          <w:tcPr>
            <w:tcW w:w="600" w:type="dxa"/>
            <w:noWrap/>
            <w:hideMark/>
          </w:tcPr>
          <w:p w14:paraId="7D39DB07" w14:textId="77777777" w:rsidR="00B04651" w:rsidRPr="00FA0DD7" w:rsidRDefault="00B04651" w:rsidP="00562C3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513</w:t>
            </w:r>
          </w:p>
        </w:tc>
        <w:tc>
          <w:tcPr>
            <w:tcW w:w="626" w:type="dxa"/>
            <w:noWrap/>
            <w:hideMark/>
          </w:tcPr>
          <w:p w14:paraId="2F94A736" w14:textId="77777777" w:rsidR="00B04651" w:rsidRPr="00FA0DD7" w:rsidRDefault="00B04651" w:rsidP="00562C3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1,175</w:t>
            </w:r>
          </w:p>
        </w:tc>
        <w:tc>
          <w:tcPr>
            <w:tcW w:w="600" w:type="dxa"/>
            <w:noWrap/>
            <w:hideMark/>
          </w:tcPr>
          <w:p w14:paraId="74DF8C45" w14:textId="77777777" w:rsidR="00B04651" w:rsidRPr="00FA0DD7" w:rsidRDefault="00B04651" w:rsidP="00562C3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214</w:t>
            </w:r>
          </w:p>
        </w:tc>
        <w:tc>
          <w:tcPr>
            <w:tcW w:w="864" w:type="dxa"/>
            <w:noWrap/>
            <w:hideMark/>
          </w:tcPr>
          <w:p w14:paraId="3F15221C" w14:textId="77777777" w:rsidR="00B04651" w:rsidRPr="00FA0DD7" w:rsidRDefault="00B04651" w:rsidP="00562C3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Not incl.</w:t>
            </w:r>
          </w:p>
        </w:tc>
      </w:tr>
      <w:tr w:rsidR="00B04651" w:rsidRPr="00FA0DD7" w14:paraId="62E9B26D" w14:textId="77777777" w:rsidTr="00562C39">
        <w:trPr>
          <w:trHeight w:val="20"/>
        </w:trPr>
        <w:tc>
          <w:tcPr>
            <w:cnfStyle w:val="001000000000" w:firstRow="0" w:lastRow="0" w:firstColumn="1" w:lastColumn="0" w:oddVBand="0" w:evenVBand="0" w:oddHBand="0" w:evenHBand="0" w:firstRowFirstColumn="0" w:firstRowLastColumn="0" w:lastRowFirstColumn="0" w:lastRowLastColumn="0"/>
            <w:tcW w:w="600" w:type="dxa"/>
            <w:noWrap/>
            <w:hideMark/>
          </w:tcPr>
          <w:p w14:paraId="78D7C5D3" w14:textId="77777777" w:rsidR="00B04651" w:rsidRPr="00FA0DD7" w:rsidRDefault="00B04651" w:rsidP="00562C39">
            <w:pPr>
              <w:jc w:val="right"/>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2004</w:t>
            </w:r>
          </w:p>
        </w:tc>
        <w:tc>
          <w:tcPr>
            <w:tcW w:w="719" w:type="dxa"/>
            <w:noWrap/>
            <w:hideMark/>
          </w:tcPr>
          <w:p w14:paraId="08CD394D" w14:textId="77777777" w:rsidR="00B04651" w:rsidRPr="00FA0DD7" w:rsidRDefault="00B04651" w:rsidP="00562C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sz w:val="18"/>
                <w:szCs w:val="18"/>
                <w:u w:val="single"/>
              </w:rPr>
            </w:pPr>
            <w:r w:rsidRPr="00FA0DD7">
              <w:rPr>
                <w:rFonts w:ascii="Calibri" w:eastAsia="Times New Roman" w:hAnsi="Calibri" w:cs="Times New Roman"/>
                <w:b/>
                <w:color w:val="000000"/>
                <w:sz w:val="18"/>
                <w:szCs w:val="18"/>
                <w:u w:val="single"/>
              </w:rPr>
              <w:t>20,443</w:t>
            </w:r>
          </w:p>
        </w:tc>
        <w:tc>
          <w:tcPr>
            <w:tcW w:w="718" w:type="dxa"/>
            <w:noWrap/>
            <w:hideMark/>
          </w:tcPr>
          <w:p w14:paraId="441BE603" w14:textId="77777777" w:rsidR="00B04651" w:rsidRPr="00FA0DD7" w:rsidRDefault="00B04651" w:rsidP="00562C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11,131</w:t>
            </w:r>
          </w:p>
        </w:tc>
        <w:tc>
          <w:tcPr>
            <w:tcW w:w="626" w:type="dxa"/>
            <w:noWrap/>
            <w:hideMark/>
          </w:tcPr>
          <w:p w14:paraId="7D53CCEA" w14:textId="77777777" w:rsidR="00B04651" w:rsidRPr="00FA0DD7" w:rsidRDefault="00B04651" w:rsidP="00562C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2,900</w:t>
            </w:r>
          </w:p>
        </w:tc>
        <w:tc>
          <w:tcPr>
            <w:tcW w:w="626" w:type="dxa"/>
            <w:noWrap/>
            <w:hideMark/>
          </w:tcPr>
          <w:p w14:paraId="12E92652" w14:textId="77777777" w:rsidR="00B04651" w:rsidRPr="00FA0DD7" w:rsidRDefault="00B04651" w:rsidP="00562C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1,749</w:t>
            </w:r>
          </w:p>
        </w:tc>
        <w:tc>
          <w:tcPr>
            <w:tcW w:w="626" w:type="dxa"/>
            <w:noWrap/>
            <w:hideMark/>
          </w:tcPr>
          <w:p w14:paraId="156FCE44" w14:textId="77777777" w:rsidR="00B04651" w:rsidRPr="00FA0DD7" w:rsidRDefault="00B04651" w:rsidP="00562C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2,574</w:t>
            </w:r>
          </w:p>
        </w:tc>
        <w:tc>
          <w:tcPr>
            <w:tcW w:w="600" w:type="dxa"/>
            <w:noWrap/>
            <w:hideMark/>
          </w:tcPr>
          <w:p w14:paraId="7D48BC33" w14:textId="77777777" w:rsidR="00B04651" w:rsidRPr="00FA0DD7" w:rsidRDefault="00B04651" w:rsidP="00562C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387</w:t>
            </w:r>
          </w:p>
        </w:tc>
        <w:tc>
          <w:tcPr>
            <w:tcW w:w="600" w:type="dxa"/>
            <w:noWrap/>
            <w:hideMark/>
          </w:tcPr>
          <w:p w14:paraId="6A68E4E4" w14:textId="77777777" w:rsidR="00B04651" w:rsidRPr="00FA0DD7" w:rsidRDefault="00B04651" w:rsidP="00562C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-418</w:t>
            </w:r>
          </w:p>
        </w:tc>
        <w:tc>
          <w:tcPr>
            <w:tcW w:w="600" w:type="dxa"/>
            <w:noWrap/>
            <w:hideMark/>
          </w:tcPr>
          <w:p w14:paraId="5521DC1D" w14:textId="77777777" w:rsidR="00B04651" w:rsidRPr="00FA0DD7" w:rsidRDefault="00B04651" w:rsidP="00562C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507</w:t>
            </w:r>
          </w:p>
        </w:tc>
        <w:tc>
          <w:tcPr>
            <w:tcW w:w="626" w:type="dxa"/>
            <w:noWrap/>
            <w:hideMark/>
          </w:tcPr>
          <w:p w14:paraId="0F0623D9" w14:textId="77777777" w:rsidR="00B04651" w:rsidRPr="00FA0DD7" w:rsidRDefault="00B04651" w:rsidP="00562C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1,161</w:t>
            </w:r>
          </w:p>
        </w:tc>
        <w:tc>
          <w:tcPr>
            <w:tcW w:w="600" w:type="dxa"/>
            <w:noWrap/>
            <w:hideMark/>
          </w:tcPr>
          <w:p w14:paraId="7999F11A" w14:textId="77777777" w:rsidR="00B04651" w:rsidRPr="00FA0DD7" w:rsidRDefault="00B04651" w:rsidP="00562C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207</w:t>
            </w:r>
          </w:p>
        </w:tc>
        <w:tc>
          <w:tcPr>
            <w:tcW w:w="864" w:type="dxa"/>
            <w:noWrap/>
            <w:hideMark/>
          </w:tcPr>
          <w:p w14:paraId="21C37845" w14:textId="77777777" w:rsidR="00B04651" w:rsidRPr="00FA0DD7" w:rsidRDefault="00B04651" w:rsidP="00562C3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Not incl.</w:t>
            </w:r>
          </w:p>
        </w:tc>
      </w:tr>
      <w:tr w:rsidR="00B04651" w:rsidRPr="00FA0DD7" w14:paraId="46EA17EC" w14:textId="77777777" w:rsidTr="00562C3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00" w:type="dxa"/>
            <w:noWrap/>
            <w:hideMark/>
          </w:tcPr>
          <w:p w14:paraId="3A6EE4C0" w14:textId="77777777" w:rsidR="00B04651" w:rsidRPr="00FA0DD7" w:rsidRDefault="00B04651" w:rsidP="00562C39">
            <w:pPr>
              <w:jc w:val="right"/>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2005</w:t>
            </w:r>
          </w:p>
        </w:tc>
        <w:tc>
          <w:tcPr>
            <w:tcW w:w="719" w:type="dxa"/>
            <w:noWrap/>
            <w:hideMark/>
          </w:tcPr>
          <w:p w14:paraId="4B4A7BD5" w14:textId="77777777" w:rsidR="00B04651" w:rsidRPr="00FA0DD7" w:rsidRDefault="00B04651" w:rsidP="00562C3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 w:val="18"/>
                <w:szCs w:val="18"/>
                <w:u w:val="single"/>
              </w:rPr>
            </w:pPr>
            <w:r w:rsidRPr="00FA0DD7">
              <w:rPr>
                <w:rFonts w:ascii="Calibri" w:eastAsia="Times New Roman" w:hAnsi="Calibri" w:cs="Times New Roman"/>
                <w:b/>
                <w:color w:val="000000"/>
                <w:sz w:val="18"/>
                <w:szCs w:val="18"/>
                <w:u w:val="single"/>
              </w:rPr>
              <w:t>20,679</w:t>
            </w:r>
          </w:p>
        </w:tc>
        <w:tc>
          <w:tcPr>
            <w:tcW w:w="718" w:type="dxa"/>
            <w:noWrap/>
            <w:hideMark/>
          </w:tcPr>
          <w:p w14:paraId="037D6B4E" w14:textId="77777777" w:rsidR="00B04651" w:rsidRPr="00FA0DD7" w:rsidRDefault="00B04651" w:rsidP="00562C3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11,357</w:t>
            </w:r>
          </w:p>
        </w:tc>
        <w:tc>
          <w:tcPr>
            <w:tcW w:w="626" w:type="dxa"/>
            <w:noWrap/>
            <w:hideMark/>
          </w:tcPr>
          <w:p w14:paraId="7D8A4967" w14:textId="77777777" w:rsidR="00B04651" w:rsidRPr="00FA0DD7" w:rsidRDefault="00B04651" w:rsidP="00562C3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2,900</w:t>
            </w:r>
          </w:p>
        </w:tc>
        <w:tc>
          <w:tcPr>
            <w:tcW w:w="626" w:type="dxa"/>
            <w:noWrap/>
            <w:hideMark/>
          </w:tcPr>
          <w:p w14:paraId="3D2EEBDB" w14:textId="77777777" w:rsidR="00B04651" w:rsidRPr="00FA0DD7" w:rsidRDefault="00B04651" w:rsidP="00562C3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1,749</w:t>
            </w:r>
          </w:p>
        </w:tc>
        <w:tc>
          <w:tcPr>
            <w:tcW w:w="626" w:type="dxa"/>
            <w:noWrap/>
            <w:hideMark/>
          </w:tcPr>
          <w:p w14:paraId="4C1AF8B7" w14:textId="77777777" w:rsidR="00B04651" w:rsidRPr="00FA0DD7" w:rsidRDefault="00B04651" w:rsidP="00562C3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2,601</w:t>
            </w:r>
          </w:p>
        </w:tc>
        <w:tc>
          <w:tcPr>
            <w:tcW w:w="600" w:type="dxa"/>
            <w:noWrap/>
            <w:hideMark/>
          </w:tcPr>
          <w:p w14:paraId="41C45B3F" w14:textId="77777777" w:rsidR="00B04651" w:rsidRPr="00FA0DD7" w:rsidRDefault="00B04651" w:rsidP="00562C3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393</w:t>
            </w:r>
          </w:p>
        </w:tc>
        <w:tc>
          <w:tcPr>
            <w:tcW w:w="600" w:type="dxa"/>
            <w:noWrap/>
            <w:hideMark/>
          </w:tcPr>
          <w:p w14:paraId="24ED66C4" w14:textId="77777777" w:rsidR="00B04651" w:rsidRPr="00FA0DD7" w:rsidRDefault="00B04651" w:rsidP="00562C3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-418</w:t>
            </w:r>
          </w:p>
        </w:tc>
        <w:tc>
          <w:tcPr>
            <w:tcW w:w="600" w:type="dxa"/>
            <w:noWrap/>
            <w:hideMark/>
          </w:tcPr>
          <w:p w14:paraId="428C2FBD" w14:textId="77777777" w:rsidR="00B04651" w:rsidRPr="00FA0DD7" w:rsidRDefault="00B04651" w:rsidP="00562C3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501</w:t>
            </w:r>
          </w:p>
        </w:tc>
        <w:tc>
          <w:tcPr>
            <w:tcW w:w="626" w:type="dxa"/>
            <w:noWrap/>
            <w:hideMark/>
          </w:tcPr>
          <w:p w14:paraId="17104AE4" w14:textId="77777777" w:rsidR="00B04651" w:rsidRPr="00FA0DD7" w:rsidRDefault="00B04651" w:rsidP="00562C3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1,148</w:t>
            </w:r>
          </w:p>
        </w:tc>
        <w:tc>
          <w:tcPr>
            <w:tcW w:w="600" w:type="dxa"/>
            <w:noWrap/>
            <w:hideMark/>
          </w:tcPr>
          <w:p w14:paraId="6715CF83" w14:textId="77777777" w:rsidR="00B04651" w:rsidRPr="00FA0DD7" w:rsidRDefault="00B04651" w:rsidP="00562C3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199</w:t>
            </w:r>
          </w:p>
        </w:tc>
        <w:tc>
          <w:tcPr>
            <w:tcW w:w="864" w:type="dxa"/>
            <w:noWrap/>
            <w:hideMark/>
          </w:tcPr>
          <w:p w14:paraId="4AC6C7C1" w14:textId="77777777" w:rsidR="00B04651" w:rsidRPr="00FA0DD7" w:rsidRDefault="00B04651" w:rsidP="00562C3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Not incl.</w:t>
            </w:r>
          </w:p>
        </w:tc>
      </w:tr>
      <w:tr w:rsidR="00B04651" w:rsidRPr="00FA0DD7" w14:paraId="2ECFBB55" w14:textId="77777777" w:rsidTr="00562C39">
        <w:trPr>
          <w:trHeight w:val="20"/>
        </w:trPr>
        <w:tc>
          <w:tcPr>
            <w:cnfStyle w:val="001000000000" w:firstRow="0" w:lastRow="0" w:firstColumn="1" w:lastColumn="0" w:oddVBand="0" w:evenVBand="0" w:oddHBand="0" w:evenHBand="0" w:firstRowFirstColumn="0" w:firstRowLastColumn="0" w:lastRowFirstColumn="0" w:lastRowLastColumn="0"/>
            <w:tcW w:w="600" w:type="dxa"/>
            <w:noWrap/>
            <w:hideMark/>
          </w:tcPr>
          <w:p w14:paraId="1DA4864A" w14:textId="77777777" w:rsidR="00B04651" w:rsidRPr="00FA0DD7" w:rsidRDefault="00B04651" w:rsidP="00562C39">
            <w:pPr>
              <w:jc w:val="right"/>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2006</w:t>
            </w:r>
          </w:p>
        </w:tc>
        <w:tc>
          <w:tcPr>
            <w:tcW w:w="719" w:type="dxa"/>
            <w:noWrap/>
            <w:hideMark/>
          </w:tcPr>
          <w:p w14:paraId="4BC07849" w14:textId="77777777" w:rsidR="00B04651" w:rsidRPr="00FA0DD7" w:rsidRDefault="00B04651" w:rsidP="00562C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sz w:val="18"/>
                <w:szCs w:val="18"/>
                <w:u w:val="single"/>
              </w:rPr>
            </w:pPr>
            <w:r w:rsidRPr="00FA0DD7">
              <w:rPr>
                <w:rFonts w:ascii="Calibri" w:eastAsia="Times New Roman" w:hAnsi="Calibri" w:cs="Times New Roman"/>
                <w:b/>
                <w:color w:val="000000"/>
                <w:sz w:val="18"/>
                <w:szCs w:val="18"/>
                <w:u w:val="single"/>
              </w:rPr>
              <w:t>20,935</w:t>
            </w:r>
          </w:p>
        </w:tc>
        <w:tc>
          <w:tcPr>
            <w:tcW w:w="718" w:type="dxa"/>
            <w:noWrap/>
            <w:hideMark/>
          </w:tcPr>
          <w:p w14:paraId="31D35339" w14:textId="77777777" w:rsidR="00B04651" w:rsidRPr="00FA0DD7" w:rsidRDefault="00B04651" w:rsidP="00562C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11,576</w:t>
            </w:r>
          </w:p>
        </w:tc>
        <w:tc>
          <w:tcPr>
            <w:tcW w:w="626" w:type="dxa"/>
            <w:noWrap/>
            <w:hideMark/>
          </w:tcPr>
          <w:p w14:paraId="132C8F38" w14:textId="77777777" w:rsidR="00B04651" w:rsidRPr="00FA0DD7" w:rsidRDefault="00B04651" w:rsidP="00562C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2,900</w:t>
            </w:r>
          </w:p>
        </w:tc>
        <w:tc>
          <w:tcPr>
            <w:tcW w:w="626" w:type="dxa"/>
            <w:noWrap/>
            <w:hideMark/>
          </w:tcPr>
          <w:p w14:paraId="2F7F2532" w14:textId="77777777" w:rsidR="00B04651" w:rsidRPr="00FA0DD7" w:rsidRDefault="00B04651" w:rsidP="00562C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1,749</w:t>
            </w:r>
          </w:p>
        </w:tc>
        <w:tc>
          <w:tcPr>
            <w:tcW w:w="626" w:type="dxa"/>
            <w:noWrap/>
            <w:hideMark/>
          </w:tcPr>
          <w:p w14:paraId="3BC2BE70" w14:textId="77777777" w:rsidR="00B04651" w:rsidRPr="00FA0DD7" w:rsidRDefault="00B04651" w:rsidP="00562C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2,633</w:t>
            </w:r>
          </w:p>
        </w:tc>
        <w:tc>
          <w:tcPr>
            <w:tcW w:w="600" w:type="dxa"/>
            <w:noWrap/>
            <w:hideMark/>
          </w:tcPr>
          <w:p w14:paraId="3910AF45" w14:textId="77777777" w:rsidR="00B04651" w:rsidRPr="00FA0DD7" w:rsidRDefault="00B04651" w:rsidP="00562C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400</w:t>
            </w:r>
          </w:p>
        </w:tc>
        <w:tc>
          <w:tcPr>
            <w:tcW w:w="600" w:type="dxa"/>
            <w:noWrap/>
            <w:hideMark/>
          </w:tcPr>
          <w:p w14:paraId="5020C913" w14:textId="77777777" w:rsidR="00B04651" w:rsidRPr="00FA0DD7" w:rsidRDefault="00B04651" w:rsidP="00562C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-370</w:t>
            </w:r>
          </w:p>
        </w:tc>
        <w:tc>
          <w:tcPr>
            <w:tcW w:w="600" w:type="dxa"/>
            <w:noWrap/>
            <w:hideMark/>
          </w:tcPr>
          <w:p w14:paraId="14CEC408" w14:textId="77777777" w:rsidR="00B04651" w:rsidRPr="00FA0DD7" w:rsidRDefault="00B04651" w:rsidP="00562C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489</w:t>
            </w:r>
          </w:p>
        </w:tc>
        <w:tc>
          <w:tcPr>
            <w:tcW w:w="626" w:type="dxa"/>
            <w:noWrap/>
            <w:hideMark/>
          </w:tcPr>
          <w:p w14:paraId="5B43307C" w14:textId="77777777" w:rsidR="00B04651" w:rsidRPr="00FA0DD7" w:rsidRDefault="00B04651" w:rsidP="00562C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1,120</w:t>
            </w:r>
          </w:p>
        </w:tc>
        <w:tc>
          <w:tcPr>
            <w:tcW w:w="600" w:type="dxa"/>
            <w:noWrap/>
            <w:hideMark/>
          </w:tcPr>
          <w:p w14:paraId="3BA7ED1F" w14:textId="77777777" w:rsidR="00B04651" w:rsidRPr="00FA0DD7" w:rsidRDefault="00B04651" w:rsidP="00562C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188</w:t>
            </w:r>
          </w:p>
        </w:tc>
        <w:tc>
          <w:tcPr>
            <w:tcW w:w="864" w:type="dxa"/>
            <w:noWrap/>
            <w:hideMark/>
          </w:tcPr>
          <w:p w14:paraId="3440A391" w14:textId="77777777" w:rsidR="00B04651" w:rsidRPr="00FA0DD7" w:rsidRDefault="00B04651" w:rsidP="00562C3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Not incl.</w:t>
            </w:r>
          </w:p>
        </w:tc>
      </w:tr>
      <w:tr w:rsidR="00B04651" w:rsidRPr="00FA0DD7" w14:paraId="3EB12CB9" w14:textId="77777777" w:rsidTr="00562C3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00" w:type="dxa"/>
            <w:noWrap/>
            <w:hideMark/>
          </w:tcPr>
          <w:p w14:paraId="7252748E" w14:textId="77777777" w:rsidR="00B04651" w:rsidRPr="00FA0DD7" w:rsidRDefault="00B04651" w:rsidP="00562C39">
            <w:pPr>
              <w:jc w:val="right"/>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2007</w:t>
            </w:r>
          </w:p>
        </w:tc>
        <w:tc>
          <w:tcPr>
            <w:tcW w:w="719" w:type="dxa"/>
            <w:noWrap/>
            <w:hideMark/>
          </w:tcPr>
          <w:p w14:paraId="604E7321" w14:textId="77777777" w:rsidR="00B04651" w:rsidRPr="00FA0DD7" w:rsidRDefault="00B04651" w:rsidP="00562C3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 w:val="18"/>
                <w:szCs w:val="18"/>
                <w:u w:val="single"/>
              </w:rPr>
            </w:pPr>
            <w:r w:rsidRPr="00FA0DD7">
              <w:rPr>
                <w:rFonts w:ascii="Calibri" w:eastAsia="Times New Roman" w:hAnsi="Calibri" w:cs="Times New Roman"/>
                <w:b/>
                <w:color w:val="000000"/>
                <w:sz w:val="18"/>
                <w:szCs w:val="18"/>
                <w:u w:val="single"/>
              </w:rPr>
              <w:t>21,202</w:t>
            </w:r>
          </w:p>
        </w:tc>
        <w:tc>
          <w:tcPr>
            <w:tcW w:w="718" w:type="dxa"/>
            <w:noWrap/>
            <w:hideMark/>
          </w:tcPr>
          <w:p w14:paraId="3CA3A975" w14:textId="77777777" w:rsidR="00B04651" w:rsidRPr="00FA0DD7" w:rsidRDefault="00B04651" w:rsidP="00562C3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11,799</w:t>
            </w:r>
          </w:p>
        </w:tc>
        <w:tc>
          <w:tcPr>
            <w:tcW w:w="626" w:type="dxa"/>
            <w:noWrap/>
            <w:hideMark/>
          </w:tcPr>
          <w:p w14:paraId="6DA8B9A1" w14:textId="77777777" w:rsidR="00B04651" w:rsidRPr="00FA0DD7" w:rsidRDefault="00B04651" w:rsidP="00562C3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2,900</w:t>
            </w:r>
          </w:p>
        </w:tc>
        <w:tc>
          <w:tcPr>
            <w:tcW w:w="626" w:type="dxa"/>
            <w:noWrap/>
            <w:hideMark/>
          </w:tcPr>
          <w:p w14:paraId="7CE6444E" w14:textId="77777777" w:rsidR="00B04651" w:rsidRPr="00FA0DD7" w:rsidRDefault="00B04651" w:rsidP="00562C3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1,749</w:t>
            </w:r>
          </w:p>
        </w:tc>
        <w:tc>
          <w:tcPr>
            <w:tcW w:w="626" w:type="dxa"/>
            <w:noWrap/>
            <w:hideMark/>
          </w:tcPr>
          <w:p w14:paraId="28D7570E" w14:textId="77777777" w:rsidR="00B04651" w:rsidRPr="00FA0DD7" w:rsidRDefault="00B04651" w:rsidP="00562C3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2,671</w:t>
            </w:r>
          </w:p>
        </w:tc>
        <w:tc>
          <w:tcPr>
            <w:tcW w:w="600" w:type="dxa"/>
            <w:noWrap/>
            <w:hideMark/>
          </w:tcPr>
          <w:p w14:paraId="68336B28" w14:textId="77777777" w:rsidR="00B04651" w:rsidRPr="00FA0DD7" w:rsidRDefault="00B04651" w:rsidP="00562C3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406</w:t>
            </w:r>
          </w:p>
        </w:tc>
        <w:tc>
          <w:tcPr>
            <w:tcW w:w="600" w:type="dxa"/>
            <w:noWrap/>
            <w:hideMark/>
          </w:tcPr>
          <w:p w14:paraId="17A2CAC8" w14:textId="77777777" w:rsidR="00B04651" w:rsidRPr="00FA0DD7" w:rsidRDefault="00B04651" w:rsidP="00562C3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-322</w:t>
            </w:r>
          </w:p>
        </w:tc>
        <w:tc>
          <w:tcPr>
            <w:tcW w:w="600" w:type="dxa"/>
            <w:noWrap/>
            <w:hideMark/>
          </w:tcPr>
          <w:p w14:paraId="5B4A07B0" w14:textId="77777777" w:rsidR="00B04651" w:rsidRPr="00FA0DD7" w:rsidRDefault="00B04651" w:rsidP="00562C3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477</w:t>
            </w:r>
          </w:p>
        </w:tc>
        <w:tc>
          <w:tcPr>
            <w:tcW w:w="626" w:type="dxa"/>
            <w:noWrap/>
            <w:hideMark/>
          </w:tcPr>
          <w:p w14:paraId="4215CB25" w14:textId="77777777" w:rsidR="00B04651" w:rsidRPr="00FA0DD7" w:rsidRDefault="00B04651" w:rsidP="00562C3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1,093</w:t>
            </w:r>
          </w:p>
        </w:tc>
        <w:tc>
          <w:tcPr>
            <w:tcW w:w="600" w:type="dxa"/>
            <w:noWrap/>
            <w:hideMark/>
          </w:tcPr>
          <w:p w14:paraId="591F2CF9" w14:textId="77777777" w:rsidR="00B04651" w:rsidRPr="00FA0DD7" w:rsidRDefault="00B04651" w:rsidP="00562C3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177</w:t>
            </w:r>
          </w:p>
        </w:tc>
        <w:tc>
          <w:tcPr>
            <w:tcW w:w="864" w:type="dxa"/>
            <w:noWrap/>
            <w:hideMark/>
          </w:tcPr>
          <w:p w14:paraId="1C0D20D4" w14:textId="77777777" w:rsidR="00B04651" w:rsidRPr="00FA0DD7" w:rsidRDefault="00B04651" w:rsidP="00562C3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Not incl.</w:t>
            </w:r>
          </w:p>
        </w:tc>
      </w:tr>
      <w:tr w:rsidR="00B04651" w:rsidRPr="00FA0DD7" w14:paraId="0521C126" w14:textId="77777777" w:rsidTr="00562C39">
        <w:trPr>
          <w:trHeight w:val="20"/>
        </w:trPr>
        <w:tc>
          <w:tcPr>
            <w:cnfStyle w:val="001000000000" w:firstRow="0" w:lastRow="0" w:firstColumn="1" w:lastColumn="0" w:oddVBand="0" w:evenVBand="0" w:oddHBand="0" w:evenHBand="0" w:firstRowFirstColumn="0" w:firstRowLastColumn="0" w:lastRowFirstColumn="0" w:lastRowLastColumn="0"/>
            <w:tcW w:w="600" w:type="dxa"/>
            <w:noWrap/>
            <w:hideMark/>
          </w:tcPr>
          <w:p w14:paraId="2E0D8887" w14:textId="77777777" w:rsidR="00B04651" w:rsidRPr="00FA0DD7" w:rsidRDefault="00B04651" w:rsidP="00562C39">
            <w:pPr>
              <w:jc w:val="right"/>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2008</w:t>
            </w:r>
          </w:p>
        </w:tc>
        <w:tc>
          <w:tcPr>
            <w:tcW w:w="719" w:type="dxa"/>
            <w:noWrap/>
            <w:hideMark/>
          </w:tcPr>
          <w:p w14:paraId="583B7C48" w14:textId="77777777" w:rsidR="00B04651" w:rsidRPr="00FA0DD7" w:rsidRDefault="00B04651" w:rsidP="00562C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sz w:val="18"/>
                <w:szCs w:val="18"/>
                <w:u w:val="single"/>
              </w:rPr>
            </w:pPr>
            <w:r w:rsidRPr="00FA0DD7">
              <w:rPr>
                <w:rFonts w:ascii="Calibri" w:eastAsia="Times New Roman" w:hAnsi="Calibri" w:cs="Times New Roman"/>
                <w:b/>
                <w:color w:val="000000"/>
                <w:sz w:val="18"/>
                <w:szCs w:val="18"/>
                <w:u w:val="single"/>
              </w:rPr>
              <w:t>21,461</w:t>
            </w:r>
          </w:p>
        </w:tc>
        <w:tc>
          <w:tcPr>
            <w:tcW w:w="718" w:type="dxa"/>
            <w:noWrap/>
            <w:hideMark/>
          </w:tcPr>
          <w:p w14:paraId="7D1BBCCE" w14:textId="77777777" w:rsidR="00B04651" w:rsidRPr="00FA0DD7" w:rsidRDefault="00B04651" w:rsidP="00562C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12,015</w:t>
            </w:r>
          </w:p>
        </w:tc>
        <w:tc>
          <w:tcPr>
            <w:tcW w:w="626" w:type="dxa"/>
            <w:noWrap/>
            <w:hideMark/>
          </w:tcPr>
          <w:p w14:paraId="2C272532" w14:textId="77777777" w:rsidR="00B04651" w:rsidRPr="00FA0DD7" w:rsidRDefault="00B04651" w:rsidP="00562C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2,900</w:t>
            </w:r>
          </w:p>
        </w:tc>
        <w:tc>
          <w:tcPr>
            <w:tcW w:w="626" w:type="dxa"/>
            <w:noWrap/>
            <w:hideMark/>
          </w:tcPr>
          <w:p w14:paraId="74CABA77" w14:textId="77777777" w:rsidR="00B04651" w:rsidRPr="00FA0DD7" w:rsidRDefault="00B04651" w:rsidP="00562C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1,749</w:t>
            </w:r>
          </w:p>
        </w:tc>
        <w:tc>
          <w:tcPr>
            <w:tcW w:w="626" w:type="dxa"/>
            <w:noWrap/>
            <w:hideMark/>
          </w:tcPr>
          <w:p w14:paraId="20605620" w14:textId="77777777" w:rsidR="00B04651" w:rsidRPr="00FA0DD7" w:rsidRDefault="00B04651" w:rsidP="00562C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2,710</w:t>
            </w:r>
          </w:p>
        </w:tc>
        <w:tc>
          <w:tcPr>
            <w:tcW w:w="600" w:type="dxa"/>
            <w:noWrap/>
            <w:hideMark/>
          </w:tcPr>
          <w:p w14:paraId="2AD4DCDF" w14:textId="77777777" w:rsidR="00B04651" w:rsidRPr="00FA0DD7" w:rsidRDefault="00B04651" w:rsidP="00562C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412</w:t>
            </w:r>
          </w:p>
        </w:tc>
        <w:tc>
          <w:tcPr>
            <w:tcW w:w="600" w:type="dxa"/>
            <w:noWrap/>
            <w:hideMark/>
          </w:tcPr>
          <w:p w14:paraId="432A2948" w14:textId="77777777" w:rsidR="00B04651" w:rsidRPr="00FA0DD7" w:rsidRDefault="00B04651" w:rsidP="00562C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-274</w:t>
            </w:r>
          </w:p>
        </w:tc>
        <w:tc>
          <w:tcPr>
            <w:tcW w:w="600" w:type="dxa"/>
            <w:noWrap/>
            <w:hideMark/>
          </w:tcPr>
          <w:p w14:paraId="437E99EE" w14:textId="77777777" w:rsidR="00B04651" w:rsidRPr="00FA0DD7" w:rsidRDefault="00B04651" w:rsidP="00562C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465</w:t>
            </w:r>
          </w:p>
        </w:tc>
        <w:tc>
          <w:tcPr>
            <w:tcW w:w="626" w:type="dxa"/>
            <w:noWrap/>
            <w:hideMark/>
          </w:tcPr>
          <w:p w14:paraId="6AE41314" w14:textId="77777777" w:rsidR="00B04651" w:rsidRPr="00FA0DD7" w:rsidRDefault="00B04651" w:rsidP="00562C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1,066</w:t>
            </w:r>
          </w:p>
        </w:tc>
        <w:tc>
          <w:tcPr>
            <w:tcW w:w="600" w:type="dxa"/>
            <w:noWrap/>
            <w:hideMark/>
          </w:tcPr>
          <w:p w14:paraId="4ABCDB61" w14:textId="77777777" w:rsidR="00B04651" w:rsidRPr="00FA0DD7" w:rsidRDefault="00B04651" w:rsidP="00562C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166</w:t>
            </w:r>
          </w:p>
        </w:tc>
        <w:tc>
          <w:tcPr>
            <w:tcW w:w="864" w:type="dxa"/>
            <w:noWrap/>
            <w:hideMark/>
          </w:tcPr>
          <w:p w14:paraId="4A38EE7B" w14:textId="77777777" w:rsidR="00B04651" w:rsidRPr="00FA0DD7" w:rsidRDefault="00B04651" w:rsidP="00562C3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Not incl.</w:t>
            </w:r>
          </w:p>
        </w:tc>
      </w:tr>
      <w:tr w:rsidR="00B04651" w:rsidRPr="00FA0DD7" w14:paraId="0CB565AF" w14:textId="77777777" w:rsidTr="00562C3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00" w:type="dxa"/>
            <w:noWrap/>
            <w:hideMark/>
          </w:tcPr>
          <w:p w14:paraId="7AFB87D2" w14:textId="77777777" w:rsidR="00B04651" w:rsidRPr="00FA0DD7" w:rsidRDefault="00B04651" w:rsidP="00562C39">
            <w:pPr>
              <w:jc w:val="right"/>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2009</w:t>
            </w:r>
          </w:p>
        </w:tc>
        <w:tc>
          <w:tcPr>
            <w:tcW w:w="719" w:type="dxa"/>
            <w:noWrap/>
            <w:hideMark/>
          </w:tcPr>
          <w:p w14:paraId="1E968C43" w14:textId="77777777" w:rsidR="00B04651" w:rsidRPr="00FA0DD7" w:rsidRDefault="00B04651" w:rsidP="00562C3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 w:val="18"/>
                <w:szCs w:val="18"/>
                <w:u w:val="single"/>
              </w:rPr>
            </w:pPr>
            <w:r w:rsidRPr="00FA0DD7">
              <w:rPr>
                <w:rFonts w:ascii="Calibri" w:eastAsia="Times New Roman" w:hAnsi="Calibri" w:cs="Times New Roman"/>
                <w:b/>
                <w:color w:val="000000"/>
                <w:sz w:val="18"/>
                <w:szCs w:val="18"/>
                <w:u w:val="single"/>
              </w:rPr>
              <w:t>21,687</w:t>
            </w:r>
          </w:p>
        </w:tc>
        <w:tc>
          <w:tcPr>
            <w:tcW w:w="718" w:type="dxa"/>
            <w:noWrap/>
            <w:hideMark/>
          </w:tcPr>
          <w:p w14:paraId="108F9B51" w14:textId="77777777" w:rsidR="00B04651" w:rsidRPr="00FA0DD7" w:rsidRDefault="00B04651" w:rsidP="00562C3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12,202</w:t>
            </w:r>
          </w:p>
        </w:tc>
        <w:tc>
          <w:tcPr>
            <w:tcW w:w="626" w:type="dxa"/>
            <w:noWrap/>
            <w:hideMark/>
          </w:tcPr>
          <w:p w14:paraId="70463602" w14:textId="77777777" w:rsidR="00B04651" w:rsidRPr="00FA0DD7" w:rsidRDefault="00B04651" w:rsidP="00562C3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2,900</w:t>
            </w:r>
          </w:p>
        </w:tc>
        <w:tc>
          <w:tcPr>
            <w:tcW w:w="626" w:type="dxa"/>
            <w:noWrap/>
            <w:hideMark/>
          </w:tcPr>
          <w:p w14:paraId="5092E4C9" w14:textId="77777777" w:rsidR="00B04651" w:rsidRPr="00FA0DD7" w:rsidRDefault="00B04651" w:rsidP="00562C3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1,749</w:t>
            </w:r>
          </w:p>
        </w:tc>
        <w:tc>
          <w:tcPr>
            <w:tcW w:w="626" w:type="dxa"/>
            <w:noWrap/>
            <w:hideMark/>
          </w:tcPr>
          <w:p w14:paraId="2E5FC8D0" w14:textId="77777777" w:rsidR="00B04651" w:rsidRPr="00FA0DD7" w:rsidRDefault="00B04651" w:rsidP="00562C3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2,746</w:t>
            </w:r>
          </w:p>
        </w:tc>
        <w:tc>
          <w:tcPr>
            <w:tcW w:w="600" w:type="dxa"/>
            <w:noWrap/>
            <w:hideMark/>
          </w:tcPr>
          <w:p w14:paraId="2BA7AC94" w14:textId="77777777" w:rsidR="00B04651" w:rsidRPr="00FA0DD7" w:rsidRDefault="00B04651" w:rsidP="00562C3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417</w:t>
            </w:r>
          </w:p>
        </w:tc>
        <w:tc>
          <w:tcPr>
            <w:tcW w:w="600" w:type="dxa"/>
            <w:noWrap/>
            <w:hideMark/>
          </w:tcPr>
          <w:p w14:paraId="5A947B83" w14:textId="77777777" w:rsidR="00B04651" w:rsidRPr="00FA0DD7" w:rsidRDefault="00B04651" w:rsidP="00562C3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-227</w:t>
            </w:r>
          </w:p>
        </w:tc>
        <w:tc>
          <w:tcPr>
            <w:tcW w:w="600" w:type="dxa"/>
            <w:noWrap/>
            <w:hideMark/>
          </w:tcPr>
          <w:p w14:paraId="0D5330F3" w14:textId="77777777" w:rsidR="00B04651" w:rsidRPr="00FA0DD7" w:rsidRDefault="00B04651" w:rsidP="00562C3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453</w:t>
            </w:r>
          </w:p>
        </w:tc>
        <w:tc>
          <w:tcPr>
            <w:tcW w:w="626" w:type="dxa"/>
            <w:noWrap/>
            <w:hideMark/>
          </w:tcPr>
          <w:p w14:paraId="4B89A462" w14:textId="77777777" w:rsidR="00B04651" w:rsidRPr="00FA0DD7" w:rsidRDefault="00B04651" w:rsidP="00562C3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1,038</w:t>
            </w:r>
          </w:p>
        </w:tc>
        <w:tc>
          <w:tcPr>
            <w:tcW w:w="600" w:type="dxa"/>
            <w:noWrap/>
            <w:hideMark/>
          </w:tcPr>
          <w:p w14:paraId="7A740FBA" w14:textId="77777777" w:rsidR="00B04651" w:rsidRPr="00FA0DD7" w:rsidRDefault="00B04651" w:rsidP="00562C3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155</w:t>
            </w:r>
          </w:p>
        </w:tc>
        <w:tc>
          <w:tcPr>
            <w:tcW w:w="864" w:type="dxa"/>
            <w:noWrap/>
            <w:hideMark/>
          </w:tcPr>
          <w:p w14:paraId="518C4163" w14:textId="77777777" w:rsidR="00B04651" w:rsidRPr="00FA0DD7" w:rsidRDefault="00B04651" w:rsidP="00562C3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Not incl.</w:t>
            </w:r>
          </w:p>
        </w:tc>
      </w:tr>
      <w:tr w:rsidR="00B04651" w:rsidRPr="00FA0DD7" w14:paraId="48A0E733" w14:textId="77777777" w:rsidTr="00562C39">
        <w:trPr>
          <w:trHeight w:val="20"/>
        </w:trPr>
        <w:tc>
          <w:tcPr>
            <w:cnfStyle w:val="001000000000" w:firstRow="0" w:lastRow="0" w:firstColumn="1" w:lastColumn="0" w:oddVBand="0" w:evenVBand="0" w:oddHBand="0" w:evenHBand="0" w:firstRowFirstColumn="0" w:firstRowLastColumn="0" w:lastRowFirstColumn="0" w:lastRowLastColumn="0"/>
            <w:tcW w:w="600" w:type="dxa"/>
            <w:noWrap/>
            <w:hideMark/>
          </w:tcPr>
          <w:p w14:paraId="260AA193" w14:textId="77777777" w:rsidR="00B04651" w:rsidRPr="00FA0DD7" w:rsidRDefault="00B04651" w:rsidP="00562C39">
            <w:pPr>
              <w:jc w:val="right"/>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2010</w:t>
            </w:r>
          </w:p>
        </w:tc>
        <w:tc>
          <w:tcPr>
            <w:tcW w:w="719" w:type="dxa"/>
            <w:noWrap/>
            <w:hideMark/>
          </w:tcPr>
          <w:p w14:paraId="00E54452" w14:textId="77777777" w:rsidR="00B04651" w:rsidRPr="00FA0DD7" w:rsidRDefault="00B04651" w:rsidP="00562C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sz w:val="18"/>
                <w:szCs w:val="18"/>
                <w:u w:val="single"/>
              </w:rPr>
            </w:pPr>
            <w:r w:rsidRPr="00FA0DD7">
              <w:rPr>
                <w:rFonts w:ascii="Calibri" w:eastAsia="Times New Roman" w:hAnsi="Calibri" w:cs="Times New Roman"/>
                <w:b/>
                <w:color w:val="000000"/>
                <w:sz w:val="18"/>
                <w:szCs w:val="18"/>
                <w:u w:val="single"/>
              </w:rPr>
              <w:t>21,899</w:t>
            </w:r>
          </w:p>
        </w:tc>
        <w:tc>
          <w:tcPr>
            <w:tcW w:w="718" w:type="dxa"/>
            <w:noWrap/>
            <w:hideMark/>
          </w:tcPr>
          <w:p w14:paraId="767AAEF0" w14:textId="77777777" w:rsidR="00B04651" w:rsidRPr="00FA0DD7" w:rsidRDefault="00B04651" w:rsidP="00562C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12,382</w:t>
            </w:r>
          </w:p>
        </w:tc>
        <w:tc>
          <w:tcPr>
            <w:tcW w:w="626" w:type="dxa"/>
            <w:noWrap/>
            <w:hideMark/>
          </w:tcPr>
          <w:p w14:paraId="5B963362" w14:textId="77777777" w:rsidR="00B04651" w:rsidRPr="00FA0DD7" w:rsidRDefault="00B04651" w:rsidP="00562C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2,900</w:t>
            </w:r>
          </w:p>
        </w:tc>
        <w:tc>
          <w:tcPr>
            <w:tcW w:w="626" w:type="dxa"/>
            <w:noWrap/>
            <w:hideMark/>
          </w:tcPr>
          <w:p w14:paraId="2C3E2845" w14:textId="77777777" w:rsidR="00B04651" w:rsidRPr="00FA0DD7" w:rsidRDefault="00B04651" w:rsidP="00562C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1,749</w:t>
            </w:r>
          </w:p>
        </w:tc>
        <w:tc>
          <w:tcPr>
            <w:tcW w:w="626" w:type="dxa"/>
            <w:noWrap/>
            <w:hideMark/>
          </w:tcPr>
          <w:p w14:paraId="679BA798" w14:textId="77777777" w:rsidR="00B04651" w:rsidRPr="00FA0DD7" w:rsidRDefault="00B04651" w:rsidP="00562C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2,775</w:t>
            </w:r>
          </w:p>
        </w:tc>
        <w:tc>
          <w:tcPr>
            <w:tcW w:w="600" w:type="dxa"/>
            <w:noWrap/>
            <w:hideMark/>
          </w:tcPr>
          <w:p w14:paraId="59796BD3" w14:textId="77777777" w:rsidR="00B04651" w:rsidRPr="00FA0DD7" w:rsidRDefault="00B04651" w:rsidP="00562C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422</w:t>
            </w:r>
          </w:p>
        </w:tc>
        <w:tc>
          <w:tcPr>
            <w:tcW w:w="600" w:type="dxa"/>
            <w:noWrap/>
            <w:hideMark/>
          </w:tcPr>
          <w:p w14:paraId="222A764A" w14:textId="77777777" w:rsidR="00B04651" w:rsidRPr="00FA0DD7" w:rsidRDefault="00B04651" w:rsidP="00562C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-179</w:t>
            </w:r>
          </w:p>
        </w:tc>
        <w:tc>
          <w:tcPr>
            <w:tcW w:w="600" w:type="dxa"/>
            <w:noWrap/>
            <w:hideMark/>
          </w:tcPr>
          <w:p w14:paraId="5208B94B" w14:textId="77777777" w:rsidR="00B04651" w:rsidRPr="00FA0DD7" w:rsidRDefault="00B04651" w:rsidP="00562C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441</w:t>
            </w:r>
          </w:p>
        </w:tc>
        <w:tc>
          <w:tcPr>
            <w:tcW w:w="626" w:type="dxa"/>
            <w:noWrap/>
            <w:hideMark/>
          </w:tcPr>
          <w:p w14:paraId="33B945DE" w14:textId="77777777" w:rsidR="00B04651" w:rsidRPr="00FA0DD7" w:rsidRDefault="00B04651" w:rsidP="00562C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1,011</w:t>
            </w:r>
          </w:p>
        </w:tc>
        <w:tc>
          <w:tcPr>
            <w:tcW w:w="600" w:type="dxa"/>
            <w:noWrap/>
            <w:hideMark/>
          </w:tcPr>
          <w:p w14:paraId="65BA2465" w14:textId="77777777" w:rsidR="00B04651" w:rsidRPr="00FA0DD7" w:rsidRDefault="00B04651" w:rsidP="00562C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144</w:t>
            </w:r>
          </w:p>
        </w:tc>
        <w:tc>
          <w:tcPr>
            <w:tcW w:w="864" w:type="dxa"/>
            <w:noWrap/>
            <w:hideMark/>
          </w:tcPr>
          <w:p w14:paraId="31133339" w14:textId="77777777" w:rsidR="00B04651" w:rsidRPr="00FA0DD7" w:rsidRDefault="00B04651" w:rsidP="00562C3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Not incl.</w:t>
            </w:r>
          </w:p>
        </w:tc>
      </w:tr>
      <w:tr w:rsidR="00B04651" w:rsidRPr="00FA0DD7" w14:paraId="1C078839" w14:textId="77777777" w:rsidTr="00562C3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00" w:type="dxa"/>
            <w:noWrap/>
            <w:hideMark/>
          </w:tcPr>
          <w:p w14:paraId="5FD27308" w14:textId="77777777" w:rsidR="00B04651" w:rsidRPr="00FA0DD7" w:rsidRDefault="00B04651" w:rsidP="00562C39">
            <w:pPr>
              <w:jc w:val="right"/>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2011</w:t>
            </w:r>
          </w:p>
        </w:tc>
        <w:tc>
          <w:tcPr>
            <w:tcW w:w="719" w:type="dxa"/>
            <w:noWrap/>
            <w:hideMark/>
          </w:tcPr>
          <w:p w14:paraId="2793DC24" w14:textId="77777777" w:rsidR="00B04651" w:rsidRPr="00FA0DD7" w:rsidRDefault="00B04651" w:rsidP="00562C3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 w:val="18"/>
                <w:szCs w:val="18"/>
                <w:u w:val="single"/>
              </w:rPr>
            </w:pPr>
            <w:r w:rsidRPr="00FA0DD7">
              <w:rPr>
                <w:rFonts w:ascii="Calibri" w:eastAsia="Times New Roman" w:hAnsi="Calibri" w:cs="Times New Roman"/>
                <w:b/>
                <w:color w:val="000000"/>
                <w:sz w:val="18"/>
                <w:szCs w:val="18"/>
                <w:u w:val="single"/>
              </w:rPr>
              <w:t>22,076</w:t>
            </w:r>
          </w:p>
        </w:tc>
        <w:tc>
          <w:tcPr>
            <w:tcW w:w="718" w:type="dxa"/>
            <w:noWrap/>
            <w:hideMark/>
          </w:tcPr>
          <w:p w14:paraId="6E710992" w14:textId="77777777" w:rsidR="00B04651" w:rsidRPr="00FA0DD7" w:rsidRDefault="00B04651" w:rsidP="00562C3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12,560</w:t>
            </w:r>
          </w:p>
        </w:tc>
        <w:tc>
          <w:tcPr>
            <w:tcW w:w="626" w:type="dxa"/>
            <w:noWrap/>
            <w:hideMark/>
          </w:tcPr>
          <w:p w14:paraId="01892499" w14:textId="77777777" w:rsidR="00B04651" w:rsidRPr="00FA0DD7" w:rsidRDefault="00B04651" w:rsidP="00562C3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2,900</w:t>
            </w:r>
          </w:p>
        </w:tc>
        <w:tc>
          <w:tcPr>
            <w:tcW w:w="626" w:type="dxa"/>
            <w:noWrap/>
            <w:hideMark/>
          </w:tcPr>
          <w:p w14:paraId="054DAD1F" w14:textId="77777777" w:rsidR="00B04651" w:rsidRPr="00FA0DD7" w:rsidRDefault="00B04651" w:rsidP="00562C3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1,749</w:t>
            </w:r>
          </w:p>
        </w:tc>
        <w:tc>
          <w:tcPr>
            <w:tcW w:w="626" w:type="dxa"/>
            <w:noWrap/>
            <w:hideMark/>
          </w:tcPr>
          <w:p w14:paraId="0FF71FD6" w14:textId="77777777" w:rsidR="00B04651" w:rsidRPr="00FA0DD7" w:rsidRDefault="00B04651" w:rsidP="00562C3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2,805</w:t>
            </w:r>
          </w:p>
        </w:tc>
        <w:tc>
          <w:tcPr>
            <w:tcW w:w="600" w:type="dxa"/>
            <w:noWrap/>
            <w:hideMark/>
          </w:tcPr>
          <w:p w14:paraId="168CFBBE" w14:textId="77777777" w:rsidR="00B04651" w:rsidRPr="00FA0DD7" w:rsidRDefault="00B04651" w:rsidP="00562C3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428</w:t>
            </w:r>
          </w:p>
        </w:tc>
        <w:tc>
          <w:tcPr>
            <w:tcW w:w="600" w:type="dxa"/>
            <w:noWrap/>
            <w:hideMark/>
          </w:tcPr>
          <w:p w14:paraId="39A25590" w14:textId="77777777" w:rsidR="00B04651" w:rsidRPr="00FA0DD7" w:rsidRDefault="00B04651" w:rsidP="00562C3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-166</w:t>
            </w:r>
          </w:p>
        </w:tc>
        <w:tc>
          <w:tcPr>
            <w:tcW w:w="600" w:type="dxa"/>
            <w:noWrap/>
            <w:hideMark/>
          </w:tcPr>
          <w:p w14:paraId="23B9416C" w14:textId="77777777" w:rsidR="00B04651" w:rsidRPr="00FA0DD7" w:rsidRDefault="00B04651" w:rsidP="00562C3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428</w:t>
            </w:r>
          </w:p>
        </w:tc>
        <w:tc>
          <w:tcPr>
            <w:tcW w:w="626" w:type="dxa"/>
            <w:noWrap/>
            <w:hideMark/>
          </w:tcPr>
          <w:p w14:paraId="150F9C8F" w14:textId="77777777" w:rsidR="00B04651" w:rsidRPr="00FA0DD7" w:rsidRDefault="00B04651" w:rsidP="00562C3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981</w:t>
            </w:r>
          </w:p>
        </w:tc>
        <w:tc>
          <w:tcPr>
            <w:tcW w:w="600" w:type="dxa"/>
            <w:noWrap/>
            <w:hideMark/>
          </w:tcPr>
          <w:p w14:paraId="12F5E900" w14:textId="77777777" w:rsidR="00B04651" w:rsidRPr="00FA0DD7" w:rsidRDefault="00B04651" w:rsidP="00562C3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137</w:t>
            </w:r>
          </w:p>
        </w:tc>
        <w:tc>
          <w:tcPr>
            <w:tcW w:w="864" w:type="dxa"/>
            <w:noWrap/>
            <w:hideMark/>
          </w:tcPr>
          <w:p w14:paraId="7EF870AD" w14:textId="77777777" w:rsidR="00B04651" w:rsidRPr="00FA0DD7" w:rsidRDefault="00B04651" w:rsidP="00562C3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Not incl.</w:t>
            </w:r>
          </w:p>
        </w:tc>
      </w:tr>
      <w:tr w:rsidR="00B04651" w:rsidRPr="00FA0DD7" w14:paraId="3C08DD96" w14:textId="77777777" w:rsidTr="00562C39">
        <w:trPr>
          <w:trHeight w:val="20"/>
        </w:trPr>
        <w:tc>
          <w:tcPr>
            <w:cnfStyle w:val="001000000000" w:firstRow="0" w:lastRow="0" w:firstColumn="1" w:lastColumn="0" w:oddVBand="0" w:evenVBand="0" w:oddHBand="0" w:evenHBand="0" w:firstRowFirstColumn="0" w:firstRowLastColumn="0" w:lastRowFirstColumn="0" w:lastRowLastColumn="0"/>
            <w:tcW w:w="600" w:type="dxa"/>
            <w:noWrap/>
            <w:hideMark/>
          </w:tcPr>
          <w:p w14:paraId="6801B16B" w14:textId="77777777" w:rsidR="00B04651" w:rsidRPr="00FA0DD7" w:rsidRDefault="00B04651" w:rsidP="00562C39">
            <w:pPr>
              <w:jc w:val="right"/>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2012</w:t>
            </w:r>
          </w:p>
        </w:tc>
        <w:tc>
          <w:tcPr>
            <w:tcW w:w="719" w:type="dxa"/>
            <w:noWrap/>
            <w:hideMark/>
          </w:tcPr>
          <w:p w14:paraId="24005759" w14:textId="77777777" w:rsidR="00B04651" w:rsidRPr="00FA0DD7" w:rsidRDefault="00B04651" w:rsidP="00562C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sz w:val="18"/>
                <w:szCs w:val="18"/>
                <w:u w:val="single"/>
              </w:rPr>
            </w:pPr>
            <w:r w:rsidRPr="00FA0DD7">
              <w:rPr>
                <w:rFonts w:ascii="Calibri" w:eastAsia="Times New Roman" w:hAnsi="Calibri" w:cs="Times New Roman"/>
                <w:b/>
                <w:color w:val="000000"/>
                <w:sz w:val="18"/>
                <w:szCs w:val="18"/>
                <w:u w:val="single"/>
              </w:rPr>
              <w:t>22,257</w:t>
            </w:r>
          </w:p>
        </w:tc>
        <w:tc>
          <w:tcPr>
            <w:tcW w:w="718" w:type="dxa"/>
            <w:noWrap/>
            <w:hideMark/>
          </w:tcPr>
          <w:p w14:paraId="3C23C660" w14:textId="77777777" w:rsidR="00B04651" w:rsidRPr="00FA0DD7" w:rsidRDefault="00B04651" w:rsidP="00562C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12,743</w:t>
            </w:r>
          </w:p>
        </w:tc>
        <w:tc>
          <w:tcPr>
            <w:tcW w:w="626" w:type="dxa"/>
            <w:noWrap/>
            <w:hideMark/>
          </w:tcPr>
          <w:p w14:paraId="437E30EF" w14:textId="77777777" w:rsidR="00B04651" w:rsidRPr="00FA0DD7" w:rsidRDefault="00B04651" w:rsidP="00562C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2,900</w:t>
            </w:r>
          </w:p>
        </w:tc>
        <w:tc>
          <w:tcPr>
            <w:tcW w:w="626" w:type="dxa"/>
            <w:noWrap/>
            <w:hideMark/>
          </w:tcPr>
          <w:p w14:paraId="5B28156B" w14:textId="77777777" w:rsidR="00B04651" w:rsidRPr="00FA0DD7" w:rsidRDefault="00B04651" w:rsidP="00562C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1,749</w:t>
            </w:r>
          </w:p>
        </w:tc>
        <w:tc>
          <w:tcPr>
            <w:tcW w:w="626" w:type="dxa"/>
            <w:noWrap/>
            <w:hideMark/>
          </w:tcPr>
          <w:p w14:paraId="2BCA867C" w14:textId="77777777" w:rsidR="00B04651" w:rsidRPr="00FA0DD7" w:rsidRDefault="00B04651" w:rsidP="00562C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2,834</w:t>
            </w:r>
          </w:p>
        </w:tc>
        <w:tc>
          <w:tcPr>
            <w:tcW w:w="600" w:type="dxa"/>
            <w:noWrap/>
            <w:hideMark/>
          </w:tcPr>
          <w:p w14:paraId="13960A02" w14:textId="77777777" w:rsidR="00B04651" w:rsidRPr="00FA0DD7" w:rsidRDefault="00B04651" w:rsidP="00562C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433</w:t>
            </w:r>
          </w:p>
        </w:tc>
        <w:tc>
          <w:tcPr>
            <w:tcW w:w="600" w:type="dxa"/>
            <w:noWrap/>
            <w:hideMark/>
          </w:tcPr>
          <w:p w14:paraId="7E0AA2B9" w14:textId="77777777" w:rsidR="00B04651" w:rsidRPr="00FA0DD7" w:rsidRDefault="00B04651" w:rsidP="00562C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-153</w:t>
            </w:r>
          </w:p>
        </w:tc>
        <w:tc>
          <w:tcPr>
            <w:tcW w:w="600" w:type="dxa"/>
            <w:noWrap/>
            <w:hideMark/>
          </w:tcPr>
          <w:p w14:paraId="791195A7" w14:textId="77777777" w:rsidR="00B04651" w:rsidRPr="00FA0DD7" w:rsidRDefault="00B04651" w:rsidP="00562C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415</w:t>
            </w:r>
          </w:p>
        </w:tc>
        <w:tc>
          <w:tcPr>
            <w:tcW w:w="626" w:type="dxa"/>
            <w:noWrap/>
            <w:hideMark/>
          </w:tcPr>
          <w:p w14:paraId="32A73103" w14:textId="77777777" w:rsidR="00B04651" w:rsidRPr="00FA0DD7" w:rsidRDefault="00B04651" w:rsidP="00562C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951</w:t>
            </w:r>
          </w:p>
        </w:tc>
        <w:tc>
          <w:tcPr>
            <w:tcW w:w="600" w:type="dxa"/>
            <w:noWrap/>
            <w:hideMark/>
          </w:tcPr>
          <w:p w14:paraId="531017FB" w14:textId="77777777" w:rsidR="00B04651" w:rsidRPr="00FA0DD7" w:rsidRDefault="00B04651" w:rsidP="00562C3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131</w:t>
            </w:r>
          </w:p>
        </w:tc>
        <w:tc>
          <w:tcPr>
            <w:tcW w:w="864" w:type="dxa"/>
            <w:noWrap/>
            <w:hideMark/>
          </w:tcPr>
          <w:p w14:paraId="2B74D47F" w14:textId="77777777" w:rsidR="00B04651" w:rsidRPr="00FA0DD7" w:rsidRDefault="00B04651" w:rsidP="00562C3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Not incl.</w:t>
            </w:r>
          </w:p>
        </w:tc>
      </w:tr>
      <w:tr w:rsidR="00B04651" w:rsidRPr="00FA0DD7" w14:paraId="79BE14CB" w14:textId="77777777" w:rsidTr="00562C3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00" w:type="dxa"/>
            <w:noWrap/>
            <w:hideMark/>
          </w:tcPr>
          <w:p w14:paraId="3B2987FA" w14:textId="77777777" w:rsidR="00B04651" w:rsidRPr="00FA0DD7" w:rsidRDefault="00B04651" w:rsidP="00562C39">
            <w:pPr>
              <w:jc w:val="right"/>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2013</w:t>
            </w:r>
          </w:p>
        </w:tc>
        <w:tc>
          <w:tcPr>
            <w:tcW w:w="719" w:type="dxa"/>
            <w:noWrap/>
            <w:hideMark/>
          </w:tcPr>
          <w:p w14:paraId="43525C69" w14:textId="77777777" w:rsidR="00B04651" w:rsidRPr="00FA0DD7" w:rsidRDefault="00B04651" w:rsidP="00562C3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 w:val="18"/>
                <w:szCs w:val="18"/>
                <w:u w:val="single"/>
              </w:rPr>
            </w:pPr>
            <w:r w:rsidRPr="00FA0DD7">
              <w:rPr>
                <w:rFonts w:ascii="Calibri" w:eastAsia="Times New Roman" w:hAnsi="Calibri" w:cs="Times New Roman"/>
                <w:b/>
                <w:color w:val="000000"/>
                <w:sz w:val="18"/>
                <w:szCs w:val="18"/>
                <w:u w:val="single"/>
              </w:rPr>
              <w:t>22,468</w:t>
            </w:r>
          </w:p>
        </w:tc>
        <w:tc>
          <w:tcPr>
            <w:tcW w:w="718" w:type="dxa"/>
            <w:noWrap/>
            <w:hideMark/>
          </w:tcPr>
          <w:p w14:paraId="49AFF2C6" w14:textId="77777777" w:rsidR="00B04651" w:rsidRPr="00FA0DD7" w:rsidRDefault="00B04651" w:rsidP="00562C3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12,923</w:t>
            </w:r>
          </w:p>
        </w:tc>
        <w:tc>
          <w:tcPr>
            <w:tcW w:w="626" w:type="dxa"/>
            <w:noWrap/>
            <w:hideMark/>
          </w:tcPr>
          <w:p w14:paraId="7E016C78" w14:textId="77777777" w:rsidR="00B04651" w:rsidRPr="00FA0DD7" w:rsidRDefault="00B04651" w:rsidP="00562C3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2,900</w:t>
            </w:r>
          </w:p>
        </w:tc>
        <w:tc>
          <w:tcPr>
            <w:tcW w:w="626" w:type="dxa"/>
            <w:noWrap/>
            <w:hideMark/>
          </w:tcPr>
          <w:p w14:paraId="17AB2FEE" w14:textId="77777777" w:rsidR="00B04651" w:rsidRPr="00FA0DD7" w:rsidRDefault="00B04651" w:rsidP="00562C3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1,749</w:t>
            </w:r>
          </w:p>
        </w:tc>
        <w:tc>
          <w:tcPr>
            <w:tcW w:w="626" w:type="dxa"/>
            <w:noWrap/>
            <w:hideMark/>
          </w:tcPr>
          <w:p w14:paraId="1D5A8C83" w14:textId="77777777" w:rsidR="00B04651" w:rsidRPr="00FA0DD7" w:rsidRDefault="00B04651" w:rsidP="00562C3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2,863</w:t>
            </w:r>
          </w:p>
        </w:tc>
        <w:tc>
          <w:tcPr>
            <w:tcW w:w="600" w:type="dxa"/>
            <w:noWrap/>
            <w:hideMark/>
          </w:tcPr>
          <w:p w14:paraId="35CD4945" w14:textId="77777777" w:rsidR="00B04651" w:rsidRPr="00FA0DD7" w:rsidRDefault="00B04651" w:rsidP="00562C3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438</w:t>
            </w:r>
          </w:p>
        </w:tc>
        <w:tc>
          <w:tcPr>
            <w:tcW w:w="600" w:type="dxa"/>
            <w:noWrap/>
            <w:hideMark/>
          </w:tcPr>
          <w:p w14:paraId="1F80A114" w14:textId="77777777" w:rsidR="00B04651" w:rsidRPr="00FA0DD7" w:rsidRDefault="00B04651" w:rsidP="00562C3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-145</w:t>
            </w:r>
          </w:p>
        </w:tc>
        <w:tc>
          <w:tcPr>
            <w:tcW w:w="600" w:type="dxa"/>
            <w:noWrap/>
            <w:hideMark/>
          </w:tcPr>
          <w:p w14:paraId="24B03AE8" w14:textId="77777777" w:rsidR="00B04651" w:rsidRPr="00FA0DD7" w:rsidRDefault="00B04651" w:rsidP="00562C3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413</w:t>
            </w:r>
          </w:p>
        </w:tc>
        <w:tc>
          <w:tcPr>
            <w:tcW w:w="626" w:type="dxa"/>
            <w:noWrap/>
            <w:hideMark/>
          </w:tcPr>
          <w:p w14:paraId="17D0AA6E" w14:textId="77777777" w:rsidR="00B04651" w:rsidRPr="00FA0DD7" w:rsidRDefault="00B04651" w:rsidP="00562C3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946</w:t>
            </w:r>
          </w:p>
        </w:tc>
        <w:tc>
          <w:tcPr>
            <w:tcW w:w="600" w:type="dxa"/>
            <w:noWrap/>
            <w:hideMark/>
          </w:tcPr>
          <w:p w14:paraId="3B26F0C3" w14:textId="77777777" w:rsidR="00B04651" w:rsidRPr="00FA0DD7" w:rsidRDefault="00B04651" w:rsidP="00562C3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128</w:t>
            </w:r>
          </w:p>
        </w:tc>
        <w:tc>
          <w:tcPr>
            <w:tcW w:w="864" w:type="dxa"/>
            <w:noWrap/>
            <w:hideMark/>
          </w:tcPr>
          <w:p w14:paraId="5FEF4886" w14:textId="77777777" w:rsidR="00B04651" w:rsidRPr="00FA0DD7" w:rsidRDefault="00B04651" w:rsidP="00562C3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sidRPr="00FA0DD7">
              <w:rPr>
                <w:rFonts w:ascii="Calibri" w:eastAsia="Times New Roman" w:hAnsi="Calibri" w:cs="Times New Roman"/>
                <w:color w:val="000000"/>
                <w:sz w:val="18"/>
                <w:szCs w:val="18"/>
              </w:rPr>
              <w:t>Not incl.</w:t>
            </w:r>
          </w:p>
        </w:tc>
      </w:tr>
    </w:tbl>
    <w:p w14:paraId="0C30A0F7" w14:textId="77777777" w:rsidR="00B04651" w:rsidRDefault="00B04651" w:rsidP="00B04651">
      <w:pPr>
        <w:pStyle w:val="Caption"/>
        <w:keepNext/>
      </w:pPr>
    </w:p>
    <w:p w14:paraId="38423F68" w14:textId="63D384B0" w:rsidR="00B04651" w:rsidRPr="00562C39" w:rsidRDefault="00B04651" w:rsidP="00562C39">
      <w:pPr>
        <w:pStyle w:val="Caption"/>
        <w:keepNext/>
      </w:pPr>
      <w:r>
        <w:t>Table 2. Radiative forcing in California’s RCP, by pollutant. This data is used to derive the information in Figure 3. (A) The contribution in units of mW/m</w:t>
      </w:r>
      <w:r w:rsidRPr="00E53EFA">
        <w:rPr>
          <w:vertAlign w:val="superscript"/>
        </w:rPr>
        <w:t>2</w:t>
      </w:r>
      <w:r>
        <w:t>. (B) The contribution in CO</w:t>
      </w:r>
      <w:r w:rsidRPr="00E53EFA">
        <w:rPr>
          <w:vertAlign w:val="subscript"/>
        </w:rPr>
        <w:t>2</w:t>
      </w:r>
      <w:r>
        <w:t xml:space="preserve"> equivalent, using the CO</w:t>
      </w:r>
      <w:r w:rsidRPr="00E53EFA">
        <w:rPr>
          <w:vertAlign w:val="subscript"/>
        </w:rPr>
        <w:t>2</w:t>
      </w:r>
      <w:r>
        <w:t xml:space="preserve"> radiative efficiency from the IPCC Fifth Assessment Report (</w:t>
      </w:r>
      <w:r w:rsidRPr="00860A6A">
        <w:t>0.001772</w:t>
      </w:r>
      <w:r>
        <w:t xml:space="preserve"> mW/m</w:t>
      </w:r>
      <w:r w:rsidRPr="00BA211A">
        <w:rPr>
          <w:vertAlign w:val="superscript"/>
        </w:rPr>
        <w:t>2</w:t>
      </w:r>
      <w:r>
        <w:rPr>
          <w:vertAlign w:val="superscript"/>
        </w:rPr>
        <w:t xml:space="preserve"> </w:t>
      </w:r>
      <w:r>
        <w:t>per million tonnes CO</w:t>
      </w:r>
      <w:r w:rsidRPr="00E53EFA">
        <w:rPr>
          <w:vertAlign w:val="subscript"/>
        </w:rPr>
        <w:t>2</w:t>
      </w:r>
      <w:r>
        <w:t>).</w:t>
      </w:r>
    </w:p>
    <w:p w14:paraId="608744AF" w14:textId="77777777" w:rsidR="00B04651" w:rsidRDefault="00B04651" w:rsidP="00B04651">
      <w:pPr>
        <w:ind w:firstLine="720"/>
        <w:rPr>
          <w:rFonts w:ascii="Helvetica" w:hAnsi="Helvetica"/>
        </w:rPr>
      </w:pPr>
    </w:p>
    <w:p w14:paraId="4062C77D" w14:textId="77777777" w:rsidR="00B04651" w:rsidRPr="006652AC" w:rsidRDefault="00B04651" w:rsidP="00B04651">
      <w:pPr>
        <w:ind w:firstLine="720"/>
        <w:rPr>
          <w:rFonts w:ascii="Helvetica" w:hAnsi="Helvetica"/>
        </w:rPr>
      </w:pPr>
      <w:r w:rsidRPr="006652AC">
        <w:rPr>
          <w:rFonts w:ascii="Helvetica" w:hAnsi="Helvetica"/>
        </w:rPr>
        <w:t>Most troubling, this build up of California</w:t>
      </w:r>
      <w:r>
        <w:rPr>
          <w:rFonts w:ascii="Helvetica" w:hAnsi="Helvetica"/>
        </w:rPr>
        <w:t>’s</w:t>
      </w:r>
      <w:r w:rsidRPr="006652AC">
        <w:rPr>
          <w:rFonts w:ascii="Helvetica" w:hAnsi="Helvetica"/>
        </w:rPr>
        <w:t xml:space="preserve"> cumulative “current account” contribution to radiative forcing will continue to increase without any measurable reduction in its rate of increase</w:t>
      </w:r>
      <w:r>
        <w:rPr>
          <w:rFonts w:ascii="Helvetica" w:hAnsi="Helvetica"/>
        </w:rPr>
        <w:t>,</w:t>
      </w:r>
      <w:r w:rsidRPr="006652AC">
        <w:rPr>
          <w:rFonts w:ascii="Helvetica" w:hAnsi="Helvetica"/>
        </w:rPr>
        <w:t xml:space="preserve"> even if the </w:t>
      </w:r>
      <w:r>
        <w:rPr>
          <w:rFonts w:ascii="Helvetica" w:hAnsi="Helvetica"/>
        </w:rPr>
        <w:t>s</w:t>
      </w:r>
      <w:r w:rsidRPr="006652AC">
        <w:rPr>
          <w:rFonts w:ascii="Helvetica" w:hAnsi="Helvetica"/>
        </w:rPr>
        <w:t>tate meets its 2020 and 2030 goals.</w:t>
      </w:r>
      <w:r>
        <w:rPr>
          <w:rFonts w:ascii="Helvetica" w:hAnsi="Helvetica"/>
        </w:rPr>
        <w:t xml:space="preserve"> </w:t>
      </w:r>
      <w:r w:rsidRPr="006652AC">
        <w:rPr>
          <w:rFonts w:ascii="Helvetica" w:hAnsi="Helvetica"/>
        </w:rPr>
        <w:t xml:space="preserve">The growing climate crisis facing California and rest of the world needs more </w:t>
      </w:r>
      <w:r>
        <w:rPr>
          <w:rFonts w:ascii="Helvetica" w:hAnsi="Helvetica"/>
        </w:rPr>
        <w:t>aggressive</w:t>
      </w:r>
      <w:r w:rsidRPr="006652AC">
        <w:rPr>
          <w:rFonts w:ascii="Helvetica" w:hAnsi="Helvetica"/>
        </w:rPr>
        <w:t xml:space="preserve"> solutions.</w:t>
      </w:r>
      <w:r>
        <w:rPr>
          <w:rFonts w:ascii="Helvetica" w:hAnsi="Helvetica"/>
        </w:rPr>
        <w:t xml:space="preserve"> F</w:t>
      </w:r>
      <w:r w:rsidRPr="006652AC">
        <w:rPr>
          <w:rFonts w:ascii="Helvetica" w:hAnsi="Helvetica"/>
        </w:rPr>
        <w:t>ull transparency of our “real” footprint</w:t>
      </w:r>
      <w:r>
        <w:rPr>
          <w:rFonts w:ascii="Helvetica" w:hAnsi="Helvetica"/>
        </w:rPr>
        <w:t xml:space="preserve"> shows that </w:t>
      </w:r>
      <w:r w:rsidRPr="006652AC">
        <w:rPr>
          <w:rFonts w:ascii="Helvetica" w:hAnsi="Helvetica"/>
        </w:rPr>
        <w:t>California</w:t>
      </w:r>
      <w:r>
        <w:rPr>
          <w:rFonts w:ascii="Helvetica" w:hAnsi="Helvetica"/>
        </w:rPr>
        <w:t>ns</w:t>
      </w:r>
      <w:r w:rsidRPr="006652AC">
        <w:rPr>
          <w:rFonts w:ascii="Helvetica" w:hAnsi="Helvetica"/>
        </w:rPr>
        <w:t xml:space="preserve"> </w:t>
      </w:r>
      <w:r>
        <w:rPr>
          <w:rFonts w:ascii="Helvetica" w:hAnsi="Helvetica"/>
        </w:rPr>
        <w:t xml:space="preserve">the important </w:t>
      </w:r>
      <w:r w:rsidRPr="006652AC">
        <w:rPr>
          <w:rFonts w:ascii="Helvetica" w:hAnsi="Helvetica"/>
        </w:rPr>
        <w:t xml:space="preserve">reduction </w:t>
      </w:r>
      <w:r>
        <w:rPr>
          <w:rFonts w:ascii="Helvetica" w:hAnsi="Helvetica"/>
        </w:rPr>
        <w:t>achieved thus far and planned under AB32 still</w:t>
      </w:r>
      <w:r w:rsidRPr="006652AC">
        <w:rPr>
          <w:rFonts w:ascii="Helvetica" w:hAnsi="Helvetica"/>
        </w:rPr>
        <w:t xml:space="preserve"> represent less that 0.1% of our total contribution to current our current cumulative radiative forcing.</w:t>
      </w:r>
      <w:r>
        <w:rPr>
          <w:rFonts w:ascii="Helvetica" w:hAnsi="Helvetica"/>
        </w:rPr>
        <w:t xml:space="preserve"> </w:t>
      </w:r>
    </w:p>
    <w:p w14:paraId="288BDF0D" w14:textId="77777777" w:rsidR="00B04651" w:rsidRPr="006652AC" w:rsidRDefault="00B04651" w:rsidP="00B04651">
      <w:pPr>
        <w:ind w:firstLine="720"/>
        <w:rPr>
          <w:rFonts w:ascii="Helvetica" w:hAnsi="Helvetica"/>
        </w:rPr>
      </w:pPr>
      <w:r w:rsidRPr="006652AC">
        <w:rPr>
          <w:rFonts w:ascii="Helvetica" w:hAnsi="Helvetica"/>
        </w:rPr>
        <w:t>California is especially at risk from a changing climate according to the most recent report from</w:t>
      </w:r>
      <w:r>
        <w:rPr>
          <w:rFonts w:ascii="Helvetica" w:hAnsi="Helvetica"/>
        </w:rPr>
        <w:t xml:space="preserve"> the</w:t>
      </w:r>
      <w:r w:rsidRPr="006652AC">
        <w:rPr>
          <w:rFonts w:ascii="Helvetica" w:hAnsi="Helvetica"/>
        </w:rPr>
        <w:t xml:space="preserve"> </w:t>
      </w:r>
      <w:r>
        <w:rPr>
          <w:rFonts w:ascii="Helvetica" w:hAnsi="Helvetica"/>
        </w:rPr>
        <w:t>N</w:t>
      </w:r>
      <w:r w:rsidRPr="006652AC">
        <w:rPr>
          <w:rFonts w:ascii="Helvetica" w:hAnsi="Helvetica"/>
        </w:rPr>
        <w:t xml:space="preserve">ational </w:t>
      </w:r>
      <w:r>
        <w:rPr>
          <w:rFonts w:ascii="Helvetica" w:hAnsi="Helvetica"/>
        </w:rPr>
        <w:t>A</w:t>
      </w:r>
      <w:r w:rsidRPr="006652AC">
        <w:rPr>
          <w:rFonts w:ascii="Helvetica" w:hAnsi="Helvetica"/>
        </w:rPr>
        <w:t>cademy of Science</w:t>
      </w:r>
      <w:r>
        <w:rPr>
          <w:rFonts w:ascii="Helvetica" w:hAnsi="Helvetica"/>
        </w:rPr>
        <w:t xml:space="preserve">, which </w:t>
      </w:r>
      <w:r w:rsidRPr="006652AC">
        <w:rPr>
          <w:rFonts w:ascii="Helvetica" w:hAnsi="Helvetica"/>
        </w:rPr>
        <w:t>shows tropic</w:t>
      </w:r>
      <w:r>
        <w:rPr>
          <w:rFonts w:ascii="Helvetica" w:hAnsi="Helvetica"/>
        </w:rPr>
        <w:t>al</w:t>
      </w:r>
      <w:r w:rsidRPr="006652AC">
        <w:rPr>
          <w:rFonts w:ascii="Helvetica" w:hAnsi="Helvetica"/>
        </w:rPr>
        <w:t xml:space="preserve"> circulation patterns now reaching the heart of California.</w:t>
      </w:r>
      <w:r>
        <w:rPr>
          <w:rFonts w:ascii="Helvetica" w:hAnsi="Helvetica"/>
        </w:rPr>
        <w:t xml:space="preserve"> </w:t>
      </w:r>
      <w:r w:rsidRPr="006652AC">
        <w:rPr>
          <w:rFonts w:ascii="Helvetica" w:hAnsi="Helvetica"/>
        </w:rPr>
        <w:t xml:space="preserve">This report and other modeling projections show that California </w:t>
      </w:r>
      <w:r>
        <w:rPr>
          <w:rFonts w:ascii="Helvetica" w:hAnsi="Helvetica"/>
        </w:rPr>
        <w:t>may</w:t>
      </w:r>
      <w:r w:rsidRPr="006652AC">
        <w:rPr>
          <w:rFonts w:ascii="Helvetica" w:hAnsi="Helvetica"/>
        </w:rPr>
        <w:t xml:space="preserve"> now </w:t>
      </w:r>
      <w:r>
        <w:rPr>
          <w:rFonts w:ascii="Helvetica" w:hAnsi="Helvetica"/>
        </w:rPr>
        <w:t xml:space="preserve">be </w:t>
      </w:r>
      <w:r w:rsidRPr="006652AC">
        <w:rPr>
          <w:rFonts w:ascii="Helvetica" w:hAnsi="Helvetica"/>
        </w:rPr>
        <w:t>transitioning into a</w:t>
      </w:r>
      <w:r>
        <w:rPr>
          <w:rFonts w:ascii="Helvetica" w:hAnsi="Helvetica"/>
        </w:rPr>
        <w:t xml:space="preserve"> semi-arid to</w:t>
      </w:r>
      <w:r w:rsidRPr="006652AC">
        <w:rPr>
          <w:rFonts w:ascii="Helvetica" w:hAnsi="Helvetica"/>
        </w:rPr>
        <w:t xml:space="preserve"> arid climate</w:t>
      </w:r>
      <w:r>
        <w:rPr>
          <w:rFonts w:ascii="Helvetica" w:hAnsi="Helvetica"/>
        </w:rPr>
        <w:t>,</w:t>
      </w:r>
      <w:r w:rsidRPr="006652AC">
        <w:rPr>
          <w:rFonts w:ascii="Helvetica" w:hAnsi="Helvetica"/>
        </w:rPr>
        <w:t xml:space="preserve"> and th</w:t>
      </w:r>
      <w:r>
        <w:rPr>
          <w:rFonts w:ascii="Helvetica" w:hAnsi="Helvetica"/>
        </w:rPr>
        <w:t>at th</w:t>
      </w:r>
      <w:r w:rsidRPr="006652AC">
        <w:rPr>
          <w:rFonts w:ascii="Helvetica" w:hAnsi="Helvetica"/>
        </w:rPr>
        <w:t xml:space="preserve">e current drought </w:t>
      </w:r>
      <w:r>
        <w:rPr>
          <w:rFonts w:ascii="Helvetica" w:hAnsi="Helvetica"/>
        </w:rPr>
        <w:t>may be a more ominous signal of</w:t>
      </w:r>
      <w:r w:rsidRPr="006652AC">
        <w:rPr>
          <w:rFonts w:ascii="Helvetica" w:hAnsi="Helvetica"/>
        </w:rPr>
        <w:t xml:space="preserve"> permanent change to our </w:t>
      </w:r>
      <w:r>
        <w:rPr>
          <w:rFonts w:ascii="Helvetica" w:hAnsi="Helvetica"/>
        </w:rPr>
        <w:t xml:space="preserve">state’s </w:t>
      </w:r>
      <w:r w:rsidRPr="006652AC">
        <w:rPr>
          <w:rFonts w:ascii="Helvetica" w:hAnsi="Helvetica"/>
        </w:rPr>
        <w:t>climate.</w:t>
      </w:r>
      <w:r>
        <w:rPr>
          <w:rFonts w:ascii="Helvetica" w:hAnsi="Helvetica"/>
        </w:rPr>
        <w:t xml:space="preserve"> </w:t>
      </w:r>
      <w:r w:rsidRPr="006652AC">
        <w:rPr>
          <w:rFonts w:ascii="Helvetica" w:hAnsi="Helvetica"/>
        </w:rPr>
        <w:t xml:space="preserve">The </w:t>
      </w:r>
      <w:r>
        <w:rPr>
          <w:rFonts w:ascii="Helvetica" w:hAnsi="Helvetica"/>
        </w:rPr>
        <w:t xml:space="preserve">California </w:t>
      </w:r>
      <w:r w:rsidRPr="006652AC">
        <w:rPr>
          <w:rFonts w:ascii="Helvetica" w:hAnsi="Helvetica"/>
        </w:rPr>
        <w:t>ARB and CEC need to consider mitigation options that have the potential to counter this significant change to our climate</w:t>
      </w:r>
      <w:r>
        <w:rPr>
          <w:rFonts w:ascii="Helvetica" w:hAnsi="Helvetica"/>
        </w:rPr>
        <w:t>, rather</w:t>
      </w:r>
      <w:r w:rsidRPr="006652AC">
        <w:rPr>
          <w:rFonts w:ascii="Helvetica" w:hAnsi="Helvetica"/>
        </w:rPr>
        <w:t xml:space="preserve"> than </w:t>
      </w:r>
      <w:r>
        <w:rPr>
          <w:rFonts w:ascii="Helvetica" w:hAnsi="Helvetica"/>
        </w:rPr>
        <w:t>focus solely on</w:t>
      </w:r>
      <w:r w:rsidRPr="006652AC">
        <w:rPr>
          <w:rFonts w:ascii="Helvetica" w:hAnsi="Helvetica"/>
        </w:rPr>
        <w:t xml:space="preserve"> mitigat</w:t>
      </w:r>
      <w:r>
        <w:rPr>
          <w:rFonts w:ascii="Helvetica" w:hAnsi="Helvetica"/>
        </w:rPr>
        <w:t>ation</w:t>
      </w:r>
      <w:r w:rsidRPr="006652AC">
        <w:rPr>
          <w:rFonts w:ascii="Helvetica" w:hAnsi="Helvetica"/>
        </w:rPr>
        <w:t xml:space="preserve"> </w:t>
      </w:r>
      <w:r>
        <w:rPr>
          <w:rFonts w:ascii="Helvetica" w:hAnsi="Helvetica"/>
        </w:rPr>
        <w:t xml:space="preserve">strategies </w:t>
      </w:r>
      <w:r w:rsidRPr="006652AC">
        <w:rPr>
          <w:rFonts w:ascii="Helvetica" w:hAnsi="Helvetica"/>
        </w:rPr>
        <w:t xml:space="preserve">on the margins of this crisis. </w:t>
      </w:r>
    </w:p>
    <w:p w14:paraId="18F8CAFE" w14:textId="77777777" w:rsidR="00B04651" w:rsidRPr="006652AC" w:rsidRDefault="00B04651" w:rsidP="00B04651">
      <w:pPr>
        <w:pStyle w:val="bodycopy"/>
        <w:ind w:firstLine="720"/>
        <w:rPr>
          <w:rFonts w:ascii="Helvetica" w:hAnsi="Helvetica"/>
          <w:sz w:val="22"/>
        </w:rPr>
      </w:pPr>
      <w:r w:rsidRPr="006652AC">
        <w:rPr>
          <w:rFonts w:ascii="Helvetica" w:hAnsi="Helvetica"/>
          <w:sz w:val="22"/>
        </w:rPr>
        <w:t>The United Nations Environmental Program (UNEP) and World Meteorological Organization (WMO), using data from advanced climate models and economic projections from the International Energy Agency, have projected changes in global radiative forcing over the next 20 years.</w:t>
      </w:r>
      <w:r>
        <w:rPr>
          <w:rFonts w:ascii="Helvetica" w:hAnsi="Helvetica"/>
          <w:sz w:val="22"/>
        </w:rPr>
        <w:t xml:space="preserve"> </w:t>
      </w:r>
      <w:r w:rsidRPr="006652AC">
        <w:rPr>
          <w:rFonts w:ascii="Helvetica" w:hAnsi="Helvetica"/>
          <w:sz w:val="22"/>
        </w:rPr>
        <w:t xml:space="preserve">These data are used to determine the eventual effect on GMT </w:t>
      </w:r>
      <w:r>
        <w:rPr>
          <w:rFonts w:ascii="Helvetica" w:hAnsi="Helvetica"/>
          <w:sz w:val="22"/>
        </w:rPr>
        <w:t>from</w:t>
      </w:r>
      <w:r w:rsidRPr="006652AC">
        <w:rPr>
          <w:rFonts w:ascii="Helvetica" w:hAnsi="Helvetica"/>
          <w:sz w:val="22"/>
        </w:rPr>
        <w:t xml:space="preserve"> business-as-usual, and to consider projects focused on reducing carbon dioxide, methane, and black carbon. Figure </w:t>
      </w:r>
      <w:r>
        <w:rPr>
          <w:rFonts w:ascii="Helvetica" w:hAnsi="Helvetica"/>
          <w:sz w:val="22"/>
        </w:rPr>
        <w:t>3</w:t>
      </w:r>
      <w:r w:rsidRPr="006652AC">
        <w:rPr>
          <w:rFonts w:ascii="Helvetica" w:hAnsi="Helvetica"/>
          <w:sz w:val="22"/>
        </w:rPr>
        <w:t xml:space="preserve"> shows the significant increase on global radiative forcing based on the business-as-usual scenario, as well as the changes in radiative forcing resulting from several possible mitigation scenarios. </w:t>
      </w:r>
    </w:p>
    <w:p w14:paraId="1B9040E0" w14:textId="77777777" w:rsidR="00B04651" w:rsidRPr="006652AC" w:rsidRDefault="00B04651" w:rsidP="00B04651">
      <w:pPr>
        <w:keepNext/>
        <w:jc w:val="center"/>
        <w:rPr>
          <w:rFonts w:ascii="Helvetica" w:hAnsi="Helvetica"/>
        </w:rPr>
      </w:pPr>
      <w:r w:rsidRPr="006652AC">
        <w:rPr>
          <w:rFonts w:ascii="Helvetica" w:hAnsi="Helvetica"/>
          <w:noProof/>
        </w:rPr>
        <w:drawing>
          <wp:inline distT="0" distB="0" distL="0" distR="0" wp14:anchorId="0F35B90A" wp14:editId="1B086989">
            <wp:extent cx="4835525" cy="2942167"/>
            <wp:effectExtent l="0" t="0" r="15875" b="2984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815999C" w14:textId="77777777" w:rsidR="00B04651" w:rsidRPr="006652AC" w:rsidRDefault="00B04651" w:rsidP="00B04651">
      <w:pPr>
        <w:pStyle w:val="Caption"/>
        <w:rPr>
          <w:rFonts w:ascii="Helvetica" w:hAnsi="Helvetica"/>
        </w:rPr>
      </w:pPr>
      <w:r w:rsidRPr="00A6475E">
        <w:rPr>
          <w:rFonts w:ascii="Helvetica" w:hAnsi="Helvetica"/>
          <w:sz w:val="18"/>
        </w:rPr>
        <w:t xml:space="preserve">Figure </w:t>
      </w:r>
      <w:r>
        <w:rPr>
          <w:rFonts w:ascii="Helvetica" w:hAnsi="Helvetica"/>
          <w:sz w:val="18"/>
        </w:rPr>
        <w:t>3</w:t>
      </w:r>
      <w:r w:rsidRPr="00A6475E">
        <w:rPr>
          <w:rFonts w:ascii="Helvetica" w:hAnsi="Helvetica"/>
          <w:sz w:val="18"/>
        </w:rPr>
        <w:t>. Global radiative forcing from 2015 to 2030, according to business-as-usual and considering implementation of six different suites of project types.</w:t>
      </w:r>
      <w:r w:rsidRPr="00A6475E">
        <w:rPr>
          <w:rFonts w:ascii="Helvetica" w:hAnsi="Helvetica"/>
          <w:sz w:val="18"/>
          <w:vertAlign w:val="superscript"/>
        </w:rPr>
        <w:t xml:space="preserve"> </w:t>
      </w:r>
      <w:r w:rsidRPr="00A6475E">
        <w:rPr>
          <w:rFonts w:ascii="Helvetica" w:hAnsi="Helvetica"/>
          <w:sz w:val="18"/>
        </w:rPr>
        <w:t>These scenarios include: A 30% reduction in global carbon dioxide emissions achieved by 2030 (costing roughly 1 trillion USD per year), represented by the red line; a 40% reduction in methane emissions achieved by 2030 (costing roughly 5-10 billion USD</w:t>
      </w:r>
      <w:r w:rsidRPr="00A6475E">
        <w:rPr>
          <w:rFonts w:ascii="Helvetica" w:hAnsi="Helvetica"/>
          <w:sz w:val="18"/>
          <w:vertAlign w:val="superscript"/>
        </w:rPr>
        <w:t>28</w:t>
      </w:r>
      <w:r w:rsidRPr="00A6475E">
        <w:rPr>
          <w:rFonts w:ascii="Helvetica" w:hAnsi="Helvetica"/>
          <w:sz w:val="18"/>
        </w:rPr>
        <w:t xml:space="preserve"> per year on a net basis), represented by the green line; an 80% reduction in black carbon emissions achieved by 2030 (costing roughly 25 billion USD per year on a net basis), represented by the purple line; negligible impact oceanic cooling (sulfate/nitrate), based on immediate large-scale implementation, sufficient to achieve -1 to -2 W/m</w:t>
      </w:r>
      <w:r w:rsidRPr="00A6475E">
        <w:rPr>
          <w:rFonts w:ascii="Helvetica" w:hAnsi="Helvetica"/>
          <w:sz w:val="18"/>
          <w:vertAlign w:val="superscript"/>
        </w:rPr>
        <w:t>2</w:t>
      </w:r>
      <w:r w:rsidRPr="00A6475E">
        <w:rPr>
          <w:rFonts w:ascii="Helvetica" w:hAnsi="Helvetica"/>
          <w:sz w:val="18"/>
        </w:rPr>
        <w:t xml:space="preserve"> of forcing reduction (no significant costs), represented by the orange line; black carbon and methane projects combined, represented by the light blue line; all non-CO</w:t>
      </w:r>
      <w:r w:rsidRPr="00A6475E">
        <w:rPr>
          <w:rFonts w:ascii="Helvetica" w:hAnsi="Helvetica"/>
          <w:sz w:val="18"/>
          <w:vertAlign w:val="subscript"/>
        </w:rPr>
        <w:t>2</w:t>
      </w:r>
      <w:r w:rsidRPr="00A6475E">
        <w:rPr>
          <w:rFonts w:ascii="Helvetica" w:hAnsi="Helvetica"/>
          <w:sz w:val="18"/>
        </w:rPr>
        <w:t xml:space="preserve"> projects combined, represented by the dark blue line. </w:t>
      </w:r>
    </w:p>
    <w:p w14:paraId="3FB2AD0B" w14:textId="77777777" w:rsidR="00B04651" w:rsidRPr="006652AC" w:rsidRDefault="00B04651" w:rsidP="00B04651">
      <w:pPr>
        <w:pStyle w:val="bodycopy"/>
        <w:ind w:firstLine="720"/>
        <w:rPr>
          <w:rFonts w:ascii="Helvetica" w:hAnsi="Helvetica"/>
        </w:rPr>
      </w:pPr>
      <w:r w:rsidRPr="006652AC">
        <w:rPr>
          <w:rFonts w:ascii="Helvetica" w:hAnsi="Helvetica"/>
          <w:sz w:val="22"/>
          <w:szCs w:val="22"/>
        </w:rPr>
        <w:t>UNEP</w:t>
      </w:r>
      <w:r>
        <w:rPr>
          <w:rFonts w:ascii="Helvetica" w:hAnsi="Helvetica"/>
          <w:sz w:val="22"/>
          <w:szCs w:val="22"/>
        </w:rPr>
        <w:t xml:space="preserve"> and the </w:t>
      </w:r>
      <w:r w:rsidRPr="006652AC">
        <w:rPr>
          <w:rFonts w:ascii="Helvetica" w:hAnsi="Helvetica"/>
          <w:sz w:val="22"/>
          <w:szCs w:val="22"/>
        </w:rPr>
        <w:t xml:space="preserve">WMO determined the eventual effect on </w:t>
      </w:r>
      <w:r>
        <w:rPr>
          <w:rFonts w:ascii="Helvetica" w:hAnsi="Helvetica"/>
          <w:sz w:val="22"/>
          <w:szCs w:val="22"/>
        </w:rPr>
        <w:t>GMT</w:t>
      </w:r>
      <w:r w:rsidRPr="006652AC">
        <w:rPr>
          <w:rFonts w:ascii="Helvetica" w:hAnsi="Helvetica"/>
          <w:sz w:val="22"/>
          <w:szCs w:val="22"/>
        </w:rPr>
        <w:t xml:space="preserve"> resulting from some of these different forcing projections (Figure </w:t>
      </w:r>
      <w:r>
        <w:rPr>
          <w:rFonts w:ascii="Helvetica" w:hAnsi="Helvetica"/>
          <w:sz w:val="22"/>
          <w:szCs w:val="22"/>
        </w:rPr>
        <w:t>4</w:t>
      </w:r>
      <w:r w:rsidRPr="006652AC">
        <w:rPr>
          <w:rFonts w:ascii="Helvetica" w:hAnsi="Helvetica"/>
          <w:sz w:val="22"/>
          <w:szCs w:val="22"/>
        </w:rPr>
        <w:t>).</w:t>
      </w:r>
    </w:p>
    <w:p w14:paraId="44A561C0" w14:textId="77777777" w:rsidR="00B04651" w:rsidRPr="006652AC" w:rsidRDefault="00B04651" w:rsidP="00B04651">
      <w:pPr>
        <w:pStyle w:val="bodycopy"/>
        <w:keepNext/>
        <w:jc w:val="center"/>
        <w:rPr>
          <w:rFonts w:ascii="Helvetica" w:hAnsi="Helvetica"/>
        </w:rPr>
      </w:pPr>
      <w:r w:rsidRPr="006652AC">
        <w:rPr>
          <w:rStyle w:val="FootnoteReference"/>
          <w:rFonts w:ascii="Helvetica" w:hAnsi="Helvetica"/>
          <w:i/>
          <w:iCs/>
          <w:noProof/>
          <w:position w:val="-2"/>
          <w:sz w:val="22"/>
        </w:rPr>
        <w:drawing>
          <wp:inline distT="0" distB="0" distL="0" distR="0" wp14:anchorId="2CC56963" wp14:editId="2C68D2C8">
            <wp:extent cx="5109210" cy="3447437"/>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9">
                      <a:extLst>
                        <a:ext uri="{28A0092B-C50C-407E-A947-70E740481C1C}">
                          <a14:useLocalDpi xmlns:a14="http://schemas.microsoft.com/office/drawing/2010/main" val="0"/>
                        </a:ext>
                      </a:extLst>
                    </a:blip>
                    <a:srcRect b="4722"/>
                    <a:stretch/>
                  </pic:blipFill>
                  <pic:spPr bwMode="auto">
                    <a:xfrm>
                      <a:off x="0" y="0"/>
                      <a:ext cx="5110056" cy="3448008"/>
                    </a:xfrm>
                    <a:prstGeom prst="rect">
                      <a:avLst/>
                    </a:prstGeom>
                    <a:noFill/>
                    <a:ln>
                      <a:noFill/>
                    </a:ln>
                    <a:extLst>
                      <a:ext uri="{53640926-AAD7-44d8-BBD7-CCE9431645EC}">
                        <a14:shadowObscured xmlns:a14="http://schemas.microsoft.com/office/drawing/2010/main"/>
                      </a:ext>
                    </a:extLst>
                  </pic:spPr>
                </pic:pic>
              </a:graphicData>
            </a:graphic>
          </wp:inline>
        </w:drawing>
      </w:r>
    </w:p>
    <w:p w14:paraId="17A3EC07" w14:textId="77777777" w:rsidR="00B04651" w:rsidRPr="00836A32" w:rsidRDefault="00B04651" w:rsidP="00B04651">
      <w:pPr>
        <w:pStyle w:val="Caption"/>
        <w:rPr>
          <w:rStyle w:val="FootnoteReference"/>
          <w:rFonts w:ascii="Helvetica" w:hAnsi="Helvetica"/>
          <w:i/>
          <w:iCs/>
          <w:position w:val="-2"/>
          <w:sz w:val="18"/>
        </w:rPr>
      </w:pPr>
      <w:r w:rsidRPr="00836A32">
        <w:rPr>
          <w:rFonts w:ascii="Helvetica" w:hAnsi="Helvetica"/>
          <w:sz w:val="18"/>
        </w:rPr>
        <w:t xml:space="preserve">Figure </w:t>
      </w:r>
      <w:r w:rsidRPr="00836A32">
        <w:rPr>
          <w:rFonts w:ascii="Helvetica" w:hAnsi="Helvetica"/>
          <w:sz w:val="18"/>
        </w:rPr>
        <w:fldChar w:fldCharType="begin"/>
      </w:r>
      <w:r w:rsidRPr="00836A32">
        <w:rPr>
          <w:rFonts w:ascii="Helvetica" w:hAnsi="Helvetica"/>
          <w:sz w:val="18"/>
        </w:rPr>
        <w:instrText xml:space="preserve"> SEQ Figure \* ARABIC </w:instrText>
      </w:r>
      <w:r w:rsidRPr="00836A32">
        <w:rPr>
          <w:rFonts w:ascii="Helvetica" w:hAnsi="Helvetica"/>
          <w:sz w:val="18"/>
        </w:rPr>
        <w:fldChar w:fldCharType="separate"/>
      </w:r>
      <w:r>
        <w:rPr>
          <w:rFonts w:ascii="Helvetica" w:hAnsi="Helvetica"/>
          <w:noProof/>
          <w:sz w:val="18"/>
        </w:rPr>
        <w:t>2</w:t>
      </w:r>
      <w:r w:rsidRPr="00836A32">
        <w:rPr>
          <w:rFonts w:ascii="Helvetica" w:hAnsi="Helvetica"/>
          <w:noProof/>
          <w:sz w:val="18"/>
        </w:rPr>
        <w:fldChar w:fldCharType="end"/>
      </w:r>
      <w:r w:rsidRPr="00836A32">
        <w:rPr>
          <w:rFonts w:ascii="Helvetica" w:hAnsi="Helvetica"/>
          <w:sz w:val="18"/>
        </w:rPr>
        <w:t xml:space="preserve">. Observed temperature change through 2009 and projected temperature changes, thereafter under various emissions mitigation scenarios, all relative to the 1890-1910 mean. </w:t>
      </w:r>
      <w:r w:rsidRPr="00836A32">
        <w:rPr>
          <w:rFonts w:ascii="Helvetica" w:hAnsi="Helvetica"/>
          <w:i/>
          <w:sz w:val="16"/>
        </w:rPr>
        <w:t>Source: UNEP/WMO 2011 Integrated Assessment of Black Carbon and Tropospheric Ozone.</w:t>
      </w:r>
    </w:p>
    <w:p w14:paraId="1E036421" w14:textId="08770B26" w:rsidR="00B04651" w:rsidRPr="00B04651" w:rsidRDefault="00B04651" w:rsidP="009550E7">
      <w:pPr>
        <w:ind w:firstLine="720"/>
        <w:rPr>
          <w:b/>
        </w:rPr>
      </w:pPr>
      <w:r w:rsidRPr="006652AC">
        <w:rPr>
          <w:rFonts w:ascii="Helvetica" w:hAnsi="Helvetica"/>
        </w:rPr>
        <w:t xml:space="preserve">It is clear that while aggressive reductions in </w:t>
      </w:r>
      <w:r>
        <w:rPr>
          <w:rFonts w:ascii="Helvetica" w:hAnsi="Helvetica"/>
        </w:rPr>
        <w:t>CO</w:t>
      </w:r>
      <w:r w:rsidRPr="00836A32">
        <w:rPr>
          <w:rFonts w:ascii="Helvetica" w:hAnsi="Helvetica"/>
          <w:vertAlign w:val="subscript"/>
        </w:rPr>
        <w:t>2</w:t>
      </w:r>
      <w:r w:rsidRPr="006652AC">
        <w:rPr>
          <w:rFonts w:ascii="Helvetica" w:hAnsi="Helvetica"/>
        </w:rPr>
        <w:t xml:space="preserve"> emissions may have little effect on reducing radiative forcing before 2030, focusing on black carbon and methane has immediate benefits. Based on the modeling of the effects on </w:t>
      </w:r>
      <w:r>
        <w:rPr>
          <w:rFonts w:ascii="Helvetica" w:hAnsi="Helvetica"/>
        </w:rPr>
        <w:t>GMT</w:t>
      </w:r>
      <w:r w:rsidRPr="006652AC">
        <w:rPr>
          <w:rFonts w:ascii="Helvetica" w:hAnsi="Helvetica"/>
        </w:rPr>
        <w:t xml:space="preserve"> by UNEP/WMO</w:t>
      </w:r>
      <w:r>
        <w:rPr>
          <w:rFonts w:ascii="Helvetica" w:hAnsi="Helvetica"/>
        </w:rPr>
        <w:t>,</w:t>
      </w:r>
      <w:r w:rsidRPr="006652AC">
        <w:rPr>
          <w:rFonts w:ascii="Helvetica" w:hAnsi="Helvetica"/>
        </w:rPr>
        <w:t xml:space="preserve"> reducing black carbon and methane immediately can slow global warming sufficiently to postpone the +1.5°C and +2°C tipping points, while according to UNEP/WMO, carbon dioxide mitigation alone “does little to mitigate warming over the next 20-30 years.”</w:t>
      </w:r>
      <w:r w:rsidR="009550E7">
        <w:rPr>
          <w:rFonts w:ascii="Helvetica" w:hAnsi="Helvetica"/>
        </w:rPr>
        <w:t xml:space="preserve"> </w:t>
      </w:r>
      <w:r>
        <w:rPr>
          <w:rFonts w:ascii="Helvetica" w:hAnsi="Helvetica"/>
        </w:rPr>
        <w:t>Postponing these tipping points is essential to provide sufficient time to institute additional mitigation strategies.</w:t>
      </w:r>
    </w:p>
    <w:sectPr w:rsidR="00B04651" w:rsidRPr="00B04651" w:rsidSect="00B33D09">
      <w:footerReference w:type="even" r:id="rId20"/>
      <w:footerReference w:type="default" r:id="rId2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D2F97A" w14:textId="77777777" w:rsidR="00562C39" w:rsidRDefault="00562C39" w:rsidP="007B353F">
      <w:r>
        <w:separator/>
      </w:r>
    </w:p>
  </w:endnote>
  <w:endnote w:type="continuationSeparator" w:id="0">
    <w:p w14:paraId="2761351E" w14:textId="77777777" w:rsidR="00562C39" w:rsidRDefault="00562C39" w:rsidP="007B3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radeGothic">
    <w:altName w:val="Times New Roman"/>
    <w:panose1 w:val="00000000000000000000"/>
    <w:charset w:val="00"/>
    <w:family w:val="roman"/>
    <w:notTrueType/>
    <w:pitch w:val="default"/>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D5B8D7" w14:textId="77777777" w:rsidR="00562C39" w:rsidRDefault="00562C39" w:rsidP="009F2B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177AFB" w14:textId="77777777" w:rsidR="00562C39" w:rsidRDefault="00562C39" w:rsidP="00386E1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F52CEC" w14:textId="77777777" w:rsidR="00562C39" w:rsidRDefault="00562C39" w:rsidP="009F2B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550E7">
      <w:rPr>
        <w:rStyle w:val="PageNumber"/>
        <w:noProof/>
      </w:rPr>
      <w:t>1</w:t>
    </w:r>
    <w:r>
      <w:rPr>
        <w:rStyle w:val="PageNumber"/>
      </w:rPr>
      <w:fldChar w:fldCharType="end"/>
    </w:r>
  </w:p>
  <w:p w14:paraId="5D297833" w14:textId="77777777" w:rsidR="00562C39" w:rsidRDefault="00562C39" w:rsidP="00386E1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E9C6D0" w14:textId="77777777" w:rsidR="00562C39" w:rsidRDefault="00562C39" w:rsidP="007B353F">
      <w:r>
        <w:separator/>
      </w:r>
    </w:p>
  </w:footnote>
  <w:footnote w:type="continuationSeparator" w:id="0">
    <w:p w14:paraId="17D784FD" w14:textId="77777777" w:rsidR="00562C39" w:rsidRDefault="00562C39" w:rsidP="007B353F">
      <w:r>
        <w:continuationSeparator/>
      </w:r>
    </w:p>
  </w:footnote>
  <w:footnote w:id="1">
    <w:p w14:paraId="4C6B1800" w14:textId="77777777" w:rsidR="00562C39" w:rsidRPr="00562C39" w:rsidRDefault="00562C39" w:rsidP="00B04651">
      <w:pPr>
        <w:pStyle w:val="FootnoteText"/>
        <w:rPr>
          <w:sz w:val="20"/>
        </w:rPr>
      </w:pPr>
      <w:r w:rsidRPr="00562C39">
        <w:rPr>
          <w:rStyle w:val="FootnoteReference"/>
          <w:sz w:val="20"/>
        </w:rPr>
        <w:footnoteRef/>
      </w:r>
      <w:r w:rsidRPr="00562C39">
        <w:rPr>
          <w:sz w:val="20"/>
        </w:rPr>
        <w:t xml:space="preserve"> William B. Greeley, The Relation of Geography to Timber Supply, Economic Geography, 1925, vol. 1, p. 1-11.</w:t>
      </w:r>
    </w:p>
  </w:footnote>
  <w:footnote w:id="2">
    <w:p w14:paraId="43848D91" w14:textId="77777777" w:rsidR="00562C39" w:rsidRPr="00562C39" w:rsidRDefault="00562C39" w:rsidP="00B04651">
      <w:pPr>
        <w:pStyle w:val="FootnoteText"/>
        <w:rPr>
          <w:sz w:val="20"/>
        </w:rPr>
      </w:pPr>
      <w:r w:rsidRPr="00562C39">
        <w:rPr>
          <w:rStyle w:val="FootnoteReference"/>
          <w:sz w:val="20"/>
        </w:rPr>
        <w:footnoteRef/>
      </w:r>
      <w:r w:rsidRPr="00562C39">
        <w:rPr>
          <w:sz w:val="20"/>
        </w:rPr>
        <w:t xml:space="preserve"> http://www.worldwildlife.org/ecoregions/na0519</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E1AAE"/>
    <w:multiLevelType w:val="hybridMultilevel"/>
    <w:tmpl w:val="6CDEE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A376D4"/>
    <w:multiLevelType w:val="hybridMultilevel"/>
    <w:tmpl w:val="F5685A4A"/>
    <w:lvl w:ilvl="0" w:tplc="0409000F">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CE3950"/>
    <w:multiLevelType w:val="hybridMultilevel"/>
    <w:tmpl w:val="F33AC100"/>
    <w:lvl w:ilvl="0" w:tplc="525059E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926803"/>
    <w:multiLevelType w:val="hybridMultilevel"/>
    <w:tmpl w:val="C5B43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5FC"/>
    <w:rsid w:val="00095D0A"/>
    <w:rsid w:val="000C5CC8"/>
    <w:rsid w:val="00122B87"/>
    <w:rsid w:val="00224014"/>
    <w:rsid w:val="00253CA4"/>
    <w:rsid w:val="00291003"/>
    <w:rsid w:val="002F0F3D"/>
    <w:rsid w:val="00354ED1"/>
    <w:rsid w:val="00386E17"/>
    <w:rsid w:val="003C7719"/>
    <w:rsid w:val="00450060"/>
    <w:rsid w:val="00466E3B"/>
    <w:rsid w:val="005346D1"/>
    <w:rsid w:val="005416B1"/>
    <w:rsid w:val="00562C39"/>
    <w:rsid w:val="006817EE"/>
    <w:rsid w:val="006A56DF"/>
    <w:rsid w:val="006C7412"/>
    <w:rsid w:val="00767C3B"/>
    <w:rsid w:val="00783F9C"/>
    <w:rsid w:val="007B353F"/>
    <w:rsid w:val="007D20BA"/>
    <w:rsid w:val="007D72D7"/>
    <w:rsid w:val="00841EF9"/>
    <w:rsid w:val="00866C6D"/>
    <w:rsid w:val="008D7371"/>
    <w:rsid w:val="009550E7"/>
    <w:rsid w:val="00990AF3"/>
    <w:rsid w:val="009C1C4D"/>
    <w:rsid w:val="009D46F7"/>
    <w:rsid w:val="009F2B51"/>
    <w:rsid w:val="00A45447"/>
    <w:rsid w:val="00B04651"/>
    <w:rsid w:val="00B16582"/>
    <w:rsid w:val="00B22B49"/>
    <w:rsid w:val="00B33D09"/>
    <w:rsid w:val="00B42D09"/>
    <w:rsid w:val="00B818EA"/>
    <w:rsid w:val="00BD15FC"/>
    <w:rsid w:val="00BF0310"/>
    <w:rsid w:val="00C1669C"/>
    <w:rsid w:val="00C66888"/>
    <w:rsid w:val="00D077EB"/>
    <w:rsid w:val="00D32F32"/>
    <w:rsid w:val="00D33A4D"/>
    <w:rsid w:val="00DC2995"/>
    <w:rsid w:val="00DE0B4B"/>
    <w:rsid w:val="00E6026D"/>
    <w:rsid w:val="00E625B5"/>
    <w:rsid w:val="00E65D18"/>
    <w:rsid w:val="00E807C1"/>
    <w:rsid w:val="00F957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96A6B7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2B87"/>
    <w:pPr>
      <w:ind w:left="720"/>
      <w:contextualSpacing/>
    </w:pPr>
  </w:style>
  <w:style w:type="paragraph" w:styleId="BalloonText">
    <w:name w:val="Balloon Text"/>
    <w:basedOn w:val="Normal"/>
    <w:link w:val="BalloonTextChar"/>
    <w:uiPriority w:val="99"/>
    <w:semiHidden/>
    <w:unhideWhenUsed/>
    <w:rsid w:val="007B353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B353F"/>
    <w:rPr>
      <w:rFonts w:ascii="Lucida Grande" w:hAnsi="Lucida Grande" w:cs="Lucida Grande"/>
      <w:sz w:val="18"/>
      <w:szCs w:val="18"/>
    </w:rPr>
  </w:style>
  <w:style w:type="character" w:styleId="CommentReference">
    <w:name w:val="annotation reference"/>
    <w:basedOn w:val="DefaultParagraphFont"/>
    <w:uiPriority w:val="99"/>
    <w:semiHidden/>
    <w:unhideWhenUsed/>
    <w:rsid w:val="007B353F"/>
    <w:rPr>
      <w:sz w:val="18"/>
      <w:szCs w:val="18"/>
    </w:rPr>
  </w:style>
  <w:style w:type="paragraph" w:styleId="CommentText">
    <w:name w:val="annotation text"/>
    <w:basedOn w:val="Normal"/>
    <w:link w:val="CommentTextChar"/>
    <w:uiPriority w:val="99"/>
    <w:semiHidden/>
    <w:unhideWhenUsed/>
    <w:rsid w:val="007B353F"/>
  </w:style>
  <w:style w:type="character" w:customStyle="1" w:styleId="CommentTextChar">
    <w:name w:val="Comment Text Char"/>
    <w:basedOn w:val="DefaultParagraphFont"/>
    <w:link w:val="CommentText"/>
    <w:uiPriority w:val="99"/>
    <w:semiHidden/>
    <w:rsid w:val="007B353F"/>
  </w:style>
  <w:style w:type="paragraph" w:styleId="CommentSubject">
    <w:name w:val="annotation subject"/>
    <w:basedOn w:val="CommentText"/>
    <w:next w:val="CommentText"/>
    <w:link w:val="CommentSubjectChar"/>
    <w:uiPriority w:val="99"/>
    <w:semiHidden/>
    <w:unhideWhenUsed/>
    <w:rsid w:val="007B353F"/>
    <w:rPr>
      <w:b/>
      <w:bCs/>
      <w:sz w:val="20"/>
      <w:szCs w:val="20"/>
    </w:rPr>
  </w:style>
  <w:style w:type="character" w:customStyle="1" w:styleId="CommentSubjectChar">
    <w:name w:val="Comment Subject Char"/>
    <w:basedOn w:val="CommentTextChar"/>
    <w:link w:val="CommentSubject"/>
    <w:uiPriority w:val="99"/>
    <w:semiHidden/>
    <w:rsid w:val="007B353F"/>
    <w:rPr>
      <w:b/>
      <w:bCs/>
      <w:sz w:val="20"/>
      <w:szCs w:val="20"/>
    </w:rPr>
  </w:style>
  <w:style w:type="paragraph" w:styleId="FootnoteText">
    <w:name w:val="footnote text"/>
    <w:basedOn w:val="Normal"/>
    <w:link w:val="FootnoteTextChar"/>
    <w:uiPriority w:val="99"/>
    <w:unhideWhenUsed/>
    <w:rsid w:val="007B353F"/>
  </w:style>
  <w:style w:type="character" w:customStyle="1" w:styleId="FootnoteTextChar">
    <w:name w:val="Footnote Text Char"/>
    <w:basedOn w:val="DefaultParagraphFont"/>
    <w:link w:val="FootnoteText"/>
    <w:uiPriority w:val="99"/>
    <w:rsid w:val="007B353F"/>
  </w:style>
  <w:style w:type="character" w:styleId="FootnoteReference">
    <w:name w:val="footnote reference"/>
    <w:basedOn w:val="DefaultParagraphFont"/>
    <w:uiPriority w:val="99"/>
    <w:unhideWhenUsed/>
    <w:rsid w:val="007B353F"/>
    <w:rPr>
      <w:vertAlign w:val="superscript"/>
    </w:rPr>
  </w:style>
  <w:style w:type="character" w:styleId="Hyperlink">
    <w:name w:val="Hyperlink"/>
    <w:basedOn w:val="DefaultParagraphFont"/>
    <w:uiPriority w:val="99"/>
    <w:unhideWhenUsed/>
    <w:rsid w:val="00C66888"/>
    <w:rPr>
      <w:color w:val="0000FF" w:themeColor="hyperlink"/>
      <w:u w:val="single"/>
    </w:rPr>
  </w:style>
  <w:style w:type="paragraph" w:styleId="Footer">
    <w:name w:val="footer"/>
    <w:basedOn w:val="Normal"/>
    <w:link w:val="FooterChar"/>
    <w:uiPriority w:val="99"/>
    <w:unhideWhenUsed/>
    <w:rsid w:val="00386E17"/>
    <w:pPr>
      <w:tabs>
        <w:tab w:val="center" w:pos="4320"/>
        <w:tab w:val="right" w:pos="8640"/>
      </w:tabs>
    </w:pPr>
  </w:style>
  <w:style w:type="character" w:customStyle="1" w:styleId="FooterChar">
    <w:name w:val="Footer Char"/>
    <w:basedOn w:val="DefaultParagraphFont"/>
    <w:link w:val="Footer"/>
    <w:uiPriority w:val="99"/>
    <w:rsid w:val="00386E17"/>
  </w:style>
  <w:style w:type="character" w:styleId="PageNumber">
    <w:name w:val="page number"/>
    <w:basedOn w:val="DefaultParagraphFont"/>
    <w:uiPriority w:val="99"/>
    <w:semiHidden/>
    <w:unhideWhenUsed/>
    <w:rsid w:val="00386E17"/>
  </w:style>
  <w:style w:type="paragraph" w:customStyle="1" w:styleId="bodycopy">
    <w:name w:val="body copy"/>
    <w:basedOn w:val="Normal"/>
    <w:qFormat/>
    <w:rsid w:val="00B04651"/>
    <w:pPr>
      <w:spacing w:after="200" w:line="276" w:lineRule="auto"/>
    </w:pPr>
    <w:rPr>
      <w:rFonts w:ascii="Times New Roman" w:hAnsi="Times New Roman" w:cs="Times New Roman"/>
      <w:sz w:val="20"/>
    </w:rPr>
  </w:style>
  <w:style w:type="paragraph" w:styleId="Caption">
    <w:name w:val="caption"/>
    <w:basedOn w:val="Normal"/>
    <w:next w:val="Normal"/>
    <w:uiPriority w:val="35"/>
    <w:unhideWhenUsed/>
    <w:qFormat/>
    <w:rsid w:val="00B04651"/>
    <w:pPr>
      <w:spacing w:after="200" w:line="276" w:lineRule="auto"/>
    </w:pPr>
    <w:rPr>
      <w:rFonts w:ascii="Times New Roman" w:hAnsi="Times New Roman" w:cs="Times New Roman"/>
      <w:b/>
      <w:sz w:val="20"/>
    </w:rPr>
  </w:style>
  <w:style w:type="character" w:customStyle="1" w:styleId="A2">
    <w:name w:val="A2"/>
    <w:uiPriority w:val="99"/>
    <w:rsid w:val="00B04651"/>
    <w:rPr>
      <w:rFonts w:cs="TradeGothic"/>
      <w:b/>
      <w:bCs/>
      <w:color w:val="000000"/>
      <w:sz w:val="10"/>
      <w:szCs w:val="10"/>
    </w:rPr>
  </w:style>
  <w:style w:type="table" w:customStyle="1" w:styleId="ListTable1Light">
    <w:name w:val="List Table 1 Light"/>
    <w:basedOn w:val="TableNormal"/>
    <w:uiPriority w:val="46"/>
    <w:rsid w:val="00B04651"/>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2B87"/>
    <w:pPr>
      <w:ind w:left="720"/>
      <w:contextualSpacing/>
    </w:pPr>
  </w:style>
  <w:style w:type="paragraph" w:styleId="BalloonText">
    <w:name w:val="Balloon Text"/>
    <w:basedOn w:val="Normal"/>
    <w:link w:val="BalloonTextChar"/>
    <w:uiPriority w:val="99"/>
    <w:semiHidden/>
    <w:unhideWhenUsed/>
    <w:rsid w:val="007B353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B353F"/>
    <w:rPr>
      <w:rFonts w:ascii="Lucida Grande" w:hAnsi="Lucida Grande" w:cs="Lucida Grande"/>
      <w:sz w:val="18"/>
      <w:szCs w:val="18"/>
    </w:rPr>
  </w:style>
  <w:style w:type="character" w:styleId="CommentReference">
    <w:name w:val="annotation reference"/>
    <w:basedOn w:val="DefaultParagraphFont"/>
    <w:uiPriority w:val="99"/>
    <w:semiHidden/>
    <w:unhideWhenUsed/>
    <w:rsid w:val="007B353F"/>
    <w:rPr>
      <w:sz w:val="18"/>
      <w:szCs w:val="18"/>
    </w:rPr>
  </w:style>
  <w:style w:type="paragraph" w:styleId="CommentText">
    <w:name w:val="annotation text"/>
    <w:basedOn w:val="Normal"/>
    <w:link w:val="CommentTextChar"/>
    <w:uiPriority w:val="99"/>
    <w:semiHidden/>
    <w:unhideWhenUsed/>
    <w:rsid w:val="007B353F"/>
  </w:style>
  <w:style w:type="character" w:customStyle="1" w:styleId="CommentTextChar">
    <w:name w:val="Comment Text Char"/>
    <w:basedOn w:val="DefaultParagraphFont"/>
    <w:link w:val="CommentText"/>
    <w:uiPriority w:val="99"/>
    <w:semiHidden/>
    <w:rsid w:val="007B353F"/>
  </w:style>
  <w:style w:type="paragraph" w:styleId="CommentSubject">
    <w:name w:val="annotation subject"/>
    <w:basedOn w:val="CommentText"/>
    <w:next w:val="CommentText"/>
    <w:link w:val="CommentSubjectChar"/>
    <w:uiPriority w:val="99"/>
    <w:semiHidden/>
    <w:unhideWhenUsed/>
    <w:rsid w:val="007B353F"/>
    <w:rPr>
      <w:b/>
      <w:bCs/>
      <w:sz w:val="20"/>
      <w:szCs w:val="20"/>
    </w:rPr>
  </w:style>
  <w:style w:type="character" w:customStyle="1" w:styleId="CommentSubjectChar">
    <w:name w:val="Comment Subject Char"/>
    <w:basedOn w:val="CommentTextChar"/>
    <w:link w:val="CommentSubject"/>
    <w:uiPriority w:val="99"/>
    <w:semiHidden/>
    <w:rsid w:val="007B353F"/>
    <w:rPr>
      <w:b/>
      <w:bCs/>
      <w:sz w:val="20"/>
      <w:szCs w:val="20"/>
    </w:rPr>
  </w:style>
  <w:style w:type="paragraph" w:styleId="FootnoteText">
    <w:name w:val="footnote text"/>
    <w:basedOn w:val="Normal"/>
    <w:link w:val="FootnoteTextChar"/>
    <w:uiPriority w:val="99"/>
    <w:unhideWhenUsed/>
    <w:rsid w:val="007B353F"/>
  </w:style>
  <w:style w:type="character" w:customStyle="1" w:styleId="FootnoteTextChar">
    <w:name w:val="Footnote Text Char"/>
    <w:basedOn w:val="DefaultParagraphFont"/>
    <w:link w:val="FootnoteText"/>
    <w:uiPriority w:val="99"/>
    <w:rsid w:val="007B353F"/>
  </w:style>
  <w:style w:type="character" w:styleId="FootnoteReference">
    <w:name w:val="footnote reference"/>
    <w:basedOn w:val="DefaultParagraphFont"/>
    <w:uiPriority w:val="99"/>
    <w:unhideWhenUsed/>
    <w:rsid w:val="007B353F"/>
    <w:rPr>
      <w:vertAlign w:val="superscript"/>
    </w:rPr>
  </w:style>
  <w:style w:type="character" w:styleId="Hyperlink">
    <w:name w:val="Hyperlink"/>
    <w:basedOn w:val="DefaultParagraphFont"/>
    <w:uiPriority w:val="99"/>
    <w:unhideWhenUsed/>
    <w:rsid w:val="00C66888"/>
    <w:rPr>
      <w:color w:val="0000FF" w:themeColor="hyperlink"/>
      <w:u w:val="single"/>
    </w:rPr>
  </w:style>
  <w:style w:type="paragraph" w:styleId="Footer">
    <w:name w:val="footer"/>
    <w:basedOn w:val="Normal"/>
    <w:link w:val="FooterChar"/>
    <w:uiPriority w:val="99"/>
    <w:unhideWhenUsed/>
    <w:rsid w:val="00386E17"/>
    <w:pPr>
      <w:tabs>
        <w:tab w:val="center" w:pos="4320"/>
        <w:tab w:val="right" w:pos="8640"/>
      </w:tabs>
    </w:pPr>
  </w:style>
  <w:style w:type="character" w:customStyle="1" w:styleId="FooterChar">
    <w:name w:val="Footer Char"/>
    <w:basedOn w:val="DefaultParagraphFont"/>
    <w:link w:val="Footer"/>
    <w:uiPriority w:val="99"/>
    <w:rsid w:val="00386E17"/>
  </w:style>
  <w:style w:type="character" w:styleId="PageNumber">
    <w:name w:val="page number"/>
    <w:basedOn w:val="DefaultParagraphFont"/>
    <w:uiPriority w:val="99"/>
    <w:semiHidden/>
    <w:unhideWhenUsed/>
    <w:rsid w:val="00386E17"/>
  </w:style>
  <w:style w:type="paragraph" w:customStyle="1" w:styleId="bodycopy">
    <w:name w:val="body copy"/>
    <w:basedOn w:val="Normal"/>
    <w:qFormat/>
    <w:rsid w:val="00B04651"/>
    <w:pPr>
      <w:spacing w:after="200" w:line="276" w:lineRule="auto"/>
    </w:pPr>
    <w:rPr>
      <w:rFonts w:ascii="Times New Roman" w:hAnsi="Times New Roman" w:cs="Times New Roman"/>
      <w:sz w:val="20"/>
    </w:rPr>
  </w:style>
  <w:style w:type="paragraph" w:styleId="Caption">
    <w:name w:val="caption"/>
    <w:basedOn w:val="Normal"/>
    <w:next w:val="Normal"/>
    <w:uiPriority w:val="35"/>
    <w:unhideWhenUsed/>
    <w:qFormat/>
    <w:rsid w:val="00B04651"/>
    <w:pPr>
      <w:spacing w:after="200" w:line="276" w:lineRule="auto"/>
    </w:pPr>
    <w:rPr>
      <w:rFonts w:ascii="Times New Roman" w:hAnsi="Times New Roman" w:cs="Times New Roman"/>
      <w:b/>
      <w:sz w:val="20"/>
    </w:rPr>
  </w:style>
  <w:style w:type="character" w:customStyle="1" w:styleId="A2">
    <w:name w:val="A2"/>
    <w:uiPriority w:val="99"/>
    <w:rsid w:val="00B04651"/>
    <w:rPr>
      <w:rFonts w:cs="TradeGothic"/>
      <w:b/>
      <w:bCs/>
      <w:color w:val="000000"/>
      <w:sz w:val="10"/>
      <w:szCs w:val="10"/>
    </w:rPr>
  </w:style>
  <w:style w:type="table" w:customStyle="1" w:styleId="ListTable1Light">
    <w:name w:val="List Table 1 Light"/>
    <w:basedOn w:val="TableNormal"/>
    <w:uiPriority w:val="46"/>
    <w:rsid w:val="00B04651"/>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ieor.berkeley.edu/~oren/pubs/I.A.109.pdf" TargetMode="External"/><Relationship Id="rId20" Type="http://schemas.openxmlformats.org/officeDocument/2006/relationships/footer" Target="footer1.xml"/><Relationship Id="rId21" Type="http://schemas.openxmlformats.org/officeDocument/2006/relationships/footer" Target="footer2.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www.sequoiaparksfoundation.org/2013/heat-and-hadley-cells" TargetMode="External"/><Relationship Id="rId11" Type="http://schemas.openxmlformats.org/officeDocument/2006/relationships/hyperlink" Target="http://www.pnas.org/content/112/13/3931.full.pdf" TargetMode="External"/><Relationship Id="rId12" Type="http://schemas.openxmlformats.org/officeDocument/2006/relationships/hyperlink" Target="http://www.pnas.org/content/112/12/3630" TargetMode="External"/><Relationship Id="rId13" Type="http://schemas.openxmlformats.org/officeDocument/2006/relationships/hyperlink" Target="http://conservationmagazine.org/2015/06/climate-change-drives-away-californias-stunning-wildflowers" TargetMode="External"/><Relationship Id="rId14" Type="http://schemas.openxmlformats.org/officeDocument/2006/relationships/chart" Target="charts/chart1.xml"/><Relationship Id="rId15" Type="http://schemas.openxmlformats.org/officeDocument/2006/relationships/image" Target="media/image1.png"/><Relationship Id="rId16" Type="http://schemas.openxmlformats.org/officeDocument/2006/relationships/chart" Target="charts/chart2.xml"/><Relationship Id="rId17" Type="http://schemas.openxmlformats.org/officeDocument/2006/relationships/chart" Target="charts/chart3.xml"/><Relationship Id="rId18" Type="http://schemas.openxmlformats.org/officeDocument/2006/relationships/chart" Target="charts/chart4.xml"/><Relationship Id="rId19" Type="http://schemas.openxmlformats.org/officeDocument/2006/relationships/image" Target="media/image2.emf"/><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energy.ca.gov/drough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fjalle:Desktop:California%20footprint:Calif.%20footprint%20tables.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tobias.schultz\Documents\000_Server-ECS_ESServices\7_ProgramDevelopment\Publications\State%20of%20California%20RF%20Footprint\RF-Footprint-Summary-10301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tobias.schultz\Documents\000_Server-ECS_ESServices\7_ProgramDevelopment\Publications\State%20of%20California%20RF%20Footprint\RF-Footprint-Summary-103015.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scs-sbs-01\Scientific%20Certification%20Systems\ECS_ESServices\7_ProgramDevelopment\US%20TAG%20207\White%20Papers\New%20Delhi%20White%20paper\UNEP-changes-in-forcing-over-tim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lineChart>
        <c:grouping val="standard"/>
        <c:varyColors val="0"/>
        <c:ser>
          <c:idx val="0"/>
          <c:order val="0"/>
          <c:tx>
            <c:strRef>
              <c:f>Taulukko6!$CO$31</c:f>
              <c:strCache>
                <c:ptCount val="1"/>
                <c:pt idx="0">
                  <c:v>RF</c:v>
                </c:pt>
              </c:strCache>
            </c:strRef>
          </c:tx>
          <c:marker>
            <c:symbol val="none"/>
          </c:marker>
          <c:cat>
            <c:numRef>
              <c:f>Taulukko6!$CN$32:$CN$117</c:f>
              <c:numCache>
                <c:formatCode>General</c:formatCode>
                <c:ptCount val="86"/>
                <c:pt idx="0">
                  <c:v>1945.0</c:v>
                </c:pt>
                <c:pt idx="1">
                  <c:v>1946.0</c:v>
                </c:pt>
                <c:pt idx="2">
                  <c:v>1947.0</c:v>
                </c:pt>
                <c:pt idx="3">
                  <c:v>1948.0</c:v>
                </c:pt>
                <c:pt idx="4">
                  <c:v>1949.0</c:v>
                </c:pt>
                <c:pt idx="5">
                  <c:v>1950.0</c:v>
                </c:pt>
                <c:pt idx="6">
                  <c:v>1951.0</c:v>
                </c:pt>
                <c:pt idx="7">
                  <c:v>1952.0</c:v>
                </c:pt>
                <c:pt idx="8">
                  <c:v>1953.0</c:v>
                </c:pt>
                <c:pt idx="9">
                  <c:v>1954.0</c:v>
                </c:pt>
                <c:pt idx="10">
                  <c:v>1955.0</c:v>
                </c:pt>
                <c:pt idx="11">
                  <c:v>1956.0</c:v>
                </c:pt>
                <c:pt idx="12">
                  <c:v>1957.0</c:v>
                </c:pt>
                <c:pt idx="13">
                  <c:v>1958.0</c:v>
                </c:pt>
                <c:pt idx="14">
                  <c:v>1959.0</c:v>
                </c:pt>
                <c:pt idx="15">
                  <c:v>1960.0</c:v>
                </c:pt>
                <c:pt idx="16">
                  <c:v>1961.0</c:v>
                </c:pt>
                <c:pt idx="17">
                  <c:v>1962.0</c:v>
                </c:pt>
                <c:pt idx="18">
                  <c:v>1963.0</c:v>
                </c:pt>
                <c:pt idx="19">
                  <c:v>1964.0</c:v>
                </c:pt>
                <c:pt idx="20">
                  <c:v>1965.0</c:v>
                </c:pt>
                <c:pt idx="21">
                  <c:v>1966.0</c:v>
                </c:pt>
                <c:pt idx="22">
                  <c:v>1967.0</c:v>
                </c:pt>
                <c:pt idx="23">
                  <c:v>1968.0</c:v>
                </c:pt>
                <c:pt idx="24">
                  <c:v>1969.0</c:v>
                </c:pt>
                <c:pt idx="25">
                  <c:v>1970.0</c:v>
                </c:pt>
                <c:pt idx="26">
                  <c:v>1971.0</c:v>
                </c:pt>
                <c:pt idx="27">
                  <c:v>1972.0</c:v>
                </c:pt>
                <c:pt idx="28">
                  <c:v>1973.0</c:v>
                </c:pt>
                <c:pt idx="29">
                  <c:v>1974.0</c:v>
                </c:pt>
                <c:pt idx="30">
                  <c:v>1975.0</c:v>
                </c:pt>
                <c:pt idx="31">
                  <c:v>1976.0</c:v>
                </c:pt>
                <c:pt idx="32">
                  <c:v>1977.0</c:v>
                </c:pt>
                <c:pt idx="33">
                  <c:v>1978.0</c:v>
                </c:pt>
                <c:pt idx="34">
                  <c:v>1979.0</c:v>
                </c:pt>
                <c:pt idx="35">
                  <c:v>1980.0</c:v>
                </c:pt>
                <c:pt idx="36">
                  <c:v>1981.0</c:v>
                </c:pt>
                <c:pt idx="37">
                  <c:v>1982.0</c:v>
                </c:pt>
                <c:pt idx="38">
                  <c:v>1983.0</c:v>
                </c:pt>
                <c:pt idx="39">
                  <c:v>1984.0</c:v>
                </c:pt>
                <c:pt idx="40">
                  <c:v>1985.0</c:v>
                </c:pt>
                <c:pt idx="41">
                  <c:v>1986.0</c:v>
                </c:pt>
                <c:pt idx="42">
                  <c:v>1987.0</c:v>
                </c:pt>
                <c:pt idx="43">
                  <c:v>1988.0</c:v>
                </c:pt>
                <c:pt idx="44">
                  <c:v>1989.0</c:v>
                </c:pt>
                <c:pt idx="45">
                  <c:v>1990.0</c:v>
                </c:pt>
                <c:pt idx="46">
                  <c:v>1991.0</c:v>
                </c:pt>
                <c:pt idx="47">
                  <c:v>1992.0</c:v>
                </c:pt>
                <c:pt idx="48">
                  <c:v>1993.0</c:v>
                </c:pt>
                <c:pt idx="49">
                  <c:v>1994.0</c:v>
                </c:pt>
                <c:pt idx="50">
                  <c:v>1995.0</c:v>
                </c:pt>
                <c:pt idx="51">
                  <c:v>1996.0</c:v>
                </c:pt>
                <c:pt idx="52">
                  <c:v>1997.0</c:v>
                </c:pt>
                <c:pt idx="53">
                  <c:v>1998.0</c:v>
                </c:pt>
                <c:pt idx="54">
                  <c:v>1999.0</c:v>
                </c:pt>
                <c:pt idx="55">
                  <c:v>2000.0</c:v>
                </c:pt>
                <c:pt idx="56">
                  <c:v>2001.0</c:v>
                </c:pt>
                <c:pt idx="57">
                  <c:v>2002.0</c:v>
                </c:pt>
                <c:pt idx="58">
                  <c:v>2003.0</c:v>
                </c:pt>
                <c:pt idx="59">
                  <c:v>2004.0</c:v>
                </c:pt>
                <c:pt idx="60">
                  <c:v>2005.0</c:v>
                </c:pt>
                <c:pt idx="61">
                  <c:v>2006.0</c:v>
                </c:pt>
                <c:pt idx="62">
                  <c:v>2007.0</c:v>
                </c:pt>
                <c:pt idx="63">
                  <c:v>2008.0</c:v>
                </c:pt>
                <c:pt idx="64">
                  <c:v>2009.0</c:v>
                </c:pt>
                <c:pt idx="65">
                  <c:v>2010.0</c:v>
                </c:pt>
                <c:pt idx="66">
                  <c:v>2011.0</c:v>
                </c:pt>
                <c:pt idx="67">
                  <c:v>2012.0</c:v>
                </c:pt>
                <c:pt idx="68">
                  <c:v>2013.0</c:v>
                </c:pt>
                <c:pt idx="69">
                  <c:v>2014.0</c:v>
                </c:pt>
                <c:pt idx="70">
                  <c:v>2015.0</c:v>
                </c:pt>
                <c:pt idx="71">
                  <c:v>2016.0</c:v>
                </c:pt>
                <c:pt idx="72">
                  <c:v>2017.0</c:v>
                </c:pt>
                <c:pt idx="73">
                  <c:v>2018.0</c:v>
                </c:pt>
                <c:pt idx="74">
                  <c:v>2019.0</c:v>
                </c:pt>
                <c:pt idx="75">
                  <c:v>2020.0</c:v>
                </c:pt>
                <c:pt idx="76">
                  <c:v>2021.0</c:v>
                </c:pt>
                <c:pt idx="77">
                  <c:v>2022.0</c:v>
                </c:pt>
                <c:pt idx="78">
                  <c:v>2023.0</c:v>
                </c:pt>
                <c:pt idx="79">
                  <c:v>2024.0</c:v>
                </c:pt>
                <c:pt idx="80">
                  <c:v>2025.0</c:v>
                </c:pt>
                <c:pt idx="81">
                  <c:v>2026.0</c:v>
                </c:pt>
                <c:pt idx="82">
                  <c:v>2027.0</c:v>
                </c:pt>
                <c:pt idx="83">
                  <c:v>2028.0</c:v>
                </c:pt>
                <c:pt idx="84">
                  <c:v>2029.0</c:v>
                </c:pt>
                <c:pt idx="85">
                  <c:v>2030.0</c:v>
                </c:pt>
              </c:numCache>
            </c:numRef>
          </c:cat>
          <c:val>
            <c:numRef>
              <c:f>Taulukko6!$CO$32:$CO$117</c:f>
              <c:numCache>
                <c:formatCode>#,##0</c:formatCode>
                <c:ptCount val="86"/>
                <c:pt idx="0">
                  <c:v>133.203749112907</c:v>
                </c:pt>
                <c:pt idx="1">
                  <c:v>263.6061684748406</c:v>
                </c:pt>
                <c:pt idx="2">
                  <c:v>392.4292214412976</c:v>
                </c:pt>
                <c:pt idx="3">
                  <c:v>520.6376840325379</c:v>
                </c:pt>
                <c:pt idx="4">
                  <c:v>648.9925542050023</c:v>
                </c:pt>
                <c:pt idx="5">
                  <c:v>778.0933857114575</c:v>
                </c:pt>
                <c:pt idx="6">
                  <c:v>896.7585268346634</c:v>
                </c:pt>
                <c:pt idx="7">
                  <c:v>1031.08100413314</c:v>
                </c:pt>
                <c:pt idx="8">
                  <c:v>1166.780731893218</c:v>
                </c:pt>
                <c:pt idx="9">
                  <c:v>1304.188209392318</c:v>
                </c:pt>
                <c:pt idx="10">
                  <c:v>1443.562139844063</c:v>
                </c:pt>
                <c:pt idx="11">
                  <c:v>1585.1043883528</c:v>
                </c:pt>
                <c:pt idx="12">
                  <c:v>1728.971836783063</c:v>
                </c:pt>
                <c:pt idx="13">
                  <c:v>1875.285778943101</c:v>
                </c:pt>
                <c:pt idx="14">
                  <c:v>2024.139366087419</c:v>
                </c:pt>
                <c:pt idx="15">
                  <c:v>2175.603507005132</c:v>
                </c:pt>
                <c:pt idx="16">
                  <c:v>2329.731543145012</c:v>
                </c:pt>
                <c:pt idx="17">
                  <c:v>2486.562952789282</c:v>
                </c:pt>
                <c:pt idx="18">
                  <c:v>2646.12628562394</c:v>
                </c:pt>
                <c:pt idx="19">
                  <c:v>2808.441487307756</c:v>
                </c:pt>
                <c:pt idx="20">
                  <c:v>2973.521740551226</c:v>
                </c:pt>
                <c:pt idx="21">
                  <c:v>3141.374922986987</c:v>
                </c:pt>
                <c:pt idx="22">
                  <c:v>3312.004761320783</c:v>
                </c:pt>
                <c:pt idx="23">
                  <c:v>3485.41174477126</c:v>
                </c:pt>
                <c:pt idx="24">
                  <c:v>3661.593847742348</c:v>
                </c:pt>
                <c:pt idx="25">
                  <c:v>3840.547101316605</c:v>
                </c:pt>
                <c:pt idx="26">
                  <c:v>4022.266044948959</c:v>
                </c:pt>
                <c:pt idx="27">
                  <c:v>4206.744083233811</c:v>
                </c:pt>
                <c:pt idx="28">
                  <c:v>4393.973767460508</c:v>
                </c:pt>
                <c:pt idx="29">
                  <c:v>4583.947017584055</c:v>
                </c:pt>
                <c:pt idx="30">
                  <c:v>4776.655296996987</c:v>
                </c:pt>
                <c:pt idx="31">
                  <c:v>4972.089749919661</c:v>
                </c:pt>
                <c:pt idx="32">
                  <c:v>5170.241309190013</c:v>
                </c:pt>
                <c:pt idx="33">
                  <c:v>5371.100780619704</c:v>
                </c:pt>
                <c:pt idx="34">
                  <c:v>5574.658908804232</c:v>
                </c:pt>
                <c:pt idx="35">
                  <c:v>5780.906428260585</c:v>
                </c:pt>
                <c:pt idx="36">
                  <c:v>5989.834102961991</c:v>
                </c:pt>
                <c:pt idx="37">
                  <c:v>6201.432756702299</c:v>
                </c:pt>
                <c:pt idx="38">
                  <c:v>6415.693296217448</c:v>
                </c:pt>
                <c:pt idx="39">
                  <c:v>6632.606728591074</c:v>
                </c:pt>
                <c:pt idx="40">
                  <c:v>6852.16417415423</c:v>
                </c:pt>
                <c:pt idx="41">
                  <c:v>7074.356875837374</c:v>
                </c:pt>
                <c:pt idx="42">
                  <c:v>7299.17620573382</c:v>
                </c:pt>
                <c:pt idx="43">
                  <c:v>7526.61366947541</c:v>
                </c:pt>
                <c:pt idx="44">
                  <c:v>7756.660908896454</c:v>
                </c:pt>
                <c:pt idx="45">
                  <c:v>8006.91741785159</c:v>
                </c:pt>
                <c:pt idx="46">
                  <c:v>8231.91212398648</c:v>
                </c:pt>
                <c:pt idx="47">
                  <c:v>8447.622224692415</c:v>
                </c:pt>
                <c:pt idx="48">
                  <c:v>8657.910739392946</c:v>
                </c:pt>
                <c:pt idx="49">
                  <c:v>8880.883253679231</c:v>
                </c:pt>
                <c:pt idx="50">
                  <c:v>9093.422476977537</c:v>
                </c:pt>
                <c:pt idx="51">
                  <c:v>9302.50455211459</c:v>
                </c:pt>
                <c:pt idx="52">
                  <c:v>9517.782823397661</c:v>
                </c:pt>
                <c:pt idx="53">
                  <c:v>9743.6011577825</c:v>
                </c:pt>
                <c:pt idx="54">
                  <c:v>9974.025375762349</c:v>
                </c:pt>
                <c:pt idx="55">
                  <c:v>10198.38654603265</c:v>
                </c:pt>
                <c:pt idx="56">
                  <c:v>10435.01862127763</c:v>
                </c:pt>
                <c:pt idx="57">
                  <c:v>10665.28078701981</c:v>
                </c:pt>
                <c:pt idx="58">
                  <c:v>10894.53494819537</c:v>
                </c:pt>
                <c:pt idx="59">
                  <c:v>11131.25097861814</c:v>
                </c:pt>
                <c:pt idx="60">
                  <c:v>11356.69274309065</c:v>
                </c:pt>
                <c:pt idx="61">
                  <c:v>11576.02810852427</c:v>
                </c:pt>
                <c:pt idx="62">
                  <c:v>11798.70397955981</c:v>
                </c:pt>
                <c:pt idx="63">
                  <c:v>12015.45653411725</c:v>
                </c:pt>
                <c:pt idx="64">
                  <c:v>12202.143579634</c:v>
                </c:pt>
                <c:pt idx="65">
                  <c:v>12382.27792250592</c:v>
                </c:pt>
                <c:pt idx="66">
                  <c:v>12559.60387491033</c:v>
                </c:pt>
                <c:pt idx="67">
                  <c:v>12742.51094834927</c:v>
                </c:pt>
                <c:pt idx="68">
                  <c:v>12922.9703077937</c:v>
                </c:pt>
                <c:pt idx="69">
                  <c:v>13103.37699723911</c:v>
                </c:pt>
                <c:pt idx="70">
                  <c:v>13283.5813711669</c:v>
                </c:pt>
                <c:pt idx="71">
                  <c:v>13463.4681871216</c:v>
                </c:pt>
                <c:pt idx="72">
                  <c:v>13642.94938433029</c:v>
                </c:pt>
                <c:pt idx="73">
                  <c:v>13821.95836188498</c:v>
                </c:pt>
                <c:pt idx="74">
                  <c:v>14000.44544552677</c:v>
                </c:pt>
                <c:pt idx="75">
                  <c:v>14178.37429654186</c:v>
                </c:pt>
                <c:pt idx="76">
                  <c:v>14355.71906738514</c:v>
                </c:pt>
                <c:pt idx="77">
                  <c:v>14532.46214915666</c:v>
                </c:pt>
                <c:pt idx="78">
                  <c:v>14708.59238816703</c:v>
                </c:pt>
                <c:pt idx="79">
                  <c:v>14799.43402274175</c:v>
                </c:pt>
                <c:pt idx="80">
                  <c:v>14907.20865835118</c:v>
                </c:pt>
                <c:pt idx="81">
                  <c:v>15028.27774246492</c:v>
                </c:pt>
                <c:pt idx="82">
                  <c:v>15159.75960830171</c:v>
                </c:pt>
                <c:pt idx="83">
                  <c:v>15299.37248772494</c:v>
                </c:pt>
                <c:pt idx="84">
                  <c:v>15445.31007326239</c:v>
                </c:pt>
                <c:pt idx="85">
                  <c:v>15596.14288095444</c:v>
                </c:pt>
              </c:numCache>
            </c:numRef>
          </c:val>
          <c:smooth val="0"/>
        </c:ser>
        <c:dLbls>
          <c:showLegendKey val="0"/>
          <c:showVal val="0"/>
          <c:showCatName val="0"/>
          <c:showSerName val="0"/>
          <c:showPercent val="0"/>
          <c:showBubbleSize val="0"/>
        </c:dLbls>
        <c:marker val="1"/>
        <c:smooth val="0"/>
        <c:axId val="1994800904"/>
        <c:axId val="-1968902456"/>
      </c:lineChart>
      <c:catAx>
        <c:axId val="1994800904"/>
        <c:scaling>
          <c:orientation val="minMax"/>
        </c:scaling>
        <c:delete val="0"/>
        <c:axPos val="b"/>
        <c:numFmt formatCode="General" sourceLinked="1"/>
        <c:majorTickMark val="out"/>
        <c:minorTickMark val="none"/>
        <c:tickLblPos val="nextTo"/>
        <c:crossAx val="-1968902456"/>
        <c:crosses val="autoZero"/>
        <c:auto val="1"/>
        <c:lblAlgn val="ctr"/>
        <c:lblOffset val="100"/>
        <c:noMultiLvlLbl val="0"/>
      </c:catAx>
      <c:valAx>
        <c:axId val="-1968902456"/>
        <c:scaling>
          <c:orientation val="minMax"/>
        </c:scaling>
        <c:delete val="0"/>
        <c:axPos val="l"/>
        <c:majorGridlines/>
        <c:title>
          <c:tx>
            <c:rich>
              <a:bodyPr/>
              <a:lstStyle/>
              <a:p>
                <a:pPr>
                  <a:defRPr/>
                </a:pPr>
                <a:r>
                  <a:rPr lang="en-US"/>
                  <a:t>ACcumulated Atmospheric CO2 from California (millions of tons CO2)</a:t>
                </a:r>
              </a:p>
            </c:rich>
          </c:tx>
          <c:layout/>
          <c:overlay val="0"/>
        </c:title>
        <c:numFmt formatCode="#,##0" sourceLinked="1"/>
        <c:majorTickMark val="out"/>
        <c:minorTickMark val="none"/>
        <c:tickLblPos val="nextTo"/>
        <c:crossAx val="1994800904"/>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California RCP since 2000</a:t>
            </a:r>
          </a:p>
        </c:rich>
      </c:tx>
      <c:layout/>
      <c:overlay val="0"/>
      <c:spPr>
        <a:noFill/>
        <a:ln>
          <a:noFill/>
        </a:ln>
        <a:effectLst/>
      </c:spPr>
    </c:title>
    <c:autoTitleDeleted val="0"/>
    <c:plotArea>
      <c:layout/>
      <c:lineChart>
        <c:grouping val="standard"/>
        <c:varyColors val="0"/>
        <c:ser>
          <c:idx val="3"/>
          <c:order val="0"/>
          <c:tx>
            <c:strRef>
              <c:f>'[RF-Footprint-Summary-103015.xlsx]RF Summary'!$C$9</c:f>
              <c:strCache>
                <c:ptCount val="1"/>
                <c:pt idx="0">
                  <c:v>TOTAL, mW / m2</c:v>
                </c:pt>
              </c:strCache>
            </c:strRef>
          </c:tx>
          <c:spPr>
            <a:ln w="28575" cap="rnd">
              <a:solidFill>
                <a:schemeClr val="accent4"/>
              </a:solidFill>
              <a:round/>
            </a:ln>
            <a:effectLst/>
          </c:spPr>
          <c:marker>
            <c:symbol val="none"/>
          </c:marker>
          <c:cat>
            <c:numRef>
              <c:f>'[RF-Footprint-Summary-103015.xlsx]RF Summary'!$D$5:$Q$5</c:f>
              <c:numCache>
                <c:formatCode>General</c:formatCode>
                <c:ptCount val="14"/>
                <c:pt idx="0">
                  <c:v>2000.0</c:v>
                </c:pt>
                <c:pt idx="1">
                  <c:v>2001.0</c:v>
                </c:pt>
                <c:pt idx="2">
                  <c:v>2002.0</c:v>
                </c:pt>
                <c:pt idx="3">
                  <c:v>2003.0</c:v>
                </c:pt>
                <c:pt idx="4">
                  <c:v>2004.0</c:v>
                </c:pt>
                <c:pt idx="5">
                  <c:v>2005.0</c:v>
                </c:pt>
                <c:pt idx="6">
                  <c:v>2006.0</c:v>
                </c:pt>
                <c:pt idx="7">
                  <c:v>2007.0</c:v>
                </c:pt>
                <c:pt idx="8">
                  <c:v>2008.0</c:v>
                </c:pt>
                <c:pt idx="9">
                  <c:v>2009.0</c:v>
                </c:pt>
                <c:pt idx="10">
                  <c:v>2010.0</c:v>
                </c:pt>
                <c:pt idx="11">
                  <c:v>2011.0</c:v>
                </c:pt>
                <c:pt idx="12">
                  <c:v>2012.0</c:v>
                </c:pt>
                <c:pt idx="13">
                  <c:v>2013.0</c:v>
                </c:pt>
              </c:numCache>
            </c:numRef>
          </c:cat>
          <c:val>
            <c:numRef>
              <c:f>'[RF-Footprint-Summary-103015.xlsx]RF Summary'!$D$9:$Q$9</c:f>
              <c:numCache>
                <c:formatCode>0.0</c:formatCode>
                <c:ptCount val="14"/>
                <c:pt idx="0">
                  <c:v>34.47712431292662</c:v>
                </c:pt>
                <c:pt idx="1">
                  <c:v>34.92007088766145</c:v>
                </c:pt>
                <c:pt idx="2">
                  <c:v>35.35969170711849</c:v>
                </c:pt>
                <c:pt idx="3">
                  <c:v>35.79215728151704</c:v>
                </c:pt>
                <c:pt idx="4">
                  <c:v>36.22476127112731</c:v>
                </c:pt>
                <c:pt idx="5">
                  <c:v>36.64283165748753</c:v>
                </c:pt>
                <c:pt idx="6">
                  <c:v>37.09729007680921</c:v>
                </c:pt>
                <c:pt idx="7">
                  <c:v>37.56907541894388</c:v>
                </c:pt>
                <c:pt idx="8">
                  <c:v>38.02843270988558</c:v>
                </c:pt>
                <c:pt idx="9">
                  <c:v>38.42925540491538</c:v>
                </c:pt>
                <c:pt idx="10">
                  <c:v>38.80583320032678</c:v>
                </c:pt>
                <c:pt idx="11">
                  <c:v>39.11917840182883</c:v>
                </c:pt>
                <c:pt idx="12">
                  <c:v>39.43949588808101</c:v>
                </c:pt>
                <c:pt idx="13">
                  <c:v>39.81368037644736</c:v>
                </c:pt>
              </c:numCache>
            </c:numRef>
          </c:val>
          <c:smooth val="0"/>
        </c:ser>
        <c:dLbls>
          <c:showLegendKey val="0"/>
          <c:showVal val="0"/>
          <c:showCatName val="0"/>
          <c:showSerName val="0"/>
          <c:showPercent val="0"/>
          <c:showBubbleSize val="0"/>
        </c:dLbls>
        <c:marker val="1"/>
        <c:smooth val="0"/>
        <c:axId val="1995365560"/>
        <c:axId val="-2134979144"/>
      </c:lineChart>
      <c:catAx>
        <c:axId val="1995365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34979144"/>
        <c:crosses val="autoZero"/>
        <c:auto val="1"/>
        <c:lblAlgn val="ctr"/>
        <c:lblOffset val="100"/>
        <c:noMultiLvlLbl val="0"/>
      </c:catAx>
      <c:valAx>
        <c:axId val="-2134979144"/>
        <c:scaling>
          <c:orientation val="minMax"/>
          <c:min val="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mW per m2</a:t>
                </a:r>
              </a:p>
            </c:rich>
          </c:tx>
          <c:layout/>
          <c:overlay val="0"/>
          <c:spPr>
            <a:noFill/>
            <a:ln>
              <a:noFill/>
            </a:ln>
            <a:effectLst/>
          </c:sp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953655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California RCP since 2000</a:t>
            </a:r>
          </a:p>
        </c:rich>
      </c:tx>
      <c:layout/>
      <c:overlay val="0"/>
      <c:spPr>
        <a:noFill/>
        <a:ln>
          <a:noFill/>
        </a:ln>
        <a:effectLst/>
      </c:spPr>
    </c:title>
    <c:autoTitleDeleted val="0"/>
    <c:plotArea>
      <c:layout/>
      <c:lineChart>
        <c:grouping val="standard"/>
        <c:varyColors val="0"/>
        <c:ser>
          <c:idx val="2"/>
          <c:order val="0"/>
          <c:spPr>
            <a:ln w="28575" cap="rnd">
              <a:solidFill>
                <a:schemeClr val="accent3"/>
              </a:solidFill>
              <a:round/>
            </a:ln>
            <a:effectLst/>
          </c:spPr>
          <c:marker>
            <c:symbol val="none"/>
          </c:marker>
          <c:cat>
            <c:numRef>
              <c:f>'[RF-Footprint-Summary-103015.xlsx]RF Summary'!$D$5:$Q$5</c:f>
              <c:numCache>
                <c:formatCode>General</c:formatCode>
                <c:ptCount val="14"/>
                <c:pt idx="0">
                  <c:v>2000.0</c:v>
                </c:pt>
                <c:pt idx="1">
                  <c:v>2001.0</c:v>
                </c:pt>
                <c:pt idx="2">
                  <c:v>2002.0</c:v>
                </c:pt>
                <c:pt idx="3">
                  <c:v>2003.0</c:v>
                </c:pt>
                <c:pt idx="4">
                  <c:v>2004.0</c:v>
                </c:pt>
                <c:pt idx="5">
                  <c:v>2005.0</c:v>
                </c:pt>
                <c:pt idx="6">
                  <c:v>2006.0</c:v>
                </c:pt>
                <c:pt idx="7">
                  <c:v>2007.0</c:v>
                </c:pt>
                <c:pt idx="8">
                  <c:v>2008.0</c:v>
                </c:pt>
                <c:pt idx="9">
                  <c:v>2009.0</c:v>
                </c:pt>
                <c:pt idx="10">
                  <c:v>2010.0</c:v>
                </c:pt>
                <c:pt idx="11">
                  <c:v>2011.0</c:v>
                </c:pt>
                <c:pt idx="12">
                  <c:v>2012.0</c:v>
                </c:pt>
                <c:pt idx="13">
                  <c:v>2013.0</c:v>
                </c:pt>
              </c:numCache>
            </c:numRef>
          </c:cat>
          <c:val>
            <c:numRef>
              <c:f>'[RF-Footprint-Summary-103015.xlsx]RF Summary'!$D$8:$Q$8</c:f>
              <c:numCache>
                <c:formatCode>0.0</c:formatCode>
                <c:ptCount val="14"/>
                <c:pt idx="0">
                  <c:v>19.45661642941683</c:v>
                </c:pt>
                <c:pt idx="1">
                  <c:v>19.70658627971865</c:v>
                </c:pt>
                <c:pt idx="2">
                  <c:v>19.95467929295631</c:v>
                </c:pt>
                <c:pt idx="3">
                  <c:v>20.19873435751526</c:v>
                </c:pt>
                <c:pt idx="4">
                  <c:v>20.44286753449623</c:v>
                </c:pt>
                <c:pt idx="5">
                  <c:v>20.67879890377403</c:v>
                </c:pt>
                <c:pt idx="6">
                  <c:v>20.93526528036637</c:v>
                </c:pt>
                <c:pt idx="7">
                  <c:v>21.20150983010372</c:v>
                </c:pt>
                <c:pt idx="8">
                  <c:v>21.46074080693311</c:v>
                </c:pt>
                <c:pt idx="9">
                  <c:v>21.6869387160922</c:v>
                </c:pt>
                <c:pt idx="10">
                  <c:v>21.8994544019903</c:v>
                </c:pt>
                <c:pt idx="11">
                  <c:v>22.07628577981311</c:v>
                </c:pt>
                <c:pt idx="12">
                  <c:v>22.2570518555762</c:v>
                </c:pt>
                <c:pt idx="13">
                  <c:v>22.468216916731</c:v>
                </c:pt>
              </c:numCache>
            </c:numRef>
          </c:val>
          <c:smooth val="0"/>
        </c:ser>
        <c:dLbls>
          <c:showLegendKey val="0"/>
          <c:showVal val="0"/>
          <c:showCatName val="0"/>
          <c:showSerName val="0"/>
          <c:showPercent val="0"/>
          <c:showBubbleSize val="0"/>
        </c:dLbls>
        <c:marker val="1"/>
        <c:smooth val="0"/>
        <c:axId val="2050392408"/>
        <c:axId val="2047683304"/>
      </c:lineChart>
      <c:catAx>
        <c:axId val="2050392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47683304"/>
        <c:crosses val="autoZero"/>
        <c:auto val="1"/>
        <c:lblAlgn val="ctr"/>
        <c:lblOffset val="100"/>
        <c:noMultiLvlLbl val="0"/>
      </c:catAx>
      <c:valAx>
        <c:axId val="2047683304"/>
        <c:scaling>
          <c:orientation val="minMax"/>
          <c:min val="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billion tons CO2e</a:t>
                </a:r>
              </a:p>
            </c:rich>
          </c:tx>
          <c:layout/>
          <c:overlay val="0"/>
          <c:spPr>
            <a:noFill/>
            <a:ln>
              <a:noFill/>
            </a:ln>
            <a:effectLst/>
          </c:sp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503924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Projections!$J$8</c:f>
              <c:strCache>
                <c:ptCount val="1"/>
                <c:pt idx="0">
                  <c:v>Business-as-Usual</c:v>
                </c:pt>
              </c:strCache>
            </c:strRef>
          </c:tx>
          <c:spPr>
            <a:ln w="28575" cap="rnd">
              <a:solidFill>
                <a:schemeClr val="accent1"/>
              </a:solidFill>
              <a:round/>
            </a:ln>
            <a:effectLst/>
          </c:spPr>
          <c:marker>
            <c:symbol val="none"/>
          </c:marker>
          <c:cat>
            <c:numRef>
              <c:f>Projections!$K$7:$N$7</c:f>
              <c:numCache>
                <c:formatCode>General</c:formatCode>
                <c:ptCount val="4"/>
                <c:pt idx="0">
                  <c:v>2015.0</c:v>
                </c:pt>
                <c:pt idx="1">
                  <c:v>2020.0</c:v>
                </c:pt>
                <c:pt idx="2">
                  <c:v>2025.0</c:v>
                </c:pt>
                <c:pt idx="3">
                  <c:v>2030.0</c:v>
                </c:pt>
              </c:numCache>
            </c:numRef>
          </c:cat>
          <c:val>
            <c:numRef>
              <c:f>Projections!$K$8:$N$8</c:f>
              <c:numCache>
                <c:formatCode>0.0</c:formatCode>
                <c:ptCount val="4"/>
                <c:pt idx="0">
                  <c:v>2.35</c:v>
                </c:pt>
                <c:pt idx="1">
                  <c:v>2.743000000000001</c:v>
                </c:pt>
                <c:pt idx="2">
                  <c:v>3.136</c:v>
                </c:pt>
                <c:pt idx="3">
                  <c:v>3.529</c:v>
                </c:pt>
              </c:numCache>
            </c:numRef>
          </c:val>
          <c:smooth val="0"/>
        </c:ser>
        <c:ser>
          <c:idx val="1"/>
          <c:order val="1"/>
          <c:tx>
            <c:strRef>
              <c:f>Projections!$J$9</c:f>
              <c:strCache>
                <c:ptCount val="1"/>
                <c:pt idx="0">
                  <c:v>CO2 projects</c:v>
                </c:pt>
              </c:strCache>
            </c:strRef>
          </c:tx>
          <c:spPr>
            <a:ln w="28575" cap="rnd">
              <a:solidFill>
                <a:schemeClr val="accent2"/>
              </a:solidFill>
              <a:round/>
            </a:ln>
            <a:effectLst/>
          </c:spPr>
          <c:marker>
            <c:symbol val="none"/>
          </c:marker>
          <c:cat>
            <c:numRef>
              <c:f>Projections!$K$7:$N$7</c:f>
              <c:numCache>
                <c:formatCode>General</c:formatCode>
                <c:ptCount val="4"/>
                <c:pt idx="0">
                  <c:v>2015.0</c:v>
                </c:pt>
                <c:pt idx="1">
                  <c:v>2020.0</c:v>
                </c:pt>
                <c:pt idx="2">
                  <c:v>2025.0</c:v>
                </c:pt>
                <c:pt idx="3">
                  <c:v>2030.0</c:v>
                </c:pt>
              </c:numCache>
            </c:numRef>
          </c:cat>
          <c:val>
            <c:numRef>
              <c:f>Projections!$K$9:$N$9</c:f>
              <c:numCache>
                <c:formatCode>0.0</c:formatCode>
                <c:ptCount val="4"/>
                <c:pt idx="0">
                  <c:v>2.35</c:v>
                </c:pt>
                <c:pt idx="1">
                  <c:v>2.726333333333334</c:v>
                </c:pt>
                <c:pt idx="2">
                  <c:v>3.102666666666666</c:v>
                </c:pt>
                <c:pt idx="3" formatCode="General">
                  <c:v>3.479</c:v>
                </c:pt>
              </c:numCache>
            </c:numRef>
          </c:val>
          <c:smooth val="0"/>
        </c:ser>
        <c:ser>
          <c:idx val="2"/>
          <c:order val="2"/>
          <c:tx>
            <c:strRef>
              <c:f>Projections!$J$10</c:f>
              <c:strCache>
                <c:ptCount val="1"/>
                <c:pt idx="0">
                  <c:v>CH4 Projects</c:v>
                </c:pt>
              </c:strCache>
            </c:strRef>
          </c:tx>
          <c:spPr>
            <a:ln w="28575" cap="rnd">
              <a:solidFill>
                <a:schemeClr val="accent3"/>
              </a:solidFill>
              <a:round/>
            </a:ln>
            <a:effectLst/>
          </c:spPr>
          <c:marker>
            <c:symbol val="none"/>
          </c:marker>
          <c:cat>
            <c:numRef>
              <c:f>Projections!$K$7:$N$7</c:f>
              <c:numCache>
                <c:formatCode>General</c:formatCode>
                <c:ptCount val="4"/>
                <c:pt idx="0">
                  <c:v>2015.0</c:v>
                </c:pt>
                <c:pt idx="1">
                  <c:v>2020.0</c:v>
                </c:pt>
                <c:pt idx="2">
                  <c:v>2025.0</c:v>
                </c:pt>
                <c:pt idx="3">
                  <c:v>2030.0</c:v>
                </c:pt>
              </c:numCache>
            </c:numRef>
          </c:cat>
          <c:val>
            <c:numRef>
              <c:f>Projections!$K$10:$N$10</c:f>
              <c:numCache>
                <c:formatCode>0.0</c:formatCode>
                <c:ptCount val="4"/>
                <c:pt idx="0">
                  <c:v>2.35</c:v>
                </c:pt>
                <c:pt idx="1">
                  <c:v>2.433333333333334</c:v>
                </c:pt>
                <c:pt idx="2">
                  <c:v>2.516666666666667</c:v>
                </c:pt>
                <c:pt idx="3">
                  <c:v>2.6</c:v>
                </c:pt>
              </c:numCache>
            </c:numRef>
          </c:val>
          <c:smooth val="0"/>
        </c:ser>
        <c:ser>
          <c:idx val="3"/>
          <c:order val="3"/>
          <c:tx>
            <c:strRef>
              <c:f>Projections!$J$11</c:f>
              <c:strCache>
                <c:ptCount val="1"/>
                <c:pt idx="0">
                  <c:v>BC Projects</c:v>
                </c:pt>
              </c:strCache>
            </c:strRef>
          </c:tx>
          <c:spPr>
            <a:ln w="28575" cap="rnd">
              <a:solidFill>
                <a:schemeClr val="accent4"/>
              </a:solidFill>
              <a:round/>
            </a:ln>
            <a:effectLst/>
          </c:spPr>
          <c:marker>
            <c:symbol val="none"/>
          </c:marker>
          <c:cat>
            <c:numRef>
              <c:f>Projections!$K$7:$N$7</c:f>
              <c:numCache>
                <c:formatCode>General</c:formatCode>
                <c:ptCount val="4"/>
                <c:pt idx="0">
                  <c:v>2015.0</c:v>
                </c:pt>
                <c:pt idx="1">
                  <c:v>2020.0</c:v>
                </c:pt>
                <c:pt idx="2">
                  <c:v>2025.0</c:v>
                </c:pt>
                <c:pt idx="3">
                  <c:v>2030.0</c:v>
                </c:pt>
              </c:numCache>
            </c:numRef>
          </c:cat>
          <c:val>
            <c:numRef>
              <c:f>Projections!$K$11:$N$11</c:f>
              <c:numCache>
                <c:formatCode>0.0</c:formatCode>
                <c:ptCount val="4"/>
                <c:pt idx="0">
                  <c:v>2.35</c:v>
                </c:pt>
                <c:pt idx="1">
                  <c:v>2.402222222222222</c:v>
                </c:pt>
                <c:pt idx="2">
                  <c:v>2.454444444444444</c:v>
                </c:pt>
                <c:pt idx="3">
                  <c:v>2.506666666666667</c:v>
                </c:pt>
              </c:numCache>
            </c:numRef>
          </c:val>
          <c:smooth val="0"/>
        </c:ser>
        <c:ser>
          <c:idx val="4"/>
          <c:order val="4"/>
          <c:tx>
            <c:strRef>
              <c:f>Projections!$J$12</c:f>
              <c:strCache>
                <c:ptCount val="1"/>
                <c:pt idx="0">
                  <c:v>BC + Methane Projects</c:v>
                </c:pt>
              </c:strCache>
            </c:strRef>
          </c:tx>
          <c:spPr>
            <a:ln w="28575" cap="rnd">
              <a:solidFill>
                <a:schemeClr val="accent5"/>
              </a:solidFill>
              <a:round/>
            </a:ln>
            <a:effectLst/>
          </c:spPr>
          <c:marker>
            <c:symbol val="none"/>
          </c:marker>
          <c:cat>
            <c:numRef>
              <c:f>Projections!$K$7:$N$7</c:f>
              <c:numCache>
                <c:formatCode>General</c:formatCode>
                <c:ptCount val="4"/>
                <c:pt idx="0">
                  <c:v>2015.0</c:v>
                </c:pt>
                <c:pt idx="1">
                  <c:v>2020.0</c:v>
                </c:pt>
                <c:pt idx="2">
                  <c:v>2025.0</c:v>
                </c:pt>
                <c:pt idx="3">
                  <c:v>2030.0</c:v>
                </c:pt>
              </c:numCache>
            </c:numRef>
          </c:cat>
          <c:val>
            <c:numRef>
              <c:f>Projections!$K$12:$N$12</c:f>
              <c:numCache>
                <c:formatCode>0.0</c:formatCode>
                <c:ptCount val="4"/>
                <c:pt idx="0">
                  <c:v>2.35</c:v>
                </c:pt>
                <c:pt idx="1">
                  <c:v>2.285555555555556</c:v>
                </c:pt>
                <c:pt idx="2">
                  <c:v>2.221111111111112</c:v>
                </c:pt>
                <c:pt idx="3">
                  <c:v>2.156666666666667</c:v>
                </c:pt>
              </c:numCache>
            </c:numRef>
          </c:val>
          <c:smooth val="0"/>
        </c:ser>
        <c:ser>
          <c:idx val="5"/>
          <c:order val="5"/>
          <c:tx>
            <c:strRef>
              <c:f>Projections!$J$13</c:f>
              <c:strCache>
                <c:ptCount val="1"/>
                <c:pt idx="0">
                  <c:v>Negligible Impact Oceanic Cooling</c:v>
                </c:pt>
              </c:strCache>
            </c:strRef>
          </c:tx>
          <c:spPr>
            <a:ln w="28575" cap="rnd">
              <a:solidFill>
                <a:schemeClr val="accent6"/>
              </a:solidFill>
              <a:round/>
            </a:ln>
            <a:effectLst/>
          </c:spPr>
          <c:marker>
            <c:symbol val="none"/>
          </c:marker>
          <c:cat>
            <c:numRef>
              <c:f>Projections!$K$7:$N$7</c:f>
              <c:numCache>
                <c:formatCode>General</c:formatCode>
                <c:ptCount val="4"/>
                <c:pt idx="0">
                  <c:v>2015.0</c:v>
                </c:pt>
                <c:pt idx="1">
                  <c:v>2020.0</c:v>
                </c:pt>
                <c:pt idx="2">
                  <c:v>2025.0</c:v>
                </c:pt>
                <c:pt idx="3">
                  <c:v>2030.0</c:v>
                </c:pt>
              </c:numCache>
            </c:numRef>
          </c:cat>
          <c:val>
            <c:numRef>
              <c:f>Projections!$K$13:$N$13</c:f>
              <c:numCache>
                <c:formatCode>0.0</c:formatCode>
                <c:ptCount val="4"/>
                <c:pt idx="0">
                  <c:v>2.35</c:v>
                </c:pt>
                <c:pt idx="1">
                  <c:v>1.743</c:v>
                </c:pt>
                <c:pt idx="2">
                  <c:v>2.136</c:v>
                </c:pt>
                <c:pt idx="3">
                  <c:v>2.529</c:v>
                </c:pt>
              </c:numCache>
            </c:numRef>
          </c:val>
          <c:smooth val="0"/>
        </c:ser>
        <c:ser>
          <c:idx val="6"/>
          <c:order val="6"/>
          <c:tx>
            <c:strRef>
              <c:f>Projections!$J$14</c:f>
              <c:strCache>
                <c:ptCount val="1"/>
                <c:pt idx="0">
                  <c:v>All Non-CO2 projects</c:v>
                </c:pt>
              </c:strCache>
            </c:strRef>
          </c:tx>
          <c:spPr>
            <a:ln w="28575" cap="rnd">
              <a:solidFill>
                <a:schemeClr val="accent1">
                  <a:lumMod val="60000"/>
                </a:schemeClr>
              </a:solidFill>
              <a:round/>
            </a:ln>
            <a:effectLst/>
          </c:spPr>
          <c:marker>
            <c:symbol val="none"/>
          </c:marker>
          <c:cat>
            <c:numRef>
              <c:f>Projections!$K$7:$N$7</c:f>
              <c:numCache>
                <c:formatCode>General</c:formatCode>
                <c:ptCount val="4"/>
                <c:pt idx="0">
                  <c:v>2015.0</c:v>
                </c:pt>
                <c:pt idx="1">
                  <c:v>2020.0</c:v>
                </c:pt>
                <c:pt idx="2">
                  <c:v>2025.0</c:v>
                </c:pt>
                <c:pt idx="3">
                  <c:v>2030.0</c:v>
                </c:pt>
              </c:numCache>
            </c:numRef>
          </c:cat>
          <c:val>
            <c:numRef>
              <c:f>Projections!$K$14:$N$14</c:f>
              <c:numCache>
                <c:formatCode>0.0</c:formatCode>
                <c:ptCount val="4"/>
                <c:pt idx="0">
                  <c:v>2.35</c:v>
                </c:pt>
                <c:pt idx="1">
                  <c:v>1.285555555555556</c:v>
                </c:pt>
                <c:pt idx="2">
                  <c:v>1.221111111111111</c:v>
                </c:pt>
                <c:pt idx="3">
                  <c:v>1.156666666666667</c:v>
                </c:pt>
              </c:numCache>
            </c:numRef>
          </c:val>
          <c:smooth val="0"/>
        </c:ser>
        <c:dLbls>
          <c:showLegendKey val="0"/>
          <c:showVal val="0"/>
          <c:showCatName val="0"/>
          <c:showSerName val="0"/>
          <c:showPercent val="0"/>
          <c:showBubbleSize val="0"/>
        </c:dLbls>
        <c:marker val="1"/>
        <c:smooth val="0"/>
        <c:axId val="2050040440"/>
        <c:axId val="2047674264"/>
      </c:lineChart>
      <c:catAx>
        <c:axId val="2050040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2047674264"/>
        <c:crosses val="autoZero"/>
        <c:auto val="1"/>
        <c:lblAlgn val="ctr"/>
        <c:lblOffset val="100"/>
        <c:noMultiLvlLbl val="0"/>
      </c:catAx>
      <c:valAx>
        <c:axId val="20476742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US"/>
                  <a:t>Net Global Radiative Forcing (W/m</a:t>
                </a:r>
                <a:r>
                  <a:rPr lang="en-US" baseline="30000"/>
                  <a:t>2</a:t>
                </a:r>
                <a:r>
                  <a:rPr lang="en-US"/>
                  <a:t>)</a:t>
                </a:r>
              </a:p>
            </c:rich>
          </c:tx>
          <c:layout/>
          <c:overlay val="0"/>
          <c:spPr>
            <a:noFill/>
            <a:ln>
              <a:noFill/>
            </a:ln>
            <a:effectLst/>
          </c:sp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2050040440"/>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14</Pages>
  <Words>4463</Words>
  <Characters>24013</Characters>
  <Application>Microsoft Macintosh Word</Application>
  <DocSecurity>0</DocSecurity>
  <Lines>400</Lines>
  <Paragraphs>71</Paragraphs>
  <ScaleCrop>false</ScaleCrop>
  <Company/>
  <LinksUpToDate>false</LinksUpToDate>
  <CharactersWithSpaces>28405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Ford</dc:creator>
  <cp:keywords/>
  <dc:description/>
  <cp:lastModifiedBy>James Ford</cp:lastModifiedBy>
  <cp:revision>10</cp:revision>
  <dcterms:created xsi:type="dcterms:W3CDTF">2015-10-30T21:26:00Z</dcterms:created>
  <dcterms:modified xsi:type="dcterms:W3CDTF">2015-10-30T23:31:00Z</dcterms:modified>
</cp:coreProperties>
</file>