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B021" w14:textId="168505D1" w:rsidR="002B72E7" w:rsidRDefault="00AE3FF6" w:rsidP="005E2A37">
      <w:pPr>
        <w:spacing w:after="0"/>
      </w:pPr>
      <w:r>
        <w:t xml:space="preserve">March </w:t>
      </w:r>
      <w:r w:rsidRPr="004A4298">
        <w:t>15</w:t>
      </w:r>
      <w:r>
        <w:t>, 2022</w:t>
      </w:r>
    </w:p>
    <w:p w14:paraId="713E3608" w14:textId="70742152" w:rsidR="00AE3FF6" w:rsidRDefault="00AE3FF6" w:rsidP="000E77AB">
      <w:pPr>
        <w:pStyle w:val="ListParagraph"/>
        <w:spacing w:after="0"/>
        <w:ind w:left="360" w:hanging="360"/>
      </w:pPr>
    </w:p>
    <w:p w14:paraId="2C933025" w14:textId="573A053E" w:rsidR="00AE3FF6" w:rsidRDefault="00A931C4" w:rsidP="000E77AB">
      <w:pPr>
        <w:pStyle w:val="ListParagraph"/>
        <w:spacing w:after="0"/>
        <w:ind w:left="360" w:hanging="360"/>
      </w:pPr>
      <w:r>
        <w:t>California Air Resources Board</w:t>
      </w:r>
    </w:p>
    <w:p w14:paraId="67E80505" w14:textId="388F7523" w:rsidR="00A931C4" w:rsidRDefault="00A931C4" w:rsidP="000E77AB">
      <w:pPr>
        <w:pStyle w:val="ListParagraph"/>
        <w:spacing w:after="0"/>
        <w:ind w:left="360" w:hanging="360"/>
      </w:pPr>
      <w:r>
        <w:t>1001 I Street</w:t>
      </w:r>
    </w:p>
    <w:p w14:paraId="728D8C97" w14:textId="7C804D05" w:rsidR="00A931C4" w:rsidRDefault="00A931C4" w:rsidP="000E77AB">
      <w:pPr>
        <w:pStyle w:val="ListParagraph"/>
        <w:spacing w:after="0"/>
        <w:ind w:left="360" w:hanging="360"/>
      </w:pPr>
      <w:r>
        <w:t>Sacramento, CA 95814</w:t>
      </w:r>
    </w:p>
    <w:p w14:paraId="6117ABE8" w14:textId="642ABD1E" w:rsidR="00A931C4" w:rsidRDefault="00A931C4" w:rsidP="000E77AB">
      <w:pPr>
        <w:pStyle w:val="ListParagraph"/>
        <w:spacing w:after="0"/>
        <w:ind w:left="360" w:hanging="360"/>
      </w:pPr>
    </w:p>
    <w:p w14:paraId="56A61FEF" w14:textId="74D49A1A" w:rsidR="00A931C4" w:rsidRDefault="00A931C4" w:rsidP="000E77AB">
      <w:pPr>
        <w:pStyle w:val="ListParagraph"/>
        <w:spacing w:after="0"/>
        <w:ind w:left="360" w:hanging="360"/>
      </w:pPr>
      <w:r>
        <w:t>Rajinder Sahota</w:t>
      </w:r>
    </w:p>
    <w:p w14:paraId="1B28BBDA" w14:textId="17C0772B" w:rsidR="00A931C4" w:rsidRDefault="00A931C4" w:rsidP="000E77AB">
      <w:pPr>
        <w:pStyle w:val="ListParagraph"/>
        <w:spacing w:after="0"/>
        <w:ind w:left="360" w:hanging="360"/>
      </w:pPr>
      <w:r>
        <w:t>Deputy Executive Officer, Climate Change and Research</w:t>
      </w:r>
    </w:p>
    <w:p w14:paraId="4DA87227" w14:textId="52303196" w:rsidR="00A931C4" w:rsidRDefault="00A931C4" w:rsidP="000E77AB">
      <w:pPr>
        <w:pStyle w:val="ListParagraph"/>
        <w:spacing w:after="0"/>
        <w:ind w:left="360" w:hanging="360"/>
      </w:pPr>
    </w:p>
    <w:p w14:paraId="1DEB2528" w14:textId="27E0FB0E" w:rsidR="00A931C4" w:rsidRDefault="00A931C4" w:rsidP="000E77AB">
      <w:pPr>
        <w:pStyle w:val="ListParagraph"/>
        <w:spacing w:after="0"/>
        <w:ind w:left="360" w:hanging="360"/>
      </w:pPr>
      <w:r>
        <w:t>Matthew Botill</w:t>
      </w:r>
    </w:p>
    <w:p w14:paraId="7D0C1EC6" w14:textId="7698DB86" w:rsidR="00A931C4" w:rsidRDefault="00A931C4" w:rsidP="000E77AB">
      <w:pPr>
        <w:pStyle w:val="ListParagraph"/>
        <w:spacing w:after="0"/>
        <w:ind w:left="360" w:hanging="360"/>
      </w:pPr>
      <w:r>
        <w:t>Division Chief, Industrial Strategies Division</w:t>
      </w:r>
    </w:p>
    <w:p w14:paraId="612A8D54" w14:textId="387CADDA" w:rsidR="00A931C4" w:rsidRDefault="00A931C4" w:rsidP="000E77AB">
      <w:pPr>
        <w:pStyle w:val="ListParagraph"/>
        <w:spacing w:after="0"/>
        <w:ind w:left="360" w:hanging="360"/>
      </w:pPr>
    </w:p>
    <w:p w14:paraId="222651F9" w14:textId="06F25924" w:rsidR="00A931C4" w:rsidRDefault="00A931C4" w:rsidP="000E77AB">
      <w:pPr>
        <w:pStyle w:val="ListParagraph"/>
        <w:spacing w:after="0"/>
        <w:ind w:left="360" w:hanging="360"/>
      </w:pPr>
      <w:r>
        <w:t>Cheryl Laskowski</w:t>
      </w:r>
    </w:p>
    <w:p w14:paraId="1A5280BD" w14:textId="63C64E77" w:rsidR="00A931C4" w:rsidRDefault="00A931C4" w:rsidP="000E77AB">
      <w:pPr>
        <w:pStyle w:val="ListParagraph"/>
        <w:spacing w:after="0"/>
        <w:ind w:left="360" w:hanging="360"/>
      </w:pPr>
      <w:r>
        <w:t>Branch Chief, Low Carbon Fuel Standard</w:t>
      </w:r>
    </w:p>
    <w:p w14:paraId="49BD0DC3" w14:textId="74C5C635" w:rsidR="00A931C4" w:rsidRDefault="00A931C4" w:rsidP="000E77AB">
      <w:pPr>
        <w:pStyle w:val="ListParagraph"/>
        <w:spacing w:after="0"/>
        <w:ind w:left="360" w:hanging="360"/>
      </w:pPr>
    </w:p>
    <w:p w14:paraId="6251CD52" w14:textId="1D5D1072" w:rsidR="00A931C4" w:rsidRPr="00D80108" w:rsidRDefault="00A931C4" w:rsidP="000E77AB">
      <w:pPr>
        <w:pStyle w:val="ListParagraph"/>
        <w:spacing w:after="0"/>
        <w:ind w:left="360" w:hanging="360"/>
        <w:rPr>
          <w:b/>
          <w:bCs/>
        </w:rPr>
      </w:pPr>
      <w:r w:rsidRPr="00D80108">
        <w:rPr>
          <w:b/>
          <w:bCs/>
        </w:rPr>
        <w:t xml:space="preserve">Re: </w:t>
      </w:r>
      <w:r w:rsidR="00D80108" w:rsidRPr="00D80108">
        <w:rPr>
          <w:b/>
          <w:bCs/>
        </w:rPr>
        <w:t>LCFS 4</w:t>
      </w:r>
      <w:r w:rsidR="00D80108" w:rsidRPr="00D80108">
        <w:rPr>
          <w:b/>
          <w:bCs/>
          <w:vertAlign w:val="superscript"/>
        </w:rPr>
        <w:t>th</w:t>
      </w:r>
      <w:r w:rsidR="00D80108" w:rsidRPr="00D80108">
        <w:rPr>
          <w:b/>
          <w:bCs/>
        </w:rPr>
        <w:t xml:space="preserve"> Public Workshop – Comments on </w:t>
      </w:r>
      <w:r w:rsidR="00F57661">
        <w:rPr>
          <w:b/>
          <w:bCs/>
        </w:rPr>
        <w:t xml:space="preserve">the role of </w:t>
      </w:r>
      <w:r w:rsidR="00D80108" w:rsidRPr="00D80108">
        <w:rPr>
          <w:b/>
          <w:bCs/>
        </w:rPr>
        <w:t xml:space="preserve">waste biomass in </w:t>
      </w:r>
      <w:r w:rsidR="00F57661">
        <w:rPr>
          <w:b/>
          <w:bCs/>
        </w:rPr>
        <w:t>t</w:t>
      </w:r>
      <w:r w:rsidR="00D80108" w:rsidRPr="00D80108">
        <w:rPr>
          <w:b/>
          <w:bCs/>
        </w:rPr>
        <w:t>he LCFS</w:t>
      </w:r>
    </w:p>
    <w:p w14:paraId="3859DCEA" w14:textId="000461F9" w:rsidR="00D80108" w:rsidRDefault="00D80108" w:rsidP="000E77AB">
      <w:pPr>
        <w:pStyle w:val="ListParagraph"/>
        <w:spacing w:after="0"/>
        <w:ind w:left="360" w:hanging="360"/>
      </w:pPr>
    </w:p>
    <w:p w14:paraId="432F4EF2" w14:textId="2654B08B" w:rsidR="00D80108" w:rsidRDefault="00D80108" w:rsidP="000E77AB">
      <w:pPr>
        <w:pStyle w:val="ListParagraph"/>
        <w:spacing w:after="0"/>
        <w:ind w:left="360" w:hanging="360"/>
      </w:pPr>
      <w:r>
        <w:t>To Rajinder, Matthew and Cheryl,</w:t>
      </w:r>
    </w:p>
    <w:p w14:paraId="1A0583BD" w14:textId="609BA8D3" w:rsidR="00091600" w:rsidRDefault="00091600" w:rsidP="000E77AB">
      <w:pPr>
        <w:pStyle w:val="ListParagraph"/>
        <w:spacing w:after="0"/>
        <w:ind w:left="360" w:hanging="360"/>
      </w:pPr>
    </w:p>
    <w:p w14:paraId="548ECAAF" w14:textId="0D673979" w:rsidR="00B604A9" w:rsidRDefault="00091600" w:rsidP="00567DB6">
      <w:pPr>
        <w:pStyle w:val="ListParagraph"/>
        <w:spacing w:after="0"/>
        <w:ind w:left="0"/>
      </w:pPr>
      <w:r>
        <w:t>Conservation Strategy Group (CSG) submits this comment letter in response to the Public Workshop to Discuss Potential Changes to the Low Carbon Fuel Standard (LCFS)</w:t>
      </w:r>
      <w:r w:rsidR="005972D6">
        <w:t xml:space="preserve"> held on February 22, 2023.</w:t>
      </w:r>
      <w:r w:rsidR="00FF6749">
        <w:t xml:space="preserve"> We comment on the role of</w:t>
      </w:r>
      <w:r w:rsidR="00140557">
        <w:t xml:space="preserve"> waste biofuels and their exclusion from the California Transportation Supply (CATS) model. We provide recommendations to align the LCFS program with the 2022 Scoping Plan</w:t>
      </w:r>
      <w:r w:rsidR="00B604A9">
        <w:t>.</w:t>
      </w:r>
    </w:p>
    <w:p w14:paraId="4C149DC4" w14:textId="4DF534A1" w:rsidR="00B604A9" w:rsidRDefault="00B604A9" w:rsidP="00567DB6">
      <w:pPr>
        <w:pStyle w:val="ListParagraph"/>
        <w:spacing w:after="0"/>
        <w:ind w:left="0"/>
      </w:pPr>
    </w:p>
    <w:p w14:paraId="124DD7D8" w14:textId="19F1C13B" w:rsidR="004A79D2" w:rsidRDefault="00B604A9" w:rsidP="00567DB6">
      <w:pPr>
        <w:pStyle w:val="ListParagraph"/>
        <w:spacing w:after="0"/>
        <w:ind w:left="0"/>
      </w:pPr>
      <w:r>
        <w:t xml:space="preserve">Overall, we recommend that CARB develop a Tier-1 calculator for the conversion of biomass into fuels within CA-GREET. Biofuels could then be </w:t>
      </w:r>
      <w:r w:rsidR="004A79D2">
        <w:t>reflected</w:t>
      </w:r>
      <w:r>
        <w:t xml:space="preserve"> in the CATS model in a manner that is consistent with the 2022 Scoping Plan</w:t>
      </w:r>
      <w:r w:rsidR="004A79D2">
        <w:t>, including (for example) a significant role for BECCS-hydrogen</w:t>
      </w:r>
      <w:r>
        <w:t>. Short of this, we recommend that CARB develop guidance on acceptable approaches to perform woody biomass lifecycle assessments. This is currently a key hurdle to project development, as multiple projects a</w:t>
      </w:r>
      <w:r w:rsidR="004A79D2">
        <w:t xml:space="preserve">re challenged to move forward </w:t>
      </w:r>
      <w:r>
        <w:t>without a carbon intensity (CI) value for</w:t>
      </w:r>
      <w:r w:rsidR="001551B2">
        <w:t xml:space="preserve"> biomass</w:t>
      </w:r>
      <w:r>
        <w:t xml:space="preserve"> feedstock from CARB.</w:t>
      </w:r>
      <w:r w:rsidR="009522E7">
        <w:t xml:space="preserve"> </w:t>
      </w:r>
      <w:r w:rsidR="00832B56">
        <w:t>As a first iteration, this</w:t>
      </w:r>
      <w:r w:rsidR="007B3F88">
        <w:t xml:space="preserve"> guidance could be limited to waste feedstocks in California</w:t>
      </w:r>
      <w:r w:rsidR="00832B56">
        <w:t xml:space="preserve"> to limit complexity. </w:t>
      </w:r>
    </w:p>
    <w:p w14:paraId="150B8EE1" w14:textId="777517B0" w:rsidR="004A79D2" w:rsidRDefault="004A79D2" w:rsidP="00567DB6">
      <w:pPr>
        <w:pStyle w:val="ListParagraph"/>
        <w:spacing w:after="0"/>
        <w:ind w:left="0"/>
      </w:pPr>
    </w:p>
    <w:p w14:paraId="621AC5DA" w14:textId="5BA42FE5" w:rsidR="004A79D2" w:rsidRDefault="004A79D2" w:rsidP="00567DB6">
      <w:pPr>
        <w:pStyle w:val="ListParagraph"/>
        <w:spacing w:after="0"/>
        <w:ind w:left="0"/>
      </w:pPr>
      <w:r>
        <w:t xml:space="preserve">This letter follows previous letters we have submitted to CARB on woody biomass in collaboration with </w:t>
      </w:r>
      <w:hyperlink r:id="rId8" w:history="1">
        <w:r w:rsidRPr="00E45A9E">
          <w:rPr>
            <w:rStyle w:val="Hyperlink"/>
          </w:rPr>
          <w:t>researchers</w:t>
        </w:r>
      </w:hyperlink>
      <w:r>
        <w:t xml:space="preserve"> and </w:t>
      </w:r>
      <w:hyperlink r:id="rId9" w:history="1">
        <w:r w:rsidRPr="004A79D2">
          <w:rPr>
            <w:rStyle w:val="Hyperlink"/>
          </w:rPr>
          <w:t>local community and environmental groups</w:t>
        </w:r>
      </w:hyperlink>
      <w:r>
        <w:t xml:space="preserve">. </w:t>
      </w:r>
    </w:p>
    <w:p w14:paraId="420E72BD" w14:textId="77777777" w:rsidR="00DE5AD3" w:rsidRPr="00AB6E33" w:rsidRDefault="00DE5AD3" w:rsidP="000E77AB">
      <w:pPr>
        <w:pStyle w:val="ListParagraph"/>
        <w:spacing w:after="0"/>
        <w:ind w:left="0"/>
      </w:pPr>
    </w:p>
    <w:p w14:paraId="555B20EC" w14:textId="3DFEE18D" w:rsidR="006D1CB5" w:rsidRPr="000B1C86" w:rsidRDefault="009522E7" w:rsidP="000B1C86">
      <w:pPr>
        <w:pStyle w:val="ListParagraph"/>
        <w:spacing w:after="0"/>
        <w:ind w:left="0"/>
        <w:rPr>
          <w:b/>
          <w:bCs/>
        </w:rPr>
      </w:pPr>
      <w:r>
        <w:rPr>
          <w:b/>
          <w:bCs/>
        </w:rPr>
        <w:t>N</w:t>
      </w:r>
      <w:r w:rsidR="00C02AE5">
        <w:rPr>
          <w:b/>
          <w:bCs/>
        </w:rPr>
        <w:t>eglecting waste biomass will result in significant new emissions source</w:t>
      </w:r>
      <w:r w:rsidR="00830C42">
        <w:rPr>
          <w:b/>
          <w:bCs/>
        </w:rPr>
        <w:t>s</w:t>
      </w:r>
      <w:r w:rsidR="00C02AE5">
        <w:rPr>
          <w:b/>
          <w:bCs/>
        </w:rPr>
        <w:t xml:space="preserve"> for the state</w:t>
      </w:r>
    </w:p>
    <w:p w14:paraId="4ECC1646" w14:textId="77777777" w:rsidR="006D1CB5" w:rsidRDefault="006D1CB5" w:rsidP="006A3C64">
      <w:pPr>
        <w:spacing w:after="0"/>
      </w:pPr>
    </w:p>
    <w:p w14:paraId="4A20F6C9" w14:textId="5AE9AD58" w:rsidR="00D215C1" w:rsidRDefault="002060FA" w:rsidP="006A3C64">
      <w:pPr>
        <w:spacing w:after="0"/>
      </w:pPr>
      <w:r>
        <w:t xml:space="preserve">California has an abundance of </w:t>
      </w:r>
      <w:r w:rsidR="00370B06">
        <w:t xml:space="preserve">forest and agricultural </w:t>
      </w:r>
      <w:r w:rsidR="00D215C1">
        <w:t>waste biomass</w:t>
      </w:r>
      <w:r w:rsidR="00370B06">
        <w:t xml:space="preserve">. It is estimated that the state produces about </w:t>
      </w:r>
      <w:hyperlink r:id="rId10" w:history="1">
        <w:r w:rsidR="00370B06">
          <w:rPr>
            <w:rStyle w:val="Hyperlink"/>
          </w:rPr>
          <w:t>35</w:t>
        </w:r>
        <w:r w:rsidR="0070699C" w:rsidRPr="002868E2">
          <w:rPr>
            <w:rStyle w:val="Hyperlink"/>
          </w:rPr>
          <w:t xml:space="preserve"> million</w:t>
        </w:r>
      </w:hyperlink>
      <w:r w:rsidR="0070699C">
        <w:t xml:space="preserve"> dry tons of </w:t>
      </w:r>
      <w:r w:rsidR="00370B06">
        <w:t>these residues</w:t>
      </w:r>
      <w:r w:rsidR="0070699C">
        <w:t xml:space="preserve"> each year</w:t>
      </w:r>
      <w:r w:rsidR="00370B06">
        <w:rPr>
          <w:rStyle w:val="FootnoteReference"/>
        </w:rPr>
        <w:footnoteReference w:id="1"/>
      </w:r>
      <w:r w:rsidR="0070699C">
        <w:t xml:space="preserve">, the majority of which are either </w:t>
      </w:r>
      <w:r w:rsidR="00D215C1">
        <w:t>open</w:t>
      </w:r>
      <w:r w:rsidR="001D34AB">
        <w:t xml:space="preserve"> </w:t>
      </w:r>
      <w:r w:rsidR="0070699C">
        <w:t xml:space="preserve">burned, combusted in wildfire, left </w:t>
      </w:r>
      <w:r w:rsidR="00370B06">
        <w:t>in piles to dec</w:t>
      </w:r>
      <w:r w:rsidR="00D215C1">
        <w:t>ay</w:t>
      </w:r>
      <w:r w:rsidR="00370B06">
        <w:t xml:space="preserve">, </w:t>
      </w:r>
      <w:r w:rsidR="0070699C">
        <w:t>or landfilled</w:t>
      </w:r>
      <w:r w:rsidR="006E689A">
        <w:t xml:space="preserve"> (Figure 1)</w:t>
      </w:r>
      <w:r w:rsidR="00233FB8">
        <w:t xml:space="preserve">. </w:t>
      </w:r>
      <w:r w:rsidR="003C68FC">
        <w:t xml:space="preserve">As a rough calculation, this </w:t>
      </w:r>
      <w:r w:rsidR="00D215C1">
        <w:lastRenderedPageBreak/>
        <w:t>amount</w:t>
      </w:r>
      <w:r w:rsidR="003C68FC">
        <w:t xml:space="preserve"> of waste is equivalent to </w:t>
      </w:r>
      <w:r w:rsidR="003A0086">
        <w:t>64</w:t>
      </w:r>
      <w:r w:rsidR="003C68FC">
        <w:t xml:space="preserve"> million tons of carbon dioxide (CO</w:t>
      </w:r>
      <w:r w:rsidR="003C68FC">
        <w:rPr>
          <w:vertAlign w:val="subscript"/>
        </w:rPr>
        <w:t>2</w:t>
      </w:r>
      <w:r w:rsidR="003C68FC">
        <w:t>),</w:t>
      </w:r>
      <w:r w:rsidR="003A0086" w:rsidRPr="003A0086">
        <w:rPr>
          <w:rStyle w:val="FootnoteReference"/>
        </w:rPr>
        <w:t xml:space="preserve"> </w:t>
      </w:r>
      <w:r w:rsidR="003A0086">
        <w:rPr>
          <w:rStyle w:val="FootnoteReference"/>
        </w:rPr>
        <w:footnoteReference w:id="2"/>
      </w:r>
      <w:r w:rsidR="003C68FC">
        <w:t xml:space="preserve"> or about </w:t>
      </w:r>
      <w:r w:rsidR="003A0086">
        <w:t>17%</w:t>
      </w:r>
      <w:r w:rsidR="003C68FC">
        <w:t xml:space="preserve"> of the state’s </w:t>
      </w:r>
      <w:r w:rsidR="00D215C1">
        <w:t>GHG</w:t>
      </w:r>
      <w:r w:rsidR="003C68FC">
        <w:t xml:space="preserve"> inventory. </w:t>
      </w:r>
      <w:r w:rsidR="00D215C1">
        <w:t>This excludes the possibility of the CO</w:t>
      </w:r>
      <w:r w:rsidR="00D215C1">
        <w:rPr>
          <w:vertAlign w:val="subscript"/>
        </w:rPr>
        <w:t>2</w:t>
      </w:r>
      <w:r w:rsidR="00D215C1">
        <w:t xml:space="preserve"> being emitted as methane or black carbon – both with much higher radiative forcing impacts. In other cases, the biomass may contribute to catastrophic wildfire. For example, the 2020 fire season alone emitted over 100 million tons of CO</w:t>
      </w:r>
      <w:r w:rsidR="00D215C1">
        <w:rPr>
          <w:vertAlign w:val="subscript"/>
        </w:rPr>
        <w:t>2</w:t>
      </w:r>
      <w:r w:rsidR="00D215C1">
        <w:t xml:space="preserve"> – an amount greater than the state has reduced since the passage of AB 32. Overall, a strategy to manage biomass waste is important for the state to avoid falling short of its 2030 and 2045 climate targets. </w:t>
      </w:r>
    </w:p>
    <w:p w14:paraId="672B475A" w14:textId="77777777" w:rsidR="000B7757" w:rsidRDefault="000B7757" w:rsidP="006A3C64">
      <w:pPr>
        <w:spacing w:after="0"/>
      </w:pPr>
    </w:p>
    <w:p w14:paraId="15E4B48D" w14:textId="28C01116" w:rsidR="005A3C0D" w:rsidRDefault="005A3C0D" w:rsidP="003C68FC">
      <w:pPr>
        <w:spacing w:after="120"/>
        <w:jc w:val="center"/>
      </w:pPr>
      <w:r w:rsidRPr="005A3C0D">
        <w:rPr>
          <w:noProof/>
        </w:rPr>
        <w:drawing>
          <wp:inline distT="0" distB="0" distL="0" distR="0" wp14:anchorId="08D01A32" wp14:editId="60EE159D">
            <wp:extent cx="4750044" cy="2883048"/>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4750044" cy="2883048"/>
                    </a:xfrm>
                    <a:prstGeom prst="rect">
                      <a:avLst/>
                    </a:prstGeom>
                  </pic:spPr>
                </pic:pic>
              </a:graphicData>
            </a:graphic>
          </wp:inline>
        </w:drawing>
      </w:r>
    </w:p>
    <w:p w14:paraId="6B5C45CB" w14:textId="21A189DE" w:rsidR="005A3C0D" w:rsidRPr="003C68FC" w:rsidRDefault="005A3C0D" w:rsidP="003C68FC">
      <w:pPr>
        <w:spacing w:after="0"/>
        <w:ind w:left="990" w:right="990"/>
        <w:jc w:val="center"/>
        <w:rPr>
          <w:i/>
          <w:iCs/>
          <w:sz w:val="18"/>
          <w:szCs w:val="18"/>
        </w:rPr>
      </w:pPr>
      <w:r w:rsidRPr="003C68FC">
        <w:rPr>
          <w:b/>
          <w:bCs/>
          <w:i/>
          <w:iCs/>
          <w:sz w:val="18"/>
          <w:szCs w:val="18"/>
        </w:rPr>
        <w:t xml:space="preserve">Figure 1. </w:t>
      </w:r>
      <w:r w:rsidRPr="003C68FC">
        <w:rPr>
          <w:i/>
          <w:iCs/>
          <w:sz w:val="18"/>
          <w:szCs w:val="18"/>
        </w:rPr>
        <w:t>This figure highlights California’s biomass waste resources on a per-county basis. Significant volumes of forest waste</w:t>
      </w:r>
      <w:r w:rsidR="001E75E9" w:rsidRPr="003C68FC">
        <w:rPr>
          <w:i/>
          <w:iCs/>
          <w:sz w:val="18"/>
          <w:szCs w:val="18"/>
        </w:rPr>
        <w:t xml:space="preserve"> </w:t>
      </w:r>
      <w:r w:rsidRPr="003C68FC">
        <w:rPr>
          <w:i/>
          <w:iCs/>
          <w:sz w:val="18"/>
          <w:szCs w:val="18"/>
        </w:rPr>
        <w:t>(red) are available in Northern California, while the Central Valley is dominated by agricultural waste (yellow).</w:t>
      </w:r>
      <w:r w:rsidR="00FF0CF7" w:rsidRPr="003C68FC">
        <w:rPr>
          <w:i/>
          <w:iCs/>
          <w:sz w:val="18"/>
          <w:szCs w:val="18"/>
        </w:rPr>
        <w:t xml:space="preserve"> Source: LLNL</w:t>
      </w:r>
      <w:r w:rsidR="003C68FC">
        <w:rPr>
          <w:i/>
          <w:iCs/>
          <w:sz w:val="18"/>
          <w:szCs w:val="18"/>
        </w:rPr>
        <w:t xml:space="preserve"> (2020)</w:t>
      </w:r>
    </w:p>
    <w:p w14:paraId="508A4645" w14:textId="5340FAAD" w:rsidR="005A3C0D" w:rsidRDefault="005A3C0D" w:rsidP="006A3C64">
      <w:pPr>
        <w:spacing w:after="0"/>
      </w:pPr>
    </w:p>
    <w:p w14:paraId="7EDDB2C2" w14:textId="5B3FE0AC" w:rsidR="00D215C1" w:rsidRDefault="00D215C1" w:rsidP="006A3C64">
      <w:pPr>
        <w:spacing w:after="0"/>
      </w:pPr>
      <w:r>
        <w:t xml:space="preserve">Multiple </w:t>
      </w:r>
      <w:r w:rsidR="003D00B3">
        <w:t xml:space="preserve">studies identify the need to convert </w:t>
      </w:r>
      <w:r w:rsidR="00D65DD4">
        <w:t>waste biomass</w:t>
      </w:r>
      <w:r w:rsidR="003D00B3">
        <w:t xml:space="preserve"> into liquid and gaseous fuels via processes such as </w:t>
      </w:r>
      <w:r>
        <w:t>gasification</w:t>
      </w:r>
      <w:r w:rsidR="00D65DD4">
        <w:t xml:space="preserve"> and pyrolysis </w:t>
      </w:r>
      <w:r w:rsidR="003D00B3">
        <w:t>to achieve</w:t>
      </w:r>
      <w:r w:rsidR="00D65DD4">
        <w:t xml:space="preserve"> economy wide</w:t>
      </w:r>
      <w:r w:rsidR="003D00B3">
        <w:t xml:space="preserve"> net-zero emissions targets.</w:t>
      </w:r>
      <w:r w:rsidR="001551B2">
        <w:rPr>
          <w:rStyle w:val="FootnoteReference"/>
        </w:rPr>
        <w:footnoteReference w:id="3"/>
      </w:r>
      <w:r w:rsidR="003D00B3">
        <w:t xml:space="preserve"> In </w:t>
      </w:r>
      <w:r w:rsidR="003D00B3" w:rsidRPr="003A0086">
        <w:t xml:space="preserve">a </w:t>
      </w:r>
      <w:hyperlink r:id="rId12" w:history="1">
        <w:r w:rsidR="003D00B3" w:rsidRPr="003A0086">
          <w:rPr>
            <w:rStyle w:val="Hyperlink"/>
          </w:rPr>
          <w:t>literature review</w:t>
        </w:r>
      </w:hyperlink>
      <w:r w:rsidR="003D00B3" w:rsidRPr="003A0086">
        <w:t xml:space="preserve"> of potential wood biomass-to-product options, the Joint Institute for Wood Product</w:t>
      </w:r>
      <w:r w:rsidR="003D00B3">
        <w:t>s Innovation identified liquid and gaseous transportation fuels as</w:t>
      </w:r>
      <w:r>
        <w:t xml:space="preserve"> the most commercially and technologically viable conversion optio</w:t>
      </w:r>
      <w:r w:rsidR="003D00B3">
        <w:t>n</w:t>
      </w:r>
      <w:r>
        <w:t>. There are a number of such projects in development around the state.</w:t>
      </w:r>
      <w:r w:rsidR="003D00B3">
        <w:rPr>
          <w:rStyle w:val="FootnoteReference"/>
        </w:rPr>
        <w:footnoteReference w:id="4"/>
      </w:r>
      <w:r>
        <w:t xml:space="preserve"> </w:t>
      </w:r>
    </w:p>
    <w:p w14:paraId="4E935129" w14:textId="77777777" w:rsidR="00D215C1" w:rsidRDefault="00D215C1" w:rsidP="006A3C64">
      <w:pPr>
        <w:spacing w:after="0"/>
      </w:pPr>
    </w:p>
    <w:p w14:paraId="1846597D" w14:textId="30881796" w:rsidR="00061DB8" w:rsidRPr="00061DB8" w:rsidRDefault="00061DB8" w:rsidP="00384C84">
      <w:pPr>
        <w:spacing w:after="0"/>
        <w:rPr>
          <w:b/>
          <w:bCs/>
        </w:rPr>
      </w:pPr>
      <w:r w:rsidRPr="00061DB8">
        <w:rPr>
          <w:b/>
          <w:bCs/>
        </w:rPr>
        <w:t>CATS model misaligned with state policy on waste biomass</w:t>
      </w:r>
      <w:r w:rsidR="00140557">
        <w:rPr>
          <w:b/>
          <w:bCs/>
        </w:rPr>
        <w:t xml:space="preserve"> and CDR</w:t>
      </w:r>
    </w:p>
    <w:p w14:paraId="2B2976A3" w14:textId="662D8608" w:rsidR="00C6192F" w:rsidRDefault="00C6192F" w:rsidP="00384C84">
      <w:pPr>
        <w:spacing w:after="0"/>
      </w:pPr>
    </w:p>
    <w:p w14:paraId="7CE14DE0" w14:textId="6C23F13F" w:rsidR="00351F82" w:rsidRPr="006723E9" w:rsidRDefault="006723E9" w:rsidP="00384C84">
      <w:pPr>
        <w:spacing w:after="0"/>
      </w:pPr>
      <w:r>
        <w:t xml:space="preserve">The CATS model proposes </w:t>
      </w:r>
      <w:r>
        <w:rPr>
          <w:i/>
          <w:iCs/>
        </w:rPr>
        <w:t>zero</w:t>
      </w:r>
      <w:r>
        <w:t xml:space="preserve"> fuels production </w:t>
      </w:r>
      <w:r w:rsidR="00732C0F">
        <w:t xml:space="preserve">from </w:t>
      </w:r>
      <w:r>
        <w:t>waste biomass,</w:t>
      </w:r>
      <w:r w:rsidR="003F0966">
        <w:t xml:space="preserve"> including forest and agricultural residues</w:t>
      </w:r>
      <w:r w:rsidR="00377B4D">
        <w:t xml:space="preserve">, projected out to 2045. </w:t>
      </w:r>
      <w:r w:rsidR="00FF6749">
        <w:t>The</w:t>
      </w:r>
      <w:r w:rsidR="00F31860">
        <w:t xml:space="preserve"> model also proposes </w:t>
      </w:r>
      <w:r w:rsidR="00F31860" w:rsidRPr="003F7535">
        <w:rPr>
          <w:i/>
          <w:iCs/>
        </w:rPr>
        <w:t>zero</w:t>
      </w:r>
      <w:r w:rsidR="00F31860">
        <w:t xml:space="preserve"> bioenergy with carbon capture and storage </w:t>
      </w:r>
      <w:r w:rsidR="003D00B3">
        <w:t xml:space="preserve">(BECCS) </w:t>
      </w:r>
      <w:r w:rsidR="00F31860">
        <w:t>to provide needed carbon dioxide removal</w:t>
      </w:r>
      <w:r w:rsidR="003D00B3">
        <w:t xml:space="preserve"> (CDR)</w:t>
      </w:r>
      <w:r w:rsidR="00F31860">
        <w:t>.</w:t>
      </w:r>
      <w:r w:rsidR="00706839">
        <w:t xml:space="preserve"> </w:t>
      </w:r>
      <w:r w:rsidR="00351F82">
        <w:t>This is misaligned with the 2022 Scoping Plan</w:t>
      </w:r>
      <w:r w:rsidR="00FF6749">
        <w:t>,</w:t>
      </w:r>
      <w:r w:rsidR="00351F82">
        <w:t xml:space="preserve"> which identifies </w:t>
      </w:r>
      <w:r w:rsidR="003D00B3">
        <w:t>key role</w:t>
      </w:r>
      <w:r w:rsidR="00E03DD3">
        <w:t>s</w:t>
      </w:r>
      <w:r w:rsidR="003D00B3">
        <w:t xml:space="preserve"> for</w:t>
      </w:r>
      <w:r w:rsidR="00E03DD3">
        <w:t xml:space="preserve"> </w:t>
      </w:r>
      <w:r w:rsidR="00E45A9E">
        <w:t xml:space="preserve">both </w:t>
      </w:r>
      <w:r w:rsidR="003D00B3">
        <w:t xml:space="preserve">hydrogen to support </w:t>
      </w:r>
      <w:r w:rsidR="00E03DD3">
        <w:t xml:space="preserve">transport </w:t>
      </w:r>
      <w:r w:rsidR="003D00B3">
        <w:t>decarbonization</w:t>
      </w:r>
      <w:r w:rsidR="003D00B3">
        <w:rPr>
          <w:rStyle w:val="FootnoteReference"/>
        </w:rPr>
        <w:footnoteReference w:id="5"/>
      </w:r>
      <w:r w:rsidR="00E45A9E">
        <w:t xml:space="preserve"> and </w:t>
      </w:r>
      <w:r w:rsidR="003A0086">
        <w:lastRenderedPageBreak/>
        <w:t xml:space="preserve">BECCS to provide tens of millions of tons of annual CDR </w:t>
      </w:r>
      <w:r w:rsidR="003D00B3">
        <w:t xml:space="preserve">for </w:t>
      </w:r>
      <w:r w:rsidR="00351F82">
        <w:t>California to achieve net-zero by 2045</w:t>
      </w:r>
      <w:r w:rsidR="00D65DD4">
        <w:rPr>
          <w:rStyle w:val="FootnoteReference"/>
        </w:rPr>
        <w:footnoteReference w:id="6"/>
      </w:r>
      <w:r w:rsidR="00351F82">
        <w:t>.</w:t>
      </w:r>
      <w:r w:rsidR="004D7D37">
        <w:t xml:space="preserve"> </w:t>
      </w:r>
      <w:r w:rsidR="003D00B3">
        <w:t>It</w:t>
      </w:r>
      <w:r w:rsidR="004D7D37">
        <w:t xml:space="preserve"> is also inconsistent with </w:t>
      </w:r>
      <w:r w:rsidR="00443C1C">
        <w:t xml:space="preserve">Governor Newsom’s </w:t>
      </w:r>
      <w:hyperlink r:id="rId13" w:history="1">
        <w:r w:rsidR="00443C1C" w:rsidRPr="002E1CAD">
          <w:rPr>
            <w:rStyle w:val="Hyperlink"/>
          </w:rPr>
          <w:t>directive</w:t>
        </w:r>
      </w:hyperlink>
      <w:r w:rsidR="00443C1C">
        <w:t xml:space="preserve"> to CARB to achieve 20 Mt per year of CDR by 2030. </w:t>
      </w:r>
    </w:p>
    <w:p w14:paraId="5B84FBAF" w14:textId="77777777" w:rsidR="00BC189D" w:rsidRDefault="00BC189D" w:rsidP="00384C84">
      <w:pPr>
        <w:spacing w:after="0"/>
      </w:pPr>
    </w:p>
    <w:p w14:paraId="12B1A996" w14:textId="439519BE" w:rsidR="00421BFD" w:rsidRDefault="00421BFD" w:rsidP="00384C84">
      <w:pPr>
        <w:spacing w:after="0"/>
      </w:pPr>
      <w:r w:rsidRPr="00421BFD">
        <w:t xml:space="preserve">The CATS model is also misaligned with CARB’s mandate to ban agricultural field burning from 2025. </w:t>
      </w:r>
      <w:r w:rsidRPr="00FF6749">
        <w:rPr>
          <w:i/>
          <w:iCs/>
        </w:rPr>
        <w:t>Getting to Neutral</w:t>
      </w:r>
      <w:r w:rsidRPr="00421BFD">
        <w:t xml:space="preserve"> estimates that there are about 10 million tons of woody agricultural residues produced annually in California. This is a significant amount, and it is currently unclear how producers will meet the mandate. CARB can support its own mandate by </w:t>
      </w:r>
      <w:r w:rsidR="00D65DD4">
        <w:t>enabling</w:t>
      </w:r>
      <w:r w:rsidRPr="00421BFD">
        <w:t xml:space="preserve"> LCFS incentives for wood waste diversion to produce liquid and gaseous fuels. The avoided short-lived and criteria pollutant emissions that come from field burning and pile decay can also support CARB’s air pollution goals.</w:t>
      </w:r>
    </w:p>
    <w:p w14:paraId="210C01B0" w14:textId="77777777" w:rsidR="00421BFD" w:rsidRDefault="00421BFD" w:rsidP="00384C84">
      <w:pPr>
        <w:spacing w:after="0"/>
      </w:pPr>
    </w:p>
    <w:p w14:paraId="63B8D842" w14:textId="7984A83B" w:rsidR="00384C84" w:rsidRDefault="006E4E54" w:rsidP="00384C84">
      <w:pPr>
        <w:spacing w:after="0"/>
      </w:pPr>
      <w:r>
        <w:t xml:space="preserve">Finally, the CATS model is misaligned with numerous state policies at sister agencies that seek to incentivize </w:t>
      </w:r>
      <w:r w:rsidR="000A0212">
        <w:t xml:space="preserve">forest </w:t>
      </w:r>
      <w:r>
        <w:t xml:space="preserve">biomass waste conversion to </w:t>
      </w:r>
      <w:r w:rsidR="000C323F">
        <w:t xml:space="preserve">low-carbon </w:t>
      </w:r>
      <w:r>
        <w:t xml:space="preserve">fuels. </w:t>
      </w:r>
      <w:r w:rsidR="008774ED">
        <w:t xml:space="preserve">These include </w:t>
      </w:r>
      <w:r w:rsidR="00AB516F">
        <w:t>DOC</w:t>
      </w:r>
      <w:r w:rsidR="00984309">
        <w:t>’s</w:t>
      </w:r>
      <w:r w:rsidR="00756EA8">
        <w:t xml:space="preserve"> $50 million </w:t>
      </w:r>
      <w:hyperlink r:id="rId14" w:history="1">
        <w:r w:rsidR="00756EA8" w:rsidRPr="00756EA8">
          <w:rPr>
            <w:rStyle w:val="Hyperlink"/>
          </w:rPr>
          <w:t>grant program</w:t>
        </w:r>
      </w:hyperlink>
      <w:r w:rsidR="00384C84" w:rsidRPr="003F476F">
        <w:t xml:space="preserve"> </w:t>
      </w:r>
      <w:r w:rsidR="00F01454">
        <w:t>to support</w:t>
      </w:r>
      <w:r w:rsidR="00756EA8">
        <w:t xml:space="preserve"> forest biofuels projects</w:t>
      </w:r>
      <w:r w:rsidR="00D51D5B">
        <w:t xml:space="preserve">, </w:t>
      </w:r>
      <w:r w:rsidR="00384C84" w:rsidRPr="003F476F">
        <w:t xml:space="preserve">CAL FIRE’s </w:t>
      </w:r>
      <w:r w:rsidR="00C01CC5">
        <w:t xml:space="preserve">$25 million </w:t>
      </w:r>
      <w:hyperlink r:id="rId15" w:history="1">
        <w:r w:rsidR="00384C84" w:rsidRPr="007775DA">
          <w:rPr>
            <w:rStyle w:val="Hyperlink"/>
          </w:rPr>
          <w:t>Wood Products Grant Program</w:t>
        </w:r>
      </w:hyperlink>
      <w:r w:rsidR="00C01CC5">
        <w:t xml:space="preserve"> to support forest bioenergy and other wood products</w:t>
      </w:r>
      <w:r w:rsidR="00D51D5B">
        <w:t>,</w:t>
      </w:r>
      <w:r w:rsidR="00384C84" w:rsidRPr="003F476F">
        <w:t xml:space="preserve"> </w:t>
      </w:r>
      <w:r w:rsidR="00276149">
        <w:t>IBank’s</w:t>
      </w:r>
      <w:r w:rsidR="00D51D5B">
        <w:t xml:space="preserve"> $50 million </w:t>
      </w:r>
      <w:hyperlink r:id="rId16" w:history="1">
        <w:r w:rsidR="00384C84" w:rsidRPr="007775DA">
          <w:rPr>
            <w:rStyle w:val="Hyperlink"/>
          </w:rPr>
          <w:t>Climate Catalyst Fund</w:t>
        </w:r>
      </w:hyperlink>
      <w:r w:rsidR="00D51D5B">
        <w:t xml:space="preserve"> to support forest bioenergy</w:t>
      </w:r>
      <w:r w:rsidR="00ED1753">
        <w:t xml:space="preserve">, </w:t>
      </w:r>
      <w:r w:rsidR="00276149">
        <w:t>OPR’s</w:t>
      </w:r>
      <w:r w:rsidR="00F072A5">
        <w:t xml:space="preserve"> $5 million grant program to resolve challenges related to forest biomass feedstock supply</w:t>
      </w:r>
      <w:r w:rsidR="00ED1753">
        <w:t xml:space="preserve">, and </w:t>
      </w:r>
      <w:r w:rsidR="00276149">
        <w:t>CEC’s</w:t>
      </w:r>
      <w:r w:rsidR="00ED1753">
        <w:t xml:space="preserve"> $9 million </w:t>
      </w:r>
      <w:hyperlink r:id="rId17" w:history="1">
        <w:r w:rsidR="00730C36" w:rsidRPr="0024431D">
          <w:rPr>
            <w:rStyle w:val="Hyperlink"/>
          </w:rPr>
          <w:t>solicitation</w:t>
        </w:r>
      </w:hyperlink>
      <w:r w:rsidR="00730C36">
        <w:t xml:space="preserve"> </w:t>
      </w:r>
      <w:r w:rsidR="00ED1753">
        <w:t>to support</w:t>
      </w:r>
      <w:r w:rsidR="0038774D">
        <w:t xml:space="preserve"> </w:t>
      </w:r>
      <w:r w:rsidR="002E6EBF">
        <w:t xml:space="preserve">ultra-low carbon </w:t>
      </w:r>
      <w:r w:rsidR="0038774D">
        <w:t>fuels</w:t>
      </w:r>
      <w:r w:rsidR="00ED1753">
        <w:t xml:space="preserve"> </w:t>
      </w:r>
      <w:r w:rsidR="00511C53">
        <w:t>from</w:t>
      </w:r>
      <w:r w:rsidR="00ED1753">
        <w:t xml:space="preserve"> forest biomass.</w:t>
      </w:r>
      <w:r w:rsidR="00384C84">
        <w:t xml:space="preserve"> </w:t>
      </w:r>
    </w:p>
    <w:p w14:paraId="505E2C84" w14:textId="77777777" w:rsidR="00384C84" w:rsidRDefault="00384C84" w:rsidP="006A3C64">
      <w:pPr>
        <w:spacing w:after="0"/>
      </w:pPr>
    </w:p>
    <w:p w14:paraId="52E11B90" w14:textId="3CD5093E" w:rsidR="001551B2" w:rsidRDefault="0029110C" w:rsidP="007A64E3">
      <w:pPr>
        <w:spacing w:after="0"/>
      </w:pPr>
      <w:r>
        <w:t xml:space="preserve">Overall, the CATS model and LCFS program more broadly can be aligned with the 2022 Scoping Plan and state policies at sister agencies by </w:t>
      </w:r>
      <w:r w:rsidR="001551B2">
        <w:t xml:space="preserve">incorporating deployment of low-carbon biofuels and BECCS. </w:t>
      </w:r>
      <w:r>
        <w:t>To achieve this, we recommend that CARB develop a Tier-1 calculator for the conversion of biomass into fuels within CA-GREET. Short of this, we recommend that CARB develop guidance on acceptable approaches to perform woody biomass lifecycle assessments. This is currently a key hurdle to project development. As a first iteration, this guidance could be limited to waste feedstocks in California</w:t>
      </w:r>
      <w:r w:rsidR="00D009B8">
        <w:t>, limiting counterfactual considerations in particular to avoid pile burning and decomposition.</w:t>
      </w:r>
    </w:p>
    <w:p w14:paraId="586E9FD6" w14:textId="77777777" w:rsidR="00D91FE4" w:rsidRDefault="00D91FE4" w:rsidP="00F607B5">
      <w:pPr>
        <w:spacing w:after="0"/>
      </w:pPr>
    </w:p>
    <w:p w14:paraId="449E8EF4" w14:textId="24BB999F" w:rsidR="0087002B" w:rsidRPr="0087002B" w:rsidRDefault="0029110C" w:rsidP="00F607B5">
      <w:pPr>
        <w:spacing w:after="0"/>
        <w:rPr>
          <w:b/>
          <w:bCs/>
        </w:rPr>
      </w:pPr>
      <w:r>
        <w:rPr>
          <w:b/>
          <w:bCs/>
        </w:rPr>
        <w:t>Cost estimates for BECCS</w:t>
      </w:r>
    </w:p>
    <w:p w14:paraId="7C2E119F" w14:textId="0E670AC8" w:rsidR="00647E3D" w:rsidRDefault="00647E3D" w:rsidP="00F607B5">
      <w:pPr>
        <w:spacing w:after="0"/>
      </w:pPr>
    </w:p>
    <w:p w14:paraId="7FF4ED0B" w14:textId="344B02EA" w:rsidR="00EF1D7B" w:rsidRDefault="0029110C" w:rsidP="00A504AE">
      <w:pPr>
        <w:spacing w:after="0"/>
      </w:pPr>
      <w:r w:rsidRPr="00E45A9E">
        <w:t xml:space="preserve">CARB staff had requested cost estimates for low-carbon biofuels and BECCS technologies. We direct CARB staff to two leading reports: </w:t>
      </w:r>
      <w:hyperlink r:id="rId18" w:history="1">
        <w:r w:rsidRPr="00E45A9E">
          <w:rPr>
            <w:rStyle w:val="Hyperlink"/>
            <w:i/>
            <w:iCs/>
          </w:rPr>
          <w:t>Getting to Neutral</w:t>
        </w:r>
      </w:hyperlink>
      <w:r w:rsidRPr="00E45A9E">
        <w:rPr>
          <w:i/>
          <w:iCs/>
        </w:rPr>
        <w:t xml:space="preserve"> </w:t>
      </w:r>
      <w:r w:rsidRPr="00E45A9E">
        <w:t xml:space="preserve">by Lawrence Livermore National Laboratory and </w:t>
      </w:r>
      <w:hyperlink r:id="rId19" w:history="1">
        <w:r w:rsidRPr="00E45A9E">
          <w:rPr>
            <w:rStyle w:val="Hyperlink"/>
            <w:i/>
            <w:iCs/>
          </w:rPr>
          <w:t>Net-Zero America</w:t>
        </w:r>
      </w:hyperlink>
      <w:r w:rsidRPr="00E45A9E">
        <w:rPr>
          <w:i/>
          <w:iCs/>
        </w:rPr>
        <w:t xml:space="preserve"> </w:t>
      </w:r>
      <w:r w:rsidRPr="00E45A9E">
        <w:t>by Princeton University. Each of these</w:t>
      </w:r>
      <w:r>
        <w:t xml:space="preserve"> studies provide cost estimates for BECCS. Figure 2 shows </w:t>
      </w:r>
      <w:r>
        <w:rPr>
          <w:i/>
          <w:iCs/>
        </w:rPr>
        <w:t xml:space="preserve">Getting to Neutral’s </w:t>
      </w:r>
      <w:r>
        <w:t xml:space="preserve">cost estimates, which are $64/ton for forest and agricultural BECCS. </w:t>
      </w:r>
    </w:p>
    <w:p w14:paraId="428E5E88" w14:textId="6ACD600B" w:rsidR="00F25238" w:rsidRDefault="00F25238" w:rsidP="00A504AE">
      <w:pPr>
        <w:spacing w:after="0"/>
      </w:pPr>
    </w:p>
    <w:p w14:paraId="13831BAF" w14:textId="060D58A7" w:rsidR="00F35BB5" w:rsidRDefault="00F35BB5" w:rsidP="00F35BB5">
      <w:pPr>
        <w:spacing w:after="0"/>
        <w:jc w:val="center"/>
      </w:pPr>
      <w:r w:rsidRPr="00F35BB5">
        <w:rPr>
          <w:noProof/>
        </w:rPr>
        <w:lastRenderedPageBreak/>
        <w:drawing>
          <wp:inline distT="0" distB="0" distL="0" distR="0" wp14:anchorId="564E6440" wp14:editId="6E74B60C">
            <wp:extent cx="4750044" cy="3219615"/>
            <wp:effectExtent l="0" t="0" r="0" b="0"/>
            <wp:docPr id="2" name="Picture 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histogram&#10;&#10;Description automatically generated"/>
                    <pic:cNvPicPr/>
                  </pic:nvPicPr>
                  <pic:blipFill>
                    <a:blip r:embed="rId20"/>
                    <a:stretch>
                      <a:fillRect/>
                    </a:stretch>
                  </pic:blipFill>
                  <pic:spPr>
                    <a:xfrm>
                      <a:off x="0" y="0"/>
                      <a:ext cx="4750044" cy="3219615"/>
                    </a:xfrm>
                    <a:prstGeom prst="rect">
                      <a:avLst/>
                    </a:prstGeom>
                  </pic:spPr>
                </pic:pic>
              </a:graphicData>
            </a:graphic>
          </wp:inline>
        </w:drawing>
      </w:r>
    </w:p>
    <w:p w14:paraId="490EB1FE" w14:textId="0281F1E4" w:rsidR="00F35BB5" w:rsidRPr="00E03DD3" w:rsidRDefault="00F35BB5" w:rsidP="00E03DD3">
      <w:pPr>
        <w:spacing w:after="0"/>
        <w:ind w:left="990" w:right="1080"/>
        <w:jc w:val="center"/>
        <w:rPr>
          <w:sz w:val="18"/>
          <w:szCs w:val="18"/>
        </w:rPr>
      </w:pPr>
      <w:r w:rsidRPr="00E03DD3">
        <w:rPr>
          <w:b/>
          <w:bCs/>
          <w:sz w:val="18"/>
          <w:szCs w:val="18"/>
        </w:rPr>
        <w:t>Figure 2.</w:t>
      </w:r>
      <w:r w:rsidRPr="00E03DD3">
        <w:rPr>
          <w:sz w:val="18"/>
          <w:szCs w:val="18"/>
        </w:rPr>
        <w:t xml:space="preserve"> </w:t>
      </w:r>
      <w:r w:rsidR="00A03C16" w:rsidRPr="00E03DD3">
        <w:rPr>
          <w:sz w:val="18"/>
          <w:szCs w:val="18"/>
        </w:rPr>
        <w:t>Marginal abatement cost curve of negative emissions options for California. Nature-based solutions are highlighted in green, BECCS in blue, and DACCS in orange.</w:t>
      </w:r>
      <w:r w:rsidR="00D6366B" w:rsidRPr="00E03DD3">
        <w:rPr>
          <w:sz w:val="18"/>
          <w:szCs w:val="18"/>
        </w:rPr>
        <w:t xml:space="preserve"> Source: </w:t>
      </w:r>
      <w:r w:rsidR="00E03DD3">
        <w:rPr>
          <w:sz w:val="18"/>
          <w:szCs w:val="18"/>
        </w:rPr>
        <w:t>LLNL (2020)</w:t>
      </w:r>
    </w:p>
    <w:p w14:paraId="344E0A10" w14:textId="21668309" w:rsidR="00A504AE" w:rsidRDefault="00A504AE" w:rsidP="00F607B5">
      <w:pPr>
        <w:spacing w:after="0"/>
      </w:pPr>
    </w:p>
    <w:p w14:paraId="057A3055" w14:textId="662F1544" w:rsidR="00EC105E" w:rsidRDefault="00EC105E" w:rsidP="000E77AB">
      <w:pPr>
        <w:pStyle w:val="ListParagraph"/>
        <w:spacing w:after="0"/>
        <w:ind w:left="0"/>
        <w:rPr>
          <w:b/>
          <w:bCs/>
        </w:rPr>
      </w:pPr>
      <w:r>
        <w:rPr>
          <w:b/>
          <w:bCs/>
        </w:rPr>
        <w:t>Conclusion</w:t>
      </w:r>
    </w:p>
    <w:p w14:paraId="2128BCA8" w14:textId="77777777" w:rsidR="004F12D2" w:rsidRDefault="004F12D2" w:rsidP="004F12D2">
      <w:pPr>
        <w:spacing w:after="0"/>
      </w:pPr>
    </w:p>
    <w:p w14:paraId="474E4E14" w14:textId="0CC34B97" w:rsidR="00696F1A" w:rsidRDefault="00E45A9E" w:rsidP="001D5085">
      <w:pPr>
        <w:spacing w:after="0"/>
      </w:pPr>
      <w:r>
        <w:t xml:space="preserve">We hope these comments are useful and we stand ready to assist CARB staff with any questions. </w:t>
      </w:r>
    </w:p>
    <w:p w14:paraId="6A382C55" w14:textId="04C88A80" w:rsidR="00134292" w:rsidRDefault="00134292" w:rsidP="00134292">
      <w:pPr>
        <w:spacing w:after="0"/>
      </w:pPr>
    </w:p>
    <w:p w14:paraId="1C75FE5C" w14:textId="5F7E3097" w:rsidR="00631F5A" w:rsidRDefault="00631F5A" w:rsidP="00134292">
      <w:pPr>
        <w:spacing w:after="0"/>
      </w:pPr>
      <w:r>
        <w:t>Respectfully submitted,</w:t>
      </w:r>
    </w:p>
    <w:p w14:paraId="071AEDB2" w14:textId="77777777" w:rsidR="00C73C47" w:rsidRDefault="00C73C47" w:rsidP="00134292">
      <w:pPr>
        <w:spacing w:after="0"/>
      </w:pPr>
    </w:p>
    <w:p w14:paraId="4FDCB8FF" w14:textId="61B1E075" w:rsidR="00D215C1" w:rsidRDefault="00D215C1" w:rsidP="00D215C1">
      <w:pPr>
        <w:spacing w:after="0" w:line="360" w:lineRule="auto"/>
        <w:ind w:left="432"/>
      </w:pPr>
      <w:r>
        <w:t>Amanda DeMarco, Conservation Strategy Group</w:t>
      </w:r>
    </w:p>
    <w:p w14:paraId="033DF938" w14:textId="59D9A2FC" w:rsidR="002F094A" w:rsidRDefault="00631F5A" w:rsidP="00D215C1">
      <w:pPr>
        <w:spacing w:after="0" w:line="360" w:lineRule="auto"/>
        <w:ind w:left="432"/>
      </w:pPr>
      <w:r>
        <w:t>Sam Uden, Conservation Strategy Group</w:t>
      </w:r>
    </w:p>
    <w:sectPr w:rsidR="002F09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0C9F1" w14:textId="77777777" w:rsidR="00087DFD" w:rsidRDefault="00087DFD" w:rsidP="00AE41A5">
      <w:pPr>
        <w:spacing w:after="0" w:line="240" w:lineRule="auto"/>
      </w:pPr>
      <w:r>
        <w:separator/>
      </w:r>
    </w:p>
  </w:endnote>
  <w:endnote w:type="continuationSeparator" w:id="0">
    <w:p w14:paraId="10EA4D7A" w14:textId="77777777" w:rsidR="00087DFD" w:rsidRDefault="00087DFD" w:rsidP="00AE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5397" w14:textId="77777777" w:rsidR="00087DFD" w:rsidRDefault="00087DFD" w:rsidP="00AE41A5">
      <w:pPr>
        <w:spacing w:after="0" w:line="240" w:lineRule="auto"/>
      </w:pPr>
      <w:r>
        <w:separator/>
      </w:r>
    </w:p>
  </w:footnote>
  <w:footnote w:type="continuationSeparator" w:id="0">
    <w:p w14:paraId="3B3F41CE" w14:textId="77777777" w:rsidR="00087DFD" w:rsidRDefault="00087DFD" w:rsidP="00AE41A5">
      <w:pPr>
        <w:spacing w:after="0" w:line="240" w:lineRule="auto"/>
      </w:pPr>
      <w:r>
        <w:continuationSeparator/>
      </w:r>
    </w:p>
  </w:footnote>
  <w:footnote w:id="1">
    <w:p w14:paraId="5941F207" w14:textId="5CDE3F4A" w:rsidR="00370B06" w:rsidRPr="003A0086" w:rsidRDefault="00370B06">
      <w:pPr>
        <w:pStyle w:val="FootnoteText"/>
        <w:rPr>
          <w:sz w:val="18"/>
          <w:szCs w:val="18"/>
        </w:rPr>
      </w:pPr>
      <w:r w:rsidRPr="003A0086">
        <w:rPr>
          <w:rStyle w:val="FootnoteReference"/>
          <w:sz w:val="18"/>
          <w:szCs w:val="18"/>
        </w:rPr>
        <w:footnoteRef/>
      </w:r>
      <w:r w:rsidRPr="003A0086">
        <w:rPr>
          <w:sz w:val="18"/>
          <w:szCs w:val="18"/>
        </w:rPr>
        <w:t xml:space="preserve"> This includes an assumption that the state achieves its forest treatment goal of 1 million acres per year. </w:t>
      </w:r>
    </w:p>
  </w:footnote>
  <w:footnote w:id="2">
    <w:p w14:paraId="3CA459ED" w14:textId="77777777" w:rsidR="003A0086" w:rsidRPr="003A0086" w:rsidRDefault="003A0086" w:rsidP="003A0086">
      <w:pPr>
        <w:pStyle w:val="FootnoteText"/>
        <w:rPr>
          <w:sz w:val="18"/>
          <w:szCs w:val="18"/>
        </w:rPr>
      </w:pPr>
      <w:r w:rsidRPr="003A0086">
        <w:rPr>
          <w:rStyle w:val="FootnoteReference"/>
          <w:sz w:val="18"/>
          <w:szCs w:val="18"/>
        </w:rPr>
        <w:footnoteRef/>
      </w:r>
      <w:r w:rsidRPr="003A0086">
        <w:rPr>
          <w:sz w:val="18"/>
          <w:szCs w:val="18"/>
        </w:rPr>
        <w:t xml:space="preserve"> 1 dry ton of biomass contains 50% carbon. Therefore, 35 million dry tons of biomass contains 17.5 million tons of carbon. To convert carbon to CO2, multiply by 44/12. Therefore, 25*(44/12) = 91 MtCO2 per year.</w:t>
      </w:r>
    </w:p>
  </w:footnote>
  <w:footnote w:id="3">
    <w:p w14:paraId="0CFFE858" w14:textId="20323736" w:rsidR="001551B2" w:rsidRPr="003A0086" w:rsidRDefault="001551B2">
      <w:pPr>
        <w:pStyle w:val="FootnoteText"/>
        <w:rPr>
          <w:sz w:val="18"/>
          <w:szCs w:val="18"/>
        </w:rPr>
      </w:pPr>
      <w:r w:rsidRPr="003A0086">
        <w:rPr>
          <w:rStyle w:val="FootnoteReference"/>
          <w:sz w:val="18"/>
          <w:szCs w:val="18"/>
        </w:rPr>
        <w:footnoteRef/>
      </w:r>
      <w:r w:rsidRPr="003A0086">
        <w:rPr>
          <w:sz w:val="18"/>
          <w:szCs w:val="18"/>
        </w:rPr>
        <w:t xml:space="preserve"> </w:t>
      </w:r>
      <w:r w:rsidR="003A0086" w:rsidRPr="003A0086">
        <w:rPr>
          <w:sz w:val="18"/>
          <w:szCs w:val="18"/>
        </w:rPr>
        <w:t xml:space="preserve">For example, see: </w:t>
      </w:r>
      <w:hyperlink r:id="rId1" w:history="1">
        <w:r w:rsidR="003A0086" w:rsidRPr="003A0086">
          <w:rPr>
            <w:rStyle w:val="Hyperlink"/>
            <w:i/>
            <w:iCs/>
            <w:sz w:val="18"/>
            <w:szCs w:val="18"/>
          </w:rPr>
          <w:t>IPCC AR6 Climate Change 2022: Mitigation of Climate Change</w:t>
        </w:r>
      </w:hyperlink>
      <w:r w:rsidR="00A57428">
        <w:rPr>
          <w:sz w:val="18"/>
          <w:szCs w:val="18"/>
        </w:rPr>
        <w:t xml:space="preserve"> or the</w:t>
      </w:r>
      <w:r w:rsidR="003A0086" w:rsidRPr="003A0086">
        <w:rPr>
          <w:sz w:val="18"/>
          <w:szCs w:val="18"/>
        </w:rPr>
        <w:t xml:space="preserve"> </w:t>
      </w:r>
      <w:hyperlink r:id="rId2" w:history="1">
        <w:r w:rsidR="003A0086" w:rsidRPr="003A0086">
          <w:rPr>
            <w:rStyle w:val="Hyperlink"/>
            <w:i/>
            <w:iCs/>
            <w:sz w:val="18"/>
            <w:szCs w:val="18"/>
          </w:rPr>
          <w:t>Net-Zero America</w:t>
        </w:r>
      </w:hyperlink>
      <w:r w:rsidR="003A0086" w:rsidRPr="003A0086">
        <w:rPr>
          <w:i/>
          <w:iCs/>
          <w:sz w:val="18"/>
          <w:szCs w:val="18"/>
        </w:rPr>
        <w:t xml:space="preserve"> </w:t>
      </w:r>
      <w:r w:rsidR="003A0086" w:rsidRPr="003A0086">
        <w:rPr>
          <w:sz w:val="18"/>
          <w:szCs w:val="18"/>
        </w:rPr>
        <w:t xml:space="preserve">study. </w:t>
      </w:r>
    </w:p>
  </w:footnote>
  <w:footnote w:id="4">
    <w:p w14:paraId="710A2EC2" w14:textId="4A2FB714" w:rsidR="003D00B3" w:rsidRPr="003A0086" w:rsidRDefault="003D00B3">
      <w:pPr>
        <w:pStyle w:val="FootnoteText"/>
        <w:rPr>
          <w:sz w:val="18"/>
          <w:szCs w:val="18"/>
        </w:rPr>
      </w:pPr>
      <w:r w:rsidRPr="003A0086">
        <w:rPr>
          <w:rStyle w:val="FootnoteReference"/>
          <w:sz w:val="18"/>
          <w:szCs w:val="18"/>
        </w:rPr>
        <w:footnoteRef/>
      </w:r>
      <w:r w:rsidRPr="003A0086">
        <w:rPr>
          <w:sz w:val="18"/>
          <w:szCs w:val="18"/>
        </w:rPr>
        <w:t xml:space="preserve"> </w:t>
      </w:r>
      <w:r w:rsidR="003A0086">
        <w:rPr>
          <w:rFonts w:cstheme="minorHAnsi"/>
          <w:sz w:val="18"/>
          <w:szCs w:val="18"/>
        </w:rPr>
        <w:t>A subset include</w:t>
      </w:r>
      <w:r w:rsidR="00E45A9E">
        <w:rPr>
          <w:rFonts w:cstheme="minorHAnsi"/>
          <w:sz w:val="18"/>
          <w:szCs w:val="18"/>
        </w:rPr>
        <w:t>s</w:t>
      </w:r>
      <w:r w:rsidR="003A0086">
        <w:rPr>
          <w:rFonts w:cstheme="minorHAnsi"/>
          <w:sz w:val="18"/>
          <w:szCs w:val="18"/>
        </w:rPr>
        <w:t>:</w:t>
      </w:r>
      <w:r w:rsidR="003A0086" w:rsidRPr="003A0086">
        <w:rPr>
          <w:rFonts w:cstheme="minorHAnsi"/>
          <w:sz w:val="18"/>
          <w:szCs w:val="18"/>
        </w:rPr>
        <w:t xml:space="preserve"> </w:t>
      </w:r>
      <w:hyperlink r:id="rId3" w:history="1">
        <w:r w:rsidR="003A0086" w:rsidRPr="003A0086">
          <w:rPr>
            <w:rStyle w:val="Hyperlink"/>
            <w:rFonts w:cstheme="minorHAnsi"/>
            <w:color w:val="0000FF"/>
            <w:sz w:val="18"/>
            <w:szCs w:val="18"/>
          </w:rPr>
          <w:t>Mote</w:t>
        </w:r>
      </w:hyperlink>
      <w:r w:rsidR="003A0086" w:rsidRPr="003A0086">
        <w:rPr>
          <w:rFonts w:cstheme="minorHAnsi"/>
          <w:sz w:val="18"/>
          <w:szCs w:val="18"/>
        </w:rPr>
        <w:t xml:space="preserve">, </w:t>
      </w:r>
      <w:hyperlink r:id="rId4" w:history="1">
        <w:r w:rsidR="003A0086" w:rsidRPr="003A0086">
          <w:rPr>
            <w:rStyle w:val="Hyperlink"/>
            <w:rFonts w:cstheme="minorHAnsi"/>
            <w:color w:val="0000FF"/>
            <w:sz w:val="18"/>
            <w:szCs w:val="18"/>
          </w:rPr>
          <w:t>Clean Energy Systems</w:t>
        </w:r>
      </w:hyperlink>
      <w:r w:rsidR="003A0086" w:rsidRPr="003A0086">
        <w:rPr>
          <w:rFonts w:cstheme="minorHAnsi"/>
          <w:sz w:val="18"/>
          <w:szCs w:val="18"/>
        </w:rPr>
        <w:t xml:space="preserve">, </w:t>
      </w:r>
      <w:hyperlink r:id="rId5" w:history="1">
        <w:r w:rsidR="003A0086" w:rsidRPr="003A0086">
          <w:rPr>
            <w:rStyle w:val="Hyperlink"/>
            <w:rFonts w:cstheme="minorHAnsi"/>
            <w:color w:val="0000FF"/>
            <w:sz w:val="18"/>
            <w:szCs w:val="18"/>
          </w:rPr>
          <w:t>Yosemite Clean Energy</w:t>
        </w:r>
      </w:hyperlink>
      <w:r w:rsidR="003A0086" w:rsidRPr="003A0086">
        <w:rPr>
          <w:rFonts w:cstheme="minorHAnsi"/>
          <w:sz w:val="18"/>
          <w:szCs w:val="18"/>
        </w:rPr>
        <w:t xml:space="preserve">, </w:t>
      </w:r>
      <w:hyperlink r:id="rId6" w:history="1">
        <w:r w:rsidR="003A0086" w:rsidRPr="003A0086">
          <w:rPr>
            <w:rStyle w:val="Hyperlink"/>
            <w:rFonts w:cstheme="minorHAnsi"/>
            <w:color w:val="0000FF"/>
            <w:sz w:val="18"/>
            <w:szCs w:val="18"/>
          </w:rPr>
          <w:t>H Cycle</w:t>
        </w:r>
      </w:hyperlink>
      <w:r w:rsidR="003A0086" w:rsidRPr="003A0086">
        <w:rPr>
          <w:rStyle w:val="Hyperlink"/>
          <w:rFonts w:cstheme="minorHAnsi"/>
          <w:color w:val="auto"/>
          <w:sz w:val="18"/>
          <w:szCs w:val="18"/>
          <w:u w:val="none"/>
        </w:rPr>
        <w:t>,</w:t>
      </w:r>
      <w:r w:rsidR="00E45A9E">
        <w:rPr>
          <w:rStyle w:val="Hyperlink"/>
          <w:rFonts w:cstheme="minorHAnsi"/>
          <w:color w:val="auto"/>
          <w:sz w:val="18"/>
          <w:szCs w:val="18"/>
          <w:u w:val="none"/>
        </w:rPr>
        <w:t xml:space="preserve"> </w:t>
      </w:r>
      <w:hyperlink r:id="rId7" w:history="1">
        <w:r w:rsidR="00E45A9E" w:rsidRPr="00E45A9E">
          <w:rPr>
            <w:rStyle w:val="Hyperlink"/>
            <w:rFonts w:cstheme="minorHAnsi"/>
            <w:sz w:val="18"/>
            <w:szCs w:val="18"/>
          </w:rPr>
          <w:t>Kore</w:t>
        </w:r>
      </w:hyperlink>
      <w:r w:rsidR="00E45A9E">
        <w:rPr>
          <w:rStyle w:val="Hyperlink"/>
          <w:rFonts w:cstheme="minorHAnsi"/>
          <w:color w:val="auto"/>
          <w:sz w:val="18"/>
          <w:szCs w:val="18"/>
          <w:u w:val="none"/>
        </w:rPr>
        <w:t>,</w:t>
      </w:r>
      <w:r w:rsidR="003A0086" w:rsidRPr="003A0086">
        <w:rPr>
          <w:rStyle w:val="Hyperlink"/>
          <w:rFonts w:cstheme="minorHAnsi"/>
          <w:color w:val="auto"/>
          <w:sz w:val="18"/>
          <w:szCs w:val="18"/>
          <w:u w:val="none"/>
        </w:rPr>
        <w:t xml:space="preserve"> </w:t>
      </w:r>
      <w:hyperlink r:id="rId8" w:history="1">
        <w:r w:rsidR="003A0086" w:rsidRPr="003A0086">
          <w:rPr>
            <w:rStyle w:val="Hyperlink"/>
            <w:rFonts w:cstheme="minorHAnsi"/>
            <w:sz w:val="18"/>
            <w:szCs w:val="18"/>
          </w:rPr>
          <w:t>Raven SR</w:t>
        </w:r>
      </w:hyperlink>
      <w:r w:rsidR="003A0086" w:rsidRPr="003A0086">
        <w:rPr>
          <w:rStyle w:val="Hyperlink"/>
          <w:rFonts w:cstheme="minorHAnsi"/>
          <w:color w:val="auto"/>
          <w:sz w:val="18"/>
          <w:szCs w:val="18"/>
          <w:u w:val="none"/>
        </w:rPr>
        <w:t xml:space="preserve">, </w:t>
      </w:r>
      <w:hyperlink r:id="rId9" w:history="1">
        <w:r w:rsidR="003A0086" w:rsidRPr="003A0086">
          <w:rPr>
            <w:rStyle w:val="Hyperlink"/>
            <w:rFonts w:cstheme="minorHAnsi"/>
            <w:sz w:val="18"/>
            <w:szCs w:val="18"/>
          </w:rPr>
          <w:t>Aemetis</w:t>
        </w:r>
      </w:hyperlink>
      <w:r w:rsidR="003A0086" w:rsidRPr="003A0086">
        <w:rPr>
          <w:rStyle w:val="Hyperlink"/>
          <w:rFonts w:cstheme="minorHAnsi"/>
          <w:color w:val="auto"/>
          <w:sz w:val="18"/>
          <w:szCs w:val="18"/>
          <w:u w:val="none"/>
        </w:rPr>
        <w:t xml:space="preserve"> and </w:t>
      </w:r>
      <w:hyperlink r:id="rId10" w:history="1">
        <w:r w:rsidR="003A0086" w:rsidRPr="003A0086">
          <w:rPr>
            <w:rStyle w:val="Hyperlink"/>
            <w:rFonts w:cstheme="minorHAnsi"/>
            <w:sz w:val="18"/>
            <w:szCs w:val="18"/>
          </w:rPr>
          <w:t>SG H2 Energy</w:t>
        </w:r>
      </w:hyperlink>
      <w:r w:rsidR="003A0086" w:rsidRPr="003A0086">
        <w:rPr>
          <w:sz w:val="18"/>
          <w:szCs w:val="18"/>
        </w:rPr>
        <w:t>.</w:t>
      </w:r>
    </w:p>
  </w:footnote>
  <w:footnote w:id="5">
    <w:p w14:paraId="636E0FB5" w14:textId="1A7DEE19" w:rsidR="003D00B3" w:rsidRPr="003A0086" w:rsidRDefault="003D00B3">
      <w:pPr>
        <w:pStyle w:val="FootnoteText"/>
        <w:rPr>
          <w:sz w:val="18"/>
          <w:szCs w:val="18"/>
        </w:rPr>
      </w:pPr>
      <w:r w:rsidRPr="003A0086">
        <w:rPr>
          <w:rStyle w:val="FootnoteReference"/>
          <w:sz w:val="18"/>
          <w:szCs w:val="18"/>
        </w:rPr>
        <w:footnoteRef/>
      </w:r>
      <w:r w:rsidRPr="003A0086">
        <w:rPr>
          <w:sz w:val="18"/>
          <w:szCs w:val="18"/>
        </w:rPr>
        <w:t xml:space="preserve"> </w:t>
      </w:r>
      <w:r w:rsidR="00E45A9E">
        <w:rPr>
          <w:sz w:val="18"/>
          <w:szCs w:val="18"/>
        </w:rPr>
        <w:t xml:space="preserve">2022 Scoping Plan – Appendix H, Table H-13. </w:t>
      </w:r>
    </w:p>
  </w:footnote>
  <w:footnote w:id="6">
    <w:p w14:paraId="396F86E6" w14:textId="6B803783" w:rsidR="00D65DD4" w:rsidRPr="003A0086" w:rsidRDefault="00D65DD4">
      <w:pPr>
        <w:pStyle w:val="FootnoteText"/>
        <w:rPr>
          <w:sz w:val="18"/>
          <w:szCs w:val="18"/>
        </w:rPr>
      </w:pPr>
      <w:r w:rsidRPr="003A0086">
        <w:rPr>
          <w:rStyle w:val="FootnoteReference"/>
          <w:sz w:val="18"/>
          <w:szCs w:val="18"/>
        </w:rPr>
        <w:footnoteRef/>
      </w:r>
      <w:r w:rsidRPr="003A0086">
        <w:rPr>
          <w:sz w:val="18"/>
          <w:szCs w:val="18"/>
        </w:rPr>
        <w:t xml:space="preserve"> </w:t>
      </w:r>
      <w:r w:rsidR="00E45A9E">
        <w:rPr>
          <w:sz w:val="18"/>
          <w:szCs w:val="18"/>
        </w:rPr>
        <w:t xml:space="preserve">2022 Scoping Plan – Table 2-3.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4AF3"/>
    <w:multiLevelType w:val="hybridMultilevel"/>
    <w:tmpl w:val="FC4E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D2D90"/>
    <w:multiLevelType w:val="hybridMultilevel"/>
    <w:tmpl w:val="B93221E8"/>
    <w:lvl w:ilvl="0" w:tplc="9422542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70AE2"/>
    <w:multiLevelType w:val="multilevel"/>
    <w:tmpl w:val="679C2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D4E9E"/>
    <w:multiLevelType w:val="hybridMultilevel"/>
    <w:tmpl w:val="238C3776"/>
    <w:lvl w:ilvl="0" w:tplc="34365C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3066E"/>
    <w:multiLevelType w:val="multilevel"/>
    <w:tmpl w:val="AA0A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9A646B"/>
    <w:multiLevelType w:val="hybridMultilevel"/>
    <w:tmpl w:val="11ECD044"/>
    <w:lvl w:ilvl="0" w:tplc="E87EED74">
      <w:start w:val="10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066FE7"/>
    <w:multiLevelType w:val="hybridMultilevel"/>
    <w:tmpl w:val="F454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473F5"/>
    <w:multiLevelType w:val="multilevel"/>
    <w:tmpl w:val="AB52F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9832A3"/>
    <w:multiLevelType w:val="hybridMultilevel"/>
    <w:tmpl w:val="995C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777CC4"/>
    <w:multiLevelType w:val="hybridMultilevel"/>
    <w:tmpl w:val="D5FC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434693"/>
    <w:multiLevelType w:val="hybridMultilevel"/>
    <w:tmpl w:val="E0AA90E4"/>
    <w:lvl w:ilvl="0" w:tplc="E87EED74">
      <w:start w:val="10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AF155B"/>
    <w:multiLevelType w:val="hybridMultilevel"/>
    <w:tmpl w:val="15A22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070640">
    <w:abstractNumId w:val="2"/>
  </w:num>
  <w:num w:numId="2" w16cid:durableId="1138301983">
    <w:abstractNumId w:val="4"/>
  </w:num>
  <w:num w:numId="3" w16cid:durableId="2002195099">
    <w:abstractNumId w:val="7"/>
  </w:num>
  <w:num w:numId="4" w16cid:durableId="117455798">
    <w:abstractNumId w:val="5"/>
  </w:num>
  <w:num w:numId="5" w16cid:durableId="1997488086">
    <w:abstractNumId w:val="6"/>
  </w:num>
  <w:num w:numId="6" w16cid:durableId="1602908513">
    <w:abstractNumId w:val="9"/>
  </w:num>
  <w:num w:numId="7" w16cid:durableId="1899197807">
    <w:abstractNumId w:val="11"/>
  </w:num>
  <w:num w:numId="8" w16cid:durableId="1402948008">
    <w:abstractNumId w:val="0"/>
  </w:num>
  <w:num w:numId="9" w16cid:durableId="360712661">
    <w:abstractNumId w:val="10"/>
  </w:num>
  <w:num w:numId="10" w16cid:durableId="1113596778">
    <w:abstractNumId w:val="8"/>
  </w:num>
  <w:num w:numId="11" w16cid:durableId="385565628">
    <w:abstractNumId w:val="1"/>
  </w:num>
  <w:num w:numId="12" w16cid:durableId="852380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F6"/>
    <w:rsid w:val="0000003D"/>
    <w:rsid w:val="0000333C"/>
    <w:rsid w:val="00007DE9"/>
    <w:rsid w:val="00014336"/>
    <w:rsid w:val="00017386"/>
    <w:rsid w:val="00024589"/>
    <w:rsid w:val="0003562A"/>
    <w:rsid w:val="00036A59"/>
    <w:rsid w:val="0004211C"/>
    <w:rsid w:val="00045A7B"/>
    <w:rsid w:val="00057825"/>
    <w:rsid w:val="00060781"/>
    <w:rsid w:val="00060DD0"/>
    <w:rsid w:val="00061DB8"/>
    <w:rsid w:val="00061F73"/>
    <w:rsid w:val="00067336"/>
    <w:rsid w:val="00070A2F"/>
    <w:rsid w:val="00071CA1"/>
    <w:rsid w:val="000845ED"/>
    <w:rsid w:val="00087C24"/>
    <w:rsid w:val="00087DFD"/>
    <w:rsid w:val="00091600"/>
    <w:rsid w:val="00091CD1"/>
    <w:rsid w:val="00093AAB"/>
    <w:rsid w:val="000A0212"/>
    <w:rsid w:val="000A7F80"/>
    <w:rsid w:val="000B1C86"/>
    <w:rsid w:val="000B7757"/>
    <w:rsid w:val="000B7916"/>
    <w:rsid w:val="000C0180"/>
    <w:rsid w:val="000C127C"/>
    <w:rsid w:val="000C323F"/>
    <w:rsid w:val="000C3E66"/>
    <w:rsid w:val="000D0278"/>
    <w:rsid w:val="000D284F"/>
    <w:rsid w:val="000D6EAF"/>
    <w:rsid w:val="000D7C8D"/>
    <w:rsid w:val="000E3EBA"/>
    <w:rsid w:val="000E77AB"/>
    <w:rsid w:val="000F0306"/>
    <w:rsid w:val="000F0CA5"/>
    <w:rsid w:val="000F5965"/>
    <w:rsid w:val="00100505"/>
    <w:rsid w:val="001147F0"/>
    <w:rsid w:val="00131070"/>
    <w:rsid w:val="00134292"/>
    <w:rsid w:val="00140557"/>
    <w:rsid w:val="00143F56"/>
    <w:rsid w:val="00144039"/>
    <w:rsid w:val="00151062"/>
    <w:rsid w:val="00152B95"/>
    <w:rsid w:val="001551B2"/>
    <w:rsid w:val="0016113E"/>
    <w:rsid w:val="001634E1"/>
    <w:rsid w:val="0017450C"/>
    <w:rsid w:val="00174B25"/>
    <w:rsid w:val="00180A4E"/>
    <w:rsid w:val="00184520"/>
    <w:rsid w:val="00191E42"/>
    <w:rsid w:val="00194CDF"/>
    <w:rsid w:val="001A12AF"/>
    <w:rsid w:val="001A3B30"/>
    <w:rsid w:val="001B4DD5"/>
    <w:rsid w:val="001B7C77"/>
    <w:rsid w:val="001C36D4"/>
    <w:rsid w:val="001C6D0D"/>
    <w:rsid w:val="001D00B7"/>
    <w:rsid w:val="001D34AB"/>
    <w:rsid w:val="001D5085"/>
    <w:rsid w:val="001E428D"/>
    <w:rsid w:val="001E75E9"/>
    <w:rsid w:val="001F0F62"/>
    <w:rsid w:val="001F2CF4"/>
    <w:rsid w:val="001F54D1"/>
    <w:rsid w:val="001F74D6"/>
    <w:rsid w:val="002060FA"/>
    <w:rsid w:val="002079B9"/>
    <w:rsid w:val="00211C63"/>
    <w:rsid w:val="00216746"/>
    <w:rsid w:val="002209DD"/>
    <w:rsid w:val="00221F53"/>
    <w:rsid w:val="002231E9"/>
    <w:rsid w:val="00226412"/>
    <w:rsid w:val="00227884"/>
    <w:rsid w:val="0023147A"/>
    <w:rsid w:val="0023193D"/>
    <w:rsid w:val="00233FB8"/>
    <w:rsid w:val="0024431D"/>
    <w:rsid w:val="002474F9"/>
    <w:rsid w:val="00257169"/>
    <w:rsid w:val="00262881"/>
    <w:rsid w:val="00262E68"/>
    <w:rsid w:val="00263F53"/>
    <w:rsid w:val="00276149"/>
    <w:rsid w:val="002827AA"/>
    <w:rsid w:val="00284E46"/>
    <w:rsid w:val="00285619"/>
    <w:rsid w:val="002868E2"/>
    <w:rsid w:val="0029110C"/>
    <w:rsid w:val="0029237B"/>
    <w:rsid w:val="002946E4"/>
    <w:rsid w:val="0029751F"/>
    <w:rsid w:val="002A0002"/>
    <w:rsid w:val="002A35CB"/>
    <w:rsid w:val="002A4420"/>
    <w:rsid w:val="002A4471"/>
    <w:rsid w:val="002A4703"/>
    <w:rsid w:val="002A4ECB"/>
    <w:rsid w:val="002A602F"/>
    <w:rsid w:val="002A716C"/>
    <w:rsid w:val="002A7C6F"/>
    <w:rsid w:val="002B3F91"/>
    <w:rsid w:val="002B401C"/>
    <w:rsid w:val="002B72E7"/>
    <w:rsid w:val="002B7F8F"/>
    <w:rsid w:val="002C7B16"/>
    <w:rsid w:val="002D3EEB"/>
    <w:rsid w:val="002E18C5"/>
    <w:rsid w:val="002E1CAD"/>
    <w:rsid w:val="002E6EBF"/>
    <w:rsid w:val="002F094A"/>
    <w:rsid w:val="002F1ADF"/>
    <w:rsid w:val="002F5CE9"/>
    <w:rsid w:val="002F6114"/>
    <w:rsid w:val="0030015C"/>
    <w:rsid w:val="0030779B"/>
    <w:rsid w:val="003100D7"/>
    <w:rsid w:val="0031414C"/>
    <w:rsid w:val="00314289"/>
    <w:rsid w:val="00314EF0"/>
    <w:rsid w:val="003173AC"/>
    <w:rsid w:val="003236F5"/>
    <w:rsid w:val="00334313"/>
    <w:rsid w:val="00337663"/>
    <w:rsid w:val="00337754"/>
    <w:rsid w:val="00343ACB"/>
    <w:rsid w:val="00351F82"/>
    <w:rsid w:val="00354F79"/>
    <w:rsid w:val="00357763"/>
    <w:rsid w:val="00360918"/>
    <w:rsid w:val="00360BA1"/>
    <w:rsid w:val="00370B06"/>
    <w:rsid w:val="00372DB2"/>
    <w:rsid w:val="00377B4D"/>
    <w:rsid w:val="00383A1B"/>
    <w:rsid w:val="00384B31"/>
    <w:rsid w:val="00384C84"/>
    <w:rsid w:val="00384D79"/>
    <w:rsid w:val="00387168"/>
    <w:rsid w:val="0038774D"/>
    <w:rsid w:val="00391D8A"/>
    <w:rsid w:val="00395EFA"/>
    <w:rsid w:val="003A0086"/>
    <w:rsid w:val="003A4AE4"/>
    <w:rsid w:val="003B1211"/>
    <w:rsid w:val="003B45BE"/>
    <w:rsid w:val="003B6301"/>
    <w:rsid w:val="003C03B5"/>
    <w:rsid w:val="003C09D3"/>
    <w:rsid w:val="003C250D"/>
    <w:rsid w:val="003C51CD"/>
    <w:rsid w:val="003C68FC"/>
    <w:rsid w:val="003D005D"/>
    <w:rsid w:val="003D00B3"/>
    <w:rsid w:val="003D226E"/>
    <w:rsid w:val="003D3B05"/>
    <w:rsid w:val="003D46EA"/>
    <w:rsid w:val="003D4FD1"/>
    <w:rsid w:val="003D6D7C"/>
    <w:rsid w:val="003F0966"/>
    <w:rsid w:val="003F2D95"/>
    <w:rsid w:val="003F448D"/>
    <w:rsid w:val="003F46C3"/>
    <w:rsid w:val="003F476F"/>
    <w:rsid w:val="003F5602"/>
    <w:rsid w:val="003F6314"/>
    <w:rsid w:val="003F7535"/>
    <w:rsid w:val="0040006B"/>
    <w:rsid w:val="00407F23"/>
    <w:rsid w:val="004107EE"/>
    <w:rsid w:val="00412506"/>
    <w:rsid w:val="00412992"/>
    <w:rsid w:val="00414645"/>
    <w:rsid w:val="00416660"/>
    <w:rsid w:val="00416B78"/>
    <w:rsid w:val="00417C10"/>
    <w:rsid w:val="00417D9E"/>
    <w:rsid w:val="00421BFD"/>
    <w:rsid w:val="0042413A"/>
    <w:rsid w:val="0042665C"/>
    <w:rsid w:val="0043293F"/>
    <w:rsid w:val="004346F5"/>
    <w:rsid w:val="00434DA4"/>
    <w:rsid w:val="00435A1E"/>
    <w:rsid w:val="00437119"/>
    <w:rsid w:val="00442B7C"/>
    <w:rsid w:val="00443C1C"/>
    <w:rsid w:val="00450649"/>
    <w:rsid w:val="004545F1"/>
    <w:rsid w:val="004564E8"/>
    <w:rsid w:val="004817BB"/>
    <w:rsid w:val="004828E1"/>
    <w:rsid w:val="00485727"/>
    <w:rsid w:val="0049790D"/>
    <w:rsid w:val="004A08E5"/>
    <w:rsid w:val="004A4298"/>
    <w:rsid w:val="004A65E4"/>
    <w:rsid w:val="004A79D2"/>
    <w:rsid w:val="004B2B53"/>
    <w:rsid w:val="004B3AB1"/>
    <w:rsid w:val="004B3E4E"/>
    <w:rsid w:val="004B4F7A"/>
    <w:rsid w:val="004C762B"/>
    <w:rsid w:val="004D7D37"/>
    <w:rsid w:val="004E0C6D"/>
    <w:rsid w:val="004E6AAD"/>
    <w:rsid w:val="004F12D2"/>
    <w:rsid w:val="00501E12"/>
    <w:rsid w:val="00511C53"/>
    <w:rsid w:val="00527C3F"/>
    <w:rsid w:val="00535E2C"/>
    <w:rsid w:val="00536558"/>
    <w:rsid w:val="005471E4"/>
    <w:rsid w:val="00547524"/>
    <w:rsid w:val="00562677"/>
    <w:rsid w:val="00567DB6"/>
    <w:rsid w:val="00583CB1"/>
    <w:rsid w:val="0058651B"/>
    <w:rsid w:val="0058710C"/>
    <w:rsid w:val="005914EA"/>
    <w:rsid w:val="00592E3C"/>
    <w:rsid w:val="005972D6"/>
    <w:rsid w:val="005A2BC8"/>
    <w:rsid w:val="005A3C0D"/>
    <w:rsid w:val="005A723C"/>
    <w:rsid w:val="005A7274"/>
    <w:rsid w:val="005B01E2"/>
    <w:rsid w:val="005B5D81"/>
    <w:rsid w:val="005B61A8"/>
    <w:rsid w:val="005C0FFD"/>
    <w:rsid w:val="005C4CA2"/>
    <w:rsid w:val="005C5061"/>
    <w:rsid w:val="005C668A"/>
    <w:rsid w:val="005D5CAC"/>
    <w:rsid w:val="005D72DB"/>
    <w:rsid w:val="005E2A37"/>
    <w:rsid w:val="005E3F07"/>
    <w:rsid w:val="005E48E5"/>
    <w:rsid w:val="005F46BA"/>
    <w:rsid w:val="005F52A1"/>
    <w:rsid w:val="006071D3"/>
    <w:rsid w:val="00610C69"/>
    <w:rsid w:val="006178D3"/>
    <w:rsid w:val="006272A5"/>
    <w:rsid w:val="00627909"/>
    <w:rsid w:val="006318AF"/>
    <w:rsid w:val="00631F5A"/>
    <w:rsid w:val="00634FF4"/>
    <w:rsid w:val="00635413"/>
    <w:rsid w:val="006427E2"/>
    <w:rsid w:val="006441B9"/>
    <w:rsid w:val="006454DE"/>
    <w:rsid w:val="00647A4E"/>
    <w:rsid w:val="00647E3D"/>
    <w:rsid w:val="00652D3D"/>
    <w:rsid w:val="006530EF"/>
    <w:rsid w:val="00653E8D"/>
    <w:rsid w:val="0065720B"/>
    <w:rsid w:val="0066212F"/>
    <w:rsid w:val="00662EB7"/>
    <w:rsid w:val="00663D33"/>
    <w:rsid w:val="006723E9"/>
    <w:rsid w:val="00682D72"/>
    <w:rsid w:val="00694A3D"/>
    <w:rsid w:val="00696F1A"/>
    <w:rsid w:val="006A0B9C"/>
    <w:rsid w:val="006A3C64"/>
    <w:rsid w:val="006B4A0C"/>
    <w:rsid w:val="006C0FA5"/>
    <w:rsid w:val="006C4380"/>
    <w:rsid w:val="006C6731"/>
    <w:rsid w:val="006C7D6F"/>
    <w:rsid w:val="006D07C8"/>
    <w:rsid w:val="006D1CB5"/>
    <w:rsid w:val="006D1CD2"/>
    <w:rsid w:val="006D592E"/>
    <w:rsid w:val="006D5A10"/>
    <w:rsid w:val="006D62BC"/>
    <w:rsid w:val="006D7CA4"/>
    <w:rsid w:val="006E1AFC"/>
    <w:rsid w:val="006E4E54"/>
    <w:rsid w:val="006E689A"/>
    <w:rsid w:val="006E6D15"/>
    <w:rsid w:val="006F35DB"/>
    <w:rsid w:val="006F430B"/>
    <w:rsid w:val="006F642B"/>
    <w:rsid w:val="006F78B6"/>
    <w:rsid w:val="006F7969"/>
    <w:rsid w:val="00700EE2"/>
    <w:rsid w:val="00704F41"/>
    <w:rsid w:val="00706839"/>
    <w:rsid w:val="0070699C"/>
    <w:rsid w:val="00714800"/>
    <w:rsid w:val="007230CB"/>
    <w:rsid w:val="00723E04"/>
    <w:rsid w:val="00724AC6"/>
    <w:rsid w:val="00730C36"/>
    <w:rsid w:val="00732C0F"/>
    <w:rsid w:val="00734C8A"/>
    <w:rsid w:val="00740BE3"/>
    <w:rsid w:val="00741D70"/>
    <w:rsid w:val="007443D7"/>
    <w:rsid w:val="00747B5A"/>
    <w:rsid w:val="00751272"/>
    <w:rsid w:val="0075466D"/>
    <w:rsid w:val="00756B97"/>
    <w:rsid w:val="00756EA8"/>
    <w:rsid w:val="00760835"/>
    <w:rsid w:val="00765F39"/>
    <w:rsid w:val="007670CA"/>
    <w:rsid w:val="00772A68"/>
    <w:rsid w:val="00773537"/>
    <w:rsid w:val="00773A7D"/>
    <w:rsid w:val="00773C3E"/>
    <w:rsid w:val="00776B45"/>
    <w:rsid w:val="007775DA"/>
    <w:rsid w:val="00780627"/>
    <w:rsid w:val="00780661"/>
    <w:rsid w:val="00782149"/>
    <w:rsid w:val="007835C9"/>
    <w:rsid w:val="00785D96"/>
    <w:rsid w:val="00791EB9"/>
    <w:rsid w:val="0079563A"/>
    <w:rsid w:val="007A2733"/>
    <w:rsid w:val="007A2876"/>
    <w:rsid w:val="007A437D"/>
    <w:rsid w:val="007A5ABC"/>
    <w:rsid w:val="007A64E3"/>
    <w:rsid w:val="007B0F8D"/>
    <w:rsid w:val="007B2AA1"/>
    <w:rsid w:val="007B3F88"/>
    <w:rsid w:val="007B4789"/>
    <w:rsid w:val="007B525E"/>
    <w:rsid w:val="007C3841"/>
    <w:rsid w:val="007D0DB4"/>
    <w:rsid w:val="007D2A6D"/>
    <w:rsid w:val="007D3BA8"/>
    <w:rsid w:val="007E129A"/>
    <w:rsid w:val="007E472F"/>
    <w:rsid w:val="007F3B03"/>
    <w:rsid w:val="007F5ACC"/>
    <w:rsid w:val="007F709D"/>
    <w:rsid w:val="008047CA"/>
    <w:rsid w:val="008057F3"/>
    <w:rsid w:val="0080592F"/>
    <w:rsid w:val="00810B9C"/>
    <w:rsid w:val="008119DE"/>
    <w:rsid w:val="00816A6A"/>
    <w:rsid w:val="00823390"/>
    <w:rsid w:val="00830333"/>
    <w:rsid w:val="00830C42"/>
    <w:rsid w:val="00832B56"/>
    <w:rsid w:val="00834D0A"/>
    <w:rsid w:val="008358C1"/>
    <w:rsid w:val="00836A02"/>
    <w:rsid w:val="00843C11"/>
    <w:rsid w:val="0084502E"/>
    <w:rsid w:val="00846879"/>
    <w:rsid w:val="00846FB5"/>
    <w:rsid w:val="0085191C"/>
    <w:rsid w:val="00856171"/>
    <w:rsid w:val="008576DD"/>
    <w:rsid w:val="00861F04"/>
    <w:rsid w:val="00862052"/>
    <w:rsid w:val="00862EEF"/>
    <w:rsid w:val="00862F65"/>
    <w:rsid w:val="0086766C"/>
    <w:rsid w:val="00867776"/>
    <w:rsid w:val="0087002B"/>
    <w:rsid w:val="008774ED"/>
    <w:rsid w:val="0088547B"/>
    <w:rsid w:val="00886A51"/>
    <w:rsid w:val="008910AD"/>
    <w:rsid w:val="008973FE"/>
    <w:rsid w:val="008A0692"/>
    <w:rsid w:val="008A3055"/>
    <w:rsid w:val="008A4C71"/>
    <w:rsid w:val="008B069F"/>
    <w:rsid w:val="008B38A8"/>
    <w:rsid w:val="008B61FC"/>
    <w:rsid w:val="008B667E"/>
    <w:rsid w:val="008C4C31"/>
    <w:rsid w:val="008C7E63"/>
    <w:rsid w:val="008D3240"/>
    <w:rsid w:val="008D5789"/>
    <w:rsid w:val="008E14EF"/>
    <w:rsid w:val="008E2138"/>
    <w:rsid w:val="008E4BAC"/>
    <w:rsid w:val="008E5F4E"/>
    <w:rsid w:val="008F1383"/>
    <w:rsid w:val="008F66EB"/>
    <w:rsid w:val="0090034B"/>
    <w:rsid w:val="009006FE"/>
    <w:rsid w:val="009052EC"/>
    <w:rsid w:val="0091240C"/>
    <w:rsid w:val="0091261A"/>
    <w:rsid w:val="00912643"/>
    <w:rsid w:val="00913DB7"/>
    <w:rsid w:val="00914403"/>
    <w:rsid w:val="0093269B"/>
    <w:rsid w:val="00935947"/>
    <w:rsid w:val="00936DBB"/>
    <w:rsid w:val="009374B9"/>
    <w:rsid w:val="00937BB5"/>
    <w:rsid w:val="00942AEA"/>
    <w:rsid w:val="00946BA8"/>
    <w:rsid w:val="009522E7"/>
    <w:rsid w:val="00955A84"/>
    <w:rsid w:val="00956459"/>
    <w:rsid w:val="00960207"/>
    <w:rsid w:val="00972169"/>
    <w:rsid w:val="009745C5"/>
    <w:rsid w:val="00974F18"/>
    <w:rsid w:val="00975FCE"/>
    <w:rsid w:val="009771DB"/>
    <w:rsid w:val="00980EAE"/>
    <w:rsid w:val="00982111"/>
    <w:rsid w:val="00984309"/>
    <w:rsid w:val="00985297"/>
    <w:rsid w:val="0099519B"/>
    <w:rsid w:val="00997379"/>
    <w:rsid w:val="009A23A3"/>
    <w:rsid w:val="009A5F1B"/>
    <w:rsid w:val="009B5762"/>
    <w:rsid w:val="009C358C"/>
    <w:rsid w:val="009C361B"/>
    <w:rsid w:val="009C52E0"/>
    <w:rsid w:val="009D0A7F"/>
    <w:rsid w:val="009D225F"/>
    <w:rsid w:val="009D4B7E"/>
    <w:rsid w:val="009E0203"/>
    <w:rsid w:val="009F5A3E"/>
    <w:rsid w:val="009F680C"/>
    <w:rsid w:val="00A033AF"/>
    <w:rsid w:val="00A03C16"/>
    <w:rsid w:val="00A04378"/>
    <w:rsid w:val="00A05F64"/>
    <w:rsid w:val="00A10050"/>
    <w:rsid w:val="00A122B9"/>
    <w:rsid w:val="00A12799"/>
    <w:rsid w:val="00A13094"/>
    <w:rsid w:val="00A15179"/>
    <w:rsid w:val="00A15940"/>
    <w:rsid w:val="00A169D3"/>
    <w:rsid w:val="00A243F0"/>
    <w:rsid w:val="00A25F8E"/>
    <w:rsid w:val="00A26DC5"/>
    <w:rsid w:val="00A27D28"/>
    <w:rsid w:val="00A35ABE"/>
    <w:rsid w:val="00A37097"/>
    <w:rsid w:val="00A4050A"/>
    <w:rsid w:val="00A41922"/>
    <w:rsid w:val="00A441BF"/>
    <w:rsid w:val="00A44518"/>
    <w:rsid w:val="00A504AE"/>
    <w:rsid w:val="00A57428"/>
    <w:rsid w:val="00A5779F"/>
    <w:rsid w:val="00A61CEC"/>
    <w:rsid w:val="00A6204D"/>
    <w:rsid w:val="00A66C50"/>
    <w:rsid w:val="00A77EA9"/>
    <w:rsid w:val="00A86CD9"/>
    <w:rsid w:val="00A931C4"/>
    <w:rsid w:val="00A97134"/>
    <w:rsid w:val="00AA3508"/>
    <w:rsid w:val="00AA6496"/>
    <w:rsid w:val="00AB1E36"/>
    <w:rsid w:val="00AB516F"/>
    <w:rsid w:val="00AB5906"/>
    <w:rsid w:val="00AB6E33"/>
    <w:rsid w:val="00AC08C1"/>
    <w:rsid w:val="00AC5922"/>
    <w:rsid w:val="00AC7A6D"/>
    <w:rsid w:val="00AD04C3"/>
    <w:rsid w:val="00AD071B"/>
    <w:rsid w:val="00AD3239"/>
    <w:rsid w:val="00AD5781"/>
    <w:rsid w:val="00AD68C7"/>
    <w:rsid w:val="00AE3FF6"/>
    <w:rsid w:val="00AE41A5"/>
    <w:rsid w:val="00AE49E7"/>
    <w:rsid w:val="00AE762D"/>
    <w:rsid w:val="00AF37B4"/>
    <w:rsid w:val="00AF73C4"/>
    <w:rsid w:val="00B03C6B"/>
    <w:rsid w:val="00B06CE9"/>
    <w:rsid w:val="00B10732"/>
    <w:rsid w:val="00B126DB"/>
    <w:rsid w:val="00B21C9C"/>
    <w:rsid w:val="00B2295D"/>
    <w:rsid w:val="00B24126"/>
    <w:rsid w:val="00B36A3A"/>
    <w:rsid w:val="00B40BB4"/>
    <w:rsid w:val="00B41B1A"/>
    <w:rsid w:val="00B424F6"/>
    <w:rsid w:val="00B53994"/>
    <w:rsid w:val="00B6048D"/>
    <w:rsid w:val="00B604A9"/>
    <w:rsid w:val="00B64E33"/>
    <w:rsid w:val="00B65854"/>
    <w:rsid w:val="00B6720B"/>
    <w:rsid w:val="00B71E14"/>
    <w:rsid w:val="00B7312A"/>
    <w:rsid w:val="00B74238"/>
    <w:rsid w:val="00B827E9"/>
    <w:rsid w:val="00B82CCB"/>
    <w:rsid w:val="00B8328E"/>
    <w:rsid w:val="00B838AD"/>
    <w:rsid w:val="00B92C56"/>
    <w:rsid w:val="00B93B3A"/>
    <w:rsid w:val="00BA07FD"/>
    <w:rsid w:val="00BA2DCF"/>
    <w:rsid w:val="00BA4F69"/>
    <w:rsid w:val="00BB2E33"/>
    <w:rsid w:val="00BB4308"/>
    <w:rsid w:val="00BB6F3E"/>
    <w:rsid w:val="00BC189D"/>
    <w:rsid w:val="00BC241E"/>
    <w:rsid w:val="00BC4642"/>
    <w:rsid w:val="00BC65D4"/>
    <w:rsid w:val="00BC7C4A"/>
    <w:rsid w:val="00BD4761"/>
    <w:rsid w:val="00BE334D"/>
    <w:rsid w:val="00BE4E0F"/>
    <w:rsid w:val="00BE6577"/>
    <w:rsid w:val="00BF07B5"/>
    <w:rsid w:val="00BF5815"/>
    <w:rsid w:val="00C0041E"/>
    <w:rsid w:val="00C01CC5"/>
    <w:rsid w:val="00C023A9"/>
    <w:rsid w:val="00C02AE5"/>
    <w:rsid w:val="00C06938"/>
    <w:rsid w:val="00C06B79"/>
    <w:rsid w:val="00C10E80"/>
    <w:rsid w:val="00C1470D"/>
    <w:rsid w:val="00C15465"/>
    <w:rsid w:val="00C15834"/>
    <w:rsid w:val="00C24075"/>
    <w:rsid w:val="00C26BE2"/>
    <w:rsid w:val="00C270D3"/>
    <w:rsid w:val="00C30A29"/>
    <w:rsid w:val="00C31ED5"/>
    <w:rsid w:val="00C36BD9"/>
    <w:rsid w:val="00C42ED3"/>
    <w:rsid w:val="00C439BC"/>
    <w:rsid w:val="00C47788"/>
    <w:rsid w:val="00C52619"/>
    <w:rsid w:val="00C610E4"/>
    <w:rsid w:val="00C6192F"/>
    <w:rsid w:val="00C700F8"/>
    <w:rsid w:val="00C7040F"/>
    <w:rsid w:val="00C73C47"/>
    <w:rsid w:val="00C84755"/>
    <w:rsid w:val="00C8518F"/>
    <w:rsid w:val="00C872F7"/>
    <w:rsid w:val="00C9079C"/>
    <w:rsid w:val="00C910D0"/>
    <w:rsid w:val="00CA1A6E"/>
    <w:rsid w:val="00CA1F6B"/>
    <w:rsid w:val="00CB06FF"/>
    <w:rsid w:val="00CB0BDE"/>
    <w:rsid w:val="00CB11AB"/>
    <w:rsid w:val="00CB65DB"/>
    <w:rsid w:val="00CB6DC9"/>
    <w:rsid w:val="00CD0052"/>
    <w:rsid w:val="00CD25A1"/>
    <w:rsid w:val="00CE2B4E"/>
    <w:rsid w:val="00CF0BD9"/>
    <w:rsid w:val="00CF2BE4"/>
    <w:rsid w:val="00D009B8"/>
    <w:rsid w:val="00D048A0"/>
    <w:rsid w:val="00D066F2"/>
    <w:rsid w:val="00D1412E"/>
    <w:rsid w:val="00D141EF"/>
    <w:rsid w:val="00D15161"/>
    <w:rsid w:val="00D172DE"/>
    <w:rsid w:val="00D17881"/>
    <w:rsid w:val="00D2056F"/>
    <w:rsid w:val="00D215C1"/>
    <w:rsid w:val="00D23925"/>
    <w:rsid w:val="00D2400A"/>
    <w:rsid w:val="00D24D84"/>
    <w:rsid w:val="00D2740C"/>
    <w:rsid w:val="00D27701"/>
    <w:rsid w:val="00D27BD5"/>
    <w:rsid w:val="00D37BE5"/>
    <w:rsid w:val="00D37E39"/>
    <w:rsid w:val="00D430E9"/>
    <w:rsid w:val="00D44C7E"/>
    <w:rsid w:val="00D4573A"/>
    <w:rsid w:val="00D46F96"/>
    <w:rsid w:val="00D51D5B"/>
    <w:rsid w:val="00D566DD"/>
    <w:rsid w:val="00D5736F"/>
    <w:rsid w:val="00D6366B"/>
    <w:rsid w:val="00D65898"/>
    <w:rsid w:val="00D65DD4"/>
    <w:rsid w:val="00D66680"/>
    <w:rsid w:val="00D67B49"/>
    <w:rsid w:val="00D737AC"/>
    <w:rsid w:val="00D744F3"/>
    <w:rsid w:val="00D80108"/>
    <w:rsid w:val="00D85E5F"/>
    <w:rsid w:val="00D86176"/>
    <w:rsid w:val="00D91FE4"/>
    <w:rsid w:val="00D95967"/>
    <w:rsid w:val="00D95F3F"/>
    <w:rsid w:val="00DA665C"/>
    <w:rsid w:val="00DB4BD5"/>
    <w:rsid w:val="00DB564C"/>
    <w:rsid w:val="00DC2D8C"/>
    <w:rsid w:val="00DC54A3"/>
    <w:rsid w:val="00DC5725"/>
    <w:rsid w:val="00DD397E"/>
    <w:rsid w:val="00DE10DB"/>
    <w:rsid w:val="00DE1C6A"/>
    <w:rsid w:val="00DE418B"/>
    <w:rsid w:val="00DE460B"/>
    <w:rsid w:val="00DE5AD3"/>
    <w:rsid w:val="00DE5C1C"/>
    <w:rsid w:val="00DE6561"/>
    <w:rsid w:val="00DF7848"/>
    <w:rsid w:val="00E01EA0"/>
    <w:rsid w:val="00E03DD3"/>
    <w:rsid w:val="00E12F1F"/>
    <w:rsid w:val="00E16E14"/>
    <w:rsid w:val="00E31F5D"/>
    <w:rsid w:val="00E406DD"/>
    <w:rsid w:val="00E4283E"/>
    <w:rsid w:val="00E438A6"/>
    <w:rsid w:val="00E45A9E"/>
    <w:rsid w:val="00E463E4"/>
    <w:rsid w:val="00E47D14"/>
    <w:rsid w:val="00E535B2"/>
    <w:rsid w:val="00E601E7"/>
    <w:rsid w:val="00E63B72"/>
    <w:rsid w:val="00E6521B"/>
    <w:rsid w:val="00E73966"/>
    <w:rsid w:val="00E743DB"/>
    <w:rsid w:val="00E83194"/>
    <w:rsid w:val="00E84101"/>
    <w:rsid w:val="00E86F4A"/>
    <w:rsid w:val="00EA1C98"/>
    <w:rsid w:val="00EA4A98"/>
    <w:rsid w:val="00EB7171"/>
    <w:rsid w:val="00EB7541"/>
    <w:rsid w:val="00EC105E"/>
    <w:rsid w:val="00EC54BC"/>
    <w:rsid w:val="00EC666F"/>
    <w:rsid w:val="00EC6F2F"/>
    <w:rsid w:val="00ED1753"/>
    <w:rsid w:val="00ED3C62"/>
    <w:rsid w:val="00ED417E"/>
    <w:rsid w:val="00ED5EC5"/>
    <w:rsid w:val="00EE2C8B"/>
    <w:rsid w:val="00EE3E8C"/>
    <w:rsid w:val="00EE74EA"/>
    <w:rsid w:val="00EF1D7B"/>
    <w:rsid w:val="00F00458"/>
    <w:rsid w:val="00F00780"/>
    <w:rsid w:val="00F01454"/>
    <w:rsid w:val="00F072A5"/>
    <w:rsid w:val="00F22206"/>
    <w:rsid w:val="00F25238"/>
    <w:rsid w:val="00F31860"/>
    <w:rsid w:val="00F35BB5"/>
    <w:rsid w:val="00F35FEA"/>
    <w:rsid w:val="00F37C4A"/>
    <w:rsid w:val="00F41BF8"/>
    <w:rsid w:val="00F44556"/>
    <w:rsid w:val="00F448ED"/>
    <w:rsid w:val="00F50723"/>
    <w:rsid w:val="00F54A48"/>
    <w:rsid w:val="00F57661"/>
    <w:rsid w:val="00F607B5"/>
    <w:rsid w:val="00F615D5"/>
    <w:rsid w:val="00F627C3"/>
    <w:rsid w:val="00F72C83"/>
    <w:rsid w:val="00F75F75"/>
    <w:rsid w:val="00F917CA"/>
    <w:rsid w:val="00F93134"/>
    <w:rsid w:val="00F94AA4"/>
    <w:rsid w:val="00FA08A6"/>
    <w:rsid w:val="00FB0D57"/>
    <w:rsid w:val="00FB6102"/>
    <w:rsid w:val="00FC0C0C"/>
    <w:rsid w:val="00FC2B6F"/>
    <w:rsid w:val="00FC3EFB"/>
    <w:rsid w:val="00FC749A"/>
    <w:rsid w:val="00FD25E9"/>
    <w:rsid w:val="00FE0388"/>
    <w:rsid w:val="00FE0FB5"/>
    <w:rsid w:val="00FE3BF0"/>
    <w:rsid w:val="00FE489F"/>
    <w:rsid w:val="00FE513E"/>
    <w:rsid w:val="00FE6841"/>
    <w:rsid w:val="00FF0CF7"/>
    <w:rsid w:val="00FF17D5"/>
    <w:rsid w:val="00FF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CF34"/>
  <w15:chartTrackingRefBased/>
  <w15:docId w15:val="{49270D5E-01D9-40B8-B14F-8CD93216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FF6"/>
    <w:pPr>
      <w:spacing w:after="200" w:line="276" w:lineRule="auto"/>
      <w:ind w:left="720"/>
      <w:contextualSpacing/>
    </w:pPr>
  </w:style>
  <w:style w:type="paragraph" w:styleId="FootnoteText">
    <w:name w:val="footnote text"/>
    <w:basedOn w:val="Normal"/>
    <w:link w:val="FootnoteTextChar"/>
    <w:uiPriority w:val="99"/>
    <w:semiHidden/>
    <w:unhideWhenUsed/>
    <w:rsid w:val="00AE41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41A5"/>
    <w:rPr>
      <w:sz w:val="20"/>
      <w:szCs w:val="20"/>
    </w:rPr>
  </w:style>
  <w:style w:type="character" w:styleId="FootnoteReference">
    <w:name w:val="footnote reference"/>
    <w:basedOn w:val="DefaultParagraphFont"/>
    <w:uiPriority w:val="99"/>
    <w:semiHidden/>
    <w:unhideWhenUsed/>
    <w:rsid w:val="00AE41A5"/>
    <w:rPr>
      <w:vertAlign w:val="superscript"/>
    </w:rPr>
  </w:style>
  <w:style w:type="character" w:styleId="Hyperlink">
    <w:name w:val="Hyperlink"/>
    <w:basedOn w:val="DefaultParagraphFont"/>
    <w:uiPriority w:val="99"/>
    <w:unhideWhenUsed/>
    <w:rsid w:val="00407F23"/>
    <w:rPr>
      <w:color w:val="0563C1" w:themeColor="hyperlink"/>
      <w:u w:val="single"/>
    </w:rPr>
  </w:style>
  <w:style w:type="character" w:styleId="UnresolvedMention">
    <w:name w:val="Unresolved Mention"/>
    <w:basedOn w:val="DefaultParagraphFont"/>
    <w:uiPriority w:val="99"/>
    <w:semiHidden/>
    <w:unhideWhenUsed/>
    <w:rsid w:val="00407F23"/>
    <w:rPr>
      <w:color w:val="605E5C"/>
      <w:shd w:val="clear" w:color="auto" w:fill="E1DFDD"/>
    </w:rPr>
  </w:style>
  <w:style w:type="character" w:styleId="CommentReference">
    <w:name w:val="annotation reference"/>
    <w:basedOn w:val="DefaultParagraphFont"/>
    <w:uiPriority w:val="99"/>
    <w:semiHidden/>
    <w:unhideWhenUsed/>
    <w:rsid w:val="00FB6102"/>
    <w:rPr>
      <w:sz w:val="16"/>
      <w:szCs w:val="16"/>
    </w:rPr>
  </w:style>
  <w:style w:type="paragraph" w:styleId="CommentText">
    <w:name w:val="annotation text"/>
    <w:basedOn w:val="Normal"/>
    <w:link w:val="CommentTextChar"/>
    <w:uiPriority w:val="99"/>
    <w:unhideWhenUsed/>
    <w:rsid w:val="00FB6102"/>
    <w:pPr>
      <w:spacing w:line="240" w:lineRule="auto"/>
    </w:pPr>
    <w:rPr>
      <w:sz w:val="20"/>
      <w:szCs w:val="20"/>
    </w:rPr>
  </w:style>
  <w:style w:type="character" w:customStyle="1" w:styleId="CommentTextChar">
    <w:name w:val="Comment Text Char"/>
    <w:basedOn w:val="DefaultParagraphFont"/>
    <w:link w:val="CommentText"/>
    <w:uiPriority w:val="99"/>
    <w:rsid w:val="00FB6102"/>
    <w:rPr>
      <w:sz w:val="20"/>
      <w:szCs w:val="20"/>
    </w:rPr>
  </w:style>
  <w:style w:type="paragraph" w:styleId="CommentSubject">
    <w:name w:val="annotation subject"/>
    <w:basedOn w:val="CommentText"/>
    <w:next w:val="CommentText"/>
    <w:link w:val="CommentSubjectChar"/>
    <w:uiPriority w:val="99"/>
    <w:semiHidden/>
    <w:unhideWhenUsed/>
    <w:rsid w:val="00FB6102"/>
    <w:rPr>
      <w:b/>
      <w:bCs/>
    </w:rPr>
  </w:style>
  <w:style w:type="character" w:customStyle="1" w:styleId="CommentSubjectChar">
    <w:name w:val="Comment Subject Char"/>
    <w:basedOn w:val="CommentTextChar"/>
    <w:link w:val="CommentSubject"/>
    <w:uiPriority w:val="99"/>
    <w:semiHidden/>
    <w:rsid w:val="00FB6102"/>
    <w:rPr>
      <w:b/>
      <w:bCs/>
      <w:sz w:val="20"/>
      <w:szCs w:val="20"/>
    </w:rPr>
  </w:style>
  <w:style w:type="character" w:styleId="FollowedHyperlink">
    <w:name w:val="FollowedHyperlink"/>
    <w:basedOn w:val="DefaultParagraphFont"/>
    <w:uiPriority w:val="99"/>
    <w:semiHidden/>
    <w:unhideWhenUsed/>
    <w:rsid w:val="00756EA8"/>
    <w:rPr>
      <w:color w:val="954F72" w:themeColor="followedHyperlink"/>
      <w:u w:val="single"/>
    </w:rPr>
  </w:style>
  <w:style w:type="paragraph" w:styleId="Revision">
    <w:name w:val="Revision"/>
    <w:hidden/>
    <w:uiPriority w:val="99"/>
    <w:semiHidden/>
    <w:rsid w:val="0040006B"/>
    <w:pPr>
      <w:spacing w:after="0" w:line="240" w:lineRule="auto"/>
    </w:pPr>
  </w:style>
  <w:style w:type="paragraph" w:styleId="Header">
    <w:name w:val="header"/>
    <w:basedOn w:val="Normal"/>
    <w:link w:val="HeaderChar"/>
    <w:uiPriority w:val="99"/>
    <w:unhideWhenUsed/>
    <w:rsid w:val="00E45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A9E"/>
  </w:style>
  <w:style w:type="paragraph" w:styleId="Footer">
    <w:name w:val="footer"/>
    <w:basedOn w:val="Normal"/>
    <w:link w:val="FooterChar"/>
    <w:uiPriority w:val="99"/>
    <w:unhideWhenUsed/>
    <w:rsid w:val="00E45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033698">
      <w:bodyDiv w:val="1"/>
      <w:marLeft w:val="0"/>
      <w:marRight w:val="0"/>
      <w:marTop w:val="0"/>
      <w:marBottom w:val="0"/>
      <w:divBdr>
        <w:top w:val="none" w:sz="0" w:space="0" w:color="auto"/>
        <w:left w:val="none" w:sz="0" w:space="0" w:color="auto"/>
        <w:bottom w:val="none" w:sz="0" w:space="0" w:color="auto"/>
        <w:right w:val="none" w:sz="0" w:space="0" w:color="auto"/>
      </w:divBdr>
      <w:divsChild>
        <w:div w:id="835346130">
          <w:marLeft w:val="0"/>
          <w:marRight w:val="0"/>
          <w:marTop w:val="0"/>
          <w:marBottom w:val="0"/>
          <w:divBdr>
            <w:top w:val="none" w:sz="0" w:space="0" w:color="auto"/>
            <w:left w:val="none" w:sz="0" w:space="0" w:color="auto"/>
            <w:bottom w:val="none" w:sz="0" w:space="0" w:color="auto"/>
            <w:right w:val="none" w:sz="0" w:space="0" w:color="auto"/>
          </w:divBdr>
        </w:div>
        <w:div w:id="150949581">
          <w:marLeft w:val="0"/>
          <w:marRight w:val="0"/>
          <w:marTop w:val="0"/>
          <w:marBottom w:val="0"/>
          <w:divBdr>
            <w:top w:val="none" w:sz="0" w:space="0" w:color="auto"/>
            <w:left w:val="none" w:sz="0" w:space="0" w:color="auto"/>
            <w:bottom w:val="none" w:sz="0" w:space="0" w:color="auto"/>
            <w:right w:val="none" w:sz="0" w:space="0" w:color="auto"/>
          </w:divBdr>
        </w:div>
        <w:div w:id="775368002">
          <w:marLeft w:val="0"/>
          <w:marRight w:val="0"/>
          <w:marTop w:val="0"/>
          <w:marBottom w:val="0"/>
          <w:divBdr>
            <w:top w:val="none" w:sz="0" w:space="0" w:color="auto"/>
            <w:left w:val="none" w:sz="0" w:space="0" w:color="auto"/>
            <w:bottom w:val="none" w:sz="0" w:space="0" w:color="auto"/>
            <w:right w:val="none" w:sz="0" w:space="0" w:color="auto"/>
          </w:divBdr>
        </w:div>
        <w:div w:id="381444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b.ca.gov/lists/com-attach/4118-scopingplan2022-Am5QOlU6AD8FXARb.pdf" TargetMode="External"/><Relationship Id="rId13" Type="http://schemas.openxmlformats.org/officeDocument/2006/relationships/hyperlink" Target="https://www.gov.ca.gov/wp-content/uploads/2022/07/07.22.2022-Governors-Letter-to-CARB.pdf?emrc=1054d6" TargetMode="External"/><Relationship Id="rId18" Type="http://schemas.openxmlformats.org/officeDocument/2006/relationships/hyperlink" Target="https://gs.llnl.gov/sites/gs/files/2021-08/getting_to_neutral.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of.fire.ca.gov/media/9688/full-12-a-jiwpi_formattedv12_3_05_2020.pdf" TargetMode="External"/><Relationship Id="rId17" Type="http://schemas.openxmlformats.org/officeDocument/2006/relationships/hyperlink" Target="https://www.energy.ca.gov/solicitations/2023-02/gfo-22-608-ultra-low-carbon-fuel-demonstration-and-commercial-scale" TargetMode="External"/><Relationship Id="rId2" Type="http://schemas.openxmlformats.org/officeDocument/2006/relationships/numbering" Target="numbering.xml"/><Relationship Id="rId16" Type="http://schemas.openxmlformats.org/officeDocument/2006/relationships/hyperlink" Target="https://www.ibank.ca.gov/climate-financing/climate-catalyst-progra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fire.ca.gov/programs/resource-management/climate-change-and-energy/wood-products-and-bioenergy/" TargetMode="External"/><Relationship Id="rId10" Type="http://schemas.openxmlformats.org/officeDocument/2006/relationships/hyperlink" Target="https://gs.llnl.gov/sites/gs/files/2021-08/getting_to_neutral.pdf" TargetMode="External"/><Relationship Id="rId19" Type="http://schemas.openxmlformats.org/officeDocument/2006/relationships/hyperlink" Target="https://netzeroamerica.princeton.edu/?explorer=year&amp;state=national&amp;table=2020&amp;limit=200" TargetMode="External"/><Relationship Id="rId4" Type="http://schemas.openxmlformats.org/officeDocument/2006/relationships/settings" Target="settings.xml"/><Relationship Id="rId9" Type="http://schemas.openxmlformats.org/officeDocument/2006/relationships/hyperlink" Target="https://www.arb.ca.gov/lists/com-attach/53-lcfs-wkshp-aug18-ws-VTdTPFU7V2lVMgFy.pdf" TargetMode="External"/><Relationship Id="rId14" Type="http://schemas.openxmlformats.org/officeDocument/2006/relationships/hyperlink" Target="https://www.conservation.ca.gov/cgs/fbp"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avensr.com/" TargetMode="External"/><Relationship Id="rId3" Type="http://schemas.openxmlformats.org/officeDocument/2006/relationships/hyperlink" Target="https://www.motehydrogen.com/" TargetMode="External"/><Relationship Id="rId7" Type="http://schemas.openxmlformats.org/officeDocument/2006/relationships/hyperlink" Target="https://koreinfrastructure.com/" TargetMode="External"/><Relationship Id="rId2" Type="http://schemas.openxmlformats.org/officeDocument/2006/relationships/hyperlink" Target="https://netzeroamerica.princeton.edu/?explorer=year&amp;state=national&amp;table=2020&amp;limit=200" TargetMode="External"/><Relationship Id="rId1" Type="http://schemas.openxmlformats.org/officeDocument/2006/relationships/hyperlink" Target="https://www.ipcc.ch/report/sixth-assessment-report-working-group-3/" TargetMode="External"/><Relationship Id="rId6" Type="http://schemas.openxmlformats.org/officeDocument/2006/relationships/hyperlink" Target="https://hcycle.com/" TargetMode="External"/><Relationship Id="rId5" Type="http://schemas.openxmlformats.org/officeDocument/2006/relationships/hyperlink" Target="https://www.yosemiteclean.com/" TargetMode="External"/><Relationship Id="rId10" Type="http://schemas.openxmlformats.org/officeDocument/2006/relationships/hyperlink" Target="https://www.sgh2energy.com/" TargetMode="External"/><Relationship Id="rId4" Type="http://schemas.openxmlformats.org/officeDocument/2006/relationships/hyperlink" Target="https://www.cleanenergysystems.com/carbon-negative-energy" TargetMode="External"/><Relationship Id="rId9" Type="http://schemas.openxmlformats.org/officeDocument/2006/relationships/hyperlink" Target="https://www.aemet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11404-6CF6-424F-BC65-62E1ECA0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amanda@csgcalifornia.com</dc:creator>
  <cp:keywords/>
  <dc:description/>
  <cp:lastModifiedBy>CSG California</cp:lastModifiedBy>
  <cp:revision>4</cp:revision>
  <dcterms:created xsi:type="dcterms:W3CDTF">2023-03-16T05:58:00Z</dcterms:created>
  <dcterms:modified xsi:type="dcterms:W3CDTF">2023-03-16T06:03:00Z</dcterms:modified>
</cp:coreProperties>
</file>