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62C6F" w14:textId="77777777" w:rsidR="00B617F5" w:rsidRPr="00B617F5" w:rsidRDefault="00B617F5" w:rsidP="00B617F5">
      <w:pPr>
        <w:rPr>
          <w:rFonts w:asciiTheme="minorHAnsi" w:hAnsiTheme="minorHAnsi"/>
          <w:b/>
          <w:bCs/>
          <w:sz w:val="22"/>
          <w:szCs w:val="22"/>
          <w:highlight w:val="yellow"/>
          <w:u w:val="single"/>
        </w:rPr>
      </w:pPr>
      <w:bookmarkStart w:id="0" w:name="_Hlk12026958"/>
      <w:r w:rsidRPr="00B617F5">
        <w:rPr>
          <w:rFonts w:asciiTheme="minorHAnsi" w:hAnsiTheme="minorHAnsi"/>
          <w:noProof/>
          <w:sz w:val="22"/>
          <w:szCs w:val="22"/>
        </w:rPr>
        <w:drawing>
          <wp:anchor distT="0" distB="0" distL="114300" distR="114300" simplePos="0" relativeHeight="251658240" behindDoc="0" locked="0" layoutInCell="1" allowOverlap="1" wp14:anchorId="67794940" wp14:editId="2A3F814D">
            <wp:simplePos x="0" y="0"/>
            <wp:positionH relativeFrom="margin">
              <wp:align>center</wp:align>
            </wp:positionH>
            <wp:positionV relativeFrom="paragraph">
              <wp:posOffset>-354106</wp:posOffset>
            </wp:positionV>
            <wp:extent cx="2088515" cy="603250"/>
            <wp:effectExtent l="0" t="0" r="6985"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8515" cy="603250"/>
                    </a:xfrm>
                    <a:prstGeom prst="rect">
                      <a:avLst/>
                    </a:prstGeom>
                    <a:noFill/>
                  </pic:spPr>
                </pic:pic>
              </a:graphicData>
            </a:graphic>
          </wp:anchor>
        </w:drawing>
      </w:r>
    </w:p>
    <w:p w14:paraId="5CDC33DD" w14:textId="77777777" w:rsidR="00B617F5" w:rsidRPr="00B617F5" w:rsidRDefault="00B617F5" w:rsidP="00B617F5">
      <w:pPr>
        <w:rPr>
          <w:rFonts w:asciiTheme="minorHAnsi" w:hAnsiTheme="minorHAnsi"/>
          <w:b/>
          <w:bCs/>
          <w:sz w:val="22"/>
          <w:szCs w:val="22"/>
          <w:highlight w:val="yellow"/>
          <w:u w:val="single"/>
        </w:rPr>
      </w:pPr>
    </w:p>
    <w:bookmarkEnd w:id="0"/>
    <w:p w14:paraId="7A335937" w14:textId="1EF27B35" w:rsidR="00BD235F" w:rsidRPr="00B617F5" w:rsidRDefault="00BD235F" w:rsidP="00B617F5">
      <w:pPr>
        <w:rPr>
          <w:rFonts w:asciiTheme="minorHAnsi" w:hAnsiTheme="minorHAnsi"/>
          <w:sz w:val="22"/>
          <w:szCs w:val="22"/>
        </w:rPr>
      </w:pPr>
    </w:p>
    <w:p w14:paraId="64A0265E" w14:textId="711E8C8D" w:rsidR="00BD235F" w:rsidRDefault="00B617F5" w:rsidP="00B617F5">
      <w:pPr>
        <w:rPr>
          <w:rFonts w:asciiTheme="minorHAnsi" w:hAnsiTheme="minorHAnsi"/>
          <w:sz w:val="22"/>
          <w:szCs w:val="22"/>
        </w:rPr>
      </w:pPr>
      <w:r>
        <w:rPr>
          <w:rFonts w:asciiTheme="minorHAnsi" w:hAnsiTheme="minorHAnsi"/>
          <w:sz w:val="22"/>
          <w:szCs w:val="22"/>
        </w:rPr>
        <w:t>June 23, 2019</w:t>
      </w:r>
    </w:p>
    <w:p w14:paraId="086E3FA8" w14:textId="77777777" w:rsidR="00B617F5" w:rsidRPr="00B617F5" w:rsidRDefault="00B617F5" w:rsidP="00B617F5">
      <w:pPr>
        <w:rPr>
          <w:rFonts w:asciiTheme="minorHAnsi" w:hAnsiTheme="minorHAnsi"/>
          <w:sz w:val="22"/>
          <w:szCs w:val="22"/>
        </w:rPr>
      </w:pPr>
    </w:p>
    <w:p w14:paraId="7BD4E368" w14:textId="77777777" w:rsidR="00BD235F" w:rsidRPr="00B617F5" w:rsidRDefault="00BD235F" w:rsidP="00B617F5">
      <w:pPr>
        <w:rPr>
          <w:rFonts w:asciiTheme="minorHAnsi" w:hAnsiTheme="minorHAnsi"/>
          <w:sz w:val="22"/>
          <w:szCs w:val="22"/>
        </w:rPr>
      </w:pPr>
      <w:r w:rsidRPr="00B617F5">
        <w:rPr>
          <w:rFonts w:asciiTheme="minorHAnsi" w:hAnsiTheme="minorHAnsi"/>
          <w:sz w:val="22"/>
          <w:szCs w:val="22"/>
        </w:rPr>
        <w:t>Mary D. Nichols, Chair</w:t>
      </w:r>
    </w:p>
    <w:p w14:paraId="312513BA" w14:textId="77777777" w:rsidR="00BD235F" w:rsidRPr="00B617F5" w:rsidRDefault="00BD235F" w:rsidP="00B617F5">
      <w:pPr>
        <w:rPr>
          <w:rFonts w:asciiTheme="minorHAnsi" w:hAnsiTheme="minorHAnsi"/>
          <w:sz w:val="22"/>
          <w:szCs w:val="22"/>
        </w:rPr>
      </w:pPr>
      <w:r w:rsidRPr="00B617F5">
        <w:rPr>
          <w:rFonts w:asciiTheme="minorHAnsi" w:hAnsiTheme="minorHAnsi"/>
          <w:sz w:val="22"/>
          <w:szCs w:val="22"/>
        </w:rPr>
        <w:t>California Air Resources Board</w:t>
      </w:r>
    </w:p>
    <w:p w14:paraId="7672A5A7" w14:textId="77777777" w:rsidR="00BD235F" w:rsidRPr="00B617F5" w:rsidRDefault="00BD235F" w:rsidP="00B617F5">
      <w:pPr>
        <w:rPr>
          <w:rFonts w:asciiTheme="minorHAnsi" w:hAnsiTheme="minorHAnsi"/>
          <w:sz w:val="22"/>
          <w:szCs w:val="22"/>
        </w:rPr>
      </w:pPr>
      <w:r w:rsidRPr="00B617F5">
        <w:rPr>
          <w:rFonts w:asciiTheme="minorHAnsi" w:hAnsiTheme="minorHAnsi"/>
          <w:sz w:val="22"/>
          <w:szCs w:val="22"/>
        </w:rPr>
        <w:t xml:space="preserve">1011 I Street, P.O. Box 2415 </w:t>
      </w:r>
    </w:p>
    <w:p w14:paraId="2749E4C4" w14:textId="77777777" w:rsidR="00BD235F" w:rsidRPr="00B617F5" w:rsidRDefault="00BD235F" w:rsidP="00B617F5">
      <w:pPr>
        <w:rPr>
          <w:rFonts w:asciiTheme="minorHAnsi" w:hAnsiTheme="minorHAnsi"/>
          <w:sz w:val="22"/>
          <w:szCs w:val="22"/>
        </w:rPr>
      </w:pPr>
      <w:r w:rsidRPr="00B617F5">
        <w:rPr>
          <w:rFonts w:asciiTheme="minorHAnsi" w:hAnsiTheme="minorHAnsi"/>
          <w:sz w:val="22"/>
          <w:szCs w:val="22"/>
        </w:rPr>
        <w:t>Sacramento, CA  95814</w:t>
      </w:r>
    </w:p>
    <w:p w14:paraId="0614FFA1" w14:textId="6E9F6700" w:rsidR="00BD235F" w:rsidRPr="00B617F5" w:rsidRDefault="00BD235F" w:rsidP="00B617F5">
      <w:pPr>
        <w:rPr>
          <w:rFonts w:asciiTheme="minorHAnsi" w:hAnsiTheme="minorHAnsi"/>
          <w:sz w:val="22"/>
          <w:szCs w:val="22"/>
        </w:rPr>
      </w:pPr>
    </w:p>
    <w:p w14:paraId="2F9BDDAA" w14:textId="5BBD9FE7" w:rsidR="00BD235F" w:rsidRPr="00B617F5" w:rsidRDefault="00BD235F" w:rsidP="00B617F5">
      <w:pPr>
        <w:contextualSpacing/>
        <w:rPr>
          <w:rFonts w:asciiTheme="minorHAnsi" w:hAnsiTheme="minorHAnsi"/>
          <w:sz w:val="22"/>
          <w:szCs w:val="22"/>
        </w:rPr>
      </w:pPr>
      <w:r w:rsidRPr="00B617F5">
        <w:rPr>
          <w:rFonts w:asciiTheme="minorHAnsi" w:hAnsiTheme="minorHAnsi"/>
          <w:sz w:val="22"/>
          <w:szCs w:val="22"/>
        </w:rPr>
        <w:t>Re: Docket EVSE201 - Electric Vehicle Supply Equipment Standards</w:t>
      </w:r>
    </w:p>
    <w:p w14:paraId="09938D51" w14:textId="77777777" w:rsidR="00BD235F" w:rsidRPr="00B617F5" w:rsidRDefault="00BD235F" w:rsidP="00B617F5">
      <w:pPr>
        <w:contextualSpacing/>
        <w:rPr>
          <w:rFonts w:asciiTheme="minorHAnsi" w:hAnsiTheme="minorHAnsi"/>
          <w:sz w:val="22"/>
          <w:szCs w:val="22"/>
        </w:rPr>
      </w:pPr>
    </w:p>
    <w:p w14:paraId="7CA105A2" w14:textId="3C02FD20" w:rsidR="00BD235F" w:rsidRDefault="00BD235F" w:rsidP="00B617F5">
      <w:pPr>
        <w:jc w:val="both"/>
        <w:rPr>
          <w:rFonts w:asciiTheme="minorHAnsi" w:hAnsiTheme="minorHAnsi" w:cs="Arial"/>
          <w:sz w:val="22"/>
          <w:szCs w:val="22"/>
        </w:rPr>
      </w:pPr>
      <w:r w:rsidRPr="00B617F5">
        <w:rPr>
          <w:rFonts w:asciiTheme="minorHAnsi" w:hAnsiTheme="minorHAnsi" w:cs="Arial"/>
          <w:sz w:val="22"/>
          <w:szCs w:val="22"/>
        </w:rPr>
        <w:t>Dear Chair Nichols:</w:t>
      </w:r>
    </w:p>
    <w:p w14:paraId="59B590DC" w14:textId="77777777" w:rsidR="00B617F5" w:rsidRPr="00B617F5" w:rsidRDefault="00B617F5" w:rsidP="00B617F5">
      <w:pPr>
        <w:jc w:val="both"/>
        <w:rPr>
          <w:rFonts w:asciiTheme="minorHAnsi" w:hAnsiTheme="minorHAnsi" w:cs="Arial"/>
          <w:sz w:val="22"/>
          <w:szCs w:val="22"/>
        </w:rPr>
      </w:pPr>
    </w:p>
    <w:p w14:paraId="35ED8D2D" w14:textId="28385AE5" w:rsidR="008D2D8E" w:rsidRDefault="00B617F5" w:rsidP="00B617F5">
      <w:pPr>
        <w:tabs>
          <w:tab w:val="left" w:pos="-720"/>
        </w:tabs>
        <w:suppressAutoHyphens/>
        <w:rPr>
          <w:rFonts w:asciiTheme="minorHAnsi" w:hAnsiTheme="minorHAnsi" w:cs="Arial"/>
          <w:spacing w:val="-3"/>
          <w:sz w:val="22"/>
          <w:szCs w:val="22"/>
        </w:rPr>
      </w:pPr>
      <w:r>
        <w:rPr>
          <w:rFonts w:asciiTheme="minorHAnsi" w:hAnsiTheme="minorHAnsi" w:cs="Arial"/>
          <w:spacing w:val="-3"/>
          <w:sz w:val="22"/>
          <w:szCs w:val="22"/>
        </w:rPr>
        <w:t xml:space="preserve">Peninsula Clean Energy </w:t>
      </w:r>
      <w:r w:rsidR="008171DD">
        <w:rPr>
          <w:rFonts w:asciiTheme="minorHAnsi" w:hAnsiTheme="minorHAnsi" w:cs="Arial"/>
          <w:spacing w:val="-3"/>
          <w:sz w:val="22"/>
          <w:szCs w:val="22"/>
        </w:rPr>
        <w:t xml:space="preserve">Authority </w:t>
      </w:r>
      <w:r>
        <w:rPr>
          <w:rFonts w:asciiTheme="minorHAnsi" w:hAnsiTheme="minorHAnsi" w:cs="Arial"/>
          <w:spacing w:val="-3"/>
          <w:sz w:val="22"/>
          <w:szCs w:val="22"/>
        </w:rPr>
        <w:t>(PCE)</w:t>
      </w:r>
      <w:r w:rsidR="008171DD">
        <w:rPr>
          <w:rFonts w:asciiTheme="minorHAnsi" w:hAnsiTheme="minorHAnsi" w:cs="Arial"/>
          <w:spacing w:val="-3"/>
          <w:sz w:val="22"/>
          <w:szCs w:val="22"/>
        </w:rPr>
        <w:t>, San Mateo County’s locally governed, not-for-profit electricity provider,</w:t>
      </w:r>
      <w:r w:rsidR="008D2D8E" w:rsidRPr="00B617F5">
        <w:rPr>
          <w:rFonts w:asciiTheme="minorHAnsi" w:hAnsiTheme="minorHAnsi" w:cs="Arial"/>
          <w:spacing w:val="-3"/>
          <w:sz w:val="22"/>
          <w:szCs w:val="22"/>
        </w:rPr>
        <w:t xml:space="preserve"> write</w:t>
      </w:r>
      <w:r>
        <w:rPr>
          <w:rFonts w:asciiTheme="minorHAnsi" w:hAnsiTheme="minorHAnsi" w:cs="Arial"/>
          <w:spacing w:val="-3"/>
          <w:sz w:val="22"/>
          <w:szCs w:val="22"/>
        </w:rPr>
        <w:t>s</w:t>
      </w:r>
      <w:r w:rsidR="008D2D8E" w:rsidRPr="00B617F5">
        <w:rPr>
          <w:rFonts w:asciiTheme="minorHAnsi" w:hAnsiTheme="minorHAnsi" w:cs="Arial"/>
          <w:spacing w:val="-3"/>
          <w:sz w:val="22"/>
          <w:szCs w:val="22"/>
        </w:rPr>
        <w:t xml:space="preserve"> to express support for the Board’s goal to increase driver access to E</w:t>
      </w:r>
      <w:r w:rsidR="00630757" w:rsidRPr="00B617F5">
        <w:rPr>
          <w:rFonts w:asciiTheme="minorHAnsi" w:hAnsiTheme="minorHAnsi" w:cs="Arial"/>
          <w:spacing w:val="-3"/>
          <w:sz w:val="22"/>
          <w:szCs w:val="22"/>
        </w:rPr>
        <w:t xml:space="preserve">lectric </w:t>
      </w:r>
      <w:r w:rsidR="008D2D8E" w:rsidRPr="00B617F5">
        <w:rPr>
          <w:rFonts w:asciiTheme="minorHAnsi" w:hAnsiTheme="minorHAnsi" w:cs="Arial"/>
          <w:spacing w:val="-3"/>
          <w:sz w:val="22"/>
          <w:szCs w:val="22"/>
        </w:rPr>
        <w:t>V</w:t>
      </w:r>
      <w:r w:rsidR="00630757" w:rsidRPr="00B617F5">
        <w:rPr>
          <w:rFonts w:asciiTheme="minorHAnsi" w:hAnsiTheme="minorHAnsi" w:cs="Arial"/>
          <w:spacing w:val="-3"/>
          <w:sz w:val="22"/>
          <w:szCs w:val="22"/>
        </w:rPr>
        <w:t xml:space="preserve">ehicle </w:t>
      </w:r>
      <w:r w:rsidR="008D2D8E" w:rsidRPr="00B617F5">
        <w:rPr>
          <w:rFonts w:asciiTheme="minorHAnsi" w:hAnsiTheme="minorHAnsi" w:cs="Arial"/>
          <w:spacing w:val="-3"/>
          <w:sz w:val="22"/>
          <w:szCs w:val="22"/>
        </w:rPr>
        <w:t>S</w:t>
      </w:r>
      <w:r w:rsidR="00630757" w:rsidRPr="00B617F5">
        <w:rPr>
          <w:rFonts w:asciiTheme="minorHAnsi" w:hAnsiTheme="minorHAnsi" w:cs="Arial"/>
          <w:spacing w:val="-3"/>
          <w:sz w:val="22"/>
          <w:szCs w:val="22"/>
        </w:rPr>
        <w:t xml:space="preserve">ervice </w:t>
      </w:r>
      <w:r w:rsidR="008D2D8E" w:rsidRPr="00B617F5">
        <w:rPr>
          <w:rFonts w:asciiTheme="minorHAnsi" w:hAnsiTheme="minorHAnsi" w:cs="Arial"/>
          <w:spacing w:val="-3"/>
          <w:sz w:val="22"/>
          <w:szCs w:val="22"/>
        </w:rPr>
        <w:t>E</w:t>
      </w:r>
      <w:r w:rsidR="00630757" w:rsidRPr="00B617F5">
        <w:rPr>
          <w:rFonts w:asciiTheme="minorHAnsi" w:hAnsiTheme="minorHAnsi" w:cs="Arial"/>
          <w:spacing w:val="-3"/>
          <w:sz w:val="22"/>
          <w:szCs w:val="22"/>
        </w:rPr>
        <w:t>quipment (EVSE)</w:t>
      </w:r>
      <w:r w:rsidR="008D2D8E" w:rsidRPr="00B617F5">
        <w:rPr>
          <w:rFonts w:asciiTheme="minorHAnsi" w:hAnsiTheme="minorHAnsi" w:cs="Arial"/>
          <w:spacing w:val="-3"/>
          <w:sz w:val="22"/>
          <w:szCs w:val="22"/>
        </w:rPr>
        <w:t xml:space="preserve"> and allow a more consistent and transparent electric vehicle (EV) charging experience. We agree that the</w:t>
      </w:r>
      <w:r w:rsidR="008D2D8E" w:rsidRPr="00B617F5">
        <w:rPr>
          <w:rFonts w:asciiTheme="minorHAnsi" w:hAnsiTheme="minorHAnsi"/>
          <w:sz w:val="22"/>
          <w:szCs w:val="22"/>
        </w:rPr>
        <w:t xml:space="preserve"> </w:t>
      </w:r>
      <w:r w:rsidR="008D2D8E" w:rsidRPr="00B617F5">
        <w:rPr>
          <w:rFonts w:asciiTheme="minorHAnsi" w:hAnsiTheme="minorHAnsi" w:cs="Arial"/>
          <w:spacing w:val="-3"/>
          <w:sz w:val="22"/>
          <w:szCs w:val="22"/>
        </w:rPr>
        <w:t xml:space="preserve">lack of consistency can </w:t>
      </w:r>
      <w:r w:rsidR="00B146C3" w:rsidRPr="00B617F5">
        <w:rPr>
          <w:rFonts w:asciiTheme="minorHAnsi" w:hAnsiTheme="minorHAnsi" w:cs="Arial"/>
          <w:spacing w:val="-3"/>
          <w:sz w:val="22"/>
          <w:szCs w:val="22"/>
        </w:rPr>
        <w:t xml:space="preserve">lead to user confusion and </w:t>
      </w:r>
      <w:r w:rsidR="008D2D8E" w:rsidRPr="00B617F5">
        <w:rPr>
          <w:rFonts w:asciiTheme="minorHAnsi" w:hAnsiTheme="minorHAnsi" w:cs="Arial"/>
          <w:spacing w:val="-3"/>
          <w:sz w:val="22"/>
          <w:szCs w:val="22"/>
        </w:rPr>
        <w:t xml:space="preserve">believe improving open access and transparency are </w:t>
      </w:r>
      <w:r w:rsidR="00B146C3" w:rsidRPr="00B617F5">
        <w:rPr>
          <w:rFonts w:asciiTheme="minorHAnsi" w:hAnsiTheme="minorHAnsi" w:cs="Arial"/>
          <w:spacing w:val="-3"/>
          <w:sz w:val="22"/>
          <w:szCs w:val="22"/>
        </w:rPr>
        <w:t>important</w:t>
      </w:r>
      <w:r w:rsidR="008D2D8E" w:rsidRPr="00B617F5">
        <w:rPr>
          <w:rFonts w:asciiTheme="minorHAnsi" w:hAnsiTheme="minorHAnsi" w:cs="Arial"/>
          <w:spacing w:val="-3"/>
          <w:sz w:val="22"/>
          <w:szCs w:val="22"/>
        </w:rPr>
        <w:t xml:space="preserve"> to advancing EV </w:t>
      </w:r>
      <w:r w:rsidR="00B146C3" w:rsidRPr="00B617F5">
        <w:rPr>
          <w:rFonts w:asciiTheme="minorHAnsi" w:hAnsiTheme="minorHAnsi" w:cs="Arial"/>
          <w:spacing w:val="-3"/>
          <w:sz w:val="22"/>
          <w:szCs w:val="22"/>
        </w:rPr>
        <w:t xml:space="preserve">adoption </w:t>
      </w:r>
      <w:r w:rsidR="008D2D8E" w:rsidRPr="00B617F5">
        <w:rPr>
          <w:rFonts w:asciiTheme="minorHAnsi" w:hAnsiTheme="minorHAnsi" w:cs="Arial"/>
          <w:spacing w:val="-3"/>
          <w:sz w:val="22"/>
          <w:szCs w:val="22"/>
        </w:rPr>
        <w:t xml:space="preserve">to achieve state and local goals. </w:t>
      </w:r>
    </w:p>
    <w:p w14:paraId="1503CB20" w14:textId="4D944C7D" w:rsidR="008171DD" w:rsidRDefault="008171DD" w:rsidP="00B617F5">
      <w:pPr>
        <w:tabs>
          <w:tab w:val="left" w:pos="-720"/>
        </w:tabs>
        <w:suppressAutoHyphens/>
        <w:rPr>
          <w:rFonts w:asciiTheme="minorHAnsi" w:hAnsiTheme="minorHAnsi" w:cs="Arial"/>
          <w:spacing w:val="-3"/>
          <w:sz w:val="22"/>
          <w:szCs w:val="22"/>
        </w:rPr>
      </w:pPr>
    </w:p>
    <w:p w14:paraId="3D47EC4C" w14:textId="4B7E6C6D" w:rsidR="008171DD" w:rsidRPr="001736AA" w:rsidRDefault="008171DD" w:rsidP="008171DD">
      <w:pPr>
        <w:tabs>
          <w:tab w:val="left" w:pos="-720"/>
        </w:tabs>
        <w:suppressAutoHyphens/>
        <w:rPr>
          <w:rFonts w:asciiTheme="minorHAnsi" w:hAnsiTheme="minorHAnsi" w:cs="Arial"/>
          <w:spacing w:val="-3"/>
          <w:sz w:val="22"/>
          <w:szCs w:val="22"/>
        </w:rPr>
      </w:pPr>
      <w:r>
        <w:rPr>
          <w:rFonts w:asciiTheme="minorHAnsi" w:hAnsiTheme="minorHAnsi" w:cs="Arial"/>
          <w:spacing w:val="-3"/>
          <w:sz w:val="22"/>
          <w:szCs w:val="22"/>
        </w:rPr>
        <w:t xml:space="preserve">Because PCE’s mission is to assist the county and its cities in aggressive decarbonization, </w:t>
      </w:r>
      <w:r w:rsidRPr="001736AA">
        <w:rPr>
          <w:rFonts w:asciiTheme="minorHAnsi" w:hAnsiTheme="minorHAnsi" w:cs="Arial"/>
          <w:spacing w:val="-3"/>
          <w:sz w:val="22"/>
          <w:szCs w:val="22"/>
        </w:rPr>
        <w:t>PCE has ambitious transportation electrification goals</w:t>
      </w:r>
      <w:r w:rsidR="004D1839">
        <w:rPr>
          <w:rFonts w:asciiTheme="minorHAnsi" w:hAnsiTheme="minorHAnsi" w:cs="Arial"/>
          <w:spacing w:val="-3"/>
          <w:sz w:val="22"/>
          <w:szCs w:val="22"/>
        </w:rPr>
        <w:t>,</w:t>
      </w:r>
      <w:r w:rsidRPr="001736AA">
        <w:rPr>
          <w:rFonts w:asciiTheme="minorHAnsi" w:hAnsiTheme="minorHAnsi" w:cs="Arial"/>
          <w:spacing w:val="-3"/>
          <w:sz w:val="22"/>
          <w:szCs w:val="22"/>
        </w:rPr>
        <w:t xml:space="preserve"> and has </w:t>
      </w:r>
      <w:r>
        <w:rPr>
          <w:rFonts w:asciiTheme="minorHAnsi" w:hAnsiTheme="minorHAnsi" w:cs="Arial"/>
          <w:spacing w:val="-3"/>
          <w:sz w:val="22"/>
          <w:szCs w:val="22"/>
        </w:rPr>
        <w:t xml:space="preserve">EV-related programs funded by </w:t>
      </w:r>
      <w:r w:rsidRPr="001736AA">
        <w:rPr>
          <w:rFonts w:asciiTheme="minorHAnsi" w:hAnsiTheme="minorHAnsi" w:cs="Arial"/>
          <w:spacing w:val="-3"/>
          <w:sz w:val="22"/>
          <w:szCs w:val="22"/>
        </w:rPr>
        <w:t xml:space="preserve">over $20 million </w:t>
      </w:r>
      <w:r>
        <w:rPr>
          <w:rFonts w:asciiTheme="minorHAnsi" w:hAnsiTheme="minorHAnsi" w:cs="Arial"/>
          <w:spacing w:val="-3"/>
          <w:sz w:val="22"/>
          <w:szCs w:val="22"/>
        </w:rPr>
        <w:t>set for deployment over</w:t>
      </w:r>
      <w:r w:rsidRPr="001736AA">
        <w:rPr>
          <w:rFonts w:asciiTheme="minorHAnsi" w:hAnsiTheme="minorHAnsi" w:cs="Arial"/>
          <w:spacing w:val="-3"/>
          <w:sz w:val="22"/>
          <w:szCs w:val="22"/>
        </w:rPr>
        <w:t xml:space="preserve"> the next three years</w:t>
      </w:r>
      <w:r>
        <w:rPr>
          <w:rFonts w:asciiTheme="minorHAnsi" w:hAnsiTheme="minorHAnsi" w:cs="Arial"/>
          <w:spacing w:val="-3"/>
          <w:sz w:val="22"/>
          <w:szCs w:val="22"/>
        </w:rPr>
        <w:t>. These programs are designed</w:t>
      </w:r>
      <w:r w:rsidRPr="001736AA">
        <w:rPr>
          <w:rFonts w:asciiTheme="minorHAnsi" w:hAnsiTheme="minorHAnsi" w:cs="Arial"/>
          <w:spacing w:val="-3"/>
          <w:sz w:val="22"/>
          <w:szCs w:val="22"/>
        </w:rPr>
        <w:t xml:space="preserve"> to accelerate the deployment of EVs and EV infrastructure.  Current PCE programs include new vehicle incentives, low-income used vehicle incentives, property owner technical assistance, </w:t>
      </w:r>
      <w:r>
        <w:rPr>
          <w:rFonts w:asciiTheme="minorHAnsi" w:hAnsiTheme="minorHAnsi" w:cs="Arial"/>
          <w:spacing w:val="-3"/>
          <w:sz w:val="22"/>
          <w:szCs w:val="22"/>
        </w:rPr>
        <w:t xml:space="preserve">facilitating building code enhancements, </w:t>
      </w:r>
      <w:r w:rsidRPr="001736AA">
        <w:rPr>
          <w:rFonts w:asciiTheme="minorHAnsi" w:hAnsiTheme="minorHAnsi" w:cs="Arial"/>
          <w:spacing w:val="-3"/>
          <w:sz w:val="22"/>
          <w:szCs w:val="22"/>
        </w:rPr>
        <w:t>new technology pilots, workforce development, carsharing pilot</w:t>
      </w:r>
      <w:r w:rsidR="004D1839">
        <w:rPr>
          <w:rFonts w:asciiTheme="minorHAnsi" w:hAnsiTheme="minorHAnsi" w:cs="Arial"/>
          <w:spacing w:val="-3"/>
          <w:sz w:val="22"/>
          <w:szCs w:val="22"/>
        </w:rPr>
        <w:t>,</w:t>
      </w:r>
      <w:r w:rsidRPr="001736AA">
        <w:rPr>
          <w:rFonts w:asciiTheme="minorHAnsi" w:hAnsiTheme="minorHAnsi" w:cs="Arial"/>
          <w:spacing w:val="-3"/>
          <w:sz w:val="22"/>
          <w:szCs w:val="22"/>
        </w:rPr>
        <w:t xml:space="preserve"> and a major EV infrastructure incentive program under development.</w:t>
      </w:r>
    </w:p>
    <w:p w14:paraId="2992B91D" w14:textId="77777777" w:rsidR="008171DD" w:rsidRPr="00B617F5" w:rsidRDefault="008171DD" w:rsidP="008171DD">
      <w:pPr>
        <w:tabs>
          <w:tab w:val="left" w:pos="-720"/>
        </w:tabs>
        <w:suppressAutoHyphens/>
        <w:rPr>
          <w:rFonts w:asciiTheme="minorHAnsi" w:hAnsiTheme="minorHAnsi" w:cs="Arial"/>
          <w:spacing w:val="-3"/>
          <w:sz w:val="22"/>
          <w:szCs w:val="22"/>
        </w:rPr>
      </w:pPr>
    </w:p>
    <w:p w14:paraId="2D257A92" w14:textId="4C127FD1" w:rsidR="008171DD" w:rsidRDefault="008171DD" w:rsidP="00B617F5">
      <w:pPr>
        <w:tabs>
          <w:tab w:val="left" w:pos="-720"/>
        </w:tabs>
        <w:suppressAutoHyphens/>
        <w:rPr>
          <w:rFonts w:asciiTheme="minorHAnsi" w:hAnsiTheme="minorHAnsi" w:cs="Arial"/>
          <w:spacing w:val="-3"/>
          <w:sz w:val="22"/>
          <w:szCs w:val="22"/>
        </w:rPr>
      </w:pPr>
      <w:r>
        <w:rPr>
          <w:rFonts w:asciiTheme="minorHAnsi" w:hAnsiTheme="minorHAnsi" w:cs="Arial"/>
          <w:spacing w:val="-3"/>
          <w:sz w:val="22"/>
          <w:szCs w:val="22"/>
        </w:rPr>
        <w:t>PCE</w:t>
      </w:r>
      <w:r w:rsidRPr="00B617F5">
        <w:rPr>
          <w:rFonts w:asciiTheme="minorHAnsi" w:hAnsiTheme="minorHAnsi" w:cs="Arial"/>
          <w:spacing w:val="-3"/>
          <w:sz w:val="22"/>
          <w:szCs w:val="22"/>
        </w:rPr>
        <w:t xml:space="preserve"> is committed to increasing access to EV charging stations</w:t>
      </w:r>
      <w:r>
        <w:rPr>
          <w:rFonts w:asciiTheme="minorHAnsi" w:hAnsiTheme="minorHAnsi" w:cs="Arial"/>
          <w:spacing w:val="-3"/>
          <w:sz w:val="22"/>
          <w:szCs w:val="22"/>
        </w:rPr>
        <w:t xml:space="preserve"> and supporting local agencies and private retailers to do the same</w:t>
      </w:r>
      <w:r w:rsidRPr="00B617F5">
        <w:rPr>
          <w:rFonts w:asciiTheme="minorHAnsi" w:hAnsiTheme="minorHAnsi" w:cs="Arial"/>
          <w:spacing w:val="-3"/>
          <w:sz w:val="22"/>
          <w:szCs w:val="22"/>
        </w:rPr>
        <w:t>. Public agencies</w:t>
      </w:r>
      <w:r>
        <w:rPr>
          <w:rFonts w:asciiTheme="minorHAnsi" w:hAnsiTheme="minorHAnsi" w:cs="Arial"/>
          <w:spacing w:val="-3"/>
          <w:sz w:val="22"/>
          <w:szCs w:val="22"/>
        </w:rPr>
        <w:t xml:space="preserve"> in particular</w:t>
      </w:r>
      <w:r w:rsidRPr="00B617F5">
        <w:rPr>
          <w:rFonts w:asciiTheme="minorHAnsi" w:hAnsiTheme="minorHAnsi" w:cs="Arial"/>
          <w:spacing w:val="-3"/>
          <w:sz w:val="22"/>
          <w:szCs w:val="22"/>
        </w:rPr>
        <w:t xml:space="preserve"> play a critical role in widespread deployment of charging infrastructure to our residents, businesses</w:t>
      </w:r>
      <w:r w:rsidR="004D1839">
        <w:rPr>
          <w:rFonts w:asciiTheme="minorHAnsi" w:hAnsiTheme="minorHAnsi" w:cs="Arial"/>
          <w:spacing w:val="-3"/>
          <w:sz w:val="22"/>
          <w:szCs w:val="22"/>
        </w:rPr>
        <w:t>,</w:t>
      </w:r>
      <w:r w:rsidRPr="00B617F5">
        <w:rPr>
          <w:rFonts w:asciiTheme="minorHAnsi" w:hAnsiTheme="minorHAnsi" w:cs="Arial"/>
          <w:spacing w:val="-3"/>
          <w:sz w:val="22"/>
          <w:szCs w:val="22"/>
        </w:rPr>
        <w:t xml:space="preserve"> and visitors. To date, public agencies have filled the gap left by private markets, ensuring community access to EV charging, with a legacy focus on Level 2 (L2) EVSE. Our goal is to ensure public agencies can continue serving as key partners in expanding EVSE in a manner that is equitable accessible to all. </w:t>
      </w:r>
    </w:p>
    <w:p w14:paraId="634976A0" w14:textId="77777777" w:rsidR="008171DD" w:rsidRDefault="008171DD" w:rsidP="00B617F5">
      <w:pPr>
        <w:tabs>
          <w:tab w:val="left" w:pos="-720"/>
        </w:tabs>
        <w:suppressAutoHyphens/>
        <w:rPr>
          <w:rFonts w:asciiTheme="minorHAnsi" w:hAnsiTheme="minorHAnsi" w:cs="Arial"/>
          <w:spacing w:val="-3"/>
          <w:sz w:val="22"/>
          <w:szCs w:val="22"/>
        </w:rPr>
      </w:pPr>
    </w:p>
    <w:p w14:paraId="41572BE0" w14:textId="6A83AC40" w:rsidR="008171DD" w:rsidRDefault="008171DD" w:rsidP="008171DD">
      <w:pPr>
        <w:tabs>
          <w:tab w:val="left" w:pos="-720"/>
        </w:tabs>
        <w:suppressAutoHyphens/>
        <w:rPr>
          <w:rFonts w:asciiTheme="minorHAnsi" w:hAnsiTheme="minorHAnsi" w:cs="Arial"/>
          <w:spacing w:val="-3"/>
          <w:sz w:val="22"/>
          <w:szCs w:val="22"/>
        </w:rPr>
      </w:pPr>
      <w:r w:rsidRPr="00B617F5">
        <w:rPr>
          <w:rFonts w:asciiTheme="minorHAnsi" w:hAnsiTheme="minorHAnsi" w:cs="Arial"/>
          <w:spacing w:val="-3"/>
          <w:sz w:val="22"/>
          <w:szCs w:val="22"/>
        </w:rPr>
        <w:t>In light of our shared goals, we respectfully raise the following issues for the Board’s consideration</w:t>
      </w:r>
      <w:r>
        <w:rPr>
          <w:rFonts w:asciiTheme="minorHAnsi" w:hAnsiTheme="minorHAnsi" w:cs="Arial"/>
          <w:spacing w:val="-3"/>
          <w:sz w:val="22"/>
          <w:szCs w:val="22"/>
        </w:rPr>
        <w:t xml:space="preserve"> based on our participation in </w:t>
      </w:r>
      <w:r w:rsidRPr="00B617F5">
        <w:rPr>
          <w:rFonts w:asciiTheme="minorHAnsi" w:hAnsiTheme="minorHAnsi" w:cs="Arial"/>
          <w:spacing w:val="-3"/>
          <w:sz w:val="22"/>
          <w:szCs w:val="22"/>
        </w:rPr>
        <w:t>the EVSE Standards Rulemaking webinar on April 2, 2019</w:t>
      </w:r>
      <w:r>
        <w:rPr>
          <w:rFonts w:asciiTheme="minorHAnsi" w:hAnsiTheme="minorHAnsi" w:cs="Arial"/>
          <w:spacing w:val="-3"/>
          <w:sz w:val="22"/>
          <w:szCs w:val="22"/>
        </w:rPr>
        <w:t xml:space="preserve">, </w:t>
      </w:r>
      <w:r w:rsidRPr="00B617F5">
        <w:rPr>
          <w:rFonts w:asciiTheme="minorHAnsi" w:hAnsiTheme="minorHAnsi" w:cs="Arial"/>
          <w:spacing w:val="-3"/>
          <w:sz w:val="22"/>
          <w:szCs w:val="22"/>
        </w:rPr>
        <w:t>the public workshop on November 7, 2018</w:t>
      </w:r>
      <w:r>
        <w:rPr>
          <w:rFonts w:asciiTheme="minorHAnsi" w:hAnsiTheme="minorHAnsi" w:cs="Arial"/>
          <w:spacing w:val="-3"/>
          <w:sz w:val="22"/>
          <w:szCs w:val="22"/>
        </w:rPr>
        <w:t xml:space="preserve"> and </w:t>
      </w:r>
      <w:r w:rsidRPr="00B617F5">
        <w:rPr>
          <w:rFonts w:asciiTheme="minorHAnsi" w:hAnsiTheme="minorHAnsi" w:cs="Arial"/>
          <w:spacing w:val="-3"/>
          <w:sz w:val="22"/>
          <w:szCs w:val="22"/>
        </w:rPr>
        <w:t>review</w:t>
      </w:r>
      <w:r>
        <w:rPr>
          <w:rFonts w:asciiTheme="minorHAnsi" w:hAnsiTheme="minorHAnsi" w:cs="Arial"/>
          <w:spacing w:val="-3"/>
          <w:sz w:val="22"/>
          <w:szCs w:val="22"/>
        </w:rPr>
        <w:t xml:space="preserve"> of</w:t>
      </w:r>
      <w:r w:rsidRPr="00B617F5">
        <w:rPr>
          <w:rFonts w:asciiTheme="minorHAnsi" w:hAnsiTheme="minorHAnsi" w:cs="Arial"/>
          <w:spacing w:val="-3"/>
          <w:sz w:val="22"/>
          <w:szCs w:val="22"/>
        </w:rPr>
        <w:t xml:space="preserve"> the proposed Initial Statement of Reasons, Regulation Order, and other attachments. </w:t>
      </w:r>
    </w:p>
    <w:p w14:paraId="4D472449" w14:textId="6E0224C4" w:rsidR="008171DD" w:rsidRDefault="008171DD" w:rsidP="00B617F5">
      <w:pPr>
        <w:tabs>
          <w:tab w:val="left" w:pos="-720"/>
        </w:tabs>
        <w:suppressAutoHyphens/>
        <w:rPr>
          <w:rFonts w:asciiTheme="minorHAnsi" w:hAnsiTheme="minorHAnsi" w:cs="Arial"/>
          <w:spacing w:val="-3"/>
          <w:sz w:val="22"/>
          <w:szCs w:val="22"/>
        </w:rPr>
      </w:pPr>
    </w:p>
    <w:p w14:paraId="7605A931" w14:textId="32E8E8BC" w:rsidR="0053787D" w:rsidRDefault="0053787D" w:rsidP="00B617F5">
      <w:pPr>
        <w:tabs>
          <w:tab w:val="left" w:pos="-720"/>
        </w:tabs>
        <w:suppressAutoHyphens/>
        <w:rPr>
          <w:rFonts w:asciiTheme="minorHAnsi" w:hAnsiTheme="minorHAnsi" w:cs="Arial"/>
          <w:spacing w:val="-3"/>
          <w:sz w:val="22"/>
          <w:szCs w:val="22"/>
        </w:rPr>
      </w:pPr>
      <w:r>
        <w:rPr>
          <w:rFonts w:asciiTheme="minorHAnsi" w:hAnsiTheme="minorHAnsi" w:cs="Arial"/>
          <w:spacing w:val="-3"/>
          <w:sz w:val="22"/>
          <w:szCs w:val="22"/>
        </w:rPr>
        <w:t xml:space="preserve">The summary of </w:t>
      </w:r>
      <w:r w:rsidR="008171DD">
        <w:rPr>
          <w:rFonts w:asciiTheme="minorHAnsi" w:hAnsiTheme="minorHAnsi" w:cs="Arial"/>
          <w:spacing w:val="-3"/>
          <w:sz w:val="22"/>
          <w:szCs w:val="22"/>
        </w:rPr>
        <w:t xml:space="preserve">PCE’s </w:t>
      </w:r>
      <w:r>
        <w:rPr>
          <w:rFonts w:asciiTheme="minorHAnsi" w:hAnsiTheme="minorHAnsi" w:cs="Arial"/>
          <w:spacing w:val="-3"/>
          <w:sz w:val="22"/>
          <w:szCs w:val="22"/>
        </w:rPr>
        <w:t xml:space="preserve">recommendations </w:t>
      </w:r>
      <w:r w:rsidR="008171DD">
        <w:rPr>
          <w:rFonts w:asciiTheme="minorHAnsi" w:hAnsiTheme="minorHAnsi" w:cs="Arial"/>
          <w:spacing w:val="-3"/>
          <w:sz w:val="22"/>
          <w:szCs w:val="22"/>
        </w:rPr>
        <w:t>are</w:t>
      </w:r>
      <w:r>
        <w:rPr>
          <w:rFonts w:asciiTheme="minorHAnsi" w:hAnsiTheme="minorHAnsi" w:cs="Arial"/>
          <w:spacing w:val="-3"/>
          <w:sz w:val="22"/>
          <w:szCs w:val="22"/>
        </w:rPr>
        <w:t xml:space="preserve"> as follows:</w:t>
      </w:r>
    </w:p>
    <w:p w14:paraId="54DF729E" w14:textId="77777777" w:rsidR="008171DD" w:rsidRDefault="008171DD" w:rsidP="00B617F5">
      <w:pPr>
        <w:tabs>
          <w:tab w:val="left" w:pos="-720"/>
        </w:tabs>
        <w:suppressAutoHyphens/>
        <w:rPr>
          <w:rFonts w:asciiTheme="minorHAnsi" w:hAnsiTheme="minorHAnsi" w:cs="Arial"/>
          <w:spacing w:val="-3"/>
          <w:sz w:val="22"/>
          <w:szCs w:val="22"/>
        </w:rPr>
      </w:pPr>
    </w:p>
    <w:p w14:paraId="39D1AE52" w14:textId="77777777" w:rsidR="0053787D" w:rsidRPr="0053787D" w:rsidRDefault="0053787D" w:rsidP="0053787D">
      <w:pPr>
        <w:pStyle w:val="ListParagraph"/>
        <w:numPr>
          <w:ilvl w:val="0"/>
          <w:numId w:val="4"/>
        </w:numPr>
        <w:ind w:left="720"/>
        <w:rPr>
          <w:rFonts w:asciiTheme="minorHAnsi" w:hAnsiTheme="minorHAnsi" w:cs="Arial"/>
          <w:spacing w:val="-3"/>
          <w:sz w:val="22"/>
          <w:szCs w:val="22"/>
        </w:rPr>
      </w:pPr>
      <w:r w:rsidRPr="0053787D">
        <w:rPr>
          <w:rFonts w:asciiTheme="minorHAnsi" w:hAnsiTheme="minorHAnsi" w:cs="Arial"/>
          <w:spacing w:val="-3"/>
          <w:sz w:val="22"/>
          <w:szCs w:val="22"/>
        </w:rPr>
        <w:t>We strongly recommend grandfathering current charging stations to allow rules to be applied only at such time as the stations are upgraded with new equipment.</w:t>
      </w:r>
    </w:p>
    <w:p w14:paraId="5B0EAF11" w14:textId="2C353290" w:rsidR="0053787D" w:rsidRPr="0053787D" w:rsidRDefault="0053787D" w:rsidP="0053787D">
      <w:pPr>
        <w:pStyle w:val="ListParagraph"/>
        <w:numPr>
          <w:ilvl w:val="0"/>
          <w:numId w:val="4"/>
        </w:numPr>
        <w:ind w:left="720"/>
        <w:rPr>
          <w:rFonts w:asciiTheme="minorHAnsi" w:hAnsiTheme="minorHAnsi" w:cs="Arial"/>
          <w:spacing w:val="-3"/>
          <w:sz w:val="22"/>
          <w:szCs w:val="22"/>
        </w:rPr>
      </w:pPr>
      <w:r w:rsidRPr="0053787D">
        <w:rPr>
          <w:rFonts w:asciiTheme="minorHAnsi" w:hAnsiTheme="minorHAnsi" w:cs="Arial"/>
          <w:spacing w:val="-3"/>
          <w:sz w:val="22"/>
          <w:szCs w:val="22"/>
        </w:rPr>
        <w:t xml:space="preserve">We strongly encourage </w:t>
      </w:r>
      <w:r w:rsidR="008171DD">
        <w:rPr>
          <w:rFonts w:asciiTheme="minorHAnsi" w:hAnsiTheme="minorHAnsi" w:cs="Arial"/>
          <w:spacing w:val="-3"/>
          <w:sz w:val="22"/>
          <w:szCs w:val="22"/>
        </w:rPr>
        <w:t xml:space="preserve">flexibility in standards in order to </w:t>
      </w:r>
      <w:r w:rsidRPr="0053787D">
        <w:rPr>
          <w:rFonts w:asciiTheme="minorHAnsi" w:hAnsiTheme="minorHAnsi" w:cs="Arial"/>
          <w:spacing w:val="-3"/>
          <w:sz w:val="22"/>
          <w:szCs w:val="22"/>
        </w:rPr>
        <w:t xml:space="preserve">avoid the risk of technology obsolescence and consideration of forthcoming technologies in the rulemaking. </w:t>
      </w:r>
    </w:p>
    <w:p w14:paraId="1EDD27A1" w14:textId="0FE195FB" w:rsidR="0053787D" w:rsidRPr="0053787D" w:rsidRDefault="0053787D" w:rsidP="0053787D">
      <w:pPr>
        <w:pStyle w:val="ListParagraph"/>
        <w:numPr>
          <w:ilvl w:val="0"/>
          <w:numId w:val="4"/>
        </w:numPr>
        <w:ind w:left="720"/>
        <w:rPr>
          <w:rFonts w:asciiTheme="minorHAnsi" w:hAnsiTheme="minorHAnsi" w:cs="Arial"/>
          <w:spacing w:val="-3"/>
          <w:sz w:val="22"/>
          <w:szCs w:val="22"/>
        </w:rPr>
      </w:pPr>
      <w:r w:rsidRPr="0053787D">
        <w:rPr>
          <w:rFonts w:asciiTheme="minorHAnsi" w:hAnsiTheme="minorHAnsi" w:cs="Arial"/>
          <w:spacing w:val="-3"/>
          <w:sz w:val="22"/>
          <w:szCs w:val="22"/>
        </w:rPr>
        <w:lastRenderedPageBreak/>
        <w:t xml:space="preserve">We strongly encourage CARB’s </w:t>
      </w:r>
      <w:r w:rsidR="008171DD" w:rsidRPr="0053787D">
        <w:rPr>
          <w:rFonts w:asciiTheme="minorHAnsi" w:hAnsiTheme="minorHAnsi" w:cs="Arial"/>
          <w:spacing w:val="-3"/>
          <w:sz w:val="22"/>
          <w:szCs w:val="22"/>
        </w:rPr>
        <w:t>coordin</w:t>
      </w:r>
      <w:r w:rsidR="008171DD">
        <w:rPr>
          <w:rFonts w:asciiTheme="minorHAnsi" w:hAnsiTheme="minorHAnsi" w:cs="Arial"/>
          <w:spacing w:val="-3"/>
          <w:sz w:val="22"/>
          <w:szCs w:val="22"/>
        </w:rPr>
        <w:t xml:space="preserve">ate </w:t>
      </w:r>
      <w:r w:rsidRPr="0053787D">
        <w:rPr>
          <w:rFonts w:asciiTheme="minorHAnsi" w:hAnsiTheme="minorHAnsi" w:cs="Arial"/>
          <w:spacing w:val="-3"/>
          <w:sz w:val="22"/>
          <w:szCs w:val="22"/>
        </w:rPr>
        <w:t xml:space="preserve">with the Center for Sustainable Energy (CSE) and the California Energy Commission to support state investment in the CALeVIP program and encourage ongoing collaboration to align the CALeVIP program and proposed regulations. </w:t>
      </w:r>
    </w:p>
    <w:p w14:paraId="36257FCF" w14:textId="58B650F6" w:rsidR="00B617F5" w:rsidRPr="001736AA" w:rsidRDefault="00B617F5" w:rsidP="00B617F5">
      <w:pPr>
        <w:tabs>
          <w:tab w:val="left" w:pos="-720"/>
        </w:tabs>
        <w:suppressAutoHyphens/>
        <w:rPr>
          <w:rFonts w:asciiTheme="minorHAnsi" w:hAnsiTheme="minorHAnsi" w:cs="Arial"/>
          <w:spacing w:val="-3"/>
          <w:sz w:val="22"/>
          <w:szCs w:val="22"/>
        </w:rPr>
      </w:pPr>
    </w:p>
    <w:p w14:paraId="7B4C84BD" w14:textId="7B4A3A2B" w:rsidR="008171DD" w:rsidRPr="001736AA" w:rsidRDefault="008171DD" w:rsidP="00B617F5">
      <w:pPr>
        <w:tabs>
          <w:tab w:val="left" w:pos="-720"/>
        </w:tabs>
        <w:suppressAutoHyphens/>
        <w:rPr>
          <w:rFonts w:asciiTheme="minorHAnsi" w:hAnsiTheme="minorHAnsi" w:cs="Arial"/>
          <w:spacing w:val="-3"/>
          <w:sz w:val="22"/>
          <w:szCs w:val="22"/>
        </w:rPr>
      </w:pPr>
      <w:r>
        <w:rPr>
          <w:rFonts w:asciiTheme="minorHAnsi" w:hAnsiTheme="minorHAnsi" w:cs="Arial"/>
          <w:spacing w:val="-3"/>
          <w:sz w:val="22"/>
          <w:szCs w:val="22"/>
        </w:rPr>
        <w:t>Each of these recommendations are necessary to ensure that infrastructure already deployed can continue to serve EV customers. Without the changes discussed herein, millions of dollars in stranded assets will be created to the detriment of all parties supporting California’s transition to a clean transportation fleet.</w:t>
      </w:r>
    </w:p>
    <w:p w14:paraId="2CB9A6F6" w14:textId="77777777" w:rsidR="00B617F5" w:rsidRDefault="00B617F5" w:rsidP="00B617F5">
      <w:pPr>
        <w:rPr>
          <w:rFonts w:asciiTheme="minorHAnsi" w:hAnsiTheme="minorHAnsi" w:cs="Arial"/>
          <w:b/>
          <w:bCs/>
          <w:spacing w:val="-3"/>
          <w:sz w:val="22"/>
          <w:szCs w:val="22"/>
          <w:u w:val="single"/>
        </w:rPr>
      </w:pPr>
    </w:p>
    <w:p w14:paraId="68501548" w14:textId="6241C887" w:rsidR="001736AA" w:rsidRPr="001736AA" w:rsidRDefault="006D05B4" w:rsidP="001736AA">
      <w:pPr>
        <w:pStyle w:val="ListParagraph"/>
        <w:numPr>
          <w:ilvl w:val="0"/>
          <w:numId w:val="2"/>
        </w:numPr>
        <w:rPr>
          <w:rFonts w:asciiTheme="minorHAnsi" w:hAnsiTheme="minorHAnsi" w:cs="Arial"/>
          <w:b/>
          <w:bCs/>
          <w:spacing w:val="-3"/>
          <w:sz w:val="22"/>
          <w:szCs w:val="22"/>
          <w:u w:val="single"/>
        </w:rPr>
      </w:pPr>
      <w:r w:rsidRPr="001736AA">
        <w:rPr>
          <w:rFonts w:asciiTheme="minorHAnsi" w:hAnsiTheme="minorHAnsi" w:cs="Arial"/>
          <w:b/>
          <w:bCs/>
          <w:spacing w:val="-3"/>
          <w:sz w:val="22"/>
          <w:szCs w:val="22"/>
          <w:u w:val="single"/>
        </w:rPr>
        <w:t xml:space="preserve">We strongly </w:t>
      </w:r>
      <w:r w:rsidR="001736AA" w:rsidRPr="001736AA">
        <w:rPr>
          <w:rFonts w:asciiTheme="minorHAnsi" w:hAnsiTheme="minorHAnsi" w:cs="Arial"/>
          <w:b/>
          <w:bCs/>
          <w:spacing w:val="-3"/>
          <w:sz w:val="22"/>
          <w:szCs w:val="22"/>
          <w:u w:val="single"/>
        </w:rPr>
        <w:t>recommend grandfathering current charging stations</w:t>
      </w:r>
      <w:r w:rsidR="00906BBD">
        <w:rPr>
          <w:rFonts w:asciiTheme="minorHAnsi" w:hAnsiTheme="minorHAnsi" w:cs="Arial"/>
          <w:b/>
          <w:bCs/>
          <w:spacing w:val="-3"/>
          <w:sz w:val="22"/>
          <w:szCs w:val="22"/>
          <w:u w:val="single"/>
        </w:rPr>
        <w:t xml:space="preserve"> to allow rules to be applied only at such time as the stations are upgraded with new equipment</w:t>
      </w:r>
      <w:r w:rsidRPr="001736AA">
        <w:rPr>
          <w:rFonts w:asciiTheme="minorHAnsi" w:hAnsiTheme="minorHAnsi" w:cs="Arial"/>
          <w:b/>
          <w:bCs/>
          <w:spacing w:val="-3"/>
          <w:sz w:val="22"/>
          <w:szCs w:val="22"/>
          <w:u w:val="single"/>
        </w:rPr>
        <w:t>.</w:t>
      </w:r>
    </w:p>
    <w:p w14:paraId="5EE328F4" w14:textId="63A91323" w:rsidR="006D05B4" w:rsidRPr="001736AA" w:rsidRDefault="006D05B4" w:rsidP="00906BBD">
      <w:pPr>
        <w:pStyle w:val="ListParagraph"/>
        <w:rPr>
          <w:rFonts w:asciiTheme="minorHAnsi" w:hAnsiTheme="minorHAnsi" w:cs="Arial"/>
          <w:b/>
          <w:bCs/>
          <w:spacing w:val="-3"/>
          <w:sz w:val="22"/>
          <w:szCs w:val="22"/>
          <w:u w:val="single"/>
        </w:rPr>
      </w:pPr>
      <w:r w:rsidRPr="001736AA">
        <w:rPr>
          <w:rFonts w:asciiTheme="minorHAnsi" w:hAnsiTheme="minorHAnsi" w:cs="Arial"/>
          <w:b/>
          <w:bCs/>
          <w:spacing w:val="-3"/>
          <w:sz w:val="22"/>
          <w:szCs w:val="22"/>
          <w:u w:val="single"/>
        </w:rPr>
        <w:t xml:space="preserve"> </w:t>
      </w:r>
      <w:bookmarkStart w:id="1" w:name="_GoBack"/>
      <w:bookmarkEnd w:id="1"/>
    </w:p>
    <w:p w14:paraId="3205C859" w14:textId="053393CB" w:rsidR="008171DD" w:rsidRDefault="008171DD" w:rsidP="008171DD">
      <w:pPr>
        <w:rPr>
          <w:rFonts w:asciiTheme="minorHAnsi" w:hAnsiTheme="minorHAnsi" w:cs="Arial"/>
          <w:spacing w:val="-3"/>
          <w:sz w:val="22"/>
          <w:szCs w:val="22"/>
        </w:rPr>
      </w:pPr>
      <w:r>
        <w:rPr>
          <w:rFonts w:asciiTheme="minorHAnsi" w:hAnsiTheme="minorHAnsi" w:cs="Arial"/>
          <w:spacing w:val="-3"/>
          <w:sz w:val="22"/>
          <w:szCs w:val="22"/>
        </w:rPr>
        <w:t>It appears that ARB staff is relying on inaccurate data in determining that the costs of upgrading existing EVSE will be minimal. For example, p</w:t>
      </w:r>
      <w:r w:rsidRPr="00B617F5">
        <w:rPr>
          <w:rFonts w:asciiTheme="minorHAnsi" w:hAnsiTheme="minorHAnsi" w:cs="Arial"/>
          <w:spacing w:val="-3"/>
          <w:sz w:val="22"/>
          <w:szCs w:val="22"/>
        </w:rPr>
        <w:t>age C-34 of the associated Standardized Regulatory Impact Assessment (SRIA) of the proposal states that “local government agencies own 29 publicly available networked Level 2 EVSEs” based on early municipal participants in the Low Carbon Fuel Standard</w:t>
      </w:r>
      <w:r>
        <w:rPr>
          <w:rFonts w:asciiTheme="minorHAnsi" w:hAnsiTheme="minorHAnsi" w:cs="Arial"/>
          <w:spacing w:val="-3"/>
          <w:sz w:val="22"/>
          <w:szCs w:val="22"/>
        </w:rPr>
        <w:t xml:space="preserve"> (LCFS)</w:t>
      </w:r>
      <w:r w:rsidRPr="00B617F5">
        <w:rPr>
          <w:rFonts w:asciiTheme="minorHAnsi" w:hAnsiTheme="minorHAnsi" w:cs="Arial"/>
          <w:spacing w:val="-3"/>
          <w:sz w:val="22"/>
          <w:szCs w:val="22"/>
        </w:rPr>
        <w:t xml:space="preserve"> program</w:t>
      </w:r>
      <w:r>
        <w:rPr>
          <w:rFonts w:asciiTheme="minorHAnsi" w:hAnsiTheme="minorHAnsi" w:cs="Arial"/>
          <w:spacing w:val="-3"/>
          <w:sz w:val="22"/>
          <w:szCs w:val="22"/>
        </w:rPr>
        <w:t xml:space="preserve">. However, there are far more public chargers available than what is shown the LCFS program.  </w:t>
      </w:r>
      <w:r w:rsidR="004D1839">
        <w:rPr>
          <w:rFonts w:asciiTheme="minorHAnsi" w:hAnsiTheme="minorHAnsi" w:cs="Arial"/>
          <w:spacing w:val="-3"/>
          <w:sz w:val="22"/>
          <w:szCs w:val="22"/>
        </w:rPr>
        <w:t>A</w:t>
      </w:r>
      <w:r w:rsidR="004D1839">
        <w:rPr>
          <w:rFonts w:asciiTheme="minorHAnsi" w:hAnsiTheme="minorHAnsi" w:cs="Arial"/>
          <w:spacing w:val="-3"/>
          <w:sz w:val="22"/>
          <w:szCs w:val="22"/>
        </w:rPr>
        <w:t>ccording to the Alternative Fuels Data Center</w:t>
      </w:r>
      <w:r>
        <w:rPr>
          <w:rFonts w:asciiTheme="minorHAnsi" w:hAnsiTheme="minorHAnsi" w:cs="Arial"/>
          <w:spacing w:val="-3"/>
          <w:sz w:val="22"/>
          <w:szCs w:val="22"/>
        </w:rPr>
        <w:t>, there are an estimated</w:t>
      </w:r>
      <w:r w:rsidR="00D11DC2">
        <w:rPr>
          <w:rFonts w:asciiTheme="minorHAnsi" w:hAnsiTheme="minorHAnsi" w:cs="Arial"/>
          <w:spacing w:val="-3"/>
          <w:sz w:val="22"/>
          <w:szCs w:val="22"/>
        </w:rPr>
        <w:t xml:space="preserve"> 1100 L2 ports and 175 DCFC</w:t>
      </w:r>
      <w:r>
        <w:rPr>
          <w:rFonts w:asciiTheme="minorHAnsi" w:hAnsiTheme="minorHAnsi" w:cs="Arial"/>
          <w:spacing w:val="-3"/>
          <w:sz w:val="22"/>
          <w:szCs w:val="22"/>
        </w:rPr>
        <w:t xml:space="preserve"> ports</w:t>
      </w:r>
      <w:r w:rsidR="004D1839">
        <w:rPr>
          <w:rFonts w:asciiTheme="minorHAnsi" w:hAnsiTheme="minorHAnsi" w:cs="Arial"/>
          <w:spacing w:val="-3"/>
          <w:sz w:val="22"/>
          <w:szCs w:val="22"/>
        </w:rPr>
        <w:t xml:space="preserve"> </w:t>
      </w:r>
      <w:r w:rsidR="004D1839">
        <w:rPr>
          <w:rFonts w:asciiTheme="minorHAnsi" w:hAnsiTheme="minorHAnsi" w:cs="Arial"/>
          <w:spacing w:val="-3"/>
          <w:sz w:val="22"/>
          <w:szCs w:val="22"/>
        </w:rPr>
        <w:t>in San Mateo County</w:t>
      </w:r>
      <w:r w:rsidR="00D11DC2">
        <w:rPr>
          <w:rFonts w:asciiTheme="minorHAnsi" w:hAnsiTheme="minorHAnsi" w:cs="Arial"/>
          <w:spacing w:val="-3"/>
          <w:sz w:val="22"/>
          <w:szCs w:val="22"/>
        </w:rPr>
        <w:t xml:space="preserve"> – of which,</w:t>
      </w:r>
      <w:r>
        <w:rPr>
          <w:rFonts w:asciiTheme="minorHAnsi" w:hAnsiTheme="minorHAnsi" w:cs="Arial"/>
          <w:spacing w:val="-3"/>
          <w:sz w:val="22"/>
          <w:szCs w:val="22"/>
        </w:rPr>
        <w:t xml:space="preserve"> </w:t>
      </w:r>
      <w:r w:rsidR="004D1839">
        <w:rPr>
          <w:rFonts w:asciiTheme="minorHAnsi" w:hAnsiTheme="minorHAnsi" w:cs="Arial"/>
          <w:spacing w:val="-3"/>
          <w:sz w:val="22"/>
          <w:szCs w:val="22"/>
        </w:rPr>
        <w:t>a minimum of 20% of stations are owned by public agencies</w:t>
      </w:r>
      <w:r>
        <w:rPr>
          <w:rFonts w:asciiTheme="minorHAnsi" w:hAnsiTheme="minorHAnsi" w:cs="Arial"/>
          <w:spacing w:val="-3"/>
          <w:sz w:val="22"/>
          <w:szCs w:val="22"/>
        </w:rPr>
        <w:t xml:space="preserve">. The estimated cost of retrofitting </w:t>
      </w:r>
      <w:r w:rsidR="004D1839">
        <w:rPr>
          <w:rFonts w:asciiTheme="minorHAnsi" w:hAnsiTheme="minorHAnsi" w:cs="Arial"/>
          <w:spacing w:val="-3"/>
          <w:sz w:val="22"/>
          <w:szCs w:val="22"/>
        </w:rPr>
        <w:t>all</w:t>
      </w:r>
      <w:r>
        <w:rPr>
          <w:rFonts w:asciiTheme="minorHAnsi" w:hAnsiTheme="minorHAnsi" w:cs="Arial"/>
          <w:spacing w:val="-3"/>
          <w:sz w:val="22"/>
          <w:szCs w:val="22"/>
        </w:rPr>
        <w:t xml:space="preserve"> </w:t>
      </w:r>
      <w:r w:rsidR="00D11DC2">
        <w:rPr>
          <w:rFonts w:asciiTheme="minorHAnsi" w:hAnsiTheme="minorHAnsi" w:cs="Arial"/>
          <w:spacing w:val="-3"/>
          <w:sz w:val="22"/>
          <w:szCs w:val="22"/>
        </w:rPr>
        <w:t xml:space="preserve">L2 </w:t>
      </w:r>
      <w:r>
        <w:rPr>
          <w:rFonts w:asciiTheme="minorHAnsi" w:hAnsiTheme="minorHAnsi" w:cs="Arial"/>
          <w:spacing w:val="-3"/>
          <w:sz w:val="22"/>
          <w:szCs w:val="22"/>
        </w:rPr>
        <w:t>stations</w:t>
      </w:r>
      <w:r w:rsidR="004D1839">
        <w:rPr>
          <w:rFonts w:asciiTheme="minorHAnsi" w:hAnsiTheme="minorHAnsi" w:cs="Arial"/>
          <w:spacing w:val="-3"/>
          <w:sz w:val="22"/>
          <w:szCs w:val="22"/>
        </w:rPr>
        <w:t xml:space="preserve"> in San Mateo</w:t>
      </w:r>
      <w:r>
        <w:rPr>
          <w:rFonts w:asciiTheme="minorHAnsi" w:hAnsiTheme="minorHAnsi" w:cs="Arial"/>
          <w:spacing w:val="-3"/>
          <w:sz w:val="22"/>
          <w:szCs w:val="22"/>
        </w:rPr>
        <w:t xml:space="preserve"> to meet the proposed standards is $5,000 </w:t>
      </w:r>
      <w:r w:rsidR="004D1839">
        <w:rPr>
          <w:rFonts w:asciiTheme="minorHAnsi" w:hAnsiTheme="minorHAnsi" w:cs="Arial"/>
          <w:spacing w:val="-3"/>
          <w:sz w:val="22"/>
          <w:szCs w:val="22"/>
        </w:rPr>
        <w:t>per station, totaling</w:t>
      </w:r>
      <w:r w:rsidR="004D1839">
        <w:rPr>
          <w:rFonts w:asciiTheme="minorHAnsi" w:hAnsiTheme="minorHAnsi" w:cs="Arial"/>
          <w:spacing w:val="-3"/>
          <w:sz w:val="22"/>
          <w:szCs w:val="22"/>
        </w:rPr>
        <w:t xml:space="preserve"> </w:t>
      </w:r>
      <w:r>
        <w:rPr>
          <w:rFonts w:asciiTheme="minorHAnsi" w:hAnsiTheme="minorHAnsi" w:cs="Arial"/>
          <w:spacing w:val="-3"/>
          <w:sz w:val="22"/>
          <w:szCs w:val="22"/>
        </w:rPr>
        <w:t>$</w:t>
      </w:r>
      <w:r w:rsidR="00D11DC2">
        <w:rPr>
          <w:rFonts w:asciiTheme="minorHAnsi" w:hAnsiTheme="minorHAnsi" w:cs="Arial"/>
          <w:spacing w:val="-3"/>
          <w:sz w:val="22"/>
          <w:szCs w:val="22"/>
        </w:rPr>
        <w:t>5,500,000</w:t>
      </w:r>
      <w:r>
        <w:rPr>
          <w:rFonts w:asciiTheme="minorHAnsi" w:hAnsiTheme="minorHAnsi" w:cs="Arial"/>
          <w:spacing w:val="-3"/>
          <w:sz w:val="22"/>
          <w:szCs w:val="22"/>
        </w:rPr>
        <w:t xml:space="preserve">. Thus, the cost of upgrading stations already being utilized by EV owners in our community would be a significant expense. </w:t>
      </w:r>
    </w:p>
    <w:p w14:paraId="20BB985E" w14:textId="77777777" w:rsidR="008171DD" w:rsidRPr="00B617F5" w:rsidRDefault="008171DD" w:rsidP="008171DD">
      <w:pPr>
        <w:rPr>
          <w:rFonts w:asciiTheme="minorHAnsi" w:hAnsiTheme="minorHAnsi" w:cs="Arial"/>
          <w:spacing w:val="-3"/>
          <w:sz w:val="22"/>
          <w:szCs w:val="22"/>
        </w:rPr>
      </w:pPr>
    </w:p>
    <w:p w14:paraId="61F65293" w14:textId="34BF99DC" w:rsidR="00B617F5" w:rsidRDefault="00906BBD" w:rsidP="00B617F5">
      <w:pPr>
        <w:rPr>
          <w:rFonts w:asciiTheme="minorHAnsi" w:hAnsiTheme="minorHAnsi" w:cs="Arial"/>
          <w:spacing w:val="-3"/>
          <w:sz w:val="22"/>
          <w:szCs w:val="22"/>
          <w:highlight w:val="yellow"/>
        </w:rPr>
      </w:pPr>
      <w:r>
        <w:rPr>
          <w:rFonts w:asciiTheme="minorHAnsi" w:hAnsiTheme="minorHAnsi" w:cs="Arial"/>
          <w:spacing w:val="-3"/>
          <w:sz w:val="22"/>
          <w:szCs w:val="22"/>
        </w:rPr>
        <w:t>Upgrading current charging station</w:t>
      </w:r>
      <w:r w:rsidR="004D1839">
        <w:rPr>
          <w:rFonts w:asciiTheme="minorHAnsi" w:hAnsiTheme="minorHAnsi" w:cs="Arial"/>
          <w:spacing w:val="-3"/>
          <w:sz w:val="22"/>
          <w:szCs w:val="22"/>
        </w:rPr>
        <w:t>s</w:t>
      </w:r>
      <w:r>
        <w:rPr>
          <w:rFonts w:asciiTheme="minorHAnsi" w:hAnsiTheme="minorHAnsi" w:cs="Arial"/>
          <w:spacing w:val="-3"/>
          <w:sz w:val="22"/>
          <w:szCs w:val="22"/>
        </w:rPr>
        <w:t>, even on an extended timeline</w:t>
      </w:r>
      <w:r w:rsidR="004D1839">
        <w:rPr>
          <w:rFonts w:asciiTheme="minorHAnsi" w:hAnsiTheme="minorHAnsi" w:cs="Arial"/>
          <w:spacing w:val="-3"/>
          <w:sz w:val="22"/>
          <w:szCs w:val="22"/>
        </w:rPr>
        <w:t>,</w:t>
      </w:r>
      <w:r>
        <w:rPr>
          <w:rFonts w:asciiTheme="minorHAnsi" w:hAnsiTheme="minorHAnsi" w:cs="Arial"/>
          <w:spacing w:val="-3"/>
          <w:sz w:val="22"/>
          <w:szCs w:val="22"/>
        </w:rPr>
        <w:t xml:space="preserve"> w</w:t>
      </w:r>
      <w:r w:rsidR="0053787A" w:rsidRPr="00B617F5">
        <w:rPr>
          <w:rFonts w:asciiTheme="minorHAnsi" w:hAnsiTheme="minorHAnsi" w:cs="Arial"/>
          <w:spacing w:val="-3"/>
          <w:sz w:val="22"/>
          <w:szCs w:val="22"/>
        </w:rPr>
        <w:t>ould cause significant financial hardship to public agencies</w:t>
      </w:r>
      <w:r w:rsidR="00F93DFC">
        <w:rPr>
          <w:rFonts w:asciiTheme="minorHAnsi" w:hAnsiTheme="minorHAnsi" w:cs="Arial"/>
          <w:spacing w:val="-3"/>
          <w:sz w:val="22"/>
          <w:szCs w:val="22"/>
        </w:rPr>
        <w:t xml:space="preserve"> </w:t>
      </w:r>
      <w:r w:rsidR="008171DD">
        <w:rPr>
          <w:rFonts w:asciiTheme="minorHAnsi" w:hAnsiTheme="minorHAnsi" w:cs="Arial"/>
          <w:spacing w:val="-3"/>
          <w:sz w:val="22"/>
          <w:szCs w:val="22"/>
        </w:rPr>
        <w:t xml:space="preserve">and </w:t>
      </w:r>
      <w:r w:rsidR="00F93DFC">
        <w:rPr>
          <w:rFonts w:asciiTheme="minorHAnsi" w:hAnsiTheme="minorHAnsi" w:cs="Arial"/>
          <w:spacing w:val="-3"/>
          <w:sz w:val="22"/>
          <w:szCs w:val="22"/>
        </w:rPr>
        <w:t>others</w:t>
      </w:r>
      <w:r w:rsidR="008171DD">
        <w:rPr>
          <w:rFonts w:asciiTheme="minorHAnsi" w:hAnsiTheme="minorHAnsi" w:cs="Arial"/>
          <w:spacing w:val="-3"/>
          <w:sz w:val="22"/>
          <w:szCs w:val="22"/>
        </w:rPr>
        <w:t xml:space="preserve"> who</w:t>
      </w:r>
      <w:r w:rsidR="00F954B7" w:rsidRPr="00B617F5">
        <w:rPr>
          <w:rFonts w:asciiTheme="minorHAnsi" w:hAnsiTheme="minorHAnsi" w:cs="Arial"/>
          <w:spacing w:val="-3"/>
          <w:sz w:val="22"/>
          <w:szCs w:val="22"/>
        </w:rPr>
        <w:t xml:space="preserve"> have served as key early owners and operators of EV charging infrastructur</w:t>
      </w:r>
      <w:r w:rsidR="008171DD">
        <w:rPr>
          <w:rFonts w:asciiTheme="minorHAnsi" w:hAnsiTheme="minorHAnsi" w:cs="Arial"/>
          <w:spacing w:val="-3"/>
          <w:sz w:val="22"/>
          <w:szCs w:val="22"/>
        </w:rPr>
        <w:t>e as m</w:t>
      </w:r>
      <w:r w:rsidR="00574C95">
        <w:rPr>
          <w:rFonts w:asciiTheme="minorHAnsi" w:hAnsiTheme="minorHAnsi" w:cs="Arial"/>
          <w:spacing w:val="-3"/>
          <w:sz w:val="22"/>
          <w:szCs w:val="22"/>
        </w:rPr>
        <w:t>any of the stations operate at a loss or extremely marginal operating revenue. None operate with any meaningful payback to address installation or major upgrade.</w:t>
      </w:r>
      <w:r w:rsidR="008171DD">
        <w:rPr>
          <w:rFonts w:asciiTheme="minorHAnsi" w:hAnsiTheme="minorHAnsi" w:cs="Arial"/>
          <w:spacing w:val="-3"/>
          <w:sz w:val="22"/>
          <w:szCs w:val="22"/>
        </w:rPr>
        <w:t xml:space="preserve"> Requiring EVSE owners to upgrade existing EVSE charging infrastructure</w:t>
      </w:r>
      <w:r w:rsidR="004D1839">
        <w:rPr>
          <w:rFonts w:asciiTheme="minorHAnsi" w:hAnsiTheme="minorHAnsi" w:cs="Arial"/>
          <w:spacing w:val="-3"/>
          <w:sz w:val="22"/>
          <w:szCs w:val="22"/>
        </w:rPr>
        <w:t>,</w:t>
      </w:r>
      <w:r w:rsidR="008171DD">
        <w:rPr>
          <w:rFonts w:asciiTheme="minorHAnsi" w:hAnsiTheme="minorHAnsi" w:cs="Arial"/>
          <w:spacing w:val="-3"/>
          <w:sz w:val="22"/>
          <w:szCs w:val="22"/>
        </w:rPr>
        <w:t xml:space="preserve"> with such marginal economics</w:t>
      </w:r>
      <w:r w:rsidR="004D1839">
        <w:rPr>
          <w:rFonts w:asciiTheme="minorHAnsi" w:hAnsiTheme="minorHAnsi" w:cs="Arial"/>
          <w:spacing w:val="-3"/>
          <w:sz w:val="22"/>
          <w:szCs w:val="22"/>
        </w:rPr>
        <w:t>,</w:t>
      </w:r>
      <w:r w:rsidR="008171DD">
        <w:rPr>
          <w:rFonts w:asciiTheme="minorHAnsi" w:hAnsiTheme="minorHAnsi" w:cs="Arial"/>
          <w:spacing w:val="-3"/>
          <w:sz w:val="22"/>
          <w:szCs w:val="22"/>
        </w:rPr>
        <w:t xml:space="preserve"> will likely</w:t>
      </w:r>
      <w:r w:rsidR="008171DD" w:rsidRPr="00B617F5">
        <w:rPr>
          <w:rFonts w:asciiTheme="minorHAnsi" w:hAnsiTheme="minorHAnsi" w:cs="Arial"/>
          <w:spacing w:val="-3"/>
          <w:sz w:val="22"/>
          <w:szCs w:val="22"/>
        </w:rPr>
        <w:t xml:space="preserve"> result in</w:t>
      </w:r>
      <w:r w:rsidR="008171DD">
        <w:rPr>
          <w:rFonts w:asciiTheme="minorHAnsi" w:hAnsiTheme="minorHAnsi" w:cs="Arial"/>
          <w:spacing w:val="-3"/>
          <w:sz w:val="22"/>
          <w:szCs w:val="22"/>
        </w:rPr>
        <w:t xml:space="preserve"> the</w:t>
      </w:r>
      <w:r w:rsidR="008171DD" w:rsidRPr="00B617F5">
        <w:rPr>
          <w:rFonts w:asciiTheme="minorHAnsi" w:hAnsiTheme="minorHAnsi" w:cs="Arial"/>
          <w:spacing w:val="-3"/>
          <w:sz w:val="22"/>
          <w:szCs w:val="22"/>
        </w:rPr>
        <w:t xml:space="preserve"> unintended consequence</w:t>
      </w:r>
      <w:r w:rsidR="008171DD">
        <w:rPr>
          <w:rFonts w:asciiTheme="minorHAnsi" w:hAnsiTheme="minorHAnsi" w:cs="Arial"/>
          <w:spacing w:val="-3"/>
          <w:sz w:val="22"/>
          <w:szCs w:val="22"/>
        </w:rPr>
        <w:t xml:space="preserve"> of</w:t>
      </w:r>
      <w:r w:rsidR="008171DD" w:rsidRPr="00B617F5">
        <w:rPr>
          <w:rFonts w:asciiTheme="minorHAnsi" w:hAnsiTheme="minorHAnsi" w:cs="Arial"/>
          <w:spacing w:val="-3"/>
          <w:sz w:val="22"/>
          <w:szCs w:val="22"/>
        </w:rPr>
        <w:t xml:space="preserve"> </w:t>
      </w:r>
      <w:r w:rsidR="008171DD">
        <w:rPr>
          <w:rFonts w:asciiTheme="minorHAnsi" w:hAnsiTheme="minorHAnsi" w:cs="Arial"/>
          <w:i/>
          <w:iCs/>
          <w:spacing w:val="-3"/>
          <w:sz w:val="22"/>
          <w:szCs w:val="22"/>
          <w:u w:val="single"/>
        </w:rPr>
        <w:t xml:space="preserve">extensive </w:t>
      </w:r>
      <w:r w:rsidR="008171DD" w:rsidRPr="00574C95">
        <w:rPr>
          <w:rFonts w:asciiTheme="minorHAnsi" w:hAnsiTheme="minorHAnsi" w:cs="Arial"/>
          <w:i/>
          <w:iCs/>
          <w:spacing w:val="-3"/>
          <w:sz w:val="22"/>
          <w:szCs w:val="22"/>
          <w:u w:val="single"/>
        </w:rPr>
        <w:t>removal of charging infrastructure all together</w:t>
      </w:r>
      <w:r w:rsidR="008171DD">
        <w:rPr>
          <w:rFonts w:asciiTheme="minorHAnsi" w:hAnsiTheme="minorHAnsi" w:cs="Arial"/>
          <w:i/>
          <w:iCs/>
          <w:spacing w:val="-3"/>
          <w:sz w:val="22"/>
          <w:szCs w:val="22"/>
          <w:u w:val="single"/>
        </w:rPr>
        <w:t xml:space="preserve">. </w:t>
      </w:r>
      <w:r w:rsidR="008171DD" w:rsidRPr="00695A58">
        <w:rPr>
          <w:rFonts w:asciiTheme="minorHAnsi" w:hAnsiTheme="minorHAnsi" w:cs="Arial"/>
          <w:spacing w:val="-3"/>
          <w:sz w:val="22"/>
          <w:szCs w:val="22"/>
        </w:rPr>
        <w:t>These stations are already providing a benefit to the public</w:t>
      </w:r>
      <w:r w:rsidR="008171DD">
        <w:rPr>
          <w:rFonts w:asciiTheme="minorHAnsi" w:hAnsiTheme="minorHAnsi" w:cs="Arial"/>
          <w:spacing w:val="-3"/>
          <w:sz w:val="22"/>
          <w:szCs w:val="22"/>
        </w:rPr>
        <w:t xml:space="preserve"> and PCE sees no benefit to jeopardizing their availability when less drastic measures can be taken that will preserve these stations.</w:t>
      </w:r>
    </w:p>
    <w:p w14:paraId="67A1F822" w14:textId="77777777" w:rsidR="00B617F5" w:rsidRDefault="00B617F5" w:rsidP="00B617F5">
      <w:pPr>
        <w:rPr>
          <w:rFonts w:asciiTheme="minorHAnsi" w:hAnsiTheme="minorHAnsi" w:cs="Arial"/>
          <w:spacing w:val="-3"/>
          <w:sz w:val="22"/>
          <w:szCs w:val="22"/>
        </w:rPr>
      </w:pPr>
    </w:p>
    <w:p w14:paraId="1F7B3910" w14:textId="4FEAD5BD" w:rsidR="000920C2" w:rsidRDefault="000920C2" w:rsidP="00B617F5">
      <w:pPr>
        <w:rPr>
          <w:rFonts w:asciiTheme="minorHAnsi" w:hAnsiTheme="minorHAnsi" w:cs="Arial"/>
          <w:spacing w:val="-3"/>
          <w:sz w:val="22"/>
          <w:szCs w:val="22"/>
        </w:rPr>
      </w:pPr>
      <w:r w:rsidRPr="00B617F5">
        <w:rPr>
          <w:rFonts w:asciiTheme="minorHAnsi" w:hAnsiTheme="minorHAnsi" w:cs="Arial"/>
          <w:spacing w:val="-3"/>
          <w:sz w:val="22"/>
          <w:szCs w:val="22"/>
        </w:rPr>
        <w:t xml:space="preserve">In summary, </w:t>
      </w:r>
      <w:r w:rsidR="007A68A2">
        <w:rPr>
          <w:rFonts w:asciiTheme="minorHAnsi" w:hAnsiTheme="minorHAnsi" w:cs="Arial"/>
          <w:spacing w:val="-3"/>
          <w:sz w:val="22"/>
          <w:szCs w:val="22"/>
        </w:rPr>
        <w:t>a retrofit requirement will be</w:t>
      </w:r>
      <w:r w:rsidRPr="00B617F5">
        <w:rPr>
          <w:rFonts w:asciiTheme="minorHAnsi" w:hAnsiTheme="minorHAnsi" w:cs="Arial"/>
          <w:spacing w:val="-3"/>
          <w:sz w:val="22"/>
          <w:szCs w:val="22"/>
        </w:rPr>
        <w:t xml:space="preserve"> counter-productive to the goals of the proposed standard. It would have removed existing infrastructure before the end of its useful life and unintentionally disincentivize or delay early adopters from installing chargers to avoid disproportionate compliance costs. </w:t>
      </w:r>
      <w:r w:rsidR="007A68A2">
        <w:rPr>
          <w:rFonts w:asciiTheme="minorHAnsi" w:hAnsiTheme="minorHAnsi" w:cs="Arial"/>
          <w:spacing w:val="-3"/>
          <w:sz w:val="22"/>
          <w:szCs w:val="22"/>
        </w:rPr>
        <w:t>Grandfathering current stations</w:t>
      </w:r>
      <w:r w:rsidRPr="00B617F5">
        <w:rPr>
          <w:rFonts w:asciiTheme="minorHAnsi" w:hAnsiTheme="minorHAnsi" w:cs="Arial"/>
          <w:spacing w:val="-3"/>
          <w:sz w:val="22"/>
          <w:szCs w:val="22"/>
        </w:rPr>
        <w:t xml:space="preserve"> is a critical revision to ensure public agencies are able to have an ongoing role in providing public L2 charging in their communities. </w:t>
      </w:r>
    </w:p>
    <w:p w14:paraId="7F16986F" w14:textId="722FBCB4" w:rsidR="008171DD" w:rsidRDefault="008171DD" w:rsidP="00B617F5">
      <w:pPr>
        <w:rPr>
          <w:rFonts w:asciiTheme="minorHAnsi" w:hAnsiTheme="minorHAnsi" w:cs="Arial"/>
          <w:spacing w:val="-3"/>
          <w:sz w:val="22"/>
          <w:szCs w:val="22"/>
        </w:rPr>
      </w:pPr>
    </w:p>
    <w:p w14:paraId="2C672813" w14:textId="1D57502B" w:rsidR="008171DD" w:rsidRPr="00B617F5" w:rsidRDefault="008171DD" w:rsidP="00B617F5">
      <w:pPr>
        <w:rPr>
          <w:rFonts w:asciiTheme="minorHAnsi" w:hAnsiTheme="minorHAnsi" w:cs="Arial"/>
          <w:spacing w:val="-3"/>
          <w:sz w:val="22"/>
          <w:szCs w:val="22"/>
        </w:rPr>
      </w:pPr>
      <w:r>
        <w:rPr>
          <w:rFonts w:asciiTheme="minorHAnsi" w:hAnsiTheme="minorHAnsi" w:cs="Arial"/>
          <w:spacing w:val="-3"/>
          <w:sz w:val="22"/>
          <w:szCs w:val="22"/>
        </w:rPr>
        <w:t>We urge the Board to avoid creating an unfunded mandate on public agencies and early adopters of EVSE charging infrastructure. Such a mandate will NOT increase the number of EVSE charges available to the public and could have the opposite effect.</w:t>
      </w:r>
    </w:p>
    <w:p w14:paraId="1A9408BE" w14:textId="20D7B0FE" w:rsidR="00B617F5" w:rsidRDefault="00B617F5" w:rsidP="00B617F5">
      <w:pPr>
        <w:tabs>
          <w:tab w:val="left" w:pos="-720"/>
        </w:tabs>
        <w:suppressAutoHyphens/>
        <w:rPr>
          <w:rFonts w:asciiTheme="minorHAnsi" w:hAnsiTheme="minorHAnsi" w:cs="Arial"/>
          <w:b/>
          <w:bCs/>
          <w:spacing w:val="-3"/>
          <w:sz w:val="22"/>
          <w:szCs w:val="22"/>
          <w:u w:val="single"/>
        </w:rPr>
      </w:pPr>
    </w:p>
    <w:p w14:paraId="5D458DDE" w14:textId="7411CB96" w:rsidR="000F7825" w:rsidRPr="00906BBD" w:rsidRDefault="000F7825" w:rsidP="000F7825">
      <w:pPr>
        <w:pStyle w:val="ListParagraph"/>
        <w:numPr>
          <w:ilvl w:val="0"/>
          <w:numId w:val="2"/>
        </w:numPr>
        <w:tabs>
          <w:tab w:val="left" w:pos="-720"/>
        </w:tabs>
        <w:suppressAutoHyphens/>
        <w:rPr>
          <w:rFonts w:asciiTheme="minorHAnsi" w:hAnsiTheme="minorHAnsi" w:cs="Arial"/>
          <w:b/>
          <w:bCs/>
          <w:spacing w:val="-3"/>
          <w:sz w:val="22"/>
          <w:szCs w:val="22"/>
          <w:u w:val="single"/>
        </w:rPr>
      </w:pPr>
      <w:r w:rsidRPr="00906BBD">
        <w:rPr>
          <w:rFonts w:asciiTheme="minorHAnsi" w:hAnsiTheme="minorHAnsi" w:cs="Arial"/>
          <w:b/>
          <w:bCs/>
          <w:spacing w:val="-3"/>
          <w:sz w:val="22"/>
          <w:szCs w:val="22"/>
          <w:u w:val="single"/>
        </w:rPr>
        <w:t>We strongly encourage</w:t>
      </w:r>
      <w:r w:rsidR="0011000F">
        <w:rPr>
          <w:rFonts w:asciiTheme="minorHAnsi" w:hAnsiTheme="minorHAnsi" w:cs="Arial"/>
          <w:b/>
          <w:bCs/>
          <w:spacing w:val="-3"/>
          <w:sz w:val="22"/>
          <w:szCs w:val="22"/>
          <w:u w:val="single"/>
        </w:rPr>
        <w:t xml:space="preserve"> </w:t>
      </w:r>
      <w:r w:rsidR="008171DD">
        <w:rPr>
          <w:rFonts w:asciiTheme="minorHAnsi" w:hAnsiTheme="minorHAnsi" w:cs="Arial"/>
          <w:b/>
          <w:bCs/>
          <w:spacing w:val="-3"/>
          <w:sz w:val="22"/>
          <w:szCs w:val="22"/>
          <w:u w:val="single"/>
        </w:rPr>
        <w:t xml:space="preserve">flexibility in regulations </w:t>
      </w:r>
      <w:r w:rsidR="00D11DC2">
        <w:rPr>
          <w:rFonts w:asciiTheme="minorHAnsi" w:hAnsiTheme="minorHAnsi" w:cs="Arial"/>
          <w:b/>
          <w:bCs/>
          <w:spacing w:val="-3"/>
          <w:sz w:val="22"/>
          <w:szCs w:val="22"/>
          <w:u w:val="single"/>
        </w:rPr>
        <w:t>to</w:t>
      </w:r>
      <w:r w:rsidR="008171DD">
        <w:rPr>
          <w:rFonts w:asciiTheme="minorHAnsi" w:hAnsiTheme="minorHAnsi" w:cs="Arial"/>
          <w:b/>
          <w:bCs/>
          <w:spacing w:val="-3"/>
          <w:sz w:val="22"/>
          <w:szCs w:val="22"/>
          <w:u w:val="single"/>
        </w:rPr>
        <w:t xml:space="preserve"> avoid</w:t>
      </w:r>
      <w:r w:rsidR="0011000F">
        <w:rPr>
          <w:rFonts w:asciiTheme="minorHAnsi" w:hAnsiTheme="minorHAnsi" w:cs="Arial"/>
          <w:b/>
          <w:bCs/>
          <w:spacing w:val="-3"/>
          <w:sz w:val="22"/>
          <w:szCs w:val="22"/>
          <w:u w:val="single"/>
        </w:rPr>
        <w:t xml:space="preserve"> the risk of technology obsolescence and</w:t>
      </w:r>
      <w:r w:rsidRPr="00906BBD">
        <w:rPr>
          <w:rFonts w:asciiTheme="minorHAnsi" w:hAnsiTheme="minorHAnsi" w:cs="Arial"/>
          <w:b/>
          <w:bCs/>
          <w:spacing w:val="-3"/>
          <w:sz w:val="22"/>
          <w:szCs w:val="22"/>
          <w:u w:val="single"/>
        </w:rPr>
        <w:t xml:space="preserve"> </w:t>
      </w:r>
      <w:r w:rsidR="008171DD">
        <w:rPr>
          <w:rFonts w:asciiTheme="minorHAnsi" w:hAnsiTheme="minorHAnsi" w:cs="Arial"/>
          <w:b/>
          <w:bCs/>
          <w:spacing w:val="-3"/>
          <w:sz w:val="22"/>
          <w:szCs w:val="22"/>
          <w:u w:val="single"/>
        </w:rPr>
        <w:t xml:space="preserve">encourage deeper </w:t>
      </w:r>
      <w:r w:rsidR="00CE6662">
        <w:rPr>
          <w:rFonts w:asciiTheme="minorHAnsi" w:hAnsiTheme="minorHAnsi" w:cs="Arial"/>
          <w:b/>
          <w:bCs/>
          <w:spacing w:val="-3"/>
          <w:sz w:val="22"/>
          <w:szCs w:val="22"/>
          <w:u w:val="single"/>
        </w:rPr>
        <w:t>consideration of forthcoming technologies in the rulemaking</w:t>
      </w:r>
      <w:r w:rsidRPr="00906BBD">
        <w:rPr>
          <w:rFonts w:asciiTheme="minorHAnsi" w:hAnsiTheme="minorHAnsi" w:cs="Arial"/>
          <w:b/>
          <w:bCs/>
          <w:spacing w:val="-3"/>
          <w:sz w:val="22"/>
          <w:szCs w:val="22"/>
          <w:u w:val="single"/>
        </w:rPr>
        <w:t xml:space="preserve">. </w:t>
      </w:r>
    </w:p>
    <w:p w14:paraId="301F9DB4" w14:textId="77777777" w:rsidR="001B75FB" w:rsidRDefault="001B75FB" w:rsidP="00B617F5">
      <w:pPr>
        <w:tabs>
          <w:tab w:val="left" w:pos="-720"/>
        </w:tabs>
        <w:suppressAutoHyphens/>
        <w:rPr>
          <w:rFonts w:asciiTheme="minorHAnsi" w:hAnsiTheme="minorHAnsi" w:cs="Arial"/>
          <w:spacing w:val="-3"/>
          <w:sz w:val="22"/>
          <w:szCs w:val="22"/>
        </w:rPr>
      </w:pPr>
    </w:p>
    <w:p w14:paraId="5642BC0A" w14:textId="64E7F78F" w:rsidR="00F66050" w:rsidRDefault="00F66050" w:rsidP="00B617F5">
      <w:pPr>
        <w:tabs>
          <w:tab w:val="left" w:pos="-720"/>
        </w:tabs>
        <w:suppressAutoHyphens/>
        <w:rPr>
          <w:rFonts w:asciiTheme="minorHAnsi" w:hAnsiTheme="minorHAnsi" w:cs="Arial"/>
          <w:spacing w:val="-3"/>
          <w:sz w:val="22"/>
          <w:szCs w:val="22"/>
        </w:rPr>
      </w:pPr>
      <w:r>
        <w:rPr>
          <w:rFonts w:asciiTheme="minorHAnsi" w:hAnsiTheme="minorHAnsi" w:cs="Arial"/>
          <w:spacing w:val="-3"/>
          <w:sz w:val="22"/>
          <w:szCs w:val="22"/>
        </w:rPr>
        <w:t xml:space="preserve">Requirements to support specific payment methods and reporting on such methods are likely to results in burdensome maintenance costs, as well as potential service and reporting gaps. Mobile payments (payment with mobile phones) are </w:t>
      </w:r>
      <w:r w:rsidR="00423819">
        <w:rPr>
          <w:rFonts w:asciiTheme="minorHAnsi" w:hAnsiTheme="minorHAnsi" w:cs="Arial"/>
          <w:spacing w:val="-3"/>
          <w:sz w:val="22"/>
          <w:szCs w:val="22"/>
        </w:rPr>
        <w:t xml:space="preserve">undergoing </w:t>
      </w:r>
      <w:r>
        <w:rPr>
          <w:rFonts w:asciiTheme="minorHAnsi" w:hAnsiTheme="minorHAnsi" w:cs="Arial"/>
          <w:spacing w:val="-3"/>
          <w:sz w:val="22"/>
          <w:szCs w:val="22"/>
        </w:rPr>
        <w:t xml:space="preserve">tremendous growth with an estimated 20% of the population </w:t>
      </w:r>
      <w:r w:rsidR="00423819">
        <w:rPr>
          <w:rFonts w:asciiTheme="minorHAnsi" w:hAnsiTheme="minorHAnsi" w:cs="Arial"/>
          <w:spacing w:val="-3"/>
          <w:sz w:val="22"/>
          <w:szCs w:val="22"/>
        </w:rPr>
        <w:t xml:space="preserve">currently </w:t>
      </w:r>
      <w:r>
        <w:rPr>
          <w:rFonts w:asciiTheme="minorHAnsi" w:hAnsiTheme="minorHAnsi" w:cs="Arial"/>
          <w:spacing w:val="-3"/>
          <w:sz w:val="22"/>
          <w:szCs w:val="22"/>
        </w:rPr>
        <w:lastRenderedPageBreak/>
        <w:t>using it and rising</w:t>
      </w:r>
      <w:r>
        <w:rPr>
          <w:rStyle w:val="FootnoteReference"/>
          <w:rFonts w:asciiTheme="minorHAnsi" w:hAnsiTheme="minorHAnsi" w:cs="Arial"/>
          <w:spacing w:val="-3"/>
          <w:sz w:val="22"/>
          <w:szCs w:val="22"/>
        </w:rPr>
        <w:footnoteReference w:id="1"/>
      </w:r>
      <w:r>
        <w:rPr>
          <w:rFonts w:asciiTheme="minorHAnsi" w:hAnsiTheme="minorHAnsi" w:cs="Arial"/>
          <w:spacing w:val="-3"/>
          <w:sz w:val="22"/>
          <w:szCs w:val="22"/>
        </w:rPr>
        <w:t xml:space="preserve">. </w:t>
      </w:r>
      <w:r w:rsidR="005A34B5">
        <w:rPr>
          <w:rFonts w:asciiTheme="minorHAnsi" w:hAnsiTheme="minorHAnsi" w:cs="Arial"/>
          <w:spacing w:val="-3"/>
          <w:sz w:val="22"/>
          <w:szCs w:val="22"/>
        </w:rPr>
        <w:t xml:space="preserve">Credit cards themselves are now </w:t>
      </w:r>
      <w:r w:rsidR="005D0CB4">
        <w:rPr>
          <w:rFonts w:asciiTheme="minorHAnsi" w:hAnsiTheme="minorHAnsi" w:cs="Arial"/>
          <w:spacing w:val="-3"/>
          <w:sz w:val="22"/>
          <w:szCs w:val="22"/>
        </w:rPr>
        <w:t>being equipped with RFID which can be expected to make card readers obsolete. Card readers are subject to significant operator error</w:t>
      </w:r>
      <w:r w:rsidR="00013CD6">
        <w:rPr>
          <w:rFonts w:asciiTheme="minorHAnsi" w:hAnsiTheme="minorHAnsi" w:cs="Arial"/>
          <w:spacing w:val="-3"/>
          <w:sz w:val="22"/>
          <w:szCs w:val="22"/>
        </w:rPr>
        <w:t>, fraud</w:t>
      </w:r>
      <w:r w:rsidR="00423819">
        <w:rPr>
          <w:rFonts w:asciiTheme="minorHAnsi" w:hAnsiTheme="minorHAnsi" w:cs="Arial"/>
          <w:spacing w:val="-3"/>
          <w:sz w:val="22"/>
          <w:szCs w:val="22"/>
        </w:rPr>
        <w:t>,</w:t>
      </w:r>
      <w:r w:rsidR="005D0CB4">
        <w:rPr>
          <w:rFonts w:asciiTheme="minorHAnsi" w:hAnsiTheme="minorHAnsi" w:cs="Arial"/>
          <w:spacing w:val="-3"/>
          <w:sz w:val="22"/>
          <w:szCs w:val="22"/>
        </w:rPr>
        <w:t xml:space="preserve"> and mechanical failure resulting in significant maintenance costs.</w:t>
      </w:r>
    </w:p>
    <w:p w14:paraId="544041A5" w14:textId="41A9024C" w:rsidR="005D0CB4" w:rsidRDefault="005D0CB4" w:rsidP="00B617F5">
      <w:pPr>
        <w:tabs>
          <w:tab w:val="left" w:pos="-720"/>
        </w:tabs>
        <w:suppressAutoHyphens/>
        <w:rPr>
          <w:rFonts w:asciiTheme="minorHAnsi" w:hAnsiTheme="minorHAnsi" w:cs="Arial"/>
          <w:spacing w:val="-3"/>
          <w:sz w:val="22"/>
          <w:szCs w:val="22"/>
        </w:rPr>
      </w:pPr>
    </w:p>
    <w:p w14:paraId="3674C0DC" w14:textId="7B1E0AEA" w:rsidR="001B75FB" w:rsidRPr="00F66050" w:rsidRDefault="005D0CB4" w:rsidP="00B617F5">
      <w:pPr>
        <w:tabs>
          <w:tab w:val="left" w:pos="-720"/>
        </w:tabs>
        <w:suppressAutoHyphens/>
        <w:rPr>
          <w:rFonts w:asciiTheme="minorHAnsi" w:hAnsiTheme="minorHAnsi" w:cs="Arial"/>
          <w:spacing w:val="-3"/>
          <w:sz w:val="22"/>
          <w:szCs w:val="22"/>
        </w:rPr>
      </w:pPr>
      <w:r>
        <w:rPr>
          <w:rFonts w:asciiTheme="minorHAnsi" w:hAnsiTheme="minorHAnsi" w:cs="Arial"/>
          <w:spacing w:val="-3"/>
          <w:sz w:val="22"/>
          <w:szCs w:val="22"/>
        </w:rPr>
        <w:t xml:space="preserve">In addition, </w:t>
      </w:r>
      <w:r w:rsidR="0048605E">
        <w:rPr>
          <w:rFonts w:asciiTheme="minorHAnsi" w:hAnsiTheme="minorHAnsi" w:cs="Arial"/>
          <w:spacing w:val="-3"/>
          <w:sz w:val="22"/>
          <w:szCs w:val="22"/>
        </w:rPr>
        <w:t xml:space="preserve">new payment methods will soon become available for many </w:t>
      </w:r>
      <w:r w:rsidR="001B75FB">
        <w:rPr>
          <w:rFonts w:asciiTheme="minorHAnsi" w:hAnsiTheme="minorHAnsi" w:cs="Arial"/>
          <w:spacing w:val="-3"/>
          <w:sz w:val="22"/>
          <w:szCs w:val="22"/>
        </w:rPr>
        <w:t xml:space="preserve">owners of new </w:t>
      </w:r>
      <w:r w:rsidR="0048605E">
        <w:rPr>
          <w:rFonts w:asciiTheme="minorHAnsi" w:hAnsiTheme="minorHAnsi" w:cs="Arial"/>
          <w:spacing w:val="-3"/>
          <w:sz w:val="22"/>
          <w:szCs w:val="22"/>
        </w:rPr>
        <w:t>EV</w:t>
      </w:r>
      <w:r w:rsidR="001B75FB">
        <w:rPr>
          <w:rFonts w:asciiTheme="minorHAnsi" w:hAnsiTheme="minorHAnsi" w:cs="Arial"/>
          <w:spacing w:val="-3"/>
          <w:sz w:val="22"/>
          <w:szCs w:val="22"/>
        </w:rPr>
        <w:t>s</w:t>
      </w:r>
      <w:r w:rsidR="0048605E">
        <w:rPr>
          <w:rFonts w:asciiTheme="minorHAnsi" w:hAnsiTheme="minorHAnsi" w:cs="Arial"/>
          <w:spacing w:val="-3"/>
          <w:sz w:val="22"/>
          <w:szCs w:val="22"/>
        </w:rPr>
        <w:t xml:space="preserve">. The </w:t>
      </w:r>
      <w:r w:rsidRPr="005D0CB4">
        <w:rPr>
          <w:rFonts w:asciiTheme="minorHAnsi" w:hAnsiTheme="minorHAnsi" w:cs="Arial"/>
          <w:spacing w:val="-3"/>
          <w:sz w:val="22"/>
          <w:szCs w:val="22"/>
        </w:rPr>
        <w:t xml:space="preserve">CCS protocol ISO 15118, or more commonly referred to as “Plug &amp; Charge”, is a VGI communication protocol enabling charging stations and vehicles to securely process payments for charging sessions using unique vehicle identifying numbers (VINs) and individual customer payment data (credit cards) tied to that VIN. This communication protocol or a version thereof is already operational or is planned to be operational in all Tesla vehicles and charging stations, Electrify America charging stations, Polestar (Volvo), Daimler vehicles, and </w:t>
      </w:r>
      <w:r w:rsidR="007D58D3">
        <w:rPr>
          <w:rFonts w:asciiTheme="minorHAnsi" w:hAnsiTheme="minorHAnsi" w:cs="Arial"/>
          <w:spacing w:val="-3"/>
          <w:sz w:val="22"/>
          <w:szCs w:val="22"/>
        </w:rPr>
        <w:t xml:space="preserve">the world’s largest automaker’s </w:t>
      </w:r>
      <w:r w:rsidRPr="005D0CB4">
        <w:rPr>
          <w:rFonts w:asciiTheme="minorHAnsi" w:hAnsiTheme="minorHAnsi" w:cs="Arial"/>
          <w:spacing w:val="-3"/>
          <w:sz w:val="22"/>
          <w:szCs w:val="22"/>
        </w:rPr>
        <w:t xml:space="preserve">vehicles and </w:t>
      </w:r>
      <w:r w:rsidR="00423819" w:rsidRPr="005D0CB4">
        <w:rPr>
          <w:rFonts w:asciiTheme="minorHAnsi" w:hAnsiTheme="minorHAnsi" w:cs="Arial"/>
          <w:spacing w:val="-3"/>
          <w:sz w:val="22"/>
          <w:szCs w:val="22"/>
        </w:rPr>
        <w:t>su</w:t>
      </w:r>
      <w:r w:rsidR="00423819">
        <w:rPr>
          <w:rFonts w:asciiTheme="minorHAnsi" w:hAnsiTheme="minorHAnsi" w:cs="Arial"/>
          <w:spacing w:val="-3"/>
          <w:sz w:val="22"/>
          <w:szCs w:val="22"/>
        </w:rPr>
        <w:t>bsidiary</w:t>
      </w:r>
      <w:r w:rsidR="00423819" w:rsidRPr="005D0CB4">
        <w:rPr>
          <w:rFonts w:asciiTheme="minorHAnsi" w:hAnsiTheme="minorHAnsi" w:cs="Arial"/>
          <w:spacing w:val="-3"/>
          <w:sz w:val="22"/>
          <w:szCs w:val="22"/>
        </w:rPr>
        <w:t xml:space="preserve"> </w:t>
      </w:r>
      <w:r w:rsidRPr="005D0CB4">
        <w:rPr>
          <w:rFonts w:asciiTheme="minorHAnsi" w:hAnsiTheme="minorHAnsi" w:cs="Arial"/>
          <w:spacing w:val="-3"/>
          <w:sz w:val="22"/>
          <w:szCs w:val="22"/>
        </w:rPr>
        <w:t>brands</w:t>
      </w:r>
      <w:r w:rsidR="007D58D3">
        <w:rPr>
          <w:rFonts w:asciiTheme="minorHAnsi" w:hAnsiTheme="minorHAnsi" w:cs="Arial"/>
          <w:spacing w:val="-3"/>
          <w:sz w:val="22"/>
          <w:szCs w:val="22"/>
        </w:rPr>
        <w:t>, VW</w:t>
      </w:r>
      <w:r w:rsidRPr="005D0CB4">
        <w:rPr>
          <w:rFonts w:asciiTheme="minorHAnsi" w:hAnsiTheme="minorHAnsi" w:cs="Arial"/>
          <w:spacing w:val="-3"/>
          <w:sz w:val="22"/>
          <w:szCs w:val="22"/>
        </w:rPr>
        <w:t xml:space="preserve">. </w:t>
      </w:r>
      <w:r w:rsidR="001B75FB">
        <w:rPr>
          <w:rFonts w:asciiTheme="minorHAnsi" w:hAnsiTheme="minorHAnsi" w:cs="Arial"/>
          <w:spacing w:val="-3"/>
          <w:sz w:val="22"/>
          <w:szCs w:val="22"/>
        </w:rPr>
        <w:t xml:space="preserve">The California Energy Commission (CEC) has indicated a desire to make ISO 15118 a standard requirement for all CEC funded stations in the future via the CALeVIP program. </w:t>
      </w:r>
    </w:p>
    <w:p w14:paraId="222AA2FB" w14:textId="0C0DFD3B" w:rsidR="000F7825" w:rsidRPr="001B75FB" w:rsidRDefault="000F7825" w:rsidP="00B617F5">
      <w:pPr>
        <w:tabs>
          <w:tab w:val="left" w:pos="-720"/>
        </w:tabs>
        <w:suppressAutoHyphens/>
        <w:rPr>
          <w:rFonts w:asciiTheme="minorHAnsi" w:hAnsiTheme="minorHAnsi" w:cs="Arial"/>
          <w:spacing w:val="-3"/>
          <w:sz w:val="22"/>
          <w:szCs w:val="22"/>
        </w:rPr>
      </w:pPr>
    </w:p>
    <w:p w14:paraId="70289457" w14:textId="0F5ECC54" w:rsidR="00166EAB" w:rsidRDefault="001B75FB" w:rsidP="00B617F5">
      <w:pPr>
        <w:tabs>
          <w:tab w:val="left" w:pos="-720"/>
        </w:tabs>
        <w:suppressAutoHyphens/>
        <w:rPr>
          <w:rFonts w:asciiTheme="minorHAnsi" w:hAnsiTheme="minorHAnsi" w:cs="Arial"/>
          <w:spacing w:val="-3"/>
          <w:sz w:val="22"/>
          <w:szCs w:val="22"/>
        </w:rPr>
      </w:pPr>
      <w:r w:rsidRPr="001B75FB">
        <w:rPr>
          <w:rFonts w:asciiTheme="minorHAnsi" w:hAnsiTheme="minorHAnsi" w:cs="Arial"/>
          <w:spacing w:val="-3"/>
          <w:sz w:val="22"/>
          <w:szCs w:val="22"/>
        </w:rPr>
        <w:t>Fina</w:t>
      </w:r>
      <w:r>
        <w:rPr>
          <w:rFonts w:asciiTheme="minorHAnsi" w:hAnsiTheme="minorHAnsi" w:cs="Arial"/>
          <w:spacing w:val="-3"/>
          <w:sz w:val="22"/>
          <w:szCs w:val="22"/>
        </w:rPr>
        <w:t>lly, wireless communications technologies such as NFC, RFID, Bluetooth</w:t>
      </w:r>
      <w:r w:rsidR="00423819">
        <w:rPr>
          <w:rFonts w:asciiTheme="minorHAnsi" w:hAnsiTheme="minorHAnsi" w:cs="Arial"/>
          <w:spacing w:val="-3"/>
          <w:sz w:val="22"/>
          <w:szCs w:val="22"/>
        </w:rPr>
        <w:t>,</w:t>
      </w:r>
      <w:r>
        <w:rPr>
          <w:rFonts w:asciiTheme="minorHAnsi" w:hAnsiTheme="minorHAnsi" w:cs="Arial"/>
          <w:spacing w:val="-3"/>
          <w:sz w:val="22"/>
          <w:szCs w:val="22"/>
        </w:rPr>
        <w:t xml:space="preserve"> and </w:t>
      </w:r>
      <w:r w:rsidR="004D1839">
        <w:rPr>
          <w:rFonts w:asciiTheme="minorHAnsi" w:hAnsiTheme="minorHAnsi" w:cs="Arial"/>
          <w:spacing w:val="-3"/>
          <w:sz w:val="22"/>
          <w:szCs w:val="22"/>
        </w:rPr>
        <w:t>WIFI</w:t>
      </w:r>
      <w:r>
        <w:rPr>
          <w:rFonts w:asciiTheme="minorHAnsi" w:hAnsiTheme="minorHAnsi" w:cs="Arial"/>
          <w:spacing w:val="-3"/>
          <w:sz w:val="22"/>
          <w:szCs w:val="22"/>
        </w:rPr>
        <w:t xml:space="preserve"> are varied and rapidly evolving. Explicit rules defined around specific protocols may be subject to rapid obsolescence and stranded assets. </w:t>
      </w:r>
    </w:p>
    <w:p w14:paraId="421A2FBE" w14:textId="77777777" w:rsidR="00166EAB" w:rsidRDefault="00166EAB" w:rsidP="00B617F5">
      <w:pPr>
        <w:tabs>
          <w:tab w:val="left" w:pos="-720"/>
        </w:tabs>
        <w:suppressAutoHyphens/>
        <w:rPr>
          <w:rFonts w:asciiTheme="minorHAnsi" w:hAnsiTheme="minorHAnsi" w:cs="Arial"/>
          <w:spacing w:val="-3"/>
          <w:sz w:val="22"/>
          <w:szCs w:val="22"/>
        </w:rPr>
      </w:pPr>
    </w:p>
    <w:p w14:paraId="0FB877BC" w14:textId="1B59828F" w:rsidR="001B75FB" w:rsidRPr="001B75FB" w:rsidRDefault="001B75FB" w:rsidP="00B617F5">
      <w:pPr>
        <w:tabs>
          <w:tab w:val="left" w:pos="-720"/>
        </w:tabs>
        <w:suppressAutoHyphens/>
        <w:rPr>
          <w:rFonts w:asciiTheme="minorHAnsi" w:hAnsiTheme="minorHAnsi" w:cs="Arial"/>
          <w:spacing w:val="-3"/>
          <w:sz w:val="22"/>
          <w:szCs w:val="22"/>
        </w:rPr>
      </w:pPr>
      <w:r>
        <w:rPr>
          <w:rFonts w:asciiTheme="minorHAnsi" w:hAnsiTheme="minorHAnsi" w:cs="Arial"/>
          <w:spacing w:val="-3"/>
          <w:sz w:val="22"/>
          <w:szCs w:val="22"/>
        </w:rPr>
        <w:t xml:space="preserve">A potential approach could be for the rules to require support for wireless protocols expected to be universally adopted by financial institutions. </w:t>
      </w:r>
      <w:r w:rsidR="00166EAB">
        <w:rPr>
          <w:rFonts w:asciiTheme="minorHAnsi" w:hAnsiTheme="minorHAnsi" w:cs="Arial"/>
          <w:spacing w:val="-3"/>
          <w:sz w:val="22"/>
          <w:szCs w:val="22"/>
        </w:rPr>
        <w:t>In addition, reporting rules should allow flexibility of the range of current and future protocols.</w:t>
      </w:r>
    </w:p>
    <w:p w14:paraId="228542DB" w14:textId="77777777" w:rsidR="000F7825" w:rsidRDefault="000F7825" w:rsidP="00B617F5">
      <w:pPr>
        <w:tabs>
          <w:tab w:val="left" w:pos="-720"/>
        </w:tabs>
        <w:suppressAutoHyphens/>
        <w:rPr>
          <w:rFonts w:asciiTheme="minorHAnsi" w:hAnsiTheme="minorHAnsi" w:cs="Arial"/>
          <w:b/>
          <w:bCs/>
          <w:spacing w:val="-3"/>
          <w:sz w:val="22"/>
          <w:szCs w:val="22"/>
          <w:u w:val="single"/>
        </w:rPr>
      </w:pPr>
    </w:p>
    <w:p w14:paraId="15E73A97" w14:textId="4A95BF59" w:rsidR="00A36818" w:rsidRPr="00906BBD" w:rsidRDefault="00A36818" w:rsidP="000F7825">
      <w:pPr>
        <w:pStyle w:val="ListParagraph"/>
        <w:numPr>
          <w:ilvl w:val="0"/>
          <w:numId w:val="2"/>
        </w:numPr>
        <w:tabs>
          <w:tab w:val="left" w:pos="-720"/>
        </w:tabs>
        <w:suppressAutoHyphens/>
        <w:rPr>
          <w:rFonts w:asciiTheme="minorHAnsi" w:hAnsiTheme="minorHAnsi" w:cs="Arial"/>
          <w:b/>
          <w:bCs/>
          <w:spacing w:val="-3"/>
          <w:sz w:val="22"/>
          <w:szCs w:val="22"/>
          <w:u w:val="single"/>
        </w:rPr>
      </w:pPr>
      <w:r w:rsidRPr="00906BBD">
        <w:rPr>
          <w:rFonts w:asciiTheme="minorHAnsi" w:hAnsiTheme="minorHAnsi" w:cs="Arial"/>
          <w:b/>
          <w:bCs/>
          <w:spacing w:val="-3"/>
          <w:sz w:val="22"/>
          <w:szCs w:val="22"/>
          <w:u w:val="single"/>
        </w:rPr>
        <w:t xml:space="preserve">We </w:t>
      </w:r>
      <w:r w:rsidR="00294C31" w:rsidRPr="00906BBD">
        <w:rPr>
          <w:rFonts w:asciiTheme="minorHAnsi" w:hAnsiTheme="minorHAnsi" w:cs="Arial"/>
          <w:b/>
          <w:bCs/>
          <w:spacing w:val="-3"/>
          <w:sz w:val="22"/>
          <w:szCs w:val="22"/>
          <w:u w:val="single"/>
        </w:rPr>
        <w:t xml:space="preserve">strongly encourage </w:t>
      </w:r>
      <w:r w:rsidRPr="00906BBD">
        <w:rPr>
          <w:rFonts w:asciiTheme="minorHAnsi" w:hAnsiTheme="minorHAnsi" w:cs="Arial"/>
          <w:b/>
          <w:bCs/>
          <w:spacing w:val="-3"/>
          <w:sz w:val="22"/>
          <w:szCs w:val="22"/>
          <w:u w:val="single"/>
        </w:rPr>
        <w:t xml:space="preserve">CARB’s coordination with the Center for Sustainable Energy (CSE) and the California Energy Commission to support state investment in the CALeVIP </w:t>
      </w:r>
      <w:r w:rsidR="00423819" w:rsidRPr="00906BBD">
        <w:rPr>
          <w:rFonts w:asciiTheme="minorHAnsi" w:hAnsiTheme="minorHAnsi" w:cs="Arial"/>
          <w:b/>
          <w:bCs/>
          <w:spacing w:val="-3"/>
          <w:sz w:val="22"/>
          <w:szCs w:val="22"/>
          <w:u w:val="single"/>
        </w:rPr>
        <w:t>program and</w:t>
      </w:r>
      <w:r w:rsidRPr="00906BBD">
        <w:rPr>
          <w:rFonts w:asciiTheme="minorHAnsi" w:hAnsiTheme="minorHAnsi" w:cs="Arial"/>
          <w:b/>
          <w:bCs/>
          <w:spacing w:val="-3"/>
          <w:sz w:val="22"/>
          <w:szCs w:val="22"/>
          <w:u w:val="single"/>
        </w:rPr>
        <w:t xml:space="preserve"> encourage ongoing collaboration to </w:t>
      </w:r>
      <w:r w:rsidR="007D19CA" w:rsidRPr="00906BBD">
        <w:rPr>
          <w:rFonts w:asciiTheme="minorHAnsi" w:hAnsiTheme="minorHAnsi" w:cs="Arial"/>
          <w:b/>
          <w:bCs/>
          <w:spacing w:val="-3"/>
          <w:sz w:val="22"/>
          <w:szCs w:val="22"/>
          <w:u w:val="single"/>
        </w:rPr>
        <w:t xml:space="preserve">align </w:t>
      </w:r>
      <w:r w:rsidR="004946B9" w:rsidRPr="00906BBD">
        <w:rPr>
          <w:rFonts w:asciiTheme="minorHAnsi" w:hAnsiTheme="minorHAnsi" w:cs="Arial"/>
          <w:b/>
          <w:bCs/>
          <w:spacing w:val="-3"/>
          <w:sz w:val="22"/>
          <w:szCs w:val="22"/>
          <w:u w:val="single"/>
        </w:rPr>
        <w:t xml:space="preserve">the </w:t>
      </w:r>
      <w:r w:rsidRPr="00906BBD">
        <w:rPr>
          <w:rFonts w:asciiTheme="minorHAnsi" w:hAnsiTheme="minorHAnsi" w:cs="Arial"/>
          <w:b/>
          <w:bCs/>
          <w:spacing w:val="-3"/>
          <w:sz w:val="22"/>
          <w:szCs w:val="22"/>
          <w:u w:val="single"/>
        </w:rPr>
        <w:t xml:space="preserve">CALeVIP program and </w:t>
      </w:r>
      <w:r w:rsidR="004946B9" w:rsidRPr="00906BBD">
        <w:rPr>
          <w:rFonts w:asciiTheme="minorHAnsi" w:hAnsiTheme="minorHAnsi" w:cs="Arial"/>
          <w:b/>
          <w:bCs/>
          <w:spacing w:val="-3"/>
          <w:sz w:val="22"/>
          <w:szCs w:val="22"/>
          <w:u w:val="single"/>
        </w:rPr>
        <w:t xml:space="preserve">proposed </w:t>
      </w:r>
      <w:r w:rsidRPr="00906BBD">
        <w:rPr>
          <w:rFonts w:asciiTheme="minorHAnsi" w:hAnsiTheme="minorHAnsi" w:cs="Arial"/>
          <w:b/>
          <w:bCs/>
          <w:spacing w:val="-3"/>
          <w:sz w:val="22"/>
          <w:szCs w:val="22"/>
          <w:u w:val="single"/>
        </w:rPr>
        <w:t xml:space="preserve">regulations. </w:t>
      </w:r>
    </w:p>
    <w:p w14:paraId="6CAC2244" w14:textId="77777777" w:rsidR="001B75FB" w:rsidRDefault="001B75FB" w:rsidP="00B617F5">
      <w:pPr>
        <w:tabs>
          <w:tab w:val="left" w:pos="-720"/>
        </w:tabs>
        <w:suppressAutoHyphens/>
        <w:rPr>
          <w:rFonts w:asciiTheme="minorHAnsi" w:hAnsiTheme="minorHAnsi" w:cs="Arial"/>
          <w:spacing w:val="-3"/>
          <w:sz w:val="22"/>
          <w:szCs w:val="22"/>
        </w:rPr>
      </w:pPr>
    </w:p>
    <w:p w14:paraId="6C586D9F" w14:textId="16285990" w:rsidR="00A36818" w:rsidRPr="00B617F5" w:rsidRDefault="00A36818" w:rsidP="00B617F5">
      <w:pPr>
        <w:tabs>
          <w:tab w:val="left" w:pos="-720"/>
        </w:tabs>
        <w:suppressAutoHyphens/>
        <w:rPr>
          <w:rFonts w:asciiTheme="minorHAnsi" w:hAnsiTheme="minorHAnsi" w:cs="Arial"/>
          <w:spacing w:val="-3"/>
          <w:sz w:val="22"/>
          <w:szCs w:val="22"/>
        </w:rPr>
      </w:pPr>
      <w:r w:rsidRPr="00B617F5">
        <w:rPr>
          <w:rFonts w:asciiTheme="minorHAnsi" w:hAnsiTheme="minorHAnsi" w:cs="Arial"/>
          <w:spacing w:val="-3"/>
          <w:sz w:val="22"/>
          <w:szCs w:val="22"/>
        </w:rPr>
        <w:t xml:space="preserve">CALeVIP is an important incentive launching across the state, helping to accelerate public charging at places where property owners are not typically motivated to initiate installations of their own accord. As proposed, the requirement poses a disincentive to participate in the CALeVIP rebate program. </w:t>
      </w:r>
      <w:r w:rsidR="00630757" w:rsidRPr="00B617F5">
        <w:rPr>
          <w:rFonts w:asciiTheme="minorHAnsi" w:hAnsiTheme="minorHAnsi" w:cs="Arial"/>
          <w:spacing w:val="-3"/>
          <w:sz w:val="22"/>
          <w:szCs w:val="22"/>
        </w:rPr>
        <w:t>For example, t</w:t>
      </w:r>
      <w:r w:rsidRPr="00B617F5">
        <w:rPr>
          <w:rFonts w:asciiTheme="minorHAnsi" w:hAnsiTheme="minorHAnsi" w:cs="Arial"/>
          <w:spacing w:val="-3"/>
          <w:sz w:val="22"/>
          <w:szCs w:val="22"/>
        </w:rPr>
        <w:t xml:space="preserve">he current list of eligible CALeVIP </w:t>
      </w:r>
      <w:r w:rsidR="007D19CA" w:rsidRPr="00B617F5">
        <w:rPr>
          <w:rFonts w:asciiTheme="minorHAnsi" w:hAnsiTheme="minorHAnsi" w:cs="Arial"/>
          <w:spacing w:val="-3"/>
          <w:sz w:val="22"/>
          <w:szCs w:val="22"/>
        </w:rPr>
        <w:t xml:space="preserve">charging infrastructure </w:t>
      </w:r>
      <w:r w:rsidRPr="00B617F5">
        <w:rPr>
          <w:rFonts w:asciiTheme="minorHAnsi" w:hAnsiTheme="minorHAnsi" w:cs="Arial"/>
          <w:spacing w:val="-3"/>
          <w:sz w:val="22"/>
          <w:szCs w:val="22"/>
        </w:rPr>
        <w:t xml:space="preserve">does not comply with the proposed standards. More specifically, none of the eligible L2 EVSE has point of sale (credit card) capabilities. More CALeVIP offerings will soon launch in other </w:t>
      </w:r>
      <w:r w:rsidR="004946B9" w:rsidRPr="00B617F5">
        <w:rPr>
          <w:rFonts w:asciiTheme="minorHAnsi" w:hAnsiTheme="minorHAnsi" w:cs="Arial"/>
          <w:spacing w:val="-3"/>
          <w:sz w:val="22"/>
          <w:szCs w:val="22"/>
        </w:rPr>
        <w:t>regions</w:t>
      </w:r>
      <w:r w:rsidR="00630757" w:rsidRPr="00B617F5">
        <w:rPr>
          <w:rFonts w:asciiTheme="minorHAnsi" w:hAnsiTheme="minorHAnsi" w:cs="Arial"/>
          <w:spacing w:val="-3"/>
          <w:sz w:val="22"/>
          <w:szCs w:val="22"/>
        </w:rPr>
        <w:t xml:space="preserve"> including potential CCA led programs in 2020 and 2021</w:t>
      </w:r>
      <w:r w:rsidRPr="00B617F5">
        <w:rPr>
          <w:rFonts w:asciiTheme="minorHAnsi" w:hAnsiTheme="minorHAnsi" w:cs="Arial"/>
          <w:spacing w:val="-3"/>
          <w:sz w:val="22"/>
          <w:szCs w:val="22"/>
        </w:rPr>
        <w:t xml:space="preserve">. By imposing new regulations that do not grandfather or exempt infrastructure currently incentivized by another state agency, the regulations will constrain the benefit of the CALeVIP program and further limit our ability to collectively meet the State’s aggressive goals for expansion of public EV charging.  </w:t>
      </w:r>
    </w:p>
    <w:p w14:paraId="689C531A" w14:textId="77777777" w:rsidR="00B617F5" w:rsidRDefault="00B617F5" w:rsidP="00B617F5">
      <w:pPr>
        <w:tabs>
          <w:tab w:val="left" w:pos="-720"/>
        </w:tabs>
        <w:suppressAutoHyphens/>
        <w:rPr>
          <w:rFonts w:asciiTheme="minorHAnsi" w:hAnsiTheme="minorHAnsi" w:cs="Arial"/>
          <w:b/>
          <w:bCs/>
          <w:spacing w:val="-3"/>
          <w:sz w:val="22"/>
          <w:szCs w:val="22"/>
          <w:u w:val="single"/>
        </w:rPr>
      </w:pPr>
    </w:p>
    <w:p w14:paraId="0037EB93" w14:textId="29A2AA25" w:rsidR="00A36818" w:rsidRPr="00B617F5" w:rsidRDefault="00A36818" w:rsidP="000F7825">
      <w:pPr>
        <w:pStyle w:val="ListParagraph"/>
        <w:numPr>
          <w:ilvl w:val="0"/>
          <w:numId w:val="2"/>
        </w:numPr>
        <w:tabs>
          <w:tab w:val="left" w:pos="-720"/>
        </w:tabs>
        <w:suppressAutoHyphens/>
        <w:rPr>
          <w:rFonts w:asciiTheme="minorHAnsi" w:hAnsiTheme="minorHAnsi" w:cs="Arial"/>
          <w:b/>
          <w:bCs/>
          <w:spacing w:val="-3"/>
          <w:sz w:val="22"/>
          <w:szCs w:val="22"/>
          <w:u w:val="single"/>
        </w:rPr>
      </w:pPr>
      <w:r w:rsidRPr="00B617F5">
        <w:rPr>
          <w:rFonts w:asciiTheme="minorHAnsi" w:hAnsiTheme="minorHAnsi" w:cs="Arial"/>
          <w:b/>
          <w:bCs/>
          <w:spacing w:val="-3"/>
          <w:sz w:val="22"/>
          <w:szCs w:val="22"/>
          <w:u w:val="single"/>
        </w:rPr>
        <w:t xml:space="preserve">We look forward to continued collaboration with CARB on the monitoring and reporting aspects of the regulation. </w:t>
      </w:r>
    </w:p>
    <w:p w14:paraId="4A204547" w14:textId="77777777" w:rsidR="00166EAB" w:rsidRDefault="00166EAB" w:rsidP="00B617F5">
      <w:pPr>
        <w:rPr>
          <w:rFonts w:asciiTheme="minorHAnsi" w:hAnsiTheme="minorHAnsi" w:cs="Arial"/>
          <w:spacing w:val="-3"/>
          <w:sz w:val="22"/>
          <w:szCs w:val="22"/>
        </w:rPr>
      </w:pPr>
    </w:p>
    <w:p w14:paraId="59DF5655" w14:textId="6DDA9B69" w:rsidR="005F5166" w:rsidRPr="00B617F5" w:rsidRDefault="0011212C" w:rsidP="00B617F5">
      <w:pPr>
        <w:rPr>
          <w:rFonts w:asciiTheme="minorHAnsi" w:hAnsiTheme="minorHAnsi" w:cs="Arial"/>
          <w:spacing w:val="-3"/>
          <w:sz w:val="22"/>
          <w:szCs w:val="22"/>
        </w:rPr>
      </w:pPr>
      <w:r w:rsidRPr="00B617F5">
        <w:rPr>
          <w:rFonts w:asciiTheme="minorHAnsi" w:hAnsiTheme="minorHAnsi" w:cs="Arial"/>
          <w:spacing w:val="-3"/>
          <w:sz w:val="22"/>
          <w:szCs w:val="22"/>
        </w:rPr>
        <w:t>P</w:t>
      </w:r>
      <w:r w:rsidR="002C2AB3" w:rsidRPr="00B617F5">
        <w:rPr>
          <w:rFonts w:asciiTheme="minorHAnsi" w:hAnsiTheme="minorHAnsi" w:cs="Arial"/>
          <w:spacing w:val="-3"/>
          <w:sz w:val="22"/>
          <w:szCs w:val="22"/>
        </w:rPr>
        <w:t xml:space="preserve">ublic agencies </w:t>
      </w:r>
      <w:r w:rsidRPr="00B617F5">
        <w:rPr>
          <w:rFonts w:asciiTheme="minorHAnsi" w:hAnsiTheme="minorHAnsi" w:cs="Arial"/>
          <w:spacing w:val="-3"/>
          <w:sz w:val="22"/>
          <w:szCs w:val="22"/>
        </w:rPr>
        <w:t xml:space="preserve">identified a number of initial concerns about the onerous reporting requirements in the </w:t>
      </w:r>
      <w:r w:rsidR="002D0A16" w:rsidRPr="00B617F5">
        <w:rPr>
          <w:rFonts w:asciiTheme="minorHAnsi" w:hAnsiTheme="minorHAnsi" w:cs="Arial"/>
          <w:spacing w:val="-3"/>
          <w:sz w:val="22"/>
          <w:szCs w:val="22"/>
        </w:rPr>
        <w:t xml:space="preserve">May 2019 </w:t>
      </w:r>
      <w:r w:rsidRPr="00B617F5">
        <w:rPr>
          <w:rFonts w:asciiTheme="minorHAnsi" w:hAnsiTheme="minorHAnsi" w:cs="Arial"/>
          <w:spacing w:val="-3"/>
          <w:sz w:val="22"/>
          <w:szCs w:val="22"/>
        </w:rPr>
        <w:t xml:space="preserve">proposal. </w:t>
      </w:r>
      <w:r w:rsidR="0082393E" w:rsidRPr="00B617F5">
        <w:rPr>
          <w:rFonts w:asciiTheme="minorHAnsi" w:hAnsiTheme="minorHAnsi" w:cs="Arial"/>
          <w:spacing w:val="-3"/>
          <w:sz w:val="22"/>
          <w:szCs w:val="22"/>
        </w:rPr>
        <w:t xml:space="preserve">We appreciate CARB’s </w:t>
      </w:r>
      <w:r w:rsidR="00A5335A" w:rsidRPr="00B617F5">
        <w:rPr>
          <w:rFonts w:asciiTheme="minorHAnsi" w:hAnsiTheme="minorHAnsi" w:cs="Arial"/>
          <w:spacing w:val="-3"/>
          <w:sz w:val="22"/>
          <w:szCs w:val="22"/>
        </w:rPr>
        <w:t>proposed revisions to simplify data collection and reporting requirements</w:t>
      </w:r>
      <w:r w:rsidR="005D192C" w:rsidRPr="00B617F5">
        <w:rPr>
          <w:rFonts w:asciiTheme="minorHAnsi" w:hAnsiTheme="minorHAnsi" w:cs="Arial"/>
          <w:spacing w:val="-3"/>
          <w:sz w:val="22"/>
          <w:szCs w:val="22"/>
        </w:rPr>
        <w:t xml:space="preserve"> for annual reporting. </w:t>
      </w:r>
      <w:r w:rsidR="00662802" w:rsidRPr="00B617F5">
        <w:rPr>
          <w:rFonts w:asciiTheme="minorHAnsi" w:hAnsiTheme="minorHAnsi" w:cs="Arial"/>
          <w:spacing w:val="-3"/>
          <w:sz w:val="22"/>
          <w:szCs w:val="22"/>
        </w:rPr>
        <w:t>Local governments and other public agencies often</w:t>
      </w:r>
      <w:r w:rsidR="00A36818" w:rsidRPr="00B617F5">
        <w:rPr>
          <w:rFonts w:asciiTheme="minorHAnsi" w:hAnsiTheme="minorHAnsi" w:cs="Arial"/>
          <w:spacing w:val="-3"/>
          <w:sz w:val="22"/>
          <w:szCs w:val="22"/>
        </w:rPr>
        <w:t xml:space="preserve"> use more than one networking </w:t>
      </w:r>
      <w:r w:rsidR="003A3ED6" w:rsidRPr="00B617F5">
        <w:rPr>
          <w:rFonts w:asciiTheme="minorHAnsi" w:hAnsiTheme="minorHAnsi" w:cs="Arial"/>
          <w:spacing w:val="-3"/>
          <w:sz w:val="22"/>
          <w:szCs w:val="22"/>
        </w:rPr>
        <w:t>company and</w:t>
      </w:r>
      <w:r w:rsidR="00A36818" w:rsidRPr="00B617F5">
        <w:rPr>
          <w:rFonts w:asciiTheme="minorHAnsi" w:hAnsiTheme="minorHAnsi" w:cs="Arial"/>
          <w:spacing w:val="-3"/>
          <w:sz w:val="22"/>
          <w:szCs w:val="22"/>
        </w:rPr>
        <w:t xml:space="preserve"> receive data in different formats. </w:t>
      </w:r>
      <w:r w:rsidR="00662802" w:rsidRPr="00B617F5">
        <w:rPr>
          <w:rFonts w:asciiTheme="minorHAnsi" w:hAnsiTheme="minorHAnsi" w:cs="Arial"/>
          <w:spacing w:val="-3"/>
          <w:sz w:val="22"/>
          <w:szCs w:val="22"/>
        </w:rPr>
        <w:t xml:space="preserve">A coordinated approach </w:t>
      </w:r>
      <w:r w:rsidR="003A3ED6" w:rsidRPr="00B617F5">
        <w:rPr>
          <w:rFonts w:asciiTheme="minorHAnsi" w:hAnsiTheme="minorHAnsi" w:cs="Arial"/>
          <w:spacing w:val="-3"/>
          <w:sz w:val="22"/>
          <w:szCs w:val="22"/>
        </w:rPr>
        <w:t>to streamline</w:t>
      </w:r>
      <w:r w:rsidR="00662802" w:rsidRPr="00B617F5">
        <w:rPr>
          <w:rFonts w:asciiTheme="minorHAnsi" w:hAnsiTheme="minorHAnsi" w:cs="Arial"/>
          <w:spacing w:val="-3"/>
          <w:sz w:val="22"/>
          <w:szCs w:val="22"/>
        </w:rPr>
        <w:t xml:space="preserve"> reporting</w:t>
      </w:r>
      <w:r w:rsidR="00A36818" w:rsidRPr="00B617F5">
        <w:rPr>
          <w:rFonts w:asciiTheme="minorHAnsi" w:hAnsiTheme="minorHAnsi" w:cs="Arial"/>
          <w:spacing w:val="-3"/>
          <w:sz w:val="22"/>
          <w:szCs w:val="22"/>
        </w:rPr>
        <w:t xml:space="preserve"> processes </w:t>
      </w:r>
      <w:r w:rsidR="00662802" w:rsidRPr="00B617F5">
        <w:rPr>
          <w:rFonts w:asciiTheme="minorHAnsi" w:hAnsiTheme="minorHAnsi" w:cs="Arial"/>
          <w:spacing w:val="-3"/>
          <w:sz w:val="22"/>
          <w:szCs w:val="22"/>
        </w:rPr>
        <w:t>is necessary and must engage public agencies, network providers</w:t>
      </w:r>
      <w:r w:rsidR="00423819">
        <w:rPr>
          <w:rFonts w:asciiTheme="minorHAnsi" w:hAnsiTheme="minorHAnsi" w:cs="Arial"/>
          <w:spacing w:val="-3"/>
          <w:sz w:val="22"/>
          <w:szCs w:val="22"/>
        </w:rPr>
        <w:t>,</w:t>
      </w:r>
      <w:r w:rsidR="00662802" w:rsidRPr="00B617F5">
        <w:rPr>
          <w:rFonts w:asciiTheme="minorHAnsi" w:hAnsiTheme="minorHAnsi" w:cs="Arial"/>
          <w:spacing w:val="-3"/>
          <w:sz w:val="22"/>
          <w:szCs w:val="22"/>
        </w:rPr>
        <w:t xml:space="preserve"> and CARB staff</w:t>
      </w:r>
      <w:r w:rsidR="00AD39F9" w:rsidRPr="00B617F5">
        <w:rPr>
          <w:rFonts w:asciiTheme="minorHAnsi" w:hAnsiTheme="minorHAnsi" w:cs="Arial"/>
          <w:spacing w:val="-3"/>
          <w:sz w:val="22"/>
          <w:szCs w:val="22"/>
        </w:rPr>
        <w:t xml:space="preserve">. </w:t>
      </w:r>
      <w:r w:rsidR="00423819">
        <w:rPr>
          <w:rFonts w:asciiTheme="minorHAnsi" w:hAnsiTheme="minorHAnsi" w:cs="Arial"/>
          <w:spacing w:val="-3"/>
          <w:sz w:val="22"/>
          <w:szCs w:val="22"/>
        </w:rPr>
        <w:t>Notably, the</w:t>
      </w:r>
      <w:r w:rsidR="00A36818" w:rsidRPr="00B617F5">
        <w:rPr>
          <w:rFonts w:asciiTheme="minorHAnsi" w:hAnsiTheme="minorHAnsi" w:cs="Arial"/>
          <w:spacing w:val="-3"/>
          <w:sz w:val="22"/>
          <w:szCs w:val="22"/>
        </w:rPr>
        <w:t xml:space="preserve"> </w:t>
      </w:r>
      <w:r w:rsidR="005D192C" w:rsidRPr="00B617F5">
        <w:rPr>
          <w:rFonts w:asciiTheme="minorHAnsi" w:hAnsiTheme="minorHAnsi" w:cs="Arial"/>
          <w:spacing w:val="-3"/>
          <w:sz w:val="22"/>
          <w:szCs w:val="22"/>
        </w:rPr>
        <w:t xml:space="preserve">resources </w:t>
      </w:r>
      <w:r w:rsidR="00A36818" w:rsidRPr="00B617F5">
        <w:rPr>
          <w:rFonts w:asciiTheme="minorHAnsi" w:hAnsiTheme="minorHAnsi" w:cs="Arial"/>
          <w:spacing w:val="-3"/>
          <w:sz w:val="22"/>
          <w:szCs w:val="22"/>
        </w:rPr>
        <w:t xml:space="preserve">local government </w:t>
      </w:r>
      <w:r w:rsidR="00AD39F9" w:rsidRPr="00B617F5">
        <w:rPr>
          <w:rFonts w:asciiTheme="minorHAnsi" w:hAnsiTheme="minorHAnsi" w:cs="Arial"/>
          <w:spacing w:val="-3"/>
          <w:sz w:val="22"/>
          <w:szCs w:val="22"/>
        </w:rPr>
        <w:t xml:space="preserve">and other public agency </w:t>
      </w:r>
      <w:r w:rsidR="00A36818" w:rsidRPr="00B617F5">
        <w:rPr>
          <w:rFonts w:asciiTheme="minorHAnsi" w:hAnsiTheme="minorHAnsi" w:cs="Arial"/>
          <w:spacing w:val="-3"/>
          <w:sz w:val="22"/>
          <w:szCs w:val="22"/>
        </w:rPr>
        <w:t xml:space="preserve">resources dedicate to reporting, whether staff time or </w:t>
      </w:r>
      <w:r w:rsidR="00AD39F9" w:rsidRPr="00B617F5">
        <w:rPr>
          <w:rFonts w:asciiTheme="minorHAnsi" w:hAnsiTheme="minorHAnsi" w:cs="Arial"/>
          <w:spacing w:val="-3"/>
          <w:sz w:val="22"/>
          <w:szCs w:val="22"/>
        </w:rPr>
        <w:lastRenderedPageBreak/>
        <w:t>funds for technical support</w:t>
      </w:r>
      <w:r w:rsidR="00A36818" w:rsidRPr="00B617F5">
        <w:rPr>
          <w:rFonts w:asciiTheme="minorHAnsi" w:hAnsiTheme="minorHAnsi" w:cs="Arial"/>
          <w:spacing w:val="-3"/>
          <w:sz w:val="22"/>
          <w:szCs w:val="22"/>
        </w:rPr>
        <w:t>, is public money that is diverted away from installing new EVSE</w:t>
      </w:r>
      <w:r w:rsidR="00AD39F9" w:rsidRPr="00B617F5">
        <w:rPr>
          <w:rFonts w:asciiTheme="minorHAnsi" w:hAnsiTheme="minorHAnsi" w:cs="Arial"/>
          <w:spacing w:val="-3"/>
          <w:sz w:val="22"/>
          <w:szCs w:val="22"/>
        </w:rPr>
        <w:t xml:space="preserve"> in our communities</w:t>
      </w:r>
      <w:r w:rsidR="00A36818" w:rsidRPr="00B617F5">
        <w:rPr>
          <w:rFonts w:asciiTheme="minorHAnsi" w:hAnsiTheme="minorHAnsi" w:cs="Arial"/>
          <w:spacing w:val="-3"/>
          <w:sz w:val="22"/>
          <w:szCs w:val="22"/>
        </w:rPr>
        <w:t xml:space="preserve">. </w:t>
      </w:r>
    </w:p>
    <w:p w14:paraId="38F55F2F" w14:textId="77777777" w:rsidR="00B617F5" w:rsidRDefault="00B617F5" w:rsidP="00B617F5">
      <w:pPr>
        <w:rPr>
          <w:rFonts w:asciiTheme="minorHAnsi" w:hAnsiTheme="minorHAnsi" w:cs="Arial"/>
          <w:spacing w:val="-3"/>
          <w:sz w:val="22"/>
          <w:szCs w:val="22"/>
        </w:rPr>
      </w:pPr>
    </w:p>
    <w:p w14:paraId="77CE55EE" w14:textId="012F1666" w:rsidR="00A36818" w:rsidRPr="00B617F5" w:rsidRDefault="00B0732A" w:rsidP="00B617F5">
      <w:pPr>
        <w:rPr>
          <w:rFonts w:asciiTheme="minorHAnsi" w:hAnsiTheme="minorHAnsi" w:cs="Arial"/>
          <w:spacing w:val="-3"/>
          <w:sz w:val="22"/>
          <w:szCs w:val="22"/>
        </w:rPr>
      </w:pPr>
      <w:r w:rsidRPr="00B617F5">
        <w:rPr>
          <w:rFonts w:asciiTheme="minorHAnsi" w:hAnsiTheme="minorHAnsi" w:cs="Arial"/>
          <w:spacing w:val="-3"/>
          <w:sz w:val="22"/>
          <w:szCs w:val="22"/>
        </w:rPr>
        <w:t>As previously stated, many public agencies have funded existing EVSE infrastructure through grant funding. These funding sources already establish quarterly and annual reporting templates</w:t>
      </w:r>
      <w:r w:rsidR="00762016" w:rsidRPr="00B617F5">
        <w:rPr>
          <w:rFonts w:asciiTheme="minorHAnsi" w:hAnsiTheme="minorHAnsi" w:cs="Arial"/>
          <w:spacing w:val="-3"/>
          <w:sz w:val="22"/>
          <w:szCs w:val="22"/>
        </w:rPr>
        <w:t xml:space="preserve"> that must be completed by local government staff. </w:t>
      </w:r>
      <w:r w:rsidR="005F5166" w:rsidRPr="00B617F5">
        <w:rPr>
          <w:rFonts w:asciiTheme="minorHAnsi" w:hAnsiTheme="minorHAnsi" w:cs="Arial"/>
          <w:spacing w:val="-3"/>
          <w:sz w:val="22"/>
          <w:szCs w:val="22"/>
        </w:rPr>
        <w:t>In their current form, the</w:t>
      </w:r>
      <w:r w:rsidR="00762016" w:rsidRPr="00B617F5">
        <w:rPr>
          <w:rFonts w:asciiTheme="minorHAnsi" w:hAnsiTheme="minorHAnsi" w:cs="Arial"/>
          <w:spacing w:val="-3"/>
          <w:sz w:val="22"/>
          <w:szCs w:val="22"/>
        </w:rPr>
        <w:t xml:space="preserve"> </w:t>
      </w:r>
      <w:r w:rsidR="00AD39F9" w:rsidRPr="00B617F5">
        <w:rPr>
          <w:rFonts w:asciiTheme="minorHAnsi" w:hAnsiTheme="minorHAnsi" w:cs="Arial"/>
          <w:spacing w:val="-3"/>
          <w:sz w:val="22"/>
          <w:szCs w:val="22"/>
        </w:rPr>
        <w:t>reporting</w:t>
      </w:r>
      <w:r w:rsidR="00A36818" w:rsidRPr="00B617F5">
        <w:rPr>
          <w:rFonts w:asciiTheme="minorHAnsi" w:hAnsiTheme="minorHAnsi" w:cs="Arial"/>
          <w:spacing w:val="-3"/>
          <w:sz w:val="22"/>
          <w:szCs w:val="22"/>
        </w:rPr>
        <w:t xml:space="preserve"> requirements </w:t>
      </w:r>
      <w:r w:rsidR="005F5166" w:rsidRPr="00B617F5">
        <w:rPr>
          <w:rFonts w:asciiTheme="minorHAnsi" w:hAnsiTheme="minorHAnsi" w:cs="Arial"/>
          <w:spacing w:val="-3"/>
          <w:sz w:val="22"/>
          <w:szCs w:val="22"/>
        </w:rPr>
        <w:t>may</w:t>
      </w:r>
      <w:r w:rsidR="00A36818" w:rsidRPr="00B617F5">
        <w:rPr>
          <w:rFonts w:asciiTheme="minorHAnsi" w:hAnsiTheme="minorHAnsi" w:cs="Arial"/>
          <w:spacing w:val="-3"/>
          <w:sz w:val="22"/>
          <w:szCs w:val="22"/>
        </w:rPr>
        <w:t xml:space="preserve"> discourage or penalize public agencies from serving as public charging operators</w:t>
      </w:r>
      <w:r w:rsidR="005F5166" w:rsidRPr="00B617F5">
        <w:rPr>
          <w:rFonts w:asciiTheme="minorHAnsi" w:hAnsiTheme="minorHAnsi" w:cs="Arial"/>
          <w:spacing w:val="-3"/>
          <w:sz w:val="22"/>
          <w:szCs w:val="22"/>
        </w:rPr>
        <w:t>. We have limited budgets and</w:t>
      </w:r>
      <w:r w:rsidRPr="00B617F5">
        <w:rPr>
          <w:rFonts w:asciiTheme="minorHAnsi" w:hAnsiTheme="minorHAnsi" w:cs="Arial"/>
          <w:spacing w:val="-3"/>
          <w:sz w:val="22"/>
          <w:szCs w:val="22"/>
        </w:rPr>
        <w:t xml:space="preserve"> CARB staff has not identified funds to support this activity. We</w:t>
      </w:r>
      <w:r w:rsidR="005F5166" w:rsidRPr="00B617F5">
        <w:rPr>
          <w:rFonts w:asciiTheme="minorHAnsi" w:hAnsiTheme="minorHAnsi" w:cs="Arial"/>
          <w:spacing w:val="-3"/>
          <w:sz w:val="22"/>
          <w:szCs w:val="22"/>
        </w:rPr>
        <w:t xml:space="preserve"> will continue to monitor and evaluate the impact of reporting on our EV programs</w:t>
      </w:r>
      <w:r w:rsidR="00423819">
        <w:rPr>
          <w:rFonts w:asciiTheme="minorHAnsi" w:hAnsiTheme="minorHAnsi" w:cs="Arial"/>
          <w:spacing w:val="-3"/>
          <w:sz w:val="22"/>
          <w:szCs w:val="22"/>
        </w:rPr>
        <w:t xml:space="preserve"> </w:t>
      </w:r>
      <w:r w:rsidR="00C85FBE" w:rsidRPr="00B617F5">
        <w:rPr>
          <w:rFonts w:asciiTheme="minorHAnsi" w:hAnsiTheme="minorHAnsi" w:cs="Arial"/>
          <w:spacing w:val="-3"/>
          <w:sz w:val="22"/>
          <w:szCs w:val="22"/>
        </w:rPr>
        <w:t>and encourage CARB staff to collaborate with public agencies to simplify the reporting requirements</w:t>
      </w:r>
      <w:r w:rsidR="00A36818" w:rsidRPr="00B617F5">
        <w:rPr>
          <w:rFonts w:asciiTheme="minorHAnsi" w:hAnsiTheme="minorHAnsi" w:cs="Arial"/>
          <w:spacing w:val="-3"/>
          <w:sz w:val="22"/>
          <w:szCs w:val="22"/>
        </w:rPr>
        <w:t xml:space="preserve">. </w:t>
      </w:r>
    </w:p>
    <w:p w14:paraId="2070887D" w14:textId="77777777" w:rsidR="004946B9" w:rsidRPr="00B617F5" w:rsidRDefault="004946B9" w:rsidP="00B617F5">
      <w:pPr>
        <w:rPr>
          <w:rFonts w:asciiTheme="minorHAnsi" w:hAnsiTheme="minorHAnsi" w:cs="Arial"/>
          <w:spacing w:val="-3"/>
          <w:sz w:val="22"/>
          <w:szCs w:val="22"/>
        </w:rPr>
      </w:pPr>
    </w:p>
    <w:p w14:paraId="2083A9A6" w14:textId="6B8B16EA" w:rsidR="008D2D8E" w:rsidRPr="00B617F5" w:rsidRDefault="008D2D8E" w:rsidP="00B617F5">
      <w:pPr>
        <w:rPr>
          <w:rFonts w:asciiTheme="minorHAnsi" w:hAnsiTheme="minorHAnsi" w:cs="Arial"/>
          <w:spacing w:val="-3"/>
          <w:sz w:val="22"/>
          <w:szCs w:val="22"/>
        </w:rPr>
      </w:pPr>
      <w:r w:rsidRPr="00B617F5">
        <w:rPr>
          <w:rFonts w:asciiTheme="minorHAnsi" w:hAnsiTheme="minorHAnsi" w:cs="Arial"/>
          <w:spacing w:val="-3"/>
          <w:sz w:val="22"/>
          <w:szCs w:val="22"/>
        </w:rPr>
        <w:t xml:space="preserve">CARB’s leadership to expand access to EVSE is exemplary, and </w:t>
      </w:r>
      <w:r w:rsidR="00550BB4">
        <w:rPr>
          <w:rFonts w:asciiTheme="minorHAnsi" w:hAnsiTheme="minorHAnsi" w:cs="Arial"/>
          <w:spacing w:val="-3"/>
          <w:sz w:val="22"/>
          <w:szCs w:val="22"/>
        </w:rPr>
        <w:t>PCE</w:t>
      </w:r>
      <w:r w:rsidR="00E42EF3" w:rsidRPr="00B617F5">
        <w:rPr>
          <w:rFonts w:asciiTheme="minorHAnsi" w:hAnsiTheme="minorHAnsi" w:cs="Arial"/>
          <w:spacing w:val="-3"/>
          <w:sz w:val="22"/>
          <w:szCs w:val="22"/>
        </w:rPr>
        <w:t xml:space="preserve"> </w:t>
      </w:r>
      <w:r w:rsidRPr="00B617F5">
        <w:rPr>
          <w:rFonts w:asciiTheme="minorHAnsi" w:hAnsiTheme="minorHAnsi" w:cs="Arial"/>
          <w:spacing w:val="-3"/>
          <w:sz w:val="22"/>
          <w:szCs w:val="22"/>
        </w:rPr>
        <w:t>commend</w:t>
      </w:r>
      <w:r w:rsidR="00E42EF3" w:rsidRPr="00B617F5">
        <w:rPr>
          <w:rFonts w:asciiTheme="minorHAnsi" w:hAnsiTheme="minorHAnsi" w:cs="Arial"/>
          <w:spacing w:val="-3"/>
          <w:sz w:val="22"/>
          <w:szCs w:val="22"/>
        </w:rPr>
        <w:t>s</w:t>
      </w:r>
      <w:r w:rsidRPr="00B617F5">
        <w:rPr>
          <w:rFonts w:asciiTheme="minorHAnsi" w:hAnsiTheme="minorHAnsi" w:cs="Arial"/>
          <w:spacing w:val="-3"/>
          <w:sz w:val="22"/>
          <w:szCs w:val="22"/>
        </w:rPr>
        <w:t xml:space="preserve"> the important role CARB is playing to support and amplify EV adoption. We </w:t>
      </w:r>
      <w:r w:rsidR="00E42EF3" w:rsidRPr="00B617F5">
        <w:rPr>
          <w:rFonts w:asciiTheme="minorHAnsi" w:hAnsiTheme="minorHAnsi" w:cs="Arial"/>
          <w:spacing w:val="-3"/>
          <w:sz w:val="22"/>
          <w:szCs w:val="22"/>
        </w:rPr>
        <w:t xml:space="preserve">support </w:t>
      </w:r>
      <w:r w:rsidRPr="00B617F5">
        <w:rPr>
          <w:rFonts w:asciiTheme="minorHAnsi" w:hAnsiTheme="minorHAnsi" w:cs="Arial"/>
          <w:spacing w:val="-3"/>
          <w:sz w:val="22"/>
          <w:szCs w:val="22"/>
        </w:rPr>
        <w:t xml:space="preserve">the </w:t>
      </w:r>
      <w:r w:rsidR="00E42EF3" w:rsidRPr="00B617F5">
        <w:rPr>
          <w:rFonts w:asciiTheme="minorHAnsi" w:hAnsiTheme="minorHAnsi" w:cs="Arial"/>
          <w:spacing w:val="-3"/>
          <w:sz w:val="22"/>
          <w:szCs w:val="22"/>
        </w:rPr>
        <w:t xml:space="preserve">intent </w:t>
      </w:r>
      <w:r w:rsidRPr="00B617F5">
        <w:rPr>
          <w:rFonts w:asciiTheme="minorHAnsi" w:hAnsiTheme="minorHAnsi" w:cs="Arial"/>
          <w:spacing w:val="-3"/>
          <w:sz w:val="22"/>
          <w:szCs w:val="22"/>
        </w:rPr>
        <w:t>of the proposed standard</w:t>
      </w:r>
      <w:r w:rsidR="00E42EF3" w:rsidRPr="00B617F5">
        <w:rPr>
          <w:rFonts w:asciiTheme="minorHAnsi" w:hAnsiTheme="minorHAnsi" w:cs="Arial"/>
          <w:spacing w:val="-3"/>
          <w:sz w:val="22"/>
          <w:szCs w:val="22"/>
        </w:rPr>
        <w:t xml:space="preserve"> and </w:t>
      </w:r>
      <w:r w:rsidRPr="00B617F5">
        <w:rPr>
          <w:rFonts w:asciiTheme="minorHAnsi" w:hAnsiTheme="minorHAnsi" w:cs="Arial"/>
          <w:spacing w:val="-3"/>
          <w:sz w:val="22"/>
          <w:szCs w:val="22"/>
        </w:rPr>
        <w:t xml:space="preserve">respectfully request </w:t>
      </w:r>
      <w:r w:rsidR="00E42EF3" w:rsidRPr="00B617F5">
        <w:rPr>
          <w:rFonts w:asciiTheme="minorHAnsi" w:hAnsiTheme="minorHAnsi" w:cs="Arial"/>
          <w:spacing w:val="-3"/>
          <w:sz w:val="22"/>
          <w:szCs w:val="22"/>
        </w:rPr>
        <w:t xml:space="preserve">the noted </w:t>
      </w:r>
      <w:r w:rsidRPr="00B617F5">
        <w:rPr>
          <w:rFonts w:asciiTheme="minorHAnsi" w:hAnsiTheme="minorHAnsi" w:cs="Arial"/>
          <w:spacing w:val="-3"/>
          <w:sz w:val="22"/>
          <w:szCs w:val="22"/>
        </w:rPr>
        <w:t>revisions to ensure a fair and reasonable approach to realize the State goals</w:t>
      </w:r>
      <w:r w:rsidR="00423819">
        <w:rPr>
          <w:rFonts w:asciiTheme="minorHAnsi" w:hAnsiTheme="minorHAnsi" w:cs="Arial"/>
          <w:spacing w:val="-3"/>
          <w:sz w:val="22"/>
          <w:szCs w:val="22"/>
        </w:rPr>
        <w:t xml:space="preserve">; otherwise, the requirements as written will </w:t>
      </w:r>
      <w:r w:rsidRPr="00B617F5">
        <w:rPr>
          <w:rFonts w:asciiTheme="minorHAnsi" w:hAnsiTheme="minorHAnsi" w:cs="Arial"/>
          <w:spacing w:val="-3"/>
          <w:sz w:val="22"/>
          <w:szCs w:val="22"/>
        </w:rPr>
        <w:t xml:space="preserve">pose undue burdens to the wide range of stakeholders necessary to actually </w:t>
      </w:r>
      <w:r w:rsidR="00E42EF3" w:rsidRPr="00B617F5">
        <w:rPr>
          <w:rFonts w:asciiTheme="minorHAnsi" w:hAnsiTheme="minorHAnsi" w:cs="Arial"/>
          <w:spacing w:val="-3"/>
          <w:sz w:val="22"/>
          <w:szCs w:val="22"/>
        </w:rPr>
        <w:t xml:space="preserve">deploy </w:t>
      </w:r>
      <w:r w:rsidRPr="00B617F5">
        <w:rPr>
          <w:rFonts w:asciiTheme="minorHAnsi" w:hAnsiTheme="minorHAnsi" w:cs="Arial"/>
          <w:spacing w:val="-3"/>
          <w:sz w:val="22"/>
          <w:szCs w:val="22"/>
        </w:rPr>
        <w:t xml:space="preserve">and operate EVSE. We believe this balance is critical to attain our shared vision of a zero-emission mobility future. </w:t>
      </w:r>
    </w:p>
    <w:p w14:paraId="761018D9" w14:textId="77777777" w:rsidR="008D2D8E" w:rsidRPr="00B617F5" w:rsidRDefault="008D2D8E" w:rsidP="00B617F5">
      <w:pPr>
        <w:rPr>
          <w:rFonts w:asciiTheme="minorHAnsi" w:hAnsiTheme="minorHAnsi" w:cs="Arial"/>
          <w:spacing w:val="-3"/>
          <w:sz w:val="22"/>
          <w:szCs w:val="22"/>
        </w:rPr>
      </w:pPr>
    </w:p>
    <w:p w14:paraId="62962AFA" w14:textId="77777777" w:rsidR="008D2D8E" w:rsidRPr="00B617F5" w:rsidRDefault="008D2D8E" w:rsidP="00B617F5">
      <w:pPr>
        <w:rPr>
          <w:rFonts w:asciiTheme="minorHAnsi" w:hAnsiTheme="minorHAnsi" w:cs="Arial"/>
          <w:spacing w:val="-3"/>
          <w:sz w:val="22"/>
          <w:szCs w:val="22"/>
        </w:rPr>
      </w:pPr>
      <w:r w:rsidRPr="00B617F5">
        <w:rPr>
          <w:rFonts w:asciiTheme="minorHAnsi" w:hAnsiTheme="minorHAnsi" w:cs="Arial"/>
          <w:spacing w:val="-3"/>
          <w:sz w:val="22"/>
          <w:szCs w:val="22"/>
        </w:rPr>
        <w:t xml:space="preserve">Thank you for your consideration and the opportunity for input. </w:t>
      </w:r>
    </w:p>
    <w:p w14:paraId="35FB9342" w14:textId="77777777" w:rsidR="008D2D8E" w:rsidRPr="00B617F5" w:rsidRDefault="008D2D8E" w:rsidP="00B617F5">
      <w:pPr>
        <w:tabs>
          <w:tab w:val="left" w:pos="-720"/>
        </w:tabs>
        <w:suppressAutoHyphens/>
        <w:rPr>
          <w:rFonts w:asciiTheme="minorHAnsi" w:hAnsiTheme="minorHAnsi" w:cs="Arial"/>
          <w:spacing w:val="-3"/>
          <w:sz w:val="22"/>
          <w:szCs w:val="22"/>
        </w:rPr>
      </w:pPr>
    </w:p>
    <w:p w14:paraId="0F4D2E09" w14:textId="77777777" w:rsidR="008D2D8E" w:rsidRPr="00B617F5" w:rsidRDefault="008D2D8E" w:rsidP="00B617F5">
      <w:pPr>
        <w:tabs>
          <w:tab w:val="left" w:pos="-720"/>
        </w:tabs>
        <w:suppressAutoHyphens/>
        <w:rPr>
          <w:rFonts w:asciiTheme="minorHAnsi" w:hAnsiTheme="minorHAnsi" w:cs="Arial"/>
          <w:spacing w:val="-3"/>
          <w:sz w:val="22"/>
          <w:szCs w:val="22"/>
        </w:rPr>
      </w:pPr>
      <w:r w:rsidRPr="00B617F5">
        <w:rPr>
          <w:rFonts w:asciiTheme="minorHAnsi" w:hAnsiTheme="minorHAnsi" w:cs="Arial"/>
          <w:spacing w:val="-3"/>
          <w:sz w:val="22"/>
          <w:szCs w:val="22"/>
        </w:rPr>
        <w:t>Sincerely,</w:t>
      </w:r>
    </w:p>
    <w:p w14:paraId="1EEBC7B1" w14:textId="77777777" w:rsidR="008D2D8E" w:rsidRPr="00B617F5" w:rsidRDefault="008D2D8E" w:rsidP="00B617F5">
      <w:pPr>
        <w:tabs>
          <w:tab w:val="left" w:pos="-720"/>
        </w:tabs>
        <w:suppressAutoHyphens/>
        <w:rPr>
          <w:rFonts w:asciiTheme="minorHAnsi" w:hAnsiTheme="minorHAnsi" w:cs="Arial"/>
          <w:spacing w:val="-3"/>
          <w:sz w:val="22"/>
          <w:szCs w:val="22"/>
        </w:rPr>
      </w:pPr>
    </w:p>
    <w:p w14:paraId="6B8D22F9" w14:textId="6DC51741" w:rsidR="008D2D8E" w:rsidRDefault="007D58D3" w:rsidP="00B617F5">
      <w:pPr>
        <w:rPr>
          <w:rFonts w:asciiTheme="minorHAnsi" w:hAnsiTheme="minorHAnsi"/>
          <w:sz w:val="22"/>
          <w:szCs w:val="22"/>
        </w:rPr>
      </w:pPr>
      <w:r>
        <w:rPr>
          <w:rFonts w:asciiTheme="minorHAnsi" w:hAnsiTheme="minorHAnsi"/>
          <w:noProof/>
          <w:sz w:val="22"/>
          <w:szCs w:val="22"/>
        </w:rPr>
        <w:drawing>
          <wp:inline distT="0" distB="0" distL="0" distR="0" wp14:anchorId="3D1A1BF7" wp14:editId="0DE8974F">
            <wp:extent cx="1960317" cy="575310"/>
            <wp:effectExtent l="0" t="0" r="1905" b="0"/>
            <wp:docPr id="2" name="Picture 2"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eyes Signature.PNG"/>
                    <pic:cNvPicPr/>
                  </pic:nvPicPr>
                  <pic:blipFill>
                    <a:blip r:embed="rId9"/>
                    <a:stretch>
                      <a:fillRect/>
                    </a:stretch>
                  </pic:blipFill>
                  <pic:spPr>
                    <a:xfrm>
                      <a:off x="0" y="0"/>
                      <a:ext cx="2004415" cy="588252"/>
                    </a:xfrm>
                    <a:prstGeom prst="rect">
                      <a:avLst/>
                    </a:prstGeom>
                  </pic:spPr>
                </pic:pic>
              </a:graphicData>
            </a:graphic>
          </wp:inline>
        </w:drawing>
      </w:r>
    </w:p>
    <w:p w14:paraId="61774A3D" w14:textId="3867F475" w:rsidR="007D58D3" w:rsidRDefault="007D58D3" w:rsidP="00B617F5">
      <w:pPr>
        <w:rPr>
          <w:rFonts w:asciiTheme="minorHAnsi" w:hAnsiTheme="minorHAnsi"/>
          <w:sz w:val="22"/>
          <w:szCs w:val="22"/>
        </w:rPr>
      </w:pPr>
    </w:p>
    <w:p w14:paraId="0719EE5F" w14:textId="0E008615" w:rsidR="007D58D3" w:rsidRDefault="007D58D3" w:rsidP="00B617F5">
      <w:pPr>
        <w:rPr>
          <w:rFonts w:asciiTheme="minorHAnsi" w:hAnsiTheme="minorHAnsi"/>
          <w:sz w:val="22"/>
          <w:szCs w:val="22"/>
        </w:rPr>
      </w:pPr>
      <w:r>
        <w:rPr>
          <w:rFonts w:asciiTheme="minorHAnsi" w:hAnsiTheme="minorHAnsi"/>
          <w:sz w:val="22"/>
          <w:szCs w:val="22"/>
        </w:rPr>
        <w:t>Rafael K. Reyes</w:t>
      </w:r>
    </w:p>
    <w:p w14:paraId="452498B6" w14:textId="10D39C4F" w:rsidR="007D58D3" w:rsidRPr="00B617F5" w:rsidRDefault="007D58D3" w:rsidP="00B617F5">
      <w:pPr>
        <w:rPr>
          <w:rFonts w:asciiTheme="minorHAnsi" w:hAnsiTheme="minorHAnsi"/>
          <w:sz w:val="22"/>
          <w:szCs w:val="22"/>
        </w:rPr>
      </w:pPr>
      <w:r>
        <w:rPr>
          <w:rFonts w:asciiTheme="minorHAnsi" w:hAnsiTheme="minorHAnsi"/>
          <w:sz w:val="22"/>
          <w:szCs w:val="22"/>
        </w:rPr>
        <w:t>Director of Energy Programs</w:t>
      </w:r>
    </w:p>
    <w:sectPr w:rsidR="007D58D3" w:rsidRPr="00B617F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3508" w14:textId="77777777" w:rsidR="00A2637C" w:rsidRDefault="00A2637C" w:rsidP="00BD235F">
      <w:r>
        <w:separator/>
      </w:r>
    </w:p>
  </w:endnote>
  <w:endnote w:type="continuationSeparator" w:id="0">
    <w:p w14:paraId="7C96459E" w14:textId="77777777" w:rsidR="00A2637C" w:rsidRDefault="00A2637C" w:rsidP="00BD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354209"/>
      <w:docPartObj>
        <w:docPartGallery w:val="Page Numbers (Bottom of Page)"/>
        <w:docPartUnique/>
      </w:docPartObj>
    </w:sdtPr>
    <w:sdtEndPr/>
    <w:sdtContent>
      <w:sdt>
        <w:sdtPr>
          <w:id w:val="1728636285"/>
          <w:docPartObj>
            <w:docPartGallery w:val="Page Numbers (Top of Page)"/>
            <w:docPartUnique/>
          </w:docPartObj>
        </w:sdtPr>
        <w:sdtEndPr/>
        <w:sdtContent>
          <w:p w14:paraId="45431621" w14:textId="676D95AA" w:rsidR="00B617F5" w:rsidRDefault="00B617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BAB343" w14:textId="77777777" w:rsidR="00B617F5" w:rsidRDefault="00B61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917D5" w14:textId="77777777" w:rsidR="00A2637C" w:rsidRDefault="00A2637C" w:rsidP="00BD235F">
      <w:r>
        <w:separator/>
      </w:r>
    </w:p>
  </w:footnote>
  <w:footnote w:type="continuationSeparator" w:id="0">
    <w:p w14:paraId="146DC680" w14:textId="77777777" w:rsidR="00A2637C" w:rsidRDefault="00A2637C" w:rsidP="00BD235F">
      <w:r>
        <w:continuationSeparator/>
      </w:r>
    </w:p>
  </w:footnote>
  <w:footnote w:id="1">
    <w:p w14:paraId="37D19335" w14:textId="52CEDE93" w:rsidR="00F66050" w:rsidRDefault="00F66050">
      <w:pPr>
        <w:pStyle w:val="FootnoteText"/>
      </w:pPr>
      <w:r>
        <w:rPr>
          <w:rStyle w:val="FootnoteReference"/>
        </w:rPr>
        <w:footnoteRef/>
      </w:r>
      <w:r>
        <w:t xml:space="preserve"> </w:t>
      </w:r>
      <w:hyperlink r:id="rId1" w:history="1">
        <w:r>
          <w:rPr>
            <w:rStyle w:val="Hyperlink"/>
          </w:rPr>
          <w:t>https://www.emarketer.com/content/the-mobile-payments-series-the-us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3F47"/>
    <w:multiLevelType w:val="hybridMultilevel"/>
    <w:tmpl w:val="AAF4E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0565E0"/>
    <w:multiLevelType w:val="hybridMultilevel"/>
    <w:tmpl w:val="21EA7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65009"/>
    <w:multiLevelType w:val="hybridMultilevel"/>
    <w:tmpl w:val="ED543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136CD"/>
    <w:multiLevelType w:val="hybridMultilevel"/>
    <w:tmpl w:val="00D89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AE"/>
    <w:rsid w:val="00013CD6"/>
    <w:rsid w:val="00017E08"/>
    <w:rsid w:val="00082442"/>
    <w:rsid w:val="000920C2"/>
    <w:rsid w:val="00094CAE"/>
    <w:rsid w:val="000B13B9"/>
    <w:rsid w:val="000B3454"/>
    <w:rsid w:val="000F7825"/>
    <w:rsid w:val="0011000F"/>
    <w:rsid w:val="0011212C"/>
    <w:rsid w:val="00166EAB"/>
    <w:rsid w:val="001736AA"/>
    <w:rsid w:val="001B75FB"/>
    <w:rsid w:val="001D4FF6"/>
    <w:rsid w:val="001F5646"/>
    <w:rsid w:val="00245D18"/>
    <w:rsid w:val="00255A16"/>
    <w:rsid w:val="00294C31"/>
    <w:rsid w:val="002A71EB"/>
    <w:rsid w:val="002C2AB3"/>
    <w:rsid w:val="002D0A16"/>
    <w:rsid w:val="002F5D5B"/>
    <w:rsid w:val="003A3ED6"/>
    <w:rsid w:val="003E17E4"/>
    <w:rsid w:val="00423819"/>
    <w:rsid w:val="004303D5"/>
    <w:rsid w:val="0048605E"/>
    <w:rsid w:val="004946B9"/>
    <w:rsid w:val="004A38A0"/>
    <w:rsid w:val="004D1839"/>
    <w:rsid w:val="004F0E33"/>
    <w:rsid w:val="00507F4B"/>
    <w:rsid w:val="0053787A"/>
    <w:rsid w:val="0053787D"/>
    <w:rsid w:val="00550BB4"/>
    <w:rsid w:val="00574C95"/>
    <w:rsid w:val="0058118E"/>
    <w:rsid w:val="005A34B5"/>
    <w:rsid w:val="005B0EF8"/>
    <w:rsid w:val="005B144E"/>
    <w:rsid w:val="005D0CB4"/>
    <w:rsid w:val="005D192C"/>
    <w:rsid w:val="005F4C14"/>
    <w:rsid w:val="005F5166"/>
    <w:rsid w:val="00630757"/>
    <w:rsid w:val="00662802"/>
    <w:rsid w:val="0068528A"/>
    <w:rsid w:val="00695A58"/>
    <w:rsid w:val="006A7010"/>
    <w:rsid w:val="006B01CA"/>
    <w:rsid w:val="006D05B4"/>
    <w:rsid w:val="007061BB"/>
    <w:rsid w:val="00716537"/>
    <w:rsid w:val="00762016"/>
    <w:rsid w:val="00790281"/>
    <w:rsid w:val="00796953"/>
    <w:rsid w:val="007A68A2"/>
    <w:rsid w:val="007D19CA"/>
    <w:rsid w:val="007D58D3"/>
    <w:rsid w:val="00802DBD"/>
    <w:rsid w:val="008171DD"/>
    <w:rsid w:val="0082393E"/>
    <w:rsid w:val="008B0C05"/>
    <w:rsid w:val="008D00AE"/>
    <w:rsid w:val="008D2D8E"/>
    <w:rsid w:val="008E1A1E"/>
    <w:rsid w:val="00906BBD"/>
    <w:rsid w:val="00910527"/>
    <w:rsid w:val="00990D02"/>
    <w:rsid w:val="009F57FB"/>
    <w:rsid w:val="00A04686"/>
    <w:rsid w:val="00A171F2"/>
    <w:rsid w:val="00A2637C"/>
    <w:rsid w:val="00A35A22"/>
    <w:rsid w:val="00A36818"/>
    <w:rsid w:val="00A5335A"/>
    <w:rsid w:val="00AD39F9"/>
    <w:rsid w:val="00B0732A"/>
    <w:rsid w:val="00B146C3"/>
    <w:rsid w:val="00B2224E"/>
    <w:rsid w:val="00B617F5"/>
    <w:rsid w:val="00B875DD"/>
    <w:rsid w:val="00BD235F"/>
    <w:rsid w:val="00C26CAB"/>
    <w:rsid w:val="00C403BF"/>
    <w:rsid w:val="00C76357"/>
    <w:rsid w:val="00C85FBE"/>
    <w:rsid w:val="00CC1B0B"/>
    <w:rsid w:val="00CE6662"/>
    <w:rsid w:val="00D11DC2"/>
    <w:rsid w:val="00D17579"/>
    <w:rsid w:val="00E239B9"/>
    <w:rsid w:val="00E37843"/>
    <w:rsid w:val="00E42EF3"/>
    <w:rsid w:val="00E9603B"/>
    <w:rsid w:val="00EA0741"/>
    <w:rsid w:val="00ED5B30"/>
    <w:rsid w:val="00F404E9"/>
    <w:rsid w:val="00F404FA"/>
    <w:rsid w:val="00F5509D"/>
    <w:rsid w:val="00F66050"/>
    <w:rsid w:val="00F93DFC"/>
    <w:rsid w:val="00F954B7"/>
    <w:rsid w:val="00FD3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B7A84E"/>
  <w15:docId w15:val="{A1A2CCFB-C1FA-4C2E-9358-21323E76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8E"/>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D8E"/>
    <w:pPr>
      <w:ind w:left="720"/>
      <w:contextualSpacing/>
    </w:pPr>
  </w:style>
  <w:style w:type="paragraph" w:styleId="Header">
    <w:name w:val="header"/>
    <w:basedOn w:val="Normal"/>
    <w:link w:val="HeaderChar"/>
    <w:uiPriority w:val="99"/>
    <w:unhideWhenUsed/>
    <w:rsid w:val="00BD235F"/>
    <w:pPr>
      <w:tabs>
        <w:tab w:val="center" w:pos="4680"/>
        <w:tab w:val="right" w:pos="9360"/>
      </w:tabs>
    </w:pPr>
  </w:style>
  <w:style w:type="character" w:customStyle="1" w:styleId="HeaderChar">
    <w:name w:val="Header Char"/>
    <w:basedOn w:val="DefaultParagraphFont"/>
    <w:link w:val="Header"/>
    <w:uiPriority w:val="99"/>
    <w:rsid w:val="00BD235F"/>
    <w:rPr>
      <w:rFonts w:ascii="Helvetica" w:eastAsia="Times New Roman" w:hAnsi="Helvetica" w:cs="Times New Roman"/>
      <w:sz w:val="20"/>
      <w:szCs w:val="20"/>
    </w:rPr>
  </w:style>
  <w:style w:type="paragraph" w:styleId="Footer">
    <w:name w:val="footer"/>
    <w:basedOn w:val="Normal"/>
    <w:link w:val="FooterChar"/>
    <w:uiPriority w:val="99"/>
    <w:unhideWhenUsed/>
    <w:rsid w:val="00BD235F"/>
    <w:pPr>
      <w:tabs>
        <w:tab w:val="center" w:pos="4680"/>
        <w:tab w:val="right" w:pos="9360"/>
      </w:tabs>
    </w:pPr>
  </w:style>
  <w:style w:type="character" w:customStyle="1" w:styleId="FooterChar">
    <w:name w:val="Footer Char"/>
    <w:basedOn w:val="DefaultParagraphFont"/>
    <w:link w:val="Footer"/>
    <w:uiPriority w:val="99"/>
    <w:rsid w:val="00BD235F"/>
    <w:rPr>
      <w:rFonts w:ascii="Helvetica" w:eastAsia="Times New Roman" w:hAnsi="Helvetica" w:cs="Times New Roman"/>
      <w:sz w:val="20"/>
      <w:szCs w:val="20"/>
    </w:rPr>
  </w:style>
  <w:style w:type="character" w:styleId="Hyperlink">
    <w:name w:val="Hyperlink"/>
    <w:basedOn w:val="DefaultParagraphFont"/>
    <w:uiPriority w:val="99"/>
    <w:semiHidden/>
    <w:unhideWhenUsed/>
    <w:rsid w:val="00BD235F"/>
    <w:rPr>
      <w:color w:val="0000FF"/>
      <w:u w:val="single"/>
    </w:rPr>
  </w:style>
  <w:style w:type="paragraph" w:styleId="BalloonText">
    <w:name w:val="Balloon Text"/>
    <w:basedOn w:val="Normal"/>
    <w:link w:val="BalloonTextChar"/>
    <w:uiPriority w:val="99"/>
    <w:semiHidden/>
    <w:unhideWhenUsed/>
    <w:rsid w:val="00A35A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A22"/>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FD3F6B"/>
    <w:rPr>
      <w:color w:val="800080" w:themeColor="followedHyperlink"/>
      <w:u w:val="single"/>
    </w:rPr>
  </w:style>
  <w:style w:type="paragraph" w:styleId="FootnoteText">
    <w:name w:val="footnote text"/>
    <w:basedOn w:val="Normal"/>
    <w:link w:val="FootnoteTextChar"/>
    <w:uiPriority w:val="99"/>
    <w:semiHidden/>
    <w:unhideWhenUsed/>
    <w:rsid w:val="00F66050"/>
  </w:style>
  <w:style w:type="character" w:customStyle="1" w:styleId="FootnoteTextChar">
    <w:name w:val="Footnote Text Char"/>
    <w:basedOn w:val="DefaultParagraphFont"/>
    <w:link w:val="FootnoteText"/>
    <w:uiPriority w:val="99"/>
    <w:semiHidden/>
    <w:rsid w:val="00F66050"/>
    <w:rPr>
      <w:rFonts w:ascii="Helvetica" w:eastAsia="Times New Roman" w:hAnsi="Helvetica" w:cs="Times New Roman"/>
      <w:sz w:val="20"/>
      <w:szCs w:val="20"/>
    </w:rPr>
  </w:style>
  <w:style w:type="character" w:styleId="FootnoteReference">
    <w:name w:val="footnote reference"/>
    <w:basedOn w:val="DefaultParagraphFont"/>
    <w:uiPriority w:val="99"/>
    <w:semiHidden/>
    <w:unhideWhenUsed/>
    <w:rsid w:val="00F660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emarketer.com/content/the-mobile-payments-series-th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77A13-8012-E049-BD5F-B1935E8B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Venema</dc:creator>
  <cp:keywords/>
  <dc:description/>
  <cp:lastModifiedBy>Peter Ambiel</cp:lastModifiedBy>
  <cp:revision>25</cp:revision>
  <dcterms:created xsi:type="dcterms:W3CDTF">2019-06-23T00:24:00Z</dcterms:created>
  <dcterms:modified xsi:type="dcterms:W3CDTF">2019-06-24T21:27:00Z</dcterms:modified>
</cp:coreProperties>
</file>