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CARB can be a climate hero by charging a higher fee on GHG Pollution</w:t>
      </w:r>
    </w:p>
    <w:p>
      <w:pPr>
        <w:pStyle w:val="Body"/>
        <w:bidi w:val="0"/>
      </w:pPr>
    </w:p>
    <w:p>
      <w:pPr>
        <w:pStyle w:val="Body"/>
        <w:bidi w:val="0"/>
      </w:pPr>
      <w:r>
        <w:rPr>
          <w:rtl w:val="0"/>
        </w:rPr>
        <w:t>My grandchildren are counting on CARB to take a stronger stand than Alternatives 1 through 4. Of those, Alternative 1 is the least bad of the four, but it should include some research on CDR rather than simply rejecting it. CDR is not a magic bullet, as fossil companies want us to believe, but we shouldn</w:t>
      </w:r>
      <w:r>
        <w:rPr>
          <w:rtl w:val="0"/>
        </w:rPr>
        <w:t>’</w:t>
      </w:r>
      <w:r>
        <w:rPr>
          <w:rtl w:val="0"/>
        </w:rPr>
        <w:t>t just ignore it. CDR hasn</w:t>
      </w:r>
      <w:r>
        <w:rPr>
          <w:rtl w:val="0"/>
        </w:rPr>
        <w:t>’</w:t>
      </w:r>
      <w:r>
        <w:rPr>
          <w:rtl w:val="0"/>
        </w:rPr>
        <w:t xml:space="preserve">t been demonstrated at large scale, and its estimated cost is now around $800 per tonne of CO2. </w:t>
      </w:r>
    </w:p>
    <w:p>
      <w:pPr>
        <w:pStyle w:val="Body"/>
        <w:bidi w:val="0"/>
      </w:pPr>
    </w:p>
    <w:p>
      <w:pPr>
        <w:pStyle w:val="Body"/>
        <w:bidi w:val="0"/>
      </w:pPr>
      <w:r>
        <w:rPr>
          <w:rtl w:val="0"/>
        </w:rPr>
        <w:t>But Alternative 1 isn</w:t>
      </w:r>
      <w:r>
        <w:rPr>
          <w:rtl w:val="0"/>
        </w:rPr>
        <w:t>’</w:t>
      </w:r>
      <w:r>
        <w:rPr>
          <w:rtl w:val="0"/>
        </w:rPr>
        <w:t>t nearly enough and its approach is flawed. All economists agree that carbon pricing is the most effective way to reduce all green house gas emissions, so aggressive modification of cap and trade could place California in the forefront of climate action, where it should be. Cap and trade</w:t>
      </w:r>
      <w:r>
        <w:rPr>
          <w:rtl w:val="0"/>
        </w:rPr>
        <w:t>’</w:t>
      </w:r>
      <w:r>
        <w:rPr>
          <w:rtl w:val="0"/>
        </w:rPr>
        <w:t xml:space="preserve">s price at only $17 is a climate embarrassment.   </w:t>
      </w:r>
    </w:p>
    <w:p>
      <w:pPr>
        <w:pStyle w:val="Body"/>
        <w:bidi w:val="0"/>
      </w:pPr>
    </w:p>
    <w:p>
      <w:pPr>
        <w:pStyle w:val="Body"/>
        <w:bidi w:val="0"/>
      </w:pPr>
      <w:r>
        <w:rPr>
          <w:rtl w:val="0"/>
        </w:rPr>
        <w:t>I needn</w:t>
      </w:r>
      <w:r>
        <w:rPr>
          <w:rtl w:val="0"/>
        </w:rPr>
        <w:t>’</w:t>
      </w:r>
      <w:r>
        <w:rPr>
          <w:rtl w:val="0"/>
        </w:rPr>
        <w:t>t elaborate on why the price is so low; that</w:t>
      </w:r>
      <w:r>
        <w:rPr>
          <w:rtl w:val="0"/>
        </w:rPr>
        <w:t>’</w:t>
      </w:r>
      <w:r>
        <w:rPr>
          <w:rtl w:val="0"/>
        </w:rPr>
        <w:t>s how it was designed. But with better climate awareness CARB can fix it.</w:t>
      </w:r>
    </w:p>
    <w:p>
      <w:pPr>
        <w:pStyle w:val="Body"/>
        <w:bidi w:val="0"/>
      </w:pPr>
    </w:p>
    <w:p>
      <w:pPr>
        <w:pStyle w:val="Body"/>
        <w:bidi w:val="0"/>
      </w:pPr>
      <w:r>
        <w:rPr>
          <w:rtl w:val="0"/>
        </w:rPr>
        <w:t>I fail to understand why CARB hasn</w:t>
      </w:r>
      <w:r>
        <w:rPr>
          <w:rtl w:val="0"/>
        </w:rPr>
        <w:t>’</w:t>
      </w:r>
      <w:r>
        <w:rPr>
          <w:rtl w:val="0"/>
        </w:rPr>
        <w:t>t presented an Alternative 5, a price on carbon that is as high as damages we</w:t>
      </w:r>
      <w:r>
        <w:rPr>
          <w:rtl w:val="0"/>
        </w:rPr>
        <w:t>’</w:t>
      </w:r>
      <w:r>
        <w:rPr>
          <w:rtl w:val="0"/>
        </w:rPr>
        <w:t>ve suffered in California. The following table shows (admittedly incomplete) estimates of those damages and associated carbon fees.</w:t>
      </w:r>
    </w:p>
    <w:p>
      <w:pPr>
        <w:pStyle w:val="Body"/>
        <w:bidi w:val="0"/>
      </w:pPr>
    </w:p>
    <w:p>
      <w:pPr>
        <w:pStyle w:val="Default"/>
        <w:jc w:val="center"/>
        <w:rPr>
          <w:rFonts w:ascii="Times New Roman" w:cs="Times New Roman" w:hAnsi="Times New Roman" w:eastAsia="Times New Roman"/>
          <w:b w:val="1"/>
          <w:bCs w:val="1"/>
          <w:sz w:val="24"/>
          <w:szCs w:val="24"/>
          <w:u w:color="000000"/>
          <w:lang w:val="en-US"/>
        </w:rPr>
      </w:pPr>
      <w:r>
        <w:rPr>
          <w:rFonts w:ascii="Times New Roman" w:hAnsi="Times New Roman"/>
          <w:b w:val="1"/>
          <w:bCs w:val="1"/>
          <w:sz w:val="24"/>
          <w:szCs w:val="24"/>
          <w:u w:color="000000"/>
          <w:rtl w:val="0"/>
          <w:lang w:val="en-US"/>
        </w:rPr>
        <w:t>ECONOMIC LOSSES AND DAMAGE COSTS PER TONNE OF GHGS</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12"/>
        <w:gridCol w:w="1108"/>
        <w:gridCol w:w="3420"/>
        <w:gridCol w:w="996"/>
        <w:gridCol w:w="1559"/>
        <w:gridCol w:w="1560"/>
      </w:tblGrid>
      <w:tr>
        <w:tblPrEx>
          <w:shd w:val="clear" w:color="auto" w:fill="bdc0bf"/>
        </w:tblPrEx>
        <w:trPr>
          <w:trHeight w:val="722" w:hRule="atLeast"/>
          <w:tblHeader/>
        </w:trPr>
        <w:tc>
          <w:tcPr>
            <w:tcW w:type="dxa" w:w="712"/>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Year</w:t>
            </w:r>
          </w:p>
        </w:tc>
        <w:tc>
          <w:tcPr>
            <w:tcW w:type="dxa" w:w="1107"/>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Damage costs, $ billion</w:t>
            </w:r>
          </w:p>
        </w:tc>
        <w:tc>
          <w:tcPr>
            <w:tcW w:type="dxa" w:w="342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Damages included</w:t>
            </w:r>
          </w:p>
        </w:tc>
        <w:tc>
          <w:tcPr>
            <w:tcW w:type="dxa" w:w="99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Source</w:t>
            </w:r>
          </w:p>
        </w:tc>
        <w:tc>
          <w:tcPr>
            <w:tcW w:type="dxa" w:w="155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GHG emissions, million tonnes</w:t>
            </w:r>
          </w:p>
        </w:tc>
        <w:tc>
          <w:tcPr>
            <w:tcW w:type="dxa" w:w="155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tl w:val="0"/>
              </w:rPr>
              <w:t>Dollars per tonne of GHGs</w:t>
            </w:r>
          </w:p>
        </w:tc>
      </w:tr>
      <w:tr>
        <w:tblPrEx>
          <w:shd w:val="clear" w:color="auto" w:fill="auto"/>
        </w:tblPrEx>
        <w:trPr>
          <w:trHeight w:val="482" w:hRule="atLeast"/>
        </w:trPr>
        <w:tc>
          <w:tcPr>
            <w:tcW w:type="dxa" w:w="71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2020</w:t>
            </w:r>
          </w:p>
        </w:tc>
        <w:tc>
          <w:tcPr>
            <w:tcW w:type="dxa" w:w="1107"/>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12.1</w:t>
            </w:r>
          </w:p>
        </w:tc>
        <w:tc>
          <w:tcPr>
            <w:tcW w:type="dxa" w:w="342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suppression and property damage only</w:t>
            </w:r>
          </w:p>
        </w:tc>
        <w:tc>
          <w:tcPr>
            <w:tcW w:type="dxa" w:w="99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155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431</w:t>
            </w:r>
          </w:p>
        </w:tc>
        <w:tc>
          <w:tcPr>
            <w:tcW w:type="dxa" w:w="155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28.1</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2019</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80</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suppression, economic losses</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Neue" w:hAnsi="Helvetica Neue"/>
                <w:rtl w:val="0"/>
              </w:rPr>
              <w:t>419</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Neue" w:hAnsi="Helvetica Neue"/>
                <w:rtl w:val="0"/>
              </w:rPr>
              <w:t>191</w:t>
            </w:r>
          </w:p>
        </w:tc>
      </w:tr>
      <w:tr>
        <w:tblPrEx>
          <w:shd w:val="clear" w:color="auto" w:fill="auto"/>
        </w:tblPrEx>
        <w:trPr>
          <w:trHeight w:val="2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2019</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14.2</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Camp and Woolsey fires only</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Style w:val="Hyperlink.0"/>
              </w:rPr>
              <w:fldChar w:fldCharType="begin" w:fldLock="0"/>
            </w:r>
            <w:r>
              <w:rPr>
                <w:rStyle w:val="Hyperlink.0"/>
              </w:rPr>
              <w:instrText xml:space="preserve"> HYPERLINK "https://www.iii.org/fact-statistic/facts-statistics-wildfires"</w:instrText>
            </w:r>
            <w:r>
              <w:rPr>
                <w:rStyle w:val="Hyperlink.0"/>
              </w:rPr>
              <w:fldChar w:fldCharType="separate" w:fldLock="0"/>
            </w:r>
            <w:r>
              <w:rPr>
                <w:rStyle w:val="Hyperlink.0"/>
                <w:rtl w:val="0"/>
                <w:lang w:val="en-US"/>
              </w:rPr>
              <w:t>(3)</w:t>
            </w:r>
            <w:r>
              <w:rPr/>
              <w:fldChar w:fldCharType="end" w:fldLock="0"/>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419</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33.9</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400</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suppression, economic losses</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Style w:val="Hyperlink.0"/>
              </w:rPr>
              <w:fldChar w:fldCharType="begin" w:fldLock="0"/>
            </w:r>
            <w:r>
              <w:rPr>
                <w:rStyle w:val="Hyperlink.0"/>
              </w:rPr>
              <w:instrText xml:space="preserve"> HYPERLINK "https://www.accuweather.com/en/business/the-2019-california-wildfires-caused-less-damage-than-the-last-two-devastating-seasons/643455"</w:instrText>
            </w:r>
            <w:r>
              <w:rPr>
                <w:rStyle w:val="Hyperlink.0"/>
              </w:rPr>
              <w:fldChar w:fldCharType="separate" w:fldLock="0"/>
            </w:r>
            <w:r>
              <w:rPr>
                <w:rStyle w:val="Hyperlink.0"/>
                <w:rtl w:val="0"/>
                <w:lang w:val="en-US"/>
              </w:rPr>
              <w:t>(2)</w:t>
            </w:r>
            <w:r>
              <w:rPr/>
              <w:fldChar w:fldCharType="end" w:fldLock="0"/>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425</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Neue" w:hAnsi="Helvetica Neue"/>
                <w:rtl w:val="0"/>
              </w:rPr>
              <w:t>941</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26.3</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and suppression</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425</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61.9</w:t>
            </w:r>
          </w:p>
        </w:tc>
      </w:tr>
      <w:tr>
        <w:tblPrEx>
          <w:shd w:val="clear" w:color="auto" w:fill="auto"/>
        </w:tblPrEx>
        <w:trPr>
          <w:trHeight w:val="71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148</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suppression, economic, immigration and health care</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425</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354</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2018</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23</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wildfire insured and uninsured property losses</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425</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54.1</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19</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wildfire insured and uninsured property losses</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424</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44.8</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85</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suppression, economic losses</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rtl w:val="0"/>
              </w:rPr>
              <w:t>424</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rtl w:val="0"/>
              </w:rPr>
              <w:t>200</w:t>
            </w:r>
          </w:p>
        </w:tc>
      </w:tr>
      <w:tr>
        <w:tblPrEx>
          <w:shd w:val="clear" w:color="auto" w:fill="auto"/>
        </w:tblPrEx>
        <w:trPr>
          <w:trHeight w:val="479" w:hRule="atLeast"/>
        </w:trPr>
        <w:tc>
          <w:tcPr>
            <w:tcW w:type="dxa" w:w="7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2017</w:t>
            </w:r>
          </w:p>
        </w:tc>
        <w:tc>
          <w:tcPr>
            <w:tcW w:type="dxa" w:w="1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18.0</w:t>
            </w:r>
          </w:p>
        </w:tc>
        <w:tc>
          <w:tcPr>
            <w:tcW w:type="dxa" w:w="34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all fires, property damage and suppression</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Neue" w:hAnsi="Helvetica Neue"/>
                <w:rtl w:val="0"/>
              </w:rPr>
              <w:t>(7)</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424</w:t>
            </w:r>
          </w:p>
        </w:tc>
        <w:tc>
          <w:tcPr>
            <w:tcW w:type="dxa" w:w="15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42.5</w:t>
            </w:r>
          </w:p>
        </w:tc>
      </w:tr>
    </w:tbl>
    <w:p>
      <w:pPr>
        <w:pStyle w:val="Body"/>
        <w:bidi w:val="0"/>
      </w:pPr>
    </w:p>
    <w:p>
      <w:pPr>
        <w:pStyle w:val="Body"/>
        <w:bidi w:val="0"/>
      </w:pPr>
    </w:p>
    <w:p>
      <w:pPr>
        <w:pStyle w:val="Body"/>
        <w:bidi w:val="0"/>
      </w:pPr>
    </w:p>
    <w:p>
      <w:pPr>
        <w:pStyle w:val="Table Style 2"/>
        <w:rPr>
          <w:sz w:val="22"/>
          <w:szCs w:val="22"/>
        </w:rPr>
      </w:pPr>
    </w:p>
    <w:p>
      <w:pPr>
        <w:pStyle w:val="Body"/>
        <w:bidi w:val="0"/>
      </w:pPr>
    </w:p>
    <w:p>
      <w:pPr>
        <w:pStyle w:val="Body"/>
        <w:bidi w:val="0"/>
      </w:pPr>
    </w:p>
    <w:p>
      <w:pPr>
        <w:pStyle w:val="Body"/>
        <w:bidi w:val="0"/>
      </w:pPr>
      <w:r>
        <w:rPr>
          <w:rtl w:val="0"/>
        </w:rPr>
        <w:t>Notes:</w:t>
      </w:r>
    </w:p>
    <w:p>
      <w:pPr>
        <w:pStyle w:val="Table Style 2"/>
        <w:rPr>
          <w:sz w:val="22"/>
          <w:szCs w:val="22"/>
        </w:rPr>
      </w:pPr>
      <w:r>
        <w:rPr>
          <w:sz w:val="22"/>
          <w:szCs w:val="22"/>
          <w:rtl w:val="0"/>
          <w:lang w:val="en-US"/>
        </w:rPr>
        <w:t xml:space="preserve">(1)  </w:t>
      </w:r>
      <w:r>
        <w:rPr>
          <w:rStyle w:val="Hyperlink.0"/>
          <w:sz w:val="22"/>
          <w:szCs w:val="22"/>
        </w:rPr>
        <w:fldChar w:fldCharType="begin" w:fldLock="0"/>
      </w:r>
      <w:r>
        <w:rPr>
          <w:rStyle w:val="Hyperlink.0"/>
          <w:sz w:val="22"/>
          <w:szCs w:val="22"/>
        </w:rPr>
        <w:instrText xml:space="preserve"> HYPERLINK "https://en.wikipedia.org/wiki/2020_California_wildfires"</w:instrText>
      </w:r>
      <w:r>
        <w:rPr>
          <w:rStyle w:val="Hyperlink.0"/>
          <w:sz w:val="22"/>
          <w:szCs w:val="22"/>
        </w:rPr>
        <w:fldChar w:fldCharType="separate" w:fldLock="0"/>
      </w:r>
      <w:r>
        <w:rPr>
          <w:rStyle w:val="Hyperlink.0"/>
          <w:sz w:val="22"/>
          <w:szCs w:val="22"/>
          <w:rtl w:val="0"/>
          <w:lang w:val="en-US"/>
        </w:rPr>
        <w:t>https://en.wikipedia.org/wiki/2020_California_wildfires</w:t>
      </w:r>
      <w:r>
        <w:rPr>
          <w:sz w:val="22"/>
          <w:szCs w:val="22"/>
        </w:rPr>
        <w:fldChar w:fldCharType="end" w:fldLock="0"/>
      </w:r>
    </w:p>
    <w:p>
      <w:pPr>
        <w:pStyle w:val="Body"/>
        <w:bidi w:val="0"/>
      </w:pPr>
      <w:r>
        <w:rPr>
          <w:rtl w:val="0"/>
        </w:rPr>
        <w:t xml:space="preserve">(2) </w:t>
      </w:r>
      <w:r>
        <w:rPr>
          <w:rStyle w:val="Hyperlink.0"/>
        </w:rPr>
        <w:fldChar w:fldCharType="begin" w:fldLock="0"/>
      </w:r>
      <w:r>
        <w:rPr>
          <w:rStyle w:val="Hyperlink.0"/>
        </w:rPr>
        <w:instrText xml:space="preserve"> HYPERLINK "https://www.accuweather.com/en/business/the-2019-california-wildfires-caused-less-damage-than-the-last-two-devastating-seasons/643455"</w:instrText>
      </w:r>
      <w:r>
        <w:rPr>
          <w:rStyle w:val="Hyperlink.0"/>
        </w:rPr>
        <w:fldChar w:fldCharType="separate" w:fldLock="0"/>
      </w:r>
      <w:r>
        <w:rPr>
          <w:rStyle w:val="Hyperlink.0"/>
          <w:rtl w:val="0"/>
        </w:rPr>
        <w:t>https://www.accuweather.com/en/business/the-2019-california-wildfires-caused-less-damage-than-the-last-two-devastating-seasons/643455</w:t>
      </w:r>
      <w:r>
        <w:rPr/>
        <w:fldChar w:fldCharType="end" w:fldLock="0"/>
      </w:r>
    </w:p>
    <w:p>
      <w:pPr>
        <w:pStyle w:val="Body"/>
        <w:bidi w:val="0"/>
      </w:pPr>
      <w:r>
        <w:rPr>
          <w:rtl w:val="0"/>
        </w:rPr>
        <w:t xml:space="preserve">(3) </w:t>
      </w:r>
      <w:r>
        <w:rPr>
          <w:rtl w:val="0"/>
        </w:rPr>
        <w:t>https://www.iii.org/fact-statistic/facts-statistics-wildfires</w:t>
      </w:r>
    </w:p>
    <w:p>
      <w:pPr>
        <w:pStyle w:val="Table Style 2"/>
        <w:rPr>
          <w:sz w:val="22"/>
          <w:szCs w:val="22"/>
        </w:rPr>
      </w:pPr>
      <w:r>
        <w:rPr>
          <w:sz w:val="22"/>
          <w:szCs w:val="22"/>
          <w:rtl w:val="0"/>
          <w:lang w:val="en-US"/>
        </w:rPr>
        <w:t xml:space="preserve">(4) </w:t>
      </w:r>
      <w:r>
        <w:rPr>
          <w:rStyle w:val="Hyperlink.0"/>
          <w:sz w:val="22"/>
          <w:szCs w:val="22"/>
        </w:rPr>
        <w:fldChar w:fldCharType="begin" w:fldLock="0"/>
      </w:r>
      <w:r>
        <w:rPr>
          <w:rStyle w:val="Hyperlink.0"/>
          <w:sz w:val="22"/>
          <w:szCs w:val="22"/>
        </w:rPr>
        <w:instrText xml:space="preserve"> HYPERLINK "https://en.wikipedia.org/wiki/2018_California_wildfires"</w:instrText>
      </w:r>
      <w:r>
        <w:rPr>
          <w:rStyle w:val="Hyperlink.0"/>
          <w:sz w:val="22"/>
          <w:szCs w:val="22"/>
        </w:rPr>
        <w:fldChar w:fldCharType="separate" w:fldLock="0"/>
      </w:r>
      <w:r>
        <w:rPr>
          <w:rStyle w:val="Hyperlink.0"/>
          <w:sz w:val="22"/>
          <w:szCs w:val="22"/>
          <w:rtl w:val="0"/>
          <w:lang w:val="en-US"/>
        </w:rPr>
        <w:t>https://en.wikipedia.org/wiki/2018_California_wildfires</w:t>
      </w:r>
      <w:r>
        <w:rPr>
          <w:sz w:val="22"/>
          <w:szCs w:val="22"/>
        </w:rPr>
        <w:fldChar w:fldCharType="end" w:fldLock="0"/>
      </w:r>
    </w:p>
    <w:p>
      <w:pPr>
        <w:pStyle w:val="Table Style 2"/>
        <w:rPr>
          <w:sz w:val="22"/>
          <w:szCs w:val="22"/>
        </w:rPr>
      </w:pPr>
      <w:r>
        <w:rPr>
          <w:sz w:val="22"/>
          <w:szCs w:val="22"/>
          <w:rtl w:val="0"/>
          <w:lang w:val="en-US"/>
        </w:rPr>
        <w:t xml:space="preserve">(5) </w:t>
      </w:r>
      <w:r>
        <w:rPr>
          <w:rStyle w:val="Hyperlink.1"/>
          <w:sz w:val="22"/>
          <w:szCs w:val="22"/>
        </w:rPr>
        <w:fldChar w:fldCharType="begin" w:fldLock="0"/>
      </w:r>
      <w:r>
        <w:rPr>
          <w:rStyle w:val="Hyperlink.1"/>
          <w:sz w:val="22"/>
          <w:szCs w:val="22"/>
        </w:rPr>
        <w:instrText xml:space="preserve"> HYPERLINK "https://www.nature.com/articles/s41893-020-00646-7"</w:instrText>
      </w:r>
      <w:r>
        <w:rPr>
          <w:rStyle w:val="Hyperlink.1"/>
          <w:sz w:val="22"/>
          <w:szCs w:val="22"/>
        </w:rPr>
        <w:fldChar w:fldCharType="separate" w:fldLock="0"/>
      </w:r>
      <w:r>
        <w:rPr>
          <w:rStyle w:val="Hyperlink.1"/>
          <w:sz w:val="22"/>
          <w:szCs w:val="22"/>
          <w:rtl w:val="0"/>
          <w:lang w:val="en-US"/>
        </w:rPr>
        <w:t>https://www.nature.com/articles/s41893-020-00646-7</w:t>
      </w:r>
      <w:r>
        <w:rPr>
          <w:sz w:val="22"/>
          <w:szCs w:val="22"/>
        </w:rPr>
        <w:fldChar w:fldCharType="end" w:fldLock="0"/>
      </w:r>
    </w:p>
    <w:p>
      <w:pPr>
        <w:pStyle w:val="Table Style 2"/>
        <w:rPr>
          <w:sz w:val="22"/>
          <w:szCs w:val="22"/>
        </w:rPr>
      </w:pPr>
      <w:r>
        <w:rPr>
          <w:sz w:val="22"/>
          <w:szCs w:val="22"/>
          <w:rtl w:val="0"/>
          <w:lang w:val="en-US"/>
        </w:rPr>
        <w:t xml:space="preserve">(6) </w:t>
      </w:r>
      <w:r>
        <w:rPr>
          <w:sz w:val="22"/>
          <w:szCs w:val="22"/>
          <w:rtl w:val="0"/>
          <w:lang w:val="en-US"/>
        </w:rPr>
        <w:t>https://www.munichre.com/topics-online/en/climate-change-and-natural-disasters/climate-change/climate-change-has-increased-wildfire-risk.html</w:t>
      </w:r>
    </w:p>
    <w:p>
      <w:pPr>
        <w:pStyle w:val="Body"/>
        <w:bidi w:val="0"/>
      </w:pPr>
      <w:r>
        <w:rPr>
          <w:rtl w:val="0"/>
        </w:rPr>
        <w:t>(</w:t>
      </w:r>
      <w:r>
        <w:rPr>
          <w:rtl w:val="0"/>
        </w:rPr>
        <w:t>7</w:t>
      </w:r>
      <w:r>
        <w:rPr>
          <w:rtl w:val="0"/>
        </w:rPr>
        <w:t>) https://en.wikipedia.org/wiki/2017_California_wildfires</w:t>
      </w:r>
    </w:p>
    <w:p>
      <w:pPr>
        <w:pStyle w:val="Body"/>
        <w:bidi w:val="0"/>
      </w:pPr>
    </w:p>
    <w:p>
      <w:pPr>
        <w:pStyle w:val="Body"/>
        <w:bidi w:val="0"/>
      </w:pPr>
      <w:r>
        <w:rPr>
          <w:rtl w:val="0"/>
        </w:rPr>
        <w:t>Data in the table are inconsistent across time and in their coverages. The key conclusion is that cap and trade values are way too low. I suggest rules stating that a given year</w:t>
      </w:r>
      <w:r>
        <w:rPr>
          <w:rtl w:val="0"/>
        </w:rPr>
        <w:t>’</w:t>
      </w:r>
      <w:r>
        <w:rPr>
          <w:rtl w:val="0"/>
        </w:rPr>
        <w:t xml:space="preserve">s carbon fee (floor for cap and trade fee) be equal to total damages incurred in a previous year (maybe not the immediately previous one), in these categories: </w:t>
      </w:r>
    </w:p>
    <w:p>
      <w:pPr>
        <w:pStyle w:val="Body"/>
        <w:bidi w:val="0"/>
      </w:pPr>
    </w:p>
    <w:p>
      <w:pPr>
        <w:pStyle w:val="Body"/>
        <w:numPr>
          <w:ilvl w:val="0"/>
          <w:numId w:val="1"/>
        </w:numPr>
        <w:bidi w:val="0"/>
      </w:pPr>
      <w:r>
        <w:rPr>
          <w:rtl w:val="0"/>
        </w:rPr>
        <w:t xml:space="preserve">Compensation to all government jurisdictions for their climate related </w:t>
      </w:r>
      <w:r>
        <w:rPr>
          <w:rtl w:val="0"/>
        </w:rPr>
        <w:t>expenditures</w:t>
      </w:r>
      <w:r>
        <w:rPr>
          <w:rtl w:val="0"/>
        </w:rPr>
        <w:t xml:space="preserve"> (e. g., fire fighting),</w:t>
      </w:r>
    </w:p>
    <w:p>
      <w:pPr>
        <w:pStyle w:val="Body"/>
        <w:numPr>
          <w:ilvl w:val="0"/>
          <w:numId w:val="1"/>
        </w:numPr>
        <w:bidi w:val="0"/>
      </w:pPr>
      <w:r>
        <w:rPr>
          <w:rtl w:val="0"/>
        </w:rPr>
        <w:t>Property damage losses both insured and uninsured,</w:t>
      </w:r>
    </w:p>
    <w:p>
      <w:pPr>
        <w:pStyle w:val="Body"/>
        <w:numPr>
          <w:ilvl w:val="0"/>
          <w:numId w:val="1"/>
        </w:numPr>
        <w:bidi w:val="0"/>
      </w:pPr>
      <w:r>
        <w:rPr>
          <w:rtl w:val="0"/>
        </w:rPr>
        <w:t>Utilities</w:t>
      </w:r>
      <w:r>
        <w:rPr>
          <w:rtl w:val="0"/>
        </w:rPr>
        <w:t xml:space="preserve">’ </w:t>
      </w:r>
      <w:r>
        <w:rPr>
          <w:rtl w:val="0"/>
        </w:rPr>
        <w:t>expenditures in exchange for shares of stock to be owned by the state, and</w:t>
      </w:r>
    </w:p>
    <w:p>
      <w:pPr>
        <w:pStyle w:val="Body"/>
        <w:numPr>
          <w:ilvl w:val="0"/>
          <w:numId w:val="1"/>
        </w:numPr>
        <w:bidi w:val="0"/>
      </w:pPr>
      <w:r>
        <w:rPr>
          <w:rtl w:val="0"/>
        </w:rPr>
        <w:t>Health care expenditures related to climate (e. g., most particularly from smoke inhalation).</w:t>
      </w:r>
    </w:p>
    <w:p>
      <w:pPr>
        <w:pStyle w:val="Body"/>
        <w:bidi w:val="0"/>
      </w:pPr>
    </w:p>
    <w:p>
      <w:pPr>
        <w:pStyle w:val="Body"/>
        <w:bidi w:val="0"/>
      </w:pPr>
      <w:r>
        <w:rPr>
          <w:rtl w:val="0"/>
        </w:rPr>
        <w:t>CARB should promote the basis for carbon pricing to be at least equal to damages that climate change causes. To ignore the immediate need to price carbon higher is to ignore the needs of all Californians.</w:t>
      </w:r>
    </w:p>
    <w:p>
      <w:pPr>
        <w:pStyle w:val="Body"/>
        <w:bidi w:val="0"/>
      </w:pPr>
      <w:r>
        <w:rPr>
          <w:rtl w:val="0"/>
        </w:rPr>
        <w:t xml:space="preserve"> </w:t>
      </w: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 w:type="character" w:styleId="Hyperlink.1">
    <w:name w:val="Hyperlink.1"/>
    <w:basedOn w:val="Hyperlink.0"/>
    <w:next w:val="Hyperlink.1"/>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