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B8" w:rsidRDefault="00D93F5B">
      <w:pPr>
        <w:spacing w:after="300"/>
      </w:pPr>
      <w:bookmarkStart w:id="0" w:name="OLE_LINK1"/>
      <w:bookmarkStart w:id="1" w:name="OLE_LINK2"/>
      <w:r>
        <w:rPr>
          <w:noProof/>
        </w:rPr>
        <w:drawing>
          <wp:inline distT="0" distB="0" distL="0" distR="0" wp14:anchorId="3821097E" wp14:editId="6675F752">
            <wp:extent cx="1349375" cy="563245"/>
            <wp:effectExtent l="19050" t="0" r="3175" b="0"/>
            <wp:docPr id="1" name="Picture 1" descr="http://www.pinnaclewest.com/files/images/logos/APS_NLOGO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nnaclewest.com/files/images/logos/APS_NLOGO_Gradient.jpg"/>
                    <pic:cNvPicPr>
                      <a:picLocks noChangeAspect="1" noChangeArrowheads="1"/>
                    </pic:cNvPicPr>
                  </pic:nvPicPr>
                  <pic:blipFill>
                    <a:blip r:embed="rId9" cstate="print"/>
                    <a:srcRect/>
                    <a:stretch>
                      <a:fillRect/>
                    </a:stretch>
                  </pic:blipFill>
                  <pic:spPr bwMode="auto">
                    <a:xfrm>
                      <a:off x="0" y="0"/>
                      <a:ext cx="1349375" cy="563245"/>
                    </a:xfrm>
                    <a:prstGeom prst="rect">
                      <a:avLst/>
                    </a:prstGeom>
                    <a:noFill/>
                    <a:ln w="9525">
                      <a:noFill/>
                      <a:miter lim="800000"/>
                      <a:headEnd/>
                      <a:tailEnd/>
                    </a:ln>
                  </pic:spPr>
                </pic:pic>
              </a:graphicData>
            </a:graphic>
          </wp:inline>
        </w:drawing>
      </w:r>
      <w:r w:rsidR="006528A2">
        <w:rPr>
          <w:rFonts w:ascii="Calisto MT" w:hAnsi="Calisto MT"/>
          <w:i/>
          <w:sz w:val="16"/>
        </w:rPr>
        <w:t>A subsidiary of Pinnacle West Capital Corporation</w:t>
      </w:r>
    </w:p>
    <w:tbl>
      <w:tblPr>
        <w:tblW w:w="8728" w:type="dxa"/>
        <w:tblInd w:w="512" w:type="dxa"/>
        <w:tblLayout w:type="fixed"/>
        <w:tblLook w:val="0000" w:firstRow="0" w:lastRow="0" w:firstColumn="0" w:lastColumn="0" w:noHBand="0" w:noVBand="0"/>
      </w:tblPr>
      <w:tblGrid>
        <w:gridCol w:w="2635"/>
        <w:gridCol w:w="3200"/>
        <w:gridCol w:w="2893"/>
      </w:tblGrid>
      <w:tr w:rsidR="00DF24B8" w:rsidRPr="009D3162" w:rsidTr="00773173">
        <w:trPr>
          <w:trHeight w:val="615"/>
        </w:trPr>
        <w:tc>
          <w:tcPr>
            <w:tcW w:w="2635" w:type="dxa"/>
          </w:tcPr>
          <w:p w:rsidR="00063014" w:rsidRPr="009D3162" w:rsidRDefault="00773173">
            <w:pPr>
              <w:tabs>
                <w:tab w:val="left" w:pos="3060"/>
              </w:tabs>
              <w:rPr>
                <w:rFonts w:ascii="Georgia" w:hAnsi="Georgia"/>
                <w:sz w:val="18"/>
                <w:szCs w:val="18"/>
              </w:rPr>
            </w:pPr>
            <w:r w:rsidRPr="009D3162">
              <w:rPr>
                <w:rFonts w:ascii="Georgia" w:hAnsi="Georgia"/>
                <w:sz w:val="18"/>
                <w:szCs w:val="18"/>
              </w:rPr>
              <w:t>Justin Thompson</w:t>
            </w:r>
          </w:p>
          <w:p w:rsidR="00DF24B8" w:rsidRPr="009D3162" w:rsidRDefault="00773173" w:rsidP="007618CA">
            <w:pPr>
              <w:rPr>
                <w:rFonts w:ascii="Georgia" w:hAnsi="Georgia"/>
                <w:sz w:val="18"/>
                <w:szCs w:val="18"/>
              </w:rPr>
            </w:pPr>
            <w:r w:rsidRPr="009D3162">
              <w:rPr>
                <w:rFonts w:ascii="Georgia" w:hAnsi="Georgia"/>
                <w:sz w:val="18"/>
                <w:szCs w:val="18"/>
              </w:rPr>
              <w:t>Business Support</w:t>
            </w:r>
          </w:p>
        </w:tc>
        <w:tc>
          <w:tcPr>
            <w:tcW w:w="3200" w:type="dxa"/>
          </w:tcPr>
          <w:p w:rsidR="00DF24B8" w:rsidRPr="009D3162" w:rsidRDefault="00DF24B8">
            <w:pPr>
              <w:tabs>
                <w:tab w:val="left" w:pos="3060"/>
              </w:tabs>
              <w:rPr>
                <w:rFonts w:ascii="Georgia" w:hAnsi="Georgia"/>
                <w:sz w:val="18"/>
                <w:szCs w:val="18"/>
              </w:rPr>
            </w:pPr>
            <w:r w:rsidRPr="009D3162">
              <w:rPr>
                <w:rFonts w:ascii="Georgia" w:hAnsi="Georgia"/>
                <w:sz w:val="18"/>
                <w:szCs w:val="18"/>
              </w:rPr>
              <w:t>Tel. 602-250-</w:t>
            </w:r>
            <w:r w:rsidR="00773173" w:rsidRPr="009D3162">
              <w:rPr>
                <w:rFonts w:ascii="Georgia" w:hAnsi="Georgia"/>
                <w:sz w:val="18"/>
                <w:szCs w:val="18"/>
              </w:rPr>
              <w:t>2060</w:t>
            </w:r>
          </w:p>
          <w:p w:rsidR="00DF24B8" w:rsidRPr="009D3162" w:rsidRDefault="00FC2346" w:rsidP="00773173">
            <w:pPr>
              <w:tabs>
                <w:tab w:val="left" w:pos="479"/>
                <w:tab w:val="left" w:pos="3060"/>
              </w:tabs>
              <w:rPr>
                <w:rFonts w:ascii="Georgia" w:hAnsi="Georgia"/>
                <w:sz w:val="18"/>
                <w:szCs w:val="18"/>
              </w:rPr>
            </w:pPr>
            <w:r w:rsidRPr="009D3162">
              <w:rPr>
                <w:rFonts w:ascii="Georgia" w:hAnsi="Georgia"/>
                <w:sz w:val="18"/>
                <w:szCs w:val="18"/>
              </w:rPr>
              <w:t>E</w:t>
            </w:r>
            <w:r w:rsidR="00DF24B8" w:rsidRPr="009D3162">
              <w:rPr>
                <w:rFonts w:ascii="Georgia" w:hAnsi="Georgia"/>
                <w:sz w:val="18"/>
                <w:szCs w:val="18"/>
              </w:rPr>
              <w:t>-mai</w:t>
            </w:r>
            <w:r w:rsidR="000572AB" w:rsidRPr="009D3162">
              <w:rPr>
                <w:rFonts w:ascii="Georgia" w:hAnsi="Georgia"/>
                <w:sz w:val="18"/>
                <w:szCs w:val="18"/>
              </w:rPr>
              <w:t>l</w:t>
            </w:r>
            <w:r w:rsidRPr="009D3162">
              <w:rPr>
                <w:rFonts w:ascii="Georgia" w:hAnsi="Georgia"/>
                <w:sz w:val="18"/>
                <w:szCs w:val="18"/>
              </w:rPr>
              <w:t xml:space="preserve">: </w:t>
            </w:r>
            <w:r w:rsidR="00773173" w:rsidRPr="009D3162">
              <w:rPr>
                <w:rFonts w:ascii="Georgia" w:hAnsi="Georgia"/>
                <w:sz w:val="18"/>
                <w:szCs w:val="18"/>
              </w:rPr>
              <w:t>Justin.Thompson</w:t>
            </w:r>
            <w:r w:rsidR="00063014" w:rsidRPr="009D3162">
              <w:rPr>
                <w:rFonts w:ascii="Georgia" w:hAnsi="Georgia"/>
                <w:sz w:val="18"/>
                <w:szCs w:val="18"/>
              </w:rPr>
              <w:t>@aps.com</w:t>
            </w:r>
            <w:r w:rsidRPr="009D3162">
              <w:rPr>
                <w:rFonts w:ascii="Georgia" w:hAnsi="Georgia"/>
                <w:sz w:val="18"/>
                <w:szCs w:val="18"/>
              </w:rPr>
              <w:t xml:space="preserve"> </w:t>
            </w:r>
          </w:p>
        </w:tc>
        <w:tc>
          <w:tcPr>
            <w:tcW w:w="2893" w:type="dxa"/>
          </w:tcPr>
          <w:p w:rsidR="00FC2346" w:rsidRPr="009D3162" w:rsidRDefault="00DF24B8" w:rsidP="00FC2346">
            <w:pPr>
              <w:tabs>
                <w:tab w:val="left" w:pos="3060"/>
              </w:tabs>
              <w:rPr>
                <w:rFonts w:ascii="Georgia" w:hAnsi="Georgia"/>
                <w:sz w:val="18"/>
                <w:szCs w:val="18"/>
              </w:rPr>
            </w:pPr>
            <w:r w:rsidRPr="009D3162">
              <w:rPr>
                <w:rFonts w:ascii="Georgia" w:hAnsi="Georgia"/>
                <w:sz w:val="18"/>
                <w:szCs w:val="18"/>
              </w:rPr>
              <w:t>PO Box 53999</w:t>
            </w:r>
            <w:r w:rsidR="00B32CDC" w:rsidRPr="009D3162">
              <w:rPr>
                <w:rFonts w:ascii="Georgia" w:hAnsi="Georgia"/>
                <w:sz w:val="18"/>
                <w:szCs w:val="18"/>
              </w:rPr>
              <w:t>, Mail Station 9842</w:t>
            </w:r>
          </w:p>
          <w:p w:rsidR="00DF24B8" w:rsidRPr="009D3162" w:rsidRDefault="00DF24B8">
            <w:pPr>
              <w:tabs>
                <w:tab w:val="left" w:pos="3060"/>
              </w:tabs>
              <w:rPr>
                <w:rFonts w:ascii="Georgia" w:hAnsi="Georgia"/>
                <w:sz w:val="18"/>
                <w:szCs w:val="18"/>
              </w:rPr>
            </w:pPr>
            <w:r w:rsidRPr="009D3162">
              <w:rPr>
                <w:rFonts w:ascii="Georgia" w:hAnsi="Georgia"/>
                <w:sz w:val="18"/>
                <w:szCs w:val="18"/>
              </w:rPr>
              <w:t>Phoenix, Arizona  85072</w:t>
            </w:r>
            <w:r w:rsidR="00863A91" w:rsidRPr="009D3162">
              <w:rPr>
                <w:rFonts w:ascii="Georgia" w:hAnsi="Georgia"/>
                <w:sz w:val="18"/>
                <w:szCs w:val="18"/>
              </w:rPr>
              <w:t>-</w:t>
            </w:r>
            <w:r w:rsidRPr="009D3162">
              <w:rPr>
                <w:rFonts w:ascii="Georgia" w:hAnsi="Georgia"/>
                <w:sz w:val="18"/>
                <w:szCs w:val="18"/>
              </w:rPr>
              <w:t>3999</w:t>
            </w:r>
          </w:p>
        </w:tc>
      </w:tr>
      <w:bookmarkEnd w:id="0"/>
      <w:bookmarkEnd w:id="1"/>
    </w:tbl>
    <w:p w:rsidR="00DF24B8" w:rsidRPr="009D3162" w:rsidRDefault="00DF24B8">
      <w:pPr>
        <w:rPr>
          <w:rFonts w:ascii="Georgia" w:hAnsi="Georgia"/>
          <w:sz w:val="24"/>
        </w:rPr>
      </w:pPr>
    </w:p>
    <w:p w:rsidR="00DF24B8" w:rsidRPr="009D3162" w:rsidRDefault="00773173">
      <w:pPr>
        <w:rPr>
          <w:rFonts w:ascii="Georgia" w:eastAsia="Arial Unicode MS" w:hAnsi="Georgia" w:cs="Arial Unicode MS"/>
          <w:sz w:val="24"/>
        </w:rPr>
      </w:pPr>
      <w:r w:rsidRPr="009D3162">
        <w:rPr>
          <w:rFonts w:ascii="Georgia" w:eastAsia="Arial Unicode MS" w:hAnsi="Georgia" w:cs="Arial Unicode MS"/>
          <w:sz w:val="24"/>
        </w:rPr>
        <w:t>October 21, 2013</w:t>
      </w:r>
    </w:p>
    <w:p w:rsidR="000175CB" w:rsidRDefault="000175CB">
      <w:pPr>
        <w:rPr>
          <w:rFonts w:ascii="Arial Narrow" w:eastAsia="Arial Unicode MS" w:hAnsi="Arial Narrow" w:cs="Arial Unicode MS"/>
          <w:sz w:val="24"/>
        </w:rPr>
      </w:pPr>
    </w:p>
    <w:p w:rsidR="00773173" w:rsidRDefault="00773173" w:rsidP="00773173">
      <w:pPr>
        <w:ind w:firstLine="720"/>
        <w:rPr>
          <w:rFonts w:ascii="Georgia" w:hAnsi="Georgia"/>
          <w:sz w:val="24"/>
          <w:szCs w:val="24"/>
        </w:rPr>
      </w:pPr>
      <w:r w:rsidRPr="00351074">
        <w:rPr>
          <w:rFonts w:ascii="Georgia" w:hAnsi="Georgia"/>
          <w:sz w:val="24"/>
          <w:szCs w:val="24"/>
        </w:rPr>
        <w:t>Arizona Public Service Company (“APS”)</w:t>
      </w:r>
      <w:r>
        <w:rPr>
          <w:rFonts w:ascii="Georgia" w:hAnsi="Georgia"/>
          <w:sz w:val="24"/>
          <w:szCs w:val="24"/>
        </w:rPr>
        <w:t xml:space="preserve"> </w:t>
      </w:r>
      <w:r w:rsidRPr="004E3ECB">
        <w:rPr>
          <w:rFonts w:ascii="Georgia" w:hAnsi="Georgia"/>
          <w:sz w:val="24"/>
          <w:szCs w:val="24"/>
        </w:rPr>
        <w:t>is a wholly-owned subsidiary of Pinnacle West Capital Corporation</w:t>
      </w:r>
      <w:r>
        <w:rPr>
          <w:rFonts w:ascii="Georgia" w:hAnsi="Georgia"/>
          <w:sz w:val="24"/>
          <w:szCs w:val="24"/>
        </w:rPr>
        <w:t xml:space="preserve">.  APS </w:t>
      </w:r>
      <w:r w:rsidRPr="00351074">
        <w:rPr>
          <w:rFonts w:ascii="Georgia" w:hAnsi="Georgia"/>
          <w:sz w:val="24"/>
          <w:szCs w:val="24"/>
        </w:rPr>
        <w:t xml:space="preserve">is engaged in the business of generating, transmitting, and distributing electricity in Arizona and serves more than one million retail electric customers within the state.  In addition, APS participates in the wholesale energy market.  Although APS owns generation outside the state of California and has long-term contracts for generation resources, it does not directly deliver energy from any of those sources to California entities.  From time to time, APS purchases energy from and sells excess, </w:t>
      </w:r>
      <w:proofErr w:type="spellStart"/>
      <w:r w:rsidRPr="00351074">
        <w:rPr>
          <w:rFonts w:ascii="Georgia" w:hAnsi="Georgia"/>
          <w:sz w:val="24"/>
          <w:szCs w:val="24"/>
        </w:rPr>
        <w:t>dispatchable</w:t>
      </w:r>
      <w:proofErr w:type="spellEnd"/>
      <w:r w:rsidRPr="00351074">
        <w:rPr>
          <w:rFonts w:ascii="Georgia" w:hAnsi="Georgia"/>
          <w:sz w:val="24"/>
          <w:szCs w:val="24"/>
        </w:rPr>
        <w:t>, marginal resources to the California Independent System Operator (“CAISO”).</w:t>
      </w:r>
    </w:p>
    <w:p w:rsidR="009D3162" w:rsidRPr="00351074" w:rsidRDefault="009D3162" w:rsidP="00773173">
      <w:pPr>
        <w:ind w:firstLine="720"/>
        <w:rPr>
          <w:rFonts w:ascii="Georgia" w:hAnsi="Georgia"/>
          <w:sz w:val="24"/>
          <w:szCs w:val="24"/>
        </w:rPr>
      </w:pPr>
    </w:p>
    <w:p w:rsidR="00773173" w:rsidRPr="00351074" w:rsidRDefault="00773173" w:rsidP="00773173">
      <w:pPr>
        <w:spacing w:after="360"/>
        <w:ind w:firstLine="720"/>
        <w:rPr>
          <w:rFonts w:ascii="Georgia" w:hAnsi="Georgia"/>
          <w:sz w:val="24"/>
          <w:szCs w:val="24"/>
        </w:rPr>
      </w:pPr>
      <w:r w:rsidRPr="00351074">
        <w:rPr>
          <w:rFonts w:ascii="Georgia" w:hAnsi="Georgia"/>
          <w:sz w:val="24"/>
          <w:szCs w:val="24"/>
        </w:rPr>
        <w:t xml:space="preserve">On </w:t>
      </w:r>
      <w:r>
        <w:rPr>
          <w:rFonts w:ascii="Georgia" w:hAnsi="Georgia"/>
          <w:sz w:val="24"/>
          <w:szCs w:val="24"/>
        </w:rPr>
        <w:t>September 4</w:t>
      </w:r>
      <w:r w:rsidRPr="00351074">
        <w:rPr>
          <w:rFonts w:ascii="Georgia" w:hAnsi="Georgia"/>
          <w:sz w:val="24"/>
          <w:szCs w:val="24"/>
        </w:rPr>
        <w:t xml:space="preserve">, 2013, </w:t>
      </w:r>
      <w:r>
        <w:rPr>
          <w:rFonts w:ascii="Georgia" w:hAnsi="Georgia"/>
          <w:sz w:val="24"/>
          <w:szCs w:val="24"/>
        </w:rPr>
        <w:t xml:space="preserve">the </w:t>
      </w:r>
      <w:r w:rsidRPr="00351074">
        <w:rPr>
          <w:rFonts w:ascii="Georgia" w:hAnsi="Georgia"/>
          <w:sz w:val="24"/>
          <w:szCs w:val="24"/>
        </w:rPr>
        <w:t xml:space="preserve">California Air Resources Board (“CARB”) </w:t>
      </w:r>
      <w:r>
        <w:rPr>
          <w:rFonts w:ascii="Georgia" w:hAnsi="Georgia"/>
          <w:sz w:val="24"/>
          <w:szCs w:val="24"/>
        </w:rPr>
        <w:t xml:space="preserve">posted </w:t>
      </w:r>
      <w:r w:rsidRPr="00351074">
        <w:rPr>
          <w:rFonts w:ascii="Georgia" w:hAnsi="Georgia"/>
          <w:sz w:val="24"/>
          <w:szCs w:val="24"/>
        </w:rPr>
        <w:t xml:space="preserve">proposed amendments to </w:t>
      </w:r>
      <w:r>
        <w:rPr>
          <w:rFonts w:ascii="Georgia" w:hAnsi="Georgia"/>
          <w:sz w:val="24"/>
          <w:szCs w:val="24"/>
        </w:rPr>
        <w:t>its</w:t>
      </w:r>
      <w:r w:rsidRPr="00351074">
        <w:rPr>
          <w:rFonts w:ascii="Georgia" w:hAnsi="Georgia"/>
          <w:sz w:val="24"/>
          <w:szCs w:val="24"/>
        </w:rPr>
        <w:t xml:space="preserve"> </w:t>
      </w:r>
      <w:r>
        <w:rPr>
          <w:rFonts w:ascii="Georgia" w:hAnsi="Georgia"/>
          <w:sz w:val="24"/>
          <w:szCs w:val="24"/>
        </w:rPr>
        <w:t>m</w:t>
      </w:r>
      <w:r w:rsidRPr="00351074">
        <w:rPr>
          <w:rFonts w:ascii="Georgia" w:hAnsi="Georgia"/>
          <w:sz w:val="24"/>
          <w:szCs w:val="24"/>
        </w:rPr>
        <w:t xml:space="preserve">andatory </w:t>
      </w:r>
      <w:r>
        <w:rPr>
          <w:rFonts w:ascii="Georgia" w:hAnsi="Georgia"/>
          <w:sz w:val="24"/>
          <w:szCs w:val="24"/>
        </w:rPr>
        <w:t>r</w:t>
      </w:r>
      <w:r w:rsidRPr="00351074">
        <w:rPr>
          <w:rFonts w:ascii="Georgia" w:hAnsi="Georgia"/>
          <w:sz w:val="24"/>
          <w:szCs w:val="24"/>
        </w:rPr>
        <w:t xml:space="preserve">eporting of </w:t>
      </w:r>
      <w:r>
        <w:rPr>
          <w:rFonts w:ascii="Georgia" w:hAnsi="Georgia"/>
          <w:sz w:val="24"/>
          <w:szCs w:val="24"/>
        </w:rPr>
        <w:t>g</w:t>
      </w:r>
      <w:r w:rsidRPr="00351074">
        <w:rPr>
          <w:rFonts w:ascii="Georgia" w:hAnsi="Georgia"/>
          <w:sz w:val="24"/>
          <w:szCs w:val="24"/>
        </w:rPr>
        <w:t xml:space="preserve">reenhouse </w:t>
      </w:r>
      <w:r>
        <w:rPr>
          <w:rFonts w:ascii="Georgia" w:hAnsi="Georgia"/>
          <w:sz w:val="24"/>
          <w:szCs w:val="24"/>
        </w:rPr>
        <w:t>g</w:t>
      </w:r>
      <w:r w:rsidRPr="00351074">
        <w:rPr>
          <w:rFonts w:ascii="Georgia" w:hAnsi="Georgia"/>
          <w:sz w:val="24"/>
          <w:szCs w:val="24"/>
        </w:rPr>
        <w:t xml:space="preserve">as </w:t>
      </w:r>
      <w:r>
        <w:rPr>
          <w:rFonts w:ascii="Georgia" w:hAnsi="Georgia"/>
          <w:sz w:val="24"/>
          <w:szCs w:val="24"/>
        </w:rPr>
        <w:t>e</w:t>
      </w:r>
      <w:r w:rsidRPr="00351074">
        <w:rPr>
          <w:rFonts w:ascii="Georgia" w:hAnsi="Georgia"/>
          <w:sz w:val="24"/>
          <w:szCs w:val="24"/>
        </w:rPr>
        <w:t xml:space="preserve">missions </w:t>
      </w:r>
      <w:r>
        <w:rPr>
          <w:rFonts w:ascii="Georgia" w:hAnsi="Georgia"/>
          <w:sz w:val="24"/>
          <w:szCs w:val="24"/>
        </w:rPr>
        <w:t xml:space="preserve">regulations (“MRR”) and </w:t>
      </w:r>
      <w:r w:rsidRPr="00351074">
        <w:rPr>
          <w:rFonts w:ascii="Georgia" w:hAnsi="Georgia"/>
          <w:sz w:val="24"/>
          <w:szCs w:val="24"/>
        </w:rPr>
        <w:t xml:space="preserve">greenhouse gas cap-and trade </w:t>
      </w:r>
      <w:r>
        <w:rPr>
          <w:rFonts w:ascii="Georgia" w:hAnsi="Georgia"/>
          <w:sz w:val="24"/>
          <w:szCs w:val="24"/>
        </w:rPr>
        <w:t>regulations.  We appreciate the opportunity to comment on certain aspects of these proposed amendments.</w:t>
      </w:r>
    </w:p>
    <w:p w:rsidR="00773173" w:rsidRPr="00351074" w:rsidRDefault="00773173" w:rsidP="00773173">
      <w:pPr>
        <w:pStyle w:val="ListParagraph"/>
        <w:numPr>
          <w:ilvl w:val="0"/>
          <w:numId w:val="13"/>
        </w:numPr>
        <w:spacing w:after="200" w:line="276" w:lineRule="auto"/>
        <w:ind w:left="0" w:firstLine="720"/>
        <w:rPr>
          <w:rFonts w:ascii="Georgia" w:hAnsi="Georgia"/>
        </w:rPr>
      </w:pPr>
      <w:r w:rsidRPr="00351074">
        <w:rPr>
          <w:rFonts w:ascii="Georgia" w:hAnsi="Georgia"/>
          <w:u w:val="single"/>
        </w:rPr>
        <w:t xml:space="preserve">Calculating GHG Emissions of Imported Electricity Supplied by System Power Suppliers </w:t>
      </w:r>
      <w:r>
        <w:rPr>
          <w:rFonts w:ascii="Georgia" w:hAnsi="Georgia"/>
          <w:u w:val="single"/>
        </w:rPr>
        <w:t xml:space="preserve">(§ </w:t>
      </w:r>
      <w:r w:rsidRPr="00351074">
        <w:rPr>
          <w:rFonts w:ascii="Georgia" w:hAnsi="Georgia"/>
          <w:u w:val="single"/>
        </w:rPr>
        <w:t>95111(b</w:t>
      </w:r>
      <w:proofErr w:type="gramStart"/>
      <w:r w:rsidRPr="00351074">
        <w:rPr>
          <w:rFonts w:ascii="Georgia" w:hAnsi="Georgia"/>
          <w:u w:val="single"/>
        </w:rPr>
        <w:t>)(</w:t>
      </w:r>
      <w:proofErr w:type="gramEnd"/>
      <w:r w:rsidRPr="00351074">
        <w:rPr>
          <w:rFonts w:ascii="Georgia" w:hAnsi="Georgia"/>
          <w:u w:val="single"/>
        </w:rPr>
        <w:t>5)</w:t>
      </w:r>
      <w:r>
        <w:rPr>
          <w:rFonts w:ascii="Georgia" w:hAnsi="Georgia"/>
          <w:u w:val="single"/>
        </w:rPr>
        <w:t>)</w:t>
      </w:r>
      <w:r>
        <w:rPr>
          <w:rFonts w:ascii="Georgia" w:hAnsi="Georgia"/>
        </w:rPr>
        <w:t xml:space="preserve">:  </w:t>
      </w:r>
      <w:r w:rsidRPr="00351074">
        <w:rPr>
          <w:rFonts w:ascii="Georgia" w:hAnsi="Georgia"/>
        </w:rPr>
        <w:t>CARB is proposing that in the event system power imports are above the default emission factor for unspecified electricity imports, if the electricity is not tagged as originating from unique specified sources of generation but instead tagged as system power, it cannot be claimed as coming from an unspecified source.  Conversations with CARB staff have indicated th</w:t>
      </w:r>
      <w:r>
        <w:rPr>
          <w:rFonts w:ascii="Georgia" w:hAnsi="Georgia"/>
        </w:rPr>
        <w:t>e potential for</w:t>
      </w:r>
      <w:r w:rsidRPr="00351074">
        <w:rPr>
          <w:rFonts w:ascii="Georgia" w:hAnsi="Georgia"/>
        </w:rPr>
        <w:t xml:space="preserve"> retroactive applicability of this rule.</w:t>
      </w:r>
    </w:p>
    <w:p w:rsidR="00773173" w:rsidRDefault="00773173" w:rsidP="00773173">
      <w:pPr>
        <w:ind w:firstLine="720"/>
        <w:rPr>
          <w:rFonts w:ascii="Georgia" w:hAnsi="Georgia"/>
          <w:sz w:val="24"/>
          <w:szCs w:val="24"/>
        </w:rPr>
      </w:pPr>
      <w:r>
        <w:rPr>
          <w:rFonts w:ascii="Georgia" w:hAnsi="Georgia"/>
          <w:sz w:val="24"/>
          <w:szCs w:val="24"/>
        </w:rPr>
        <w:t>This proposed change will create a significant level of uncertainty for wholesale market participants transacting in the California electricity market.  Such transactions often include packaged electricity that originates from multiple sources having different emission factors.  Tracing each electron to its source under such circumstances will not be feasible and will leave participants wondering how to comply.  Such a result can be expected to have the undesired effect of reducing entry into the California import market, thereby decreasing liquidity and potentially creating supply problems therein.</w:t>
      </w:r>
    </w:p>
    <w:p w:rsidR="009D3162" w:rsidRDefault="009D3162" w:rsidP="00773173">
      <w:pPr>
        <w:ind w:firstLine="720"/>
        <w:rPr>
          <w:rFonts w:ascii="Georgia" w:hAnsi="Georgia"/>
          <w:sz w:val="24"/>
          <w:szCs w:val="24"/>
        </w:rPr>
      </w:pPr>
    </w:p>
    <w:p w:rsidR="00773173" w:rsidRDefault="00773173" w:rsidP="00773173">
      <w:pPr>
        <w:ind w:firstLine="720"/>
        <w:rPr>
          <w:rFonts w:ascii="Georgia" w:hAnsi="Georgia"/>
          <w:sz w:val="24"/>
          <w:szCs w:val="24"/>
        </w:rPr>
      </w:pPr>
      <w:r>
        <w:rPr>
          <w:rFonts w:ascii="Georgia" w:hAnsi="Georgia"/>
          <w:sz w:val="24"/>
          <w:szCs w:val="24"/>
        </w:rPr>
        <w:t xml:space="preserve">In discussing this issue with CARB staff, APS was informed that if APS does not register as an </w:t>
      </w:r>
      <w:r w:rsidRPr="0014143A">
        <w:rPr>
          <w:rFonts w:ascii="Georgia" w:hAnsi="Georgia"/>
          <w:sz w:val="24"/>
          <w:szCs w:val="24"/>
        </w:rPr>
        <w:t>asset-controlling supplier</w:t>
      </w:r>
      <w:r>
        <w:rPr>
          <w:rFonts w:ascii="Georgia" w:hAnsi="Georgia"/>
          <w:sz w:val="24"/>
          <w:szCs w:val="24"/>
        </w:rPr>
        <w:t>, CARB will calculate and assign a system rate to APS.  However, as we previously explained to CARB (</w:t>
      </w:r>
      <w:r w:rsidRPr="0014143A">
        <w:rPr>
          <w:rFonts w:ascii="Georgia" w:hAnsi="Georgia"/>
          <w:i/>
          <w:sz w:val="24"/>
          <w:szCs w:val="24"/>
        </w:rPr>
        <w:t>see</w:t>
      </w:r>
      <w:r>
        <w:rPr>
          <w:rFonts w:ascii="Georgia" w:hAnsi="Georgia"/>
          <w:sz w:val="24"/>
          <w:szCs w:val="24"/>
        </w:rPr>
        <w:t xml:space="preserve"> letter to CARB declaring APS’s reporting status under the MRR dated November 19, 2012), t</w:t>
      </w:r>
      <w:r w:rsidRPr="0014143A">
        <w:rPr>
          <w:rFonts w:ascii="Georgia" w:hAnsi="Georgia"/>
          <w:sz w:val="24"/>
          <w:szCs w:val="24"/>
        </w:rPr>
        <w:t>he electricity APS sells into the CAISO is from a combination of purchased power and from facilities owned or operated by APS.  The MRR in no way prescribes that an out-of-state entity, like APS, selling fungible, excess power serving the bulk power system must register itself to b</w:t>
      </w:r>
      <w:r>
        <w:rPr>
          <w:rFonts w:ascii="Georgia" w:hAnsi="Georgia"/>
          <w:sz w:val="24"/>
          <w:szCs w:val="24"/>
        </w:rPr>
        <w:t xml:space="preserve">e an </w:t>
      </w:r>
      <w:r>
        <w:rPr>
          <w:rFonts w:ascii="Georgia" w:hAnsi="Georgia"/>
          <w:sz w:val="24"/>
          <w:szCs w:val="24"/>
        </w:rPr>
        <w:lastRenderedPageBreak/>
        <w:t xml:space="preserve">asset-controlling supplier.  Were such registration required, it would be unlawful for lack of </w:t>
      </w:r>
      <w:r w:rsidRPr="0014143A">
        <w:rPr>
          <w:rFonts w:ascii="Georgia" w:hAnsi="Georgia"/>
          <w:sz w:val="24"/>
          <w:szCs w:val="24"/>
        </w:rPr>
        <w:t xml:space="preserve">fundamental fairness </w:t>
      </w:r>
      <w:r>
        <w:rPr>
          <w:rFonts w:ascii="Georgia" w:hAnsi="Georgia"/>
          <w:sz w:val="24"/>
          <w:szCs w:val="24"/>
        </w:rPr>
        <w:t xml:space="preserve">in that </w:t>
      </w:r>
      <w:r w:rsidRPr="0014143A">
        <w:rPr>
          <w:rFonts w:ascii="Georgia" w:hAnsi="Georgia"/>
          <w:sz w:val="24"/>
          <w:szCs w:val="24"/>
        </w:rPr>
        <w:t xml:space="preserve">it would require out-of-state generators not purposely engaging in the sale of electricity for delivery to the California grid to register as asset-controlling suppliers notwithstanding the fact that the electricity they send to the CAISO is generated from sources outside of California and, without the generators’ knowledge or control, purchased by entities in California for consumption within the state.  Such disparate treatment would unfairly penalize </w:t>
      </w:r>
      <w:r>
        <w:rPr>
          <w:rFonts w:ascii="Georgia" w:hAnsi="Georgia"/>
          <w:sz w:val="24"/>
          <w:szCs w:val="24"/>
        </w:rPr>
        <w:t xml:space="preserve">out-of-state sellers by </w:t>
      </w:r>
      <w:r w:rsidRPr="0014143A">
        <w:rPr>
          <w:rFonts w:ascii="Georgia" w:hAnsi="Georgia"/>
          <w:sz w:val="24"/>
          <w:szCs w:val="24"/>
        </w:rPr>
        <w:t>mak</w:t>
      </w:r>
      <w:r>
        <w:rPr>
          <w:rFonts w:ascii="Georgia" w:hAnsi="Georgia"/>
          <w:sz w:val="24"/>
          <w:szCs w:val="24"/>
        </w:rPr>
        <w:t>ing</w:t>
      </w:r>
      <w:r w:rsidRPr="0014143A">
        <w:rPr>
          <w:rFonts w:ascii="Georgia" w:hAnsi="Georgia"/>
          <w:sz w:val="24"/>
          <w:szCs w:val="24"/>
        </w:rPr>
        <w:t xml:space="preserve"> it more expensive for </w:t>
      </w:r>
      <w:r>
        <w:rPr>
          <w:rFonts w:ascii="Georgia" w:hAnsi="Georgia"/>
          <w:sz w:val="24"/>
          <w:szCs w:val="24"/>
        </w:rPr>
        <w:t xml:space="preserve">them </w:t>
      </w:r>
      <w:r w:rsidRPr="0014143A">
        <w:rPr>
          <w:rFonts w:ascii="Georgia" w:hAnsi="Georgia"/>
          <w:sz w:val="24"/>
          <w:szCs w:val="24"/>
        </w:rPr>
        <w:t xml:space="preserve">to sell </w:t>
      </w:r>
      <w:r>
        <w:rPr>
          <w:rFonts w:ascii="Georgia" w:hAnsi="Georgia"/>
          <w:sz w:val="24"/>
          <w:szCs w:val="24"/>
        </w:rPr>
        <w:t>their</w:t>
      </w:r>
      <w:r w:rsidRPr="0014143A">
        <w:rPr>
          <w:rFonts w:ascii="Georgia" w:hAnsi="Georgia"/>
          <w:sz w:val="24"/>
          <w:szCs w:val="24"/>
        </w:rPr>
        <w:t xml:space="preserve"> electricity to the CAISO.</w:t>
      </w:r>
    </w:p>
    <w:p w:rsidR="009D3162" w:rsidRDefault="009D3162" w:rsidP="00773173">
      <w:pPr>
        <w:ind w:firstLine="720"/>
        <w:rPr>
          <w:rFonts w:ascii="Georgia" w:hAnsi="Georgia"/>
          <w:sz w:val="24"/>
          <w:szCs w:val="24"/>
        </w:rPr>
      </w:pPr>
    </w:p>
    <w:p w:rsidR="00773173" w:rsidRDefault="00773173" w:rsidP="00773173">
      <w:pPr>
        <w:spacing w:after="240"/>
        <w:ind w:firstLine="720"/>
        <w:rPr>
          <w:rFonts w:ascii="Georgia" w:hAnsi="Georgia"/>
          <w:sz w:val="24"/>
          <w:szCs w:val="24"/>
        </w:rPr>
      </w:pPr>
      <w:r>
        <w:rPr>
          <w:rFonts w:ascii="Georgia" w:hAnsi="Georgia"/>
          <w:sz w:val="24"/>
          <w:szCs w:val="24"/>
        </w:rPr>
        <w:t xml:space="preserve">In any event, to the extent CARB intends for this rule change to apply to transactions consummated prior to its final promulgation, such a result would constitute an impermissible retroactive application.  Government agencies may not promulgate a new rule that has a retroactive effect on a regulated entity’s prior actions.  In other words, CARB may not promulgate and use a new regulation </w:t>
      </w:r>
      <w:r w:rsidRPr="00276F40">
        <w:rPr>
          <w:rFonts w:ascii="Georgia" w:hAnsi="Georgia"/>
          <w:sz w:val="24"/>
          <w:szCs w:val="24"/>
        </w:rPr>
        <w:t xml:space="preserve">to establish </w:t>
      </w:r>
      <w:r>
        <w:rPr>
          <w:rFonts w:ascii="Georgia" w:hAnsi="Georgia"/>
          <w:sz w:val="24"/>
          <w:szCs w:val="24"/>
        </w:rPr>
        <w:t>a new requirement that</w:t>
      </w:r>
      <w:r w:rsidRPr="00276F40">
        <w:rPr>
          <w:rFonts w:ascii="Georgia" w:hAnsi="Georgia"/>
          <w:sz w:val="24"/>
          <w:szCs w:val="24"/>
        </w:rPr>
        <w:t xml:space="preserve"> would change the legal consequences of </w:t>
      </w:r>
      <w:r>
        <w:rPr>
          <w:rFonts w:ascii="Georgia" w:hAnsi="Georgia"/>
          <w:sz w:val="24"/>
          <w:szCs w:val="24"/>
        </w:rPr>
        <w:t xml:space="preserve">an electricity importer’s </w:t>
      </w:r>
      <w:r w:rsidRPr="00276F40">
        <w:rPr>
          <w:rFonts w:ascii="Georgia" w:hAnsi="Georgia"/>
          <w:sz w:val="24"/>
          <w:szCs w:val="24"/>
        </w:rPr>
        <w:t>past conduct</w:t>
      </w:r>
      <w:r>
        <w:rPr>
          <w:rFonts w:ascii="Georgia" w:hAnsi="Georgia"/>
          <w:sz w:val="24"/>
          <w:szCs w:val="24"/>
        </w:rPr>
        <w:t xml:space="preserve">.  Such an </w:t>
      </w:r>
      <w:r w:rsidRPr="00276F40">
        <w:rPr>
          <w:rFonts w:ascii="Georgia" w:hAnsi="Georgia"/>
          <w:sz w:val="24"/>
          <w:szCs w:val="24"/>
        </w:rPr>
        <w:t>impermissible retroactive application</w:t>
      </w:r>
      <w:r>
        <w:rPr>
          <w:rFonts w:ascii="Georgia" w:hAnsi="Georgia"/>
          <w:sz w:val="24"/>
          <w:szCs w:val="24"/>
        </w:rPr>
        <w:t xml:space="preserve"> of the law would place an undue burden on the entity.  Regulated entities make important decisions and adjust their behavior based on the law in effect at the time, and they should not be penalized by later-enacted regulatory changes having retroactive applicability.  California courts recognize the well-established presumption against retroactive application of laws.  This</w:t>
      </w:r>
      <w:r w:rsidRPr="006C3E23">
        <w:rPr>
          <w:rFonts w:ascii="Georgia" w:hAnsi="Georgia"/>
          <w:sz w:val="24"/>
          <w:szCs w:val="24"/>
        </w:rPr>
        <w:t xml:space="preserve"> presumption is deeply rooted in </w:t>
      </w:r>
      <w:r>
        <w:rPr>
          <w:rFonts w:ascii="Georgia" w:hAnsi="Georgia"/>
          <w:sz w:val="24"/>
          <w:szCs w:val="24"/>
        </w:rPr>
        <w:t>American</w:t>
      </w:r>
      <w:r w:rsidRPr="006C3E23">
        <w:rPr>
          <w:rFonts w:ascii="Georgia" w:hAnsi="Georgia"/>
          <w:sz w:val="24"/>
          <w:szCs w:val="24"/>
        </w:rPr>
        <w:t xml:space="preserve"> jurisprudence, and CARB</w:t>
      </w:r>
      <w:r>
        <w:rPr>
          <w:rFonts w:ascii="Georgia" w:hAnsi="Georgia"/>
          <w:sz w:val="24"/>
          <w:szCs w:val="24"/>
        </w:rPr>
        <w:t>’s actions</w:t>
      </w:r>
      <w:r w:rsidRPr="006C3E23">
        <w:rPr>
          <w:rFonts w:ascii="Georgia" w:hAnsi="Georgia"/>
          <w:sz w:val="24"/>
          <w:szCs w:val="24"/>
        </w:rPr>
        <w:t xml:space="preserve"> </w:t>
      </w:r>
      <w:r>
        <w:rPr>
          <w:rFonts w:ascii="Georgia" w:hAnsi="Georgia"/>
          <w:sz w:val="24"/>
          <w:szCs w:val="24"/>
        </w:rPr>
        <w:t>are</w:t>
      </w:r>
      <w:r w:rsidRPr="006C3E23">
        <w:rPr>
          <w:rFonts w:ascii="Georgia" w:hAnsi="Georgia"/>
          <w:sz w:val="24"/>
          <w:szCs w:val="24"/>
        </w:rPr>
        <w:t xml:space="preserve"> constrained by the </w:t>
      </w:r>
      <w:r>
        <w:rPr>
          <w:rFonts w:ascii="Georgia" w:hAnsi="Georgia"/>
          <w:sz w:val="24"/>
          <w:szCs w:val="24"/>
        </w:rPr>
        <w:t xml:space="preserve">general requirement </w:t>
      </w:r>
      <w:r w:rsidRPr="006C3E23">
        <w:rPr>
          <w:rFonts w:ascii="Georgia" w:hAnsi="Georgia"/>
          <w:sz w:val="24"/>
          <w:szCs w:val="24"/>
        </w:rPr>
        <w:t>that all laws</w:t>
      </w:r>
      <w:r>
        <w:rPr>
          <w:rFonts w:ascii="Georgia" w:hAnsi="Georgia"/>
          <w:sz w:val="24"/>
          <w:szCs w:val="24"/>
        </w:rPr>
        <w:t xml:space="preserve"> and regulations</w:t>
      </w:r>
      <w:r w:rsidRPr="006C3E23">
        <w:rPr>
          <w:rFonts w:ascii="Georgia" w:hAnsi="Georgia"/>
          <w:sz w:val="24"/>
          <w:szCs w:val="24"/>
        </w:rPr>
        <w:t xml:space="preserve"> </w:t>
      </w:r>
      <w:r>
        <w:rPr>
          <w:rFonts w:ascii="Georgia" w:hAnsi="Georgia"/>
          <w:sz w:val="24"/>
          <w:szCs w:val="24"/>
        </w:rPr>
        <w:t>shall</w:t>
      </w:r>
      <w:r w:rsidRPr="006C3E23">
        <w:rPr>
          <w:rFonts w:ascii="Georgia" w:hAnsi="Georgia"/>
          <w:sz w:val="24"/>
          <w:szCs w:val="24"/>
        </w:rPr>
        <w:t xml:space="preserve"> have only future effect unless the text of the </w:t>
      </w:r>
      <w:r>
        <w:rPr>
          <w:rFonts w:ascii="Georgia" w:hAnsi="Georgia"/>
          <w:sz w:val="24"/>
          <w:szCs w:val="24"/>
        </w:rPr>
        <w:t xml:space="preserve">authorizing </w:t>
      </w:r>
      <w:r w:rsidRPr="006C3E23">
        <w:rPr>
          <w:rFonts w:ascii="Georgia" w:hAnsi="Georgia"/>
          <w:sz w:val="24"/>
          <w:szCs w:val="24"/>
        </w:rPr>
        <w:t>statute explicitly states otherwise</w:t>
      </w:r>
      <w:r>
        <w:rPr>
          <w:rFonts w:ascii="Georgia" w:hAnsi="Georgia"/>
          <w:sz w:val="24"/>
          <w:szCs w:val="24"/>
        </w:rPr>
        <w:t>.</w:t>
      </w:r>
    </w:p>
    <w:p w:rsidR="00773173" w:rsidRDefault="00773173" w:rsidP="00773173">
      <w:pPr>
        <w:spacing w:after="360"/>
        <w:ind w:firstLine="720"/>
        <w:rPr>
          <w:rFonts w:ascii="Georgia" w:hAnsi="Georgia"/>
          <w:sz w:val="24"/>
          <w:szCs w:val="24"/>
        </w:rPr>
      </w:pPr>
      <w:r>
        <w:rPr>
          <w:rFonts w:ascii="Georgia" w:hAnsi="Georgia"/>
          <w:sz w:val="24"/>
          <w:szCs w:val="24"/>
        </w:rPr>
        <w:t>We understand CARB is considering withdrawing the proposed language that is the subject of this comment.  T</w:t>
      </w:r>
      <w:r w:rsidRPr="006561A1">
        <w:rPr>
          <w:rFonts w:ascii="Georgia" w:hAnsi="Georgia"/>
          <w:sz w:val="24"/>
          <w:szCs w:val="24"/>
        </w:rPr>
        <w:t>o the extent</w:t>
      </w:r>
      <w:r>
        <w:rPr>
          <w:rFonts w:ascii="Georgia" w:hAnsi="Georgia"/>
          <w:sz w:val="24"/>
          <w:szCs w:val="24"/>
        </w:rPr>
        <w:t xml:space="preserve"> this is the case</w:t>
      </w:r>
      <w:r w:rsidRPr="006561A1">
        <w:rPr>
          <w:rFonts w:ascii="Georgia" w:hAnsi="Georgia"/>
          <w:sz w:val="24"/>
          <w:szCs w:val="24"/>
        </w:rPr>
        <w:t xml:space="preserve">, we support </w:t>
      </w:r>
      <w:r>
        <w:rPr>
          <w:rFonts w:ascii="Georgia" w:hAnsi="Georgia"/>
          <w:sz w:val="24"/>
          <w:szCs w:val="24"/>
        </w:rPr>
        <w:t xml:space="preserve">such action for </w:t>
      </w:r>
      <w:r w:rsidRPr="006561A1">
        <w:rPr>
          <w:rFonts w:ascii="Georgia" w:hAnsi="Georgia"/>
          <w:sz w:val="24"/>
          <w:szCs w:val="24"/>
        </w:rPr>
        <w:t>the reasons</w:t>
      </w:r>
      <w:r>
        <w:rPr>
          <w:rFonts w:ascii="Georgia" w:hAnsi="Georgia"/>
          <w:sz w:val="24"/>
          <w:szCs w:val="24"/>
        </w:rPr>
        <w:t xml:space="preserve"> discussed above.</w:t>
      </w:r>
    </w:p>
    <w:p w:rsidR="00773173" w:rsidRDefault="00773173" w:rsidP="00773173">
      <w:pPr>
        <w:pStyle w:val="ListParagraph"/>
        <w:numPr>
          <w:ilvl w:val="0"/>
          <w:numId w:val="13"/>
        </w:numPr>
        <w:spacing w:after="200" w:line="276" w:lineRule="auto"/>
        <w:ind w:left="0" w:firstLine="720"/>
        <w:rPr>
          <w:rFonts w:ascii="Georgia" w:hAnsi="Georgia"/>
        </w:rPr>
      </w:pPr>
      <w:r w:rsidRPr="00BE1AFC">
        <w:rPr>
          <w:rFonts w:ascii="Georgia" w:hAnsi="Georgia"/>
          <w:u w:val="single"/>
        </w:rPr>
        <w:t>Requirements for Registration with CARB (§ 95830(c</w:t>
      </w:r>
      <w:proofErr w:type="gramStart"/>
      <w:r w:rsidRPr="00BE1AFC">
        <w:rPr>
          <w:rFonts w:ascii="Georgia" w:hAnsi="Georgia"/>
          <w:u w:val="single"/>
        </w:rPr>
        <w:t>)(</w:t>
      </w:r>
      <w:proofErr w:type="gramEnd"/>
      <w:r w:rsidRPr="00BE1AFC">
        <w:rPr>
          <w:rFonts w:ascii="Georgia" w:hAnsi="Georgia"/>
          <w:u w:val="single"/>
        </w:rPr>
        <w:t>1)(I))</w:t>
      </w:r>
      <w:r>
        <w:rPr>
          <w:rFonts w:ascii="Georgia" w:hAnsi="Georgia"/>
        </w:rPr>
        <w:t xml:space="preserve">:  CARB is proposing to require that covered </w:t>
      </w:r>
      <w:r w:rsidRPr="00450874">
        <w:rPr>
          <w:rFonts w:ascii="Georgia" w:hAnsi="Georgia"/>
        </w:rPr>
        <w:t>entit</w:t>
      </w:r>
      <w:r>
        <w:rPr>
          <w:rFonts w:ascii="Georgia" w:hAnsi="Georgia"/>
        </w:rPr>
        <w:t xml:space="preserve">ies file </w:t>
      </w:r>
      <w:r w:rsidRPr="00450874">
        <w:rPr>
          <w:rFonts w:ascii="Georgia" w:hAnsi="Georgia"/>
        </w:rPr>
        <w:t xml:space="preserve">a </w:t>
      </w:r>
      <w:r>
        <w:rPr>
          <w:rFonts w:ascii="Georgia" w:hAnsi="Georgia"/>
        </w:rPr>
        <w:t xml:space="preserve">registration </w:t>
      </w:r>
      <w:r w:rsidRPr="00450874">
        <w:rPr>
          <w:rFonts w:ascii="Georgia" w:hAnsi="Georgia"/>
        </w:rPr>
        <w:t xml:space="preserve">application for an account in the </w:t>
      </w:r>
      <w:r>
        <w:rPr>
          <w:rFonts w:ascii="Georgia" w:hAnsi="Georgia"/>
        </w:rPr>
        <w:t xml:space="preserve">compliance allowance </w:t>
      </w:r>
      <w:r w:rsidRPr="00450874">
        <w:rPr>
          <w:rFonts w:ascii="Georgia" w:hAnsi="Georgia"/>
        </w:rPr>
        <w:t>tracking system</w:t>
      </w:r>
      <w:r>
        <w:rPr>
          <w:rFonts w:ascii="Georgia" w:hAnsi="Georgia"/>
        </w:rPr>
        <w:t>, which would  include the “[n]</w:t>
      </w:r>
      <w:proofErr w:type="spellStart"/>
      <w:r w:rsidRPr="00450874">
        <w:rPr>
          <w:rFonts w:ascii="Georgia" w:hAnsi="Georgia"/>
        </w:rPr>
        <w:t>ames</w:t>
      </w:r>
      <w:proofErr w:type="spellEnd"/>
      <w:r w:rsidRPr="00450874">
        <w:rPr>
          <w:rFonts w:ascii="Georgia" w:hAnsi="Georgia"/>
        </w:rPr>
        <w:t xml:space="preserve"> and contact information for </w:t>
      </w:r>
      <w:r w:rsidRPr="00AE49FA">
        <w:rPr>
          <w:rFonts w:ascii="Georgia" w:hAnsi="Georgia"/>
          <w:i/>
        </w:rPr>
        <w:t>all persons employed by the entity in a capacity giving them access to information on compliance instrument transactions or holdings</w:t>
      </w:r>
      <w:r w:rsidRPr="00450874">
        <w:rPr>
          <w:rFonts w:ascii="Georgia" w:hAnsi="Georgia"/>
        </w:rPr>
        <w:t>, or involving them in decisions on compliance instrument transactions or holdings</w:t>
      </w:r>
      <w:r>
        <w:rPr>
          <w:rFonts w:ascii="Georgia" w:hAnsi="Georgia"/>
        </w:rPr>
        <w:t>.”  (Emphasis added.)  This requirement is overly broad, vague, and unnecessarily intrusive.</w:t>
      </w:r>
    </w:p>
    <w:p w:rsidR="00773173" w:rsidRDefault="00773173" w:rsidP="00773173">
      <w:pPr>
        <w:ind w:firstLine="720"/>
        <w:rPr>
          <w:rFonts w:ascii="Georgia" w:hAnsi="Georgia"/>
          <w:sz w:val="24"/>
          <w:szCs w:val="24"/>
        </w:rPr>
      </w:pPr>
      <w:r>
        <w:rPr>
          <w:rFonts w:ascii="Georgia" w:hAnsi="Georgia"/>
          <w:sz w:val="24"/>
          <w:szCs w:val="24"/>
        </w:rPr>
        <w:t>Under California law, a</w:t>
      </w:r>
      <w:r w:rsidRPr="00F41B92">
        <w:rPr>
          <w:rFonts w:ascii="Georgia" w:hAnsi="Georgia"/>
          <w:sz w:val="24"/>
          <w:szCs w:val="24"/>
        </w:rPr>
        <w:t xml:space="preserve"> </w:t>
      </w:r>
      <w:r>
        <w:rPr>
          <w:rFonts w:ascii="Georgia" w:hAnsi="Georgia"/>
          <w:sz w:val="24"/>
          <w:szCs w:val="24"/>
        </w:rPr>
        <w:t xml:space="preserve">regulation is </w:t>
      </w:r>
      <w:r w:rsidRPr="00F41B92">
        <w:rPr>
          <w:rFonts w:ascii="Georgia" w:hAnsi="Georgia"/>
          <w:sz w:val="24"/>
          <w:szCs w:val="24"/>
        </w:rPr>
        <w:t xml:space="preserve">unconstitutionally </w:t>
      </w:r>
      <w:r>
        <w:rPr>
          <w:rFonts w:ascii="Georgia" w:hAnsi="Georgia"/>
          <w:sz w:val="24"/>
          <w:szCs w:val="24"/>
        </w:rPr>
        <w:t xml:space="preserve">overbroad or </w:t>
      </w:r>
      <w:r w:rsidRPr="00F41B92">
        <w:rPr>
          <w:rFonts w:ascii="Georgia" w:hAnsi="Georgia"/>
          <w:sz w:val="24"/>
          <w:szCs w:val="24"/>
        </w:rPr>
        <w:t>vague</w:t>
      </w:r>
      <w:r>
        <w:rPr>
          <w:rFonts w:ascii="Georgia" w:hAnsi="Georgia"/>
          <w:sz w:val="24"/>
          <w:szCs w:val="24"/>
        </w:rPr>
        <w:t xml:space="preserve"> </w:t>
      </w:r>
      <w:r w:rsidRPr="00F41B92">
        <w:rPr>
          <w:rFonts w:ascii="Georgia" w:hAnsi="Georgia"/>
          <w:sz w:val="24"/>
          <w:szCs w:val="24"/>
        </w:rPr>
        <w:t xml:space="preserve">if it </w:t>
      </w:r>
      <w:r>
        <w:rPr>
          <w:rFonts w:ascii="Georgia" w:hAnsi="Georgia"/>
          <w:sz w:val="24"/>
          <w:szCs w:val="24"/>
        </w:rPr>
        <w:t xml:space="preserve">is not </w:t>
      </w:r>
      <w:r w:rsidRPr="00F41B92">
        <w:rPr>
          <w:rFonts w:ascii="Georgia" w:hAnsi="Georgia"/>
          <w:sz w:val="24"/>
          <w:szCs w:val="24"/>
        </w:rPr>
        <w:t>sufficiently definite to provide fair notice of the conduct proscribed</w:t>
      </w:r>
      <w:r>
        <w:rPr>
          <w:rFonts w:ascii="Georgia" w:hAnsi="Georgia"/>
          <w:sz w:val="24"/>
          <w:szCs w:val="24"/>
        </w:rPr>
        <w:t xml:space="preserve"> or required</w:t>
      </w:r>
      <w:r w:rsidRPr="00F41B92">
        <w:rPr>
          <w:rFonts w:ascii="Georgia" w:hAnsi="Georgia"/>
          <w:sz w:val="24"/>
          <w:szCs w:val="24"/>
        </w:rPr>
        <w:t xml:space="preserve"> and </w:t>
      </w:r>
      <w:r>
        <w:rPr>
          <w:rFonts w:ascii="Georgia" w:hAnsi="Georgia"/>
          <w:sz w:val="24"/>
          <w:szCs w:val="24"/>
        </w:rPr>
        <w:t>fails to</w:t>
      </w:r>
      <w:r w:rsidRPr="00F41B92">
        <w:rPr>
          <w:rFonts w:ascii="Georgia" w:hAnsi="Georgia"/>
          <w:sz w:val="24"/>
          <w:szCs w:val="24"/>
        </w:rPr>
        <w:t xml:space="preserve"> provide sufficiently definite standards of application to prevent arbitrary and discriminatory enforcement.</w:t>
      </w:r>
      <w:r>
        <w:rPr>
          <w:rFonts w:ascii="Georgia" w:hAnsi="Georgia"/>
          <w:sz w:val="24"/>
          <w:szCs w:val="24"/>
        </w:rPr>
        <w:t xml:space="preserve">  The proposed requirement that would require the submission of names and contact information of “</w:t>
      </w:r>
      <w:r w:rsidRPr="00450874">
        <w:rPr>
          <w:rFonts w:ascii="Georgia" w:hAnsi="Georgia"/>
          <w:sz w:val="24"/>
          <w:szCs w:val="24"/>
        </w:rPr>
        <w:t>all persons employed by the entity in a capacity giving them access to information on compliance instrument transactions or holdings</w:t>
      </w:r>
      <w:r>
        <w:rPr>
          <w:rFonts w:ascii="Georgia" w:hAnsi="Georgia"/>
          <w:sz w:val="24"/>
          <w:szCs w:val="24"/>
        </w:rPr>
        <w:t xml:space="preserve">” is overly broad.  Moreover, it is impermissibly vague.  And the scope of this proposed requirement is overreaching and unnecessary in that it would be applicable to every individual in the company that might potentially see such information.  Individuals at the lowest level of the company could potentially be pulled in by this regulation, though their access to information regarding compliance instruments is minimal or insignificant.  Because this proposed regulatory language is overbroad and </w:t>
      </w:r>
      <w:r>
        <w:rPr>
          <w:rFonts w:ascii="Georgia" w:hAnsi="Georgia"/>
          <w:sz w:val="24"/>
          <w:szCs w:val="24"/>
        </w:rPr>
        <w:lastRenderedPageBreak/>
        <w:t xml:space="preserve">vague, it is impossible for regulated entities to know which personnel they must register and which personnel they need not register.  Accordingly, the proposed regulatory language will lead </w:t>
      </w:r>
      <w:r w:rsidRPr="00F41B92">
        <w:rPr>
          <w:rFonts w:ascii="Georgia" w:hAnsi="Georgia"/>
          <w:sz w:val="24"/>
          <w:szCs w:val="24"/>
        </w:rPr>
        <w:t xml:space="preserve">to </w:t>
      </w:r>
      <w:r>
        <w:rPr>
          <w:rFonts w:ascii="Georgia" w:hAnsi="Georgia"/>
          <w:sz w:val="24"/>
          <w:szCs w:val="24"/>
        </w:rPr>
        <w:t xml:space="preserve">unlawful </w:t>
      </w:r>
      <w:r w:rsidRPr="00F41B92">
        <w:rPr>
          <w:rFonts w:ascii="Georgia" w:hAnsi="Georgia"/>
          <w:sz w:val="24"/>
          <w:szCs w:val="24"/>
        </w:rPr>
        <w:t xml:space="preserve">arbitrary </w:t>
      </w:r>
      <w:r>
        <w:rPr>
          <w:rFonts w:ascii="Georgia" w:hAnsi="Georgia"/>
          <w:sz w:val="24"/>
          <w:szCs w:val="24"/>
        </w:rPr>
        <w:t>and</w:t>
      </w:r>
      <w:r w:rsidRPr="00F41B92">
        <w:rPr>
          <w:rFonts w:ascii="Georgia" w:hAnsi="Georgia"/>
          <w:sz w:val="24"/>
          <w:szCs w:val="24"/>
        </w:rPr>
        <w:t xml:space="preserve"> discriminatory enforcement</w:t>
      </w:r>
      <w:r>
        <w:rPr>
          <w:rFonts w:ascii="Georgia" w:hAnsi="Georgia"/>
          <w:sz w:val="24"/>
          <w:szCs w:val="24"/>
        </w:rPr>
        <w:t>.</w:t>
      </w:r>
    </w:p>
    <w:p w:rsidR="009D3162" w:rsidRDefault="009D3162" w:rsidP="00773173">
      <w:pPr>
        <w:spacing w:after="360"/>
        <w:ind w:firstLine="720"/>
        <w:rPr>
          <w:rFonts w:ascii="Georgia" w:hAnsi="Georgia"/>
          <w:sz w:val="24"/>
          <w:szCs w:val="24"/>
        </w:rPr>
      </w:pPr>
    </w:p>
    <w:p w:rsidR="00773173" w:rsidRPr="00DD1DB0" w:rsidRDefault="00773173" w:rsidP="00773173">
      <w:pPr>
        <w:spacing w:after="360"/>
        <w:ind w:firstLine="720"/>
        <w:rPr>
          <w:rFonts w:ascii="Georgia" w:hAnsi="Georgia"/>
          <w:sz w:val="24"/>
          <w:szCs w:val="24"/>
        </w:rPr>
      </w:pPr>
      <w:bookmarkStart w:id="2" w:name="_GoBack"/>
      <w:bookmarkEnd w:id="2"/>
      <w:r>
        <w:rPr>
          <w:rFonts w:ascii="Georgia" w:hAnsi="Georgia"/>
          <w:sz w:val="24"/>
          <w:szCs w:val="24"/>
        </w:rPr>
        <w:t xml:space="preserve">Moreover, the over-expansive scope of the proposed amendment is unnecessarily intrusive in that it would reach far beyond CARB’s function of monitoring the market.  </w:t>
      </w:r>
      <w:r w:rsidRPr="00DD1DB0">
        <w:rPr>
          <w:rFonts w:ascii="Georgia" w:hAnsi="Georgia"/>
          <w:sz w:val="24"/>
          <w:szCs w:val="24"/>
        </w:rPr>
        <w:t>CARB’s Compliance Instrument Tracking System</w:t>
      </w:r>
      <w:r>
        <w:rPr>
          <w:rFonts w:ascii="Georgia" w:hAnsi="Georgia"/>
          <w:sz w:val="24"/>
          <w:szCs w:val="24"/>
        </w:rPr>
        <w:t xml:space="preserve"> </w:t>
      </w:r>
      <w:r w:rsidRPr="00DD1DB0">
        <w:rPr>
          <w:rFonts w:ascii="Georgia" w:hAnsi="Georgia"/>
          <w:sz w:val="24"/>
          <w:szCs w:val="24"/>
        </w:rPr>
        <w:t xml:space="preserve">Service (CITSS) </w:t>
      </w:r>
      <w:r>
        <w:rPr>
          <w:rFonts w:ascii="Georgia" w:hAnsi="Georgia"/>
          <w:sz w:val="24"/>
          <w:szCs w:val="24"/>
        </w:rPr>
        <w:t>u</w:t>
      </w:r>
      <w:r w:rsidRPr="00DD1DB0">
        <w:rPr>
          <w:rFonts w:ascii="Georgia" w:hAnsi="Georgia"/>
          <w:sz w:val="24"/>
          <w:szCs w:val="24"/>
        </w:rPr>
        <w:t xml:space="preserve">ser </w:t>
      </w:r>
      <w:r>
        <w:rPr>
          <w:rFonts w:ascii="Georgia" w:hAnsi="Georgia"/>
          <w:sz w:val="24"/>
          <w:szCs w:val="24"/>
        </w:rPr>
        <w:t>registration process requires that persons who “have access to the CITSS” provide certain identifying documentation to their employer to “</w:t>
      </w:r>
      <w:r w:rsidRPr="00DD1DB0">
        <w:rPr>
          <w:rFonts w:ascii="Georgia" w:hAnsi="Georgia"/>
          <w:sz w:val="24"/>
          <w:szCs w:val="24"/>
        </w:rPr>
        <w:t>help ensure the security of the</w:t>
      </w:r>
      <w:r>
        <w:rPr>
          <w:rFonts w:ascii="Georgia" w:hAnsi="Georgia"/>
          <w:sz w:val="24"/>
          <w:szCs w:val="24"/>
        </w:rPr>
        <w:t xml:space="preserve"> [CITSS.]”  This is reasonable given these individuals actually </w:t>
      </w:r>
      <w:proofErr w:type="gramStart"/>
      <w:r>
        <w:rPr>
          <w:rFonts w:ascii="Georgia" w:hAnsi="Georgia"/>
          <w:sz w:val="24"/>
          <w:szCs w:val="24"/>
        </w:rPr>
        <w:t>have access</w:t>
      </w:r>
      <w:proofErr w:type="gramEnd"/>
      <w:r>
        <w:rPr>
          <w:rFonts w:ascii="Georgia" w:hAnsi="Georgia"/>
          <w:sz w:val="24"/>
          <w:szCs w:val="24"/>
        </w:rPr>
        <w:t xml:space="preserve"> to the system.  However, it is unnecessary to require the “names and contact information” of individuals whose job responsibilities have no connection to </w:t>
      </w:r>
      <w:r w:rsidRPr="00EA31F3">
        <w:rPr>
          <w:rFonts w:ascii="Georgia" w:hAnsi="Georgia"/>
          <w:sz w:val="24"/>
          <w:szCs w:val="24"/>
        </w:rPr>
        <w:t>making decision</w:t>
      </w:r>
      <w:r>
        <w:rPr>
          <w:rFonts w:ascii="Georgia" w:hAnsi="Georgia"/>
          <w:sz w:val="24"/>
          <w:szCs w:val="24"/>
        </w:rPr>
        <w:t>s</w:t>
      </w:r>
      <w:r w:rsidRPr="00EA31F3">
        <w:rPr>
          <w:rFonts w:ascii="Georgia" w:hAnsi="Georgia"/>
          <w:sz w:val="24"/>
          <w:szCs w:val="24"/>
        </w:rPr>
        <w:t xml:space="preserve"> on holding and/or transferring compliance instruments</w:t>
      </w:r>
      <w:r>
        <w:rPr>
          <w:rFonts w:ascii="Georgia" w:hAnsi="Georgia"/>
          <w:sz w:val="24"/>
          <w:szCs w:val="24"/>
        </w:rPr>
        <w:t xml:space="preserve">.  The fact that neither Federal Energy Regulatory Commission nor Commodity Futures Trading Commission regulations require such information is indicative of the overreaching and unnecessary scope of proposed Section </w:t>
      </w:r>
      <w:r w:rsidRPr="00DD1DB0">
        <w:rPr>
          <w:rFonts w:ascii="Georgia" w:hAnsi="Georgia"/>
          <w:sz w:val="24"/>
          <w:szCs w:val="24"/>
        </w:rPr>
        <w:t>95830(c)(1)(I)</w:t>
      </w:r>
      <w:r>
        <w:rPr>
          <w:rFonts w:ascii="Georgia" w:hAnsi="Georgia"/>
          <w:sz w:val="24"/>
          <w:szCs w:val="24"/>
        </w:rPr>
        <w:t>.</w:t>
      </w:r>
    </w:p>
    <w:p w:rsidR="00773173" w:rsidRDefault="00773173" w:rsidP="00773173">
      <w:pPr>
        <w:pStyle w:val="ListParagraph"/>
        <w:numPr>
          <w:ilvl w:val="0"/>
          <w:numId w:val="13"/>
        </w:numPr>
        <w:spacing w:after="200" w:line="276" w:lineRule="auto"/>
        <w:ind w:left="0" w:firstLine="720"/>
        <w:rPr>
          <w:rFonts w:ascii="Georgia" w:hAnsi="Georgia"/>
        </w:rPr>
      </w:pPr>
      <w:r w:rsidRPr="00BE1AFC">
        <w:rPr>
          <w:rFonts w:ascii="Georgia" w:hAnsi="Georgia"/>
          <w:u w:val="single"/>
        </w:rPr>
        <w:t>Transfers of Compliance Instruments Between Accounts (§ 95921(a)(4))</w:t>
      </w:r>
      <w:r w:rsidRPr="00BE1AFC">
        <w:rPr>
          <w:rFonts w:ascii="Georgia" w:hAnsi="Georgia"/>
        </w:rPr>
        <w:t>:  The proposed amendment to Section 95921(a)(4) would provide that “[a]</w:t>
      </w:r>
      <w:proofErr w:type="spellStart"/>
      <w:r w:rsidRPr="00BE1AFC">
        <w:rPr>
          <w:rFonts w:ascii="Georgia" w:hAnsi="Georgia"/>
        </w:rPr>
        <w:t>ny</w:t>
      </w:r>
      <w:proofErr w:type="spellEnd"/>
      <w:r w:rsidRPr="00BE1AFC">
        <w:rPr>
          <w:rFonts w:ascii="Georgia" w:hAnsi="Georgia"/>
        </w:rPr>
        <w:t xml:space="preserve"> entity may not submit a transfer request to another registered entity without an existing transaction agreement with that party authorizing a transfer.”  Currently</w:t>
      </w:r>
      <w:r>
        <w:rPr>
          <w:rFonts w:ascii="Georgia" w:hAnsi="Georgia"/>
        </w:rPr>
        <w:t>,</w:t>
      </w:r>
      <w:r w:rsidRPr="00BE1AFC">
        <w:rPr>
          <w:rFonts w:ascii="Georgia" w:hAnsi="Georgia"/>
        </w:rPr>
        <w:t xml:space="preserve"> APS only purchases California </w:t>
      </w:r>
      <w:r>
        <w:rPr>
          <w:rFonts w:ascii="Georgia" w:hAnsi="Georgia"/>
        </w:rPr>
        <w:t>carbon a</w:t>
      </w:r>
      <w:r w:rsidRPr="00BE1AFC">
        <w:rPr>
          <w:rFonts w:ascii="Georgia" w:hAnsi="Georgia"/>
        </w:rPr>
        <w:t xml:space="preserve">llowances on ICE through ICE clearing. </w:t>
      </w:r>
      <w:r>
        <w:rPr>
          <w:rFonts w:ascii="Georgia" w:hAnsi="Georgia"/>
        </w:rPr>
        <w:t xml:space="preserve"> APS</w:t>
      </w:r>
      <w:r w:rsidRPr="00BE1AFC">
        <w:rPr>
          <w:rFonts w:ascii="Georgia" w:hAnsi="Georgia"/>
        </w:rPr>
        <w:t xml:space="preserve"> will not be notified </w:t>
      </w:r>
      <w:r>
        <w:rPr>
          <w:rFonts w:ascii="Georgia" w:hAnsi="Georgia"/>
        </w:rPr>
        <w:t xml:space="preserve">of </w:t>
      </w:r>
      <w:r w:rsidRPr="00BE1AFC">
        <w:rPr>
          <w:rFonts w:ascii="Georgia" w:hAnsi="Georgia"/>
        </w:rPr>
        <w:t>the counterparty</w:t>
      </w:r>
      <w:r>
        <w:rPr>
          <w:rFonts w:ascii="Georgia" w:hAnsi="Georgia"/>
        </w:rPr>
        <w:t>’s</w:t>
      </w:r>
      <w:r w:rsidRPr="00BE1AFC">
        <w:rPr>
          <w:rFonts w:ascii="Georgia" w:hAnsi="Georgia"/>
        </w:rPr>
        <w:t xml:space="preserve"> name by our clearing bank until the settlement da</w:t>
      </w:r>
      <w:r>
        <w:rPr>
          <w:rFonts w:ascii="Georgia" w:hAnsi="Georgia"/>
        </w:rPr>
        <w:t>te</w:t>
      </w:r>
      <w:r w:rsidRPr="00BE1AFC">
        <w:rPr>
          <w:rFonts w:ascii="Georgia" w:hAnsi="Georgia"/>
        </w:rPr>
        <w:t xml:space="preserve">. </w:t>
      </w:r>
      <w:r>
        <w:rPr>
          <w:rFonts w:ascii="Georgia" w:hAnsi="Georgia"/>
        </w:rPr>
        <w:t xml:space="preserve"> </w:t>
      </w:r>
      <w:r w:rsidRPr="00BE1AFC">
        <w:rPr>
          <w:rFonts w:ascii="Georgia" w:hAnsi="Georgia"/>
        </w:rPr>
        <w:t>We believe the current ICE standard contract is “an existing transaction agreement</w:t>
      </w:r>
      <w:r>
        <w:rPr>
          <w:rFonts w:ascii="Georgia" w:hAnsi="Georgia"/>
        </w:rPr>
        <w:t>.</w:t>
      </w:r>
      <w:r w:rsidRPr="00BE1AFC">
        <w:rPr>
          <w:rFonts w:ascii="Georgia" w:hAnsi="Georgia"/>
        </w:rPr>
        <w:t xml:space="preserve">” </w:t>
      </w:r>
      <w:r>
        <w:rPr>
          <w:rFonts w:ascii="Georgia" w:hAnsi="Georgia"/>
        </w:rPr>
        <w:t xml:space="preserve"> </w:t>
      </w:r>
      <w:r w:rsidRPr="00BE1AFC">
        <w:rPr>
          <w:rFonts w:ascii="Georgia" w:hAnsi="Georgia"/>
        </w:rPr>
        <w:t xml:space="preserve">We also believe our current business practice satisfies the requirement </w:t>
      </w:r>
      <w:r>
        <w:rPr>
          <w:rFonts w:ascii="Georgia" w:hAnsi="Georgia"/>
        </w:rPr>
        <w:t>of this proposed</w:t>
      </w:r>
      <w:r w:rsidRPr="00BE1AFC">
        <w:rPr>
          <w:rFonts w:ascii="Georgia" w:hAnsi="Georgia"/>
        </w:rPr>
        <w:t xml:space="preserve"> language. </w:t>
      </w:r>
      <w:r>
        <w:rPr>
          <w:rFonts w:ascii="Georgia" w:hAnsi="Georgia"/>
        </w:rPr>
        <w:t>We request clarification if CARB disagrees with our interpretation and analysis.</w:t>
      </w:r>
    </w:p>
    <w:p w:rsidR="00773173" w:rsidRDefault="00773173" w:rsidP="00773173">
      <w:pPr>
        <w:ind w:firstLine="720"/>
        <w:rPr>
          <w:rFonts w:ascii="Georgia" w:hAnsi="Georgia"/>
          <w:sz w:val="24"/>
          <w:szCs w:val="24"/>
        </w:rPr>
      </w:pPr>
      <w:r>
        <w:rPr>
          <w:rFonts w:ascii="Georgia" w:hAnsi="Georgia"/>
          <w:sz w:val="24"/>
          <w:szCs w:val="24"/>
        </w:rPr>
        <w:t>APS appreciates the opportunity to submit these comments and thanks CARB for its consideration thereof.</w:t>
      </w:r>
    </w:p>
    <w:p w:rsidR="009D3162" w:rsidRDefault="009D3162" w:rsidP="00773173">
      <w:pPr>
        <w:ind w:firstLine="720"/>
        <w:rPr>
          <w:rFonts w:ascii="Georgia" w:hAnsi="Georgia"/>
          <w:sz w:val="24"/>
          <w:szCs w:val="24"/>
        </w:rPr>
      </w:pPr>
    </w:p>
    <w:p w:rsidR="009D3162" w:rsidRDefault="009D3162" w:rsidP="00773173">
      <w:pPr>
        <w:ind w:firstLine="720"/>
        <w:rPr>
          <w:rFonts w:ascii="Georgia" w:hAnsi="Georgia"/>
          <w:sz w:val="24"/>
          <w:szCs w:val="24"/>
        </w:rPr>
      </w:pPr>
    </w:p>
    <w:p w:rsidR="00773173" w:rsidRPr="00AA45DC" w:rsidRDefault="00773173" w:rsidP="00773173">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Pr="00AA45DC">
        <w:rPr>
          <w:rFonts w:ascii="Georgia" w:hAnsi="Georgia"/>
          <w:sz w:val="24"/>
          <w:szCs w:val="24"/>
        </w:rPr>
        <w:t>Sincerely,</w:t>
      </w:r>
    </w:p>
    <w:p w:rsidR="00773173" w:rsidRPr="00AA45DC" w:rsidRDefault="00773173" w:rsidP="00773173">
      <w:pPr>
        <w:rPr>
          <w:rFonts w:ascii="Georgia" w:hAnsi="Georgia"/>
          <w:sz w:val="24"/>
          <w:szCs w:val="24"/>
        </w:rPr>
      </w:pPr>
    </w:p>
    <w:p w:rsidR="00773173" w:rsidRPr="00AA45DC" w:rsidRDefault="00773173" w:rsidP="00773173">
      <w:pPr>
        <w:ind w:left="2880" w:firstLine="720"/>
        <w:rPr>
          <w:rFonts w:ascii="Georgia" w:hAnsi="Georgia"/>
          <w:sz w:val="24"/>
          <w:szCs w:val="24"/>
        </w:rPr>
      </w:pPr>
      <w:r w:rsidRPr="00AA45DC">
        <w:rPr>
          <w:rFonts w:ascii="Georgia" w:hAnsi="Georgia"/>
          <w:sz w:val="24"/>
          <w:szCs w:val="24"/>
        </w:rPr>
        <w:t>Justin Thompson</w:t>
      </w:r>
    </w:p>
    <w:p w:rsidR="00773173" w:rsidRPr="004E3ECB" w:rsidRDefault="00773173" w:rsidP="00773173">
      <w:pPr>
        <w:ind w:left="2880" w:firstLine="720"/>
        <w:rPr>
          <w:rFonts w:ascii="Georgia" w:hAnsi="Georgia"/>
          <w:sz w:val="24"/>
          <w:szCs w:val="24"/>
        </w:rPr>
      </w:pPr>
      <w:r w:rsidRPr="00AA45DC">
        <w:rPr>
          <w:rFonts w:ascii="Georgia" w:hAnsi="Georgia"/>
          <w:sz w:val="24"/>
          <w:szCs w:val="24"/>
        </w:rPr>
        <w:t>Director of Business Support, Marketing &amp; Trading</w:t>
      </w:r>
    </w:p>
    <w:p w:rsidR="00C35C69" w:rsidRPr="004A604D" w:rsidRDefault="00C35C69" w:rsidP="001608BA">
      <w:pPr>
        <w:rPr>
          <w:rFonts w:ascii="Arial Narrow" w:eastAsia="Arial Unicode MS" w:hAnsi="Arial Narrow" w:cs="Arial Unicode MS"/>
          <w:sz w:val="24"/>
          <w:szCs w:val="24"/>
        </w:rPr>
      </w:pPr>
    </w:p>
    <w:sectPr w:rsidR="00C35C69" w:rsidRPr="004A604D" w:rsidSect="00280F90">
      <w:headerReference w:type="first" r:id="rId10"/>
      <w:pgSz w:w="12240" w:h="15840" w:code="1"/>
      <w:pgMar w:top="1440" w:right="1440" w:bottom="900" w:left="1440" w:header="0" w:footer="2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DE" w:rsidRDefault="00274FDE" w:rsidP="00D71EC7">
      <w:r>
        <w:separator/>
      </w:r>
    </w:p>
  </w:endnote>
  <w:endnote w:type="continuationSeparator" w:id="0">
    <w:p w:rsidR="00274FDE" w:rsidRDefault="00274FDE" w:rsidP="00D7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Book Antiqu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DE" w:rsidRDefault="00274FDE" w:rsidP="00D71EC7">
      <w:r>
        <w:separator/>
      </w:r>
    </w:p>
  </w:footnote>
  <w:footnote w:type="continuationSeparator" w:id="0">
    <w:p w:rsidR="00274FDE" w:rsidRDefault="00274FDE" w:rsidP="00D71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C52D73B66FC04B3D9EAA2B903D5DABE1"/>
      </w:placeholder>
      <w:temporary/>
      <w:showingPlcHdr/>
    </w:sdtPr>
    <w:sdtContent>
      <w:p w:rsidR="00773173" w:rsidRDefault="00773173">
        <w:pPr>
          <w:pStyle w:val="Header"/>
        </w:pPr>
        <w:r>
          <w:t>[Type text]</w:t>
        </w:r>
      </w:p>
    </w:sdtContent>
  </w:sdt>
  <w:p w:rsidR="00773173" w:rsidRDefault="007731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72A2"/>
    <w:multiLevelType w:val="hybridMultilevel"/>
    <w:tmpl w:val="E49E47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F03D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2BCC7D1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nsid w:val="2C01670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2E3742DB"/>
    <w:multiLevelType w:val="hybridMultilevel"/>
    <w:tmpl w:val="B5B0C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D5410"/>
    <w:multiLevelType w:val="hybridMultilevel"/>
    <w:tmpl w:val="86E8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2E6B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541E525F"/>
    <w:multiLevelType w:val="hybridMultilevel"/>
    <w:tmpl w:val="806872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344F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nsid w:val="5BDF4F17"/>
    <w:multiLevelType w:val="hybridMultilevel"/>
    <w:tmpl w:val="06789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91EEA"/>
    <w:multiLevelType w:val="hybridMultilevel"/>
    <w:tmpl w:val="82E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3417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nsid w:val="761135D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2"/>
  </w:num>
  <w:num w:numId="3">
    <w:abstractNumId w:val="8"/>
  </w:num>
  <w:num w:numId="4">
    <w:abstractNumId w:val="1"/>
  </w:num>
  <w:num w:numId="5">
    <w:abstractNumId w:val="3"/>
  </w:num>
  <w:num w:numId="6">
    <w:abstractNumId w:val="11"/>
  </w:num>
  <w:num w:numId="7">
    <w:abstractNumId w:val="6"/>
  </w:num>
  <w:num w:numId="8">
    <w:abstractNumId w:val="0"/>
  </w:num>
  <w:num w:numId="9">
    <w:abstractNumId w:val="7"/>
  </w:num>
  <w:num w:numId="10">
    <w:abstractNumId w:val="9"/>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B6"/>
    <w:rsid w:val="00012324"/>
    <w:rsid w:val="000175CB"/>
    <w:rsid w:val="00021B75"/>
    <w:rsid w:val="00027201"/>
    <w:rsid w:val="000363A8"/>
    <w:rsid w:val="000572AB"/>
    <w:rsid w:val="00063014"/>
    <w:rsid w:val="00081C5A"/>
    <w:rsid w:val="000B5916"/>
    <w:rsid w:val="000C2149"/>
    <w:rsid w:val="000E1591"/>
    <w:rsid w:val="00104C61"/>
    <w:rsid w:val="001132B1"/>
    <w:rsid w:val="00150C8A"/>
    <w:rsid w:val="00150FAD"/>
    <w:rsid w:val="001608BA"/>
    <w:rsid w:val="00171CA0"/>
    <w:rsid w:val="0019422E"/>
    <w:rsid w:val="001A22EA"/>
    <w:rsid w:val="001E19D2"/>
    <w:rsid w:val="001E5D55"/>
    <w:rsid w:val="00210990"/>
    <w:rsid w:val="00274FDE"/>
    <w:rsid w:val="00280F90"/>
    <w:rsid w:val="0029703D"/>
    <w:rsid w:val="002D7369"/>
    <w:rsid w:val="00365AA3"/>
    <w:rsid w:val="00373245"/>
    <w:rsid w:val="003917D4"/>
    <w:rsid w:val="004235C8"/>
    <w:rsid w:val="00443AE0"/>
    <w:rsid w:val="004466FF"/>
    <w:rsid w:val="00457AC8"/>
    <w:rsid w:val="004675FE"/>
    <w:rsid w:val="004869FD"/>
    <w:rsid w:val="00496023"/>
    <w:rsid w:val="004A604D"/>
    <w:rsid w:val="004B359E"/>
    <w:rsid w:val="004E0194"/>
    <w:rsid w:val="005032E8"/>
    <w:rsid w:val="0050358B"/>
    <w:rsid w:val="005222E0"/>
    <w:rsid w:val="00556EE8"/>
    <w:rsid w:val="0056172B"/>
    <w:rsid w:val="0058458B"/>
    <w:rsid w:val="005A7339"/>
    <w:rsid w:val="005B23F4"/>
    <w:rsid w:val="005C2612"/>
    <w:rsid w:val="005C4A98"/>
    <w:rsid w:val="005C7B1E"/>
    <w:rsid w:val="005D41B0"/>
    <w:rsid w:val="005F09AA"/>
    <w:rsid w:val="00616EAD"/>
    <w:rsid w:val="0062567E"/>
    <w:rsid w:val="006528A2"/>
    <w:rsid w:val="00653E12"/>
    <w:rsid w:val="006E5FD9"/>
    <w:rsid w:val="006F4C52"/>
    <w:rsid w:val="006F6D27"/>
    <w:rsid w:val="007211CD"/>
    <w:rsid w:val="007360C7"/>
    <w:rsid w:val="0074770A"/>
    <w:rsid w:val="007618CA"/>
    <w:rsid w:val="00773173"/>
    <w:rsid w:val="00776374"/>
    <w:rsid w:val="007A19F0"/>
    <w:rsid w:val="007B495D"/>
    <w:rsid w:val="007D017C"/>
    <w:rsid w:val="007D371C"/>
    <w:rsid w:val="007E68B9"/>
    <w:rsid w:val="00807F9D"/>
    <w:rsid w:val="00855741"/>
    <w:rsid w:val="00863A91"/>
    <w:rsid w:val="008702BA"/>
    <w:rsid w:val="00870B93"/>
    <w:rsid w:val="00873E0D"/>
    <w:rsid w:val="008B298F"/>
    <w:rsid w:val="008B3130"/>
    <w:rsid w:val="008B7919"/>
    <w:rsid w:val="008D0DB5"/>
    <w:rsid w:val="008E6637"/>
    <w:rsid w:val="008F22CE"/>
    <w:rsid w:val="008F3F92"/>
    <w:rsid w:val="00905419"/>
    <w:rsid w:val="009144F5"/>
    <w:rsid w:val="0092302C"/>
    <w:rsid w:val="00963EF0"/>
    <w:rsid w:val="0099694D"/>
    <w:rsid w:val="009C74FC"/>
    <w:rsid w:val="009D3162"/>
    <w:rsid w:val="009F2DC0"/>
    <w:rsid w:val="00A20FCD"/>
    <w:rsid w:val="00A46C96"/>
    <w:rsid w:val="00A47D53"/>
    <w:rsid w:val="00A47E43"/>
    <w:rsid w:val="00A515A9"/>
    <w:rsid w:val="00A76083"/>
    <w:rsid w:val="00A762A6"/>
    <w:rsid w:val="00A80B37"/>
    <w:rsid w:val="00A8398F"/>
    <w:rsid w:val="00A97D3C"/>
    <w:rsid w:val="00AA5182"/>
    <w:rsid w:val="00AB7FEE"/>
    <w:rsid w:val="00B03E28"/>
    <w:rsid w:val="00B11AE3"/>
    <w:rsid w:val="00B12747"/>
    <w:rsid w:val="00B32CDC"/>
    <w:rsid w:val="00B47283"/>
    <w:rsid w:val="00B50FF0"/>
    <w:rsid w:val="00B5147A"/>
    <w:rsid w:val="00B711EA"/>
    <w:rsid w:val="00B80237"/>
    <w:rsid w:val="00BD658D"/>
    <w:rsid w:val="00BD759F"/>
    <w:rsid w:val="00C3365D"/>
    <w:rsid w:val="00C35C69"/>
    <w:rsid w:val="00C53453"/>
    <w:rsid w:val="00C643B0"/>
    <w:rsid w:val="00CD2176"/>
    <w:rsid w:val="00CD5022"/>
    <w:rsid w:val="00D13B0D"/>
    <w:rsid w:val="00D67D4F"/>
    <w:rsid w:val="00D71EC7"/>
    <w:rsid w:val="00D7787A"/>
    <w:rsid w:val="00D93F5B"/>
    <w:rsid w:val="00D94D99"/>
    <w:rsid w:val="00DC76A1"/>
    <w:rsid w:val="00DD4175"/>
    <w:rsid w:val="00DF24B8"/>
    <w:rsid w:val="00E241B6"/>
    <w:rsid w:val="00E26449"/>
    <w:rsid w:val="00E348BE"/>
    <w:rsid w:val="00E431AB"/>
    <w:rsid w:val="00E95C23"/>
    <w:rsid w:val="00EB43F6"/>
    <w:rsid w:val="00EC7F29"/>
    <w:rsid w:val="00F52AFE"/>
    <w:rsid w:val="00F572FA"/>
    <w:rsid w:val="00F70985"/>
    <w:rsid w:val="00F9077B"/>
    <w:rsid w:val="00FA1CF5"/>
    <w:rsid w:val="00FA3B3B"/>
    <w:rsid w:val="00FB7047"/>
    <w:rsid w:val="00FC1F7F"/>
    <w:rsid w:val="00FC2346"/>
    <w:rsid w:val="00FD4DAF"/>
    <w:rsid w:val="00FF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374"/>
  </w:style>
  <w:style w:type="paragraph" w:styleId="Heading1">
    <w:name w:val="heading 1"/>
    <w:basedOn w:val="Normal"/>
    <w:next w:val="Normal"/>
    <w:qFormat/>
    <w:rsid w:val="00776374"/>
    <w:pPr>
      <w:keepNext/>
      <w:tabs>
        <w:tab w:val="left" w:pos="720"/>
        <w:tab w:val="left" w:pos="4770"/>
      </w:tabs>
      <w:outlineLvl w:val="0"/>
    </w:pPr>
    <w:rPr>
      <w:sz w:val="24"/>
    </w:rPr>
  </w:style>
  <w:style w:type="paragraph" w:styleId="Heading2">
    <w:name w:val="heading 2"/>
    <w:basedOn w:val="Normal"/>
    <w:next w:val="Normal"/>
    <w:qFormat/>
    <w:rsid w:val="00776374"/>
    <w:pPr>
      <w:keepNext/>
      <w:outlineLvl w:val="1"/>
    </w:pPr>
    <w:rPr>
      <w:sz w:val="24"/>
    </w:rPr>
  </w:style>
  <w:style w:type="paragraph" w:styleId="Heading3">
    <w:name w:val="heading 3"/>
    <w:basedOn w:val="Normal"/>
    <w:next w:val="Normal"/>
    <w:qFormat/>
    <w:rsid w:val="00776374"/>
    <w:pPr>
      <w:keepNext/>
      <w:ind w:left="4320"/>
      <w:outlineLvl w:val="2"/>
    </w:pPr>
    <w:rPr>
      <w:sz w:val="24"/>
    </w:rPr>
  </w:style>
  <w:style w:type="paragraph" w:styleId="Heading4">
    <w:name w:val="heading 4"/>
    <w:basedOn w:val="Normal"/>
    <w:next w:val="Normal"/>
    <w:qFormat/>
    <w:rsid w:val="00776374"/>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6374"/>
    <w:rPr>
      <w:color w:val="0000FF"/>
      <w:u w:val="single"/>
    </w:rPr>
  </w:style>
  <w:style w:type="character" w:styleId="FollowedHyperlink">
    <w:name w:val="FollowedHyperlink"/>
    <w:basedOn w:val="DefaultParagraphFont"/>
    <w:rsid w:val="00776374"/>
    <w:rPr>
      <w:color w:val="800080"/>
      <w:u w:val="single"/>
    </w:rPr>
  </w:style>
  <w:style w:type="paragraph" w:styleId="BodyText">
    <w:name w:val="Body Text"/>
    <w:basedOn w:val="Normal"/>
    <w:rsid w:val="00776374"/>
    <w:rPr>
      <w:sz w:val="24"/>
    </w:rPr>
  </w:style>
  <w:style w:type="paragraph" w:styleId="Header">
    <w:name w:val="header"/>
    <w:basedOn w:val="Normal"/>
    <w:link w:val="HeaderChar"/>
    <w:uiPriority w:val="99"/>
    <w:rsid w:val="00D71EC7"/>
    <w:pPr>
      <w:tabs>
        <w:tab w:val="center" w:pos="4680"/>
        <w:tab w:val="right" w:pos="9360"/>
      </w:tabs>
    </w:pPr>
  </w:style>
  <w:style w:type="character" w:customStyle="1" w:styleId="HeaderChar">
    <w:name w:val="Header Char"/>
    <w:basedOn w:val="DefaultParagraphFont"/>
    <w:link w:val="Header"/>
    <w:uiPriority w:val="99"/>
    <w:rsid w:val="00D71EC7"/>
  </w:style>
  <w:style w:type="paragraph" w:styleId="Footer">
    <w:name w:val="footer"/>
    <w:basedOn w:val="Normal"/>
    <w:link w:val="FooterChar"/>
    <w:rsid w:val="00D71EC7"/>
    <w:pPr>
      <w:tabs>
        <w:tab w:val="center" w:pos="4680"/>
        <w:tab w:val="right" w:pos="9360"/>
      </w:tabs>
    </w:pPr>
  </w:style>
  <w:style w:type="character" w:customStyle="1" w:styleId="FooterChar">
    <w:name w:val="Footer Char"/>
    <w:basedOn w:val="DefaultParagraphFont"/>
    <w:link w:val="Footer"/>
    <w:rsid w:val="00D71EC7"/>
  </w:style>
  <w:style w:type="paragraph" w:styleId="BalloonText">
    <w:name w:val="Balloon Text"/>
    <w:basedOn w:val="Normal"/>
    <w:link w:val="BalloonTextChar"/>
    <w:rsid w:val="004E0194"/>
    <w:rPr>
      <w:rFonts w:ascii="Tahoma" w:hAnsi="Tahoma" w:cs="Tahoma"/>
      <w:sz w:val="16"/>
      <w:szCs w:val="16"/>
    </w:rPr>
  </w:style>
  <w:style w:type="character" w:customStyle="1" w:styleId="BalloonTextChar">
    <w:name w:val="Balloon Text Char"/>
    <w:basedOn w:val="DefaultParagraphFont"/>
    <w:link w:val="BalloonText"/>
    <w:rsid w:val="004E0194"/>
    <w:rPr>
      <w:rFonts w:ascii="Tahoma" w:hAnsi="Tahoma" w:cs="Tahoma"/>
      <w:sz w:val="16"/>
      <w:szCs w:val="16"/>
    </w:rPr>
  </w:style>
  <w:style w:type="paragraph" w:styleId="ListParagraph">
    <w:name w:val="List Paragraph"/>
    <w:basedOn w:val="Normal"/>
    <w:uiPriority w:val="34"/>
    <w:qFormat/>
    <w:rsid w:val="00457AC8"/>
    <w:pPr>
      <w:ind w:left="720"/>
      <w:contextualSpacing/>
    </w:pPr>
    <w:rPr>
      <w:sz w:val="24"/>
      <w:szCs w:val="24"/>
    </w:rPr>
  </w:style>
  <w:style w:type="character" w:styleId="CommentReference">
    <w:name w:val="annotation reference"/>
    <w:basedOn w:val="DefaultParagraphFont"/>
    <w:rsid w:val="003917D4"/>
    <w:rPr>
      <w:sz w:val="16"/>
      <w:szCs w:val="16"/>
    </w:rPr>
  </w:style>
  <w:style w:type="paragraph" w:styleId="CommentText">
    <w:name w:val="annotation text"/>
    <w:basedOn w:val="Normal"/>
    <w:link w:val="CommentTextChar"/>
    <w:rsid w:val="003917D4"/>
  </w:style>
  <w:style w:type="character" w:customStyle="1" w:styleId="CommentTextChar">
    <w:name w:val="Comment Text Char"/>
    <w:basedOn w:val="DefaultParagraphFont"/>
    <w:link w:val="CommentText"/>
    <w:rsid w:val="003917D4"/>
  </w:style>
  <w:style w:type="paragraph" w:styleId="CommentSubject">
    <w:name w:val="annotation subject"/>
    <w:basedOn w:val="CommentText"/>
    <w:next w:val="CommentText"/>
    <w:link w:val="CommentSubjectChar"/>
    <w:rsid w:val="003917D4"/>
    <w:rPr>
      <w:b/>
      <w:bCs/>
    </w:rPr>
  </w:style>
  <w:style w:type="character" w:customStyle="1" w:styleId="CommentSubjectChar">
    <w:name w:val="Comment Subject Char"/>
    <w:basedOn w:val="CommentTextChar"/>
    <w:link w:val="CommentSubject"/>
    <w:rsid w:val="003917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374"/>
  </w:style>
  <w:style w:type="paragraph" w:styleId="Heading1">
    <w:name w:val="heading 1"/>
    <w:basedOn w:val="Normal"/>
    <w:next w:val="Normal"/>
    <w:qFormat/>
    <w:rsid w:val="00776374"/>
    <w:pPr>
      <w:keepNext/>
      <w:tabs>
        <w:tab w:val="left" w:pos="720"/>
        <w:tab w:val="left" w:pos="4770"/>
      </w:tabs>
      <w:outlineLvl w:val="0"/>
    </w:pPr>
    <w:rPr>
      <w:sz w:val="24"/>
    </w:rPr>
  </w:style>
  <w:style w:type="paragraph" w:styleId="Heading2">
    <w:name w:val="heading 2"/>
    <w:basedOn w:val="Normal"/>
    <w:next w:val="Normal"/>
    <w:qFormat/>
    <w:rsid w:val="00776374"/>
    <w:pPr>
      <w:keepNext/>
      <w:outlineLvl w:val="1"/>
    </w:pPr>
    <w:rPr>
      <w:sz w:val="24"/>
    </w:rPr>
  </w:style>
  <w:style w:type="paragraph" w:styleId="Heading3">
    <w:name w:val="heading 3"/>
    <w:basedOn w:val="Normal"/>
    <w:next w:val="Normal"/>
    <w:qFormat/>
    <w:rsid w:val="00776374"/>
    <w:pPr>
      <w:keepNext/>
      <w:ind w:left="4320"/>
      <w:outlineLvl w:val="2"/>
    </w:pPr>
    <w:rPr>
      <w:sz w:val="24"/>
    </w:rPr>
  </w:style>
  <w:style w:type="paragraph" w:styleId="Heading4">
    <w:name w:val="heading 4"/>
    <w:basedOn w:val="Normal"/>
    <w:next w:val="Normal"/>
    <w:qFormat/>
    <w:rsid w:val="00776374"/>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6374"/>
    <w:rPr>
      <w:color w:val="0000FF"/>
      <w:u w:val="single"/>
    </w:rPr>
  </w:style>
  <w:style w:type="character" w:styleId="FollowedHyperlink">
    <w:name w:val="FollowedHyperlink"/>
    <w:basedOn w:val="DefaultParagraphFont"/>
    <w:rsid w:val="00776374"/>
    <w:rPr>
      <w:color w:val="800080"/>
      <w:u w:val="single"/>
    </w:rPr>
  </w:style>
  <w:style w:type="paragraph" w:styleId="BodyText">
    <w:name w:val="Body Text"/>
    <w:basedOn w:val="Normal"/>
    <w:rsid w:val="00776374"/>
    <w:rPr>
      <w:sz w:val="24"/>
    </w:rPr>
  </w:style>
  <w:style w:type="paragraph" w:styleId="Header">
    <w:name w:val="header"/>
    <w:basedOn w:val="Normal"/>
    <w:link w:val="HeaderChar"/>
    <w:uiPriority w:val="99"/>
    <w:rsid w:val="00D71EC7"/>
    <w:pPr>
      <w:tabs>
        <w:tab w:val="center" w:pos="4680"/>
        <w:tab w:val="right" w:pos="9360"/>
      </w:tabs>
    </w:pPr>
  </w:style>
  <w:style w:type="character" w:customStyle="1" w:styleId="HeaderChar">
    <w:name w:val="Header Char"/>
    <w:basedOn w:val="DefaultParagraphFont"/>
    <w:link w:val="Header"/>
    <w:uiPriority w:val="99"/>
    <w:rsid w:val="00D71EC7"/>
  </w:style>
  <w:style w:type="paragraph" w:styleId="Footer">
    <w:name w:val="footer"/>
    <w:basedOn w:val="Normal"/>
    <w:link w:val="FooterChar"/>
    <w:rsid w:val="00D71EC7"/>
    <w:pPr>
      <w:tabs>
        <w:tab w:val="center" w:pos="4680"/>
        <w:tab w:val="right" w:pos="9360"/>
      </w:tabs>
    </w:pPr>
  </w:style>
  <w:style w:type="character" w:customStyle="1" w:styleId="FooterChar">
    <w:name w:val="Footer Char"/>
    <w:basedOn w:val="DefaultParagraphFont"/>
    <w:link w:val="Footer"/>
    <w:rsid w:val="00D71EC7"/>
  </w:style>
  <w:style w:type="paragraph" w:styleId="BalloonText">
    <w:name w:val="Balloon Text"/>
    <w:basedOn w:val="Normal"/>
    <w:link w:val="BalloonTextChar"/>
    <w:rsid w:val="004E0194"/>
    <w:rPr>
      <w:rFonts w:ascii="Tahoma" w:hAnsi="Tahoma" w:cs="Tahoma"/>
      <w:sz w:val="16"/>
      <w:szCs w:val="16"/>
    </w:rPr>
  </w:style>
  <w:style w:type="character" w:customStyle="1" w:styleId="BalloonTextChar">
    <w:name w:val="Balloon Text Char"/>
    <w:basedOn w:val="DefaultParagraphFont"/>
    <w:link w:val="BalloonText"/>
    <w:rsid w:val="004E0194"/>
    <w:rPr>
      <w:rFonts w:ascii="Tahoma" w:hAnsi="Tahoma" w:cs="Tahoma"/>
      <w:sz w:val="16"/>
      <w:szCs w:val="16"/>
    </w:rPr>
  </w:style>
  <w:style w:type="paragraph" w:styleId="ListParagraph">
    <w:name w:val="List Paragraph"/>
    <w:basedOn w:val="Normal"/>
    <w:uiPriority w:val="34"/>
    <w:qFormat/>
    <w:rsid w:val="00457AC8"/>
    <w:pPr>
      <w:ind w:left="720"/>
      <w:contextualSpacing/>
    </w:pPr>
    <w:rPr>
      <w:sz w:val="24"/>
      <w:szCs w:val="24"/>
    </w:rPr>
  </w:style>
  <w:style w:type="character" w:styleId="CommentReference">
    <w:name w:val="annotation reference"/>
    <w:basedOn w:val="DefaultParagraphFont"/>
    <w:rsid w:val="003917D4"/>
    <w:rPr>
      <w:sz w:val="16"/>
      <w:szCs w:val="16"/>
    </w:rPr>
  </w:style>
  <w:style w:type="paragraph" w:styleId="CommentText">
    <w:name w:val="annotation text"/>
    <w:basedOn w:val="Normal"/>
    <w:link w:val="CommentTextChar"/>
    <w:rsid w:val="003917D4"/>
  </w:style>
  <w:style w:type="character" w:customStyle="1" w:styleId="CommentTextChar">
    <w:name w:val="Comment Text Char"/>
    <w:basedOn w:val="DefaultParagraphFont"/>
    <w:link w:val="CommentText"/>
    <w:rsid w:val="003917D4"/>
  </w:style>
  <w:style w:type="paragraph" w:styleId="CommentSubject">
    <w:name w:val="annotation subject"/>
    <w:basedOn w:val="CommentText"/>
    <w:next w:val="CommentText"/>
    <w:link w:val="CommentSubjectChar"/>
    <w:rsid w:val="003917D4"/>
    <w:rPr>
      <w:b/>
      <w:bCs/>
    </w:rPr>
  </w:style>
  <w:style w:type="character" w:customStyle="1" w:styleId="CommentSubjectChar">
    <w:name w:val="Comment Subject Char"/>
    <w:basedOn w:val="CommentTextChar"/>
    <w:link w:val="CommentSubject"/>
    <w:rsid w:val="00391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2D73B66FC04B3D9EAA2B903D5DABE1"/>
        <w:category>
          <w:name w:val="General"/>
          <w:gallery w:val="placeholder"/>
        </w:category>
        <w:types>
          <w:type w:val="bbPlcHdr"/>
        </w:types>
        <w:behaviors>
          <w:behavior w:val="content"/>
        </w:behaviors>
        <w:guid w:val="{3F8C95EB-D23D-47BA-8908-DC9BA753AB96}"/>
      </w:docPartPr>
      <w:docPartBody>
        <w:p w:rsidR="00000000" w:rsidRDefault="00C468C2" w:rsidP="00C468C2">
          <w:pPr>
            <w:pStyle w:val="C52D73B66FC04B3D9EAA2B903D5DABE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Book Antiqu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C2"/>
    <w:rsid w:val="00035399"/>
    <w:rsid w:val="00C4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0B9BA715804441ABA58E6EB13BCDBD">
    <w:name w:val="520B9BA715804441ABA58E6EB13BCDBD"/>
    <w:rsid w:val="00C468C2"/>
  </w:style>
  <w:style w:type="paragraph" w:customStyle="1" w:styleId="C52D73B66FC04B3D9EAA2B903D5DABE1">
    <w:name w:val="C52D73B66FC04B3D9EAA2B903D5DABE1"/>
    <w:rsid w:val="00C468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0B9BA715804441ABA58E6EB13BCDBD">
    <w:name w:val="520B9BA715804441ABA58E6EB13BCDBD"/>
    <w:rsid w:val="00C468C2"/>
  </w:style>
  <w:style w:type="paragraph" w:customStyle="1" w:styleId="C52D73B66FC04B3D9EAA2B903D5DABE1">
    <w:name w:val="C52D73B66FC04B3D9EAA2B903D5DABE1"/>
    <w:rsid w:val="00C46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06B03-43D5-4C2B-B006-D1C81A64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APS</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L Ergish</dc:creator>
  <cp:lastModifiedBy>Jin, Jean (Z03563)</cp:lastModifiedBy>
  <cp:revision>3</cp:revision>
  <cp:lastPrinted>2013-10-21T17:00:00Z</cp:lastPrinted>
  <dcterms:created xsi:type="dcterms:W3CDTF">2013-10-21T17:02:00Z</dcterms:created>
  <dcterms:modified xsi:type="dcterms:W3CDTF">2013-10-21T17:11:00Z</dcterms:modified>
</cp:coreProperties>
</file>