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03" w:rsidRPr="00EB0612" w:rsidRDefault="00F71A0F">
      <w:pPr>
        <w:rPr>
          <w:rFonts w:cstheme="minorHAnsi"/>
          <w:sz w:val="24"/>
          <w:szCs w:val="24"/>
        </w:rPr>
      </w:pPr>
      <w:bookmarkStart w:id="0" w:name="_GoBack"/>
      <w:bookmarkEnd w:id="0"/>
      <w:r w:rsidRPr="00EB0612">
        <w:rPr>
          <w:rFonts w:cstheme="minorHAnsi"/>
          <w:noProof/>
          <w:sz w:val="24"/>
          <w:szCs w:val="24"/>
        </w:rPr>
        <w:drawing>
          <wp:anchor distT="0" distB="0" distL="114300" distR="114300" simplePos="0" relativeHeight="251659264" behindDoc="0" locked="0" layoutInCell="1" allowOverlap="1" wp14:anchorId="1BE79D1E" wp14:editId="1F833C5A">
            <wp:simplePos x="0" y="0"/>
            <wp:positionH relativeFrom="column">
              <wp:posOffset>2952750</wp:posOffset>
            </wp:positionH>
            <wp:positionV relativeFrom="paragraph">
              <wp:posOffset>-19535</wp:posOffset>
            </wp:positionV>
            <wp:extent cx="2819400" cy="610570"/>
            <wp:effectExtent l="0" t="0" r="0" b="0"/>
            <wp:wrapNone/>
            <wp:docPr id="5" name="Picture 5" descr="Copy of TID logo hrz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TID logo hrz 30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19400" cy="61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CBD" w:rsidRPr="00EB0612">
        <w:rPr>
          <w:rFonts w:cstheme="minorHAnsi"/>
          <w:noProof/>
          <w:sz w:val="24"/>
          <w:szCs w:val="24"/>
        </w:rPr>
        <w:drawing>
          <wp:anchor distT="0" distB="0" distL="114300" distR="114300" simplePos="0" relativeHeight="251658240" behindDoc="0" locked="0" layoutInCell="1" allowOverlap="1" wp14:anchorId="08AF01DF" wp14:editId="3CE76BD4">
            <wp:simplePos x="0" y="0"/>
            <wp:positionH relativeFrom="column">
              <wp:posOffset>0</wp:posOffset>
            </wp:positionH>
            <wp:positionV relativeFrom="paragraph">
              <wp:posOffset>0</wp:posOffset>
            </wp:positionV>
            <wp:extent cx="2538984" cy="7559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W&amp;P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8984" cy="755904"/>
                    </a:xfrm>
                    <a:prstGeom prst="rect">
                      <a:avLst/>
                    </a:prstGeom>
                  </pic:spPr>
                </pic:pic>
              </a:graphicData>
            </a:graphic>
            <wp14:sizeRelH relativeFrom="page">
              <wp14:pctWidth>0</wp14:pctWidth>
            </wp14:sizeRelH>
            <wp14:sizeRelV relativeFrom="page">
              <wp14:pctHeight>0</wp14:pctHeight>
            </wp14:sizeRelV>
          </wp:anchor>
        </w:drawing>
      </w:r>
      <w:r w:rsidR="00831CBD" w:rsidRPr="00EB0612">
        <w:rPr>
          <w:rFonts w:cstheme="minorHAnsi"/>
          <w:sz w:val="24"/>
          <w:szCs w:val="24"/>
        </w:rPr>
        <w:tab/>
      </w:r>
      <w:r w:rsidR="00831CBD" w:rsidRPr="00EB0612">
        <w:rPr>
          <w:rFonts w:cstheme="minorHAnsi"/>
          <w:sz w:val="24"/>
          <w:szCs w:val="24"/>
        </w:rPr>
        <w:tab/>
      </w:r>
      <w:r w:rsidR="00831CBD" w:rsidRPr="00EB0612">
        <w:rPr>
          <w:rFonts w:cstheme="minorHAnsi"/>
          <w:sz w:val="24"/>
          <w:szCs w:val="24"/>
        </w:rPr>
        <w:tab/>
      </w:r>
      <w:r w:rsidR="00831CBD" w:rsidRPr="00EB0612">
        <w:rPr>
          <w:rFonts w:cstheme="minorHAnsi"/>
          <w:sz w:val="24"/>
          <w:szCs w:val="24"/>
        </w:rPr>
        <w:tab/>
      </w:r>
      <w:r w:rsidR="00831CBD" w:rsidRPr="00EB0612">
        <w:rPr>
          <w:rFonts w:cstheme="minorHAnsi"/>
          <w:sz w:val="24"/>
          <w:szCs w:val="24"/>
        </w:rPr>
        <w:tab/>
      </w:r>
      <w:r w:rsidR="00831CBD" w:rsidRPr="00EB0612">
        <w:rPr>
          <w:rFonts w:cstheme="minorHAnsi"/>
          <w:sz w:val="24"/>
          <w:szCs w:val="24"/>
        </w:rPr>
        <w:tab/>
      </w:r>
      <w:r w:rsidR="00831CBD" w:rsidRPr="00EB0612">
        <w:rPr>
          <w:rFonts w:cstheme="minorHAnsi"/>
          <w:sz w:val="24"/>
          <w:szCs w:val="24"/>
        </w:rPr>
        <w:tab/>
      </w:r>
      <w:r w:rsidR="00831CBD" w:rsidRPr="00EB0612">
        <w:rPr>
          <w:rFonts w:cstheme="minorHAnsi"/>
          <w:sz w:val="24"/>
          <w:szCs w:val="24"/>
        </w:rPr>
        <w:tab/>
      </w:r>
    </w:p>
    <w:p w:rsidR="00F843D7" w:rsidRPr="00EB0612" w:rsidRDefault="00F843D7">
      <w:pPr>
        <w:rPr>
          <w:rFonts w:cstheme="minorHAnsi"/>
          <w:sz w:val="24"/>
          <w:szCs w:val="24"/>
        </w:rPr>
      </w:pPr>
    </w:p>
    <w:p w:rsidR="00F843D7" w:rsidRPr="00EB0612" w:rsidRDefault="00F843D7">
      <w:pPr>
        <w:rPr>
          <w:rFonts w:cstheme="minorHAnsi"/>
          <w:sz w:val="24"/>
          <w:szCs w:val="24"/>
        </w:rPr>
      </w:pPr>
    </w:p>
    <w:p w:rsidR="00F843D7" w:rsidRPr="00EB0612" w:rsidRDefault="00F843D7" w:rsidP="00F843D7">
      <w:pPr>
        <w:tabs>
          <w:tab w:val="right" w:pos="7920"/>
        </w:tabs>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October </w:t>
      </w:r>
      <w:r w:rsidR="00F86A88">
        <w:rPr>
          <w:rFonts w:eastAsia="Times New Roman" w:cstheme="minorHAnsi"/>
          <w:bCs/>
          <w:sz w:val="24"/>
          <w:szCs w:val="24"/>
        </w:rPr>
        <w:t>21</w:t>
      </w:r>
      <w:r w:rsidRPr="00EB0612">
        <w:rPr>
          <w:rFonts w:eastAsia="Times New Roman" w:cstheme="minorHAnsi"/>
          <w:bCs/>
          <w:sz w:val="24"/>
          <w:szCs w:val="24"/>
        </w:rPr>
        <w:t>, 2015</w:t>
      </w:r>
    </w:p>
    <w:p w:rsidR="00F843D7" w:rsidRPr="00EB0612" w:rsidRDefault="0052477F" w:rsidP="00F843D7">
      <w:pPr>
        <w:spacing w:line="240" w:lineRule="auto"/>
        <w:contextualSpacing/>
        <w:outlineLvl w:val="1"/>
        <w:rPr>
          <w:rFonts w:eastAsia="Times New Roman" w:cstheme="minorHAnsi"/>
          <w:bCs/>
          <w:sz w:val="24"/>
          <w:szCs w:val="24"/>
        </w:rPr>
      </w:pPr>
      <w:r>
        <w:rPr>
          <w:rFonts w:eastAsia="Times New Roman" w:cstheme="minorHAnsi"/>
          <w:bCs/>
          <w:sz w:val="24"/>
          <w:szCs w:val="24"/>
        </w:rPr>
        <w:t xml:space="preserve">Ms. </w:t>
      </w:r>
      <w:r w:rsidR="00F843D7" w:rsidRPr="00EB0612">
        <w:rPr>
          <w:rFonts w:eastAsia="Times New Roman" w:cstheme="minorHAnsi"/>
          <w:bCs/>
          <w:sz w:val="24"/>
          <w:szCs w:val="24"/>
        </w:rPr>
        <w:t>Rajinder Sahota</w:t>
      </w:r>
    </w:p>
    <w:p w:rsidR="00F843D7" w:rsidRPr="00EB0612" w:rsidRDefault="00F843D7" w:rsidP="00F843D7">
      <w:pPr>
        <w:spacing w:line="240" w:lineRule="auto"/>
        <w:contextualSpacing/>
        <w:outlineLvl w:val="1"/>
        <w:rPr>
          <w:rFonts w:eastAsia="Times New Roman" w:cstheme="minorHAnsi"/>
          <w:bCs/>
          <w:sz w:val="24"/>
          <w:szCs w:val="24"/>
        </w:rPr>
      </w:pPr>
      <w:r w:rsidRPr="00EB0612">
        <w:rPr>
          <w:rFonts w:eastAsia="Times New Roman" w:cstheme="minorHAnsi"/>
          <w:bCs/>
          <w:sz w:val="24"/>
          <w:szCs w:val="24"/>
        </w:rPr>
        <w:t>Assistant Division Chief – Climate Program</w:t>
      </w:r>
    </w:p>
    <w:p w:rsidR="00F843D7" w:rsidRPr="00EB0612" w:rsidRDefault="00F843D7" w:rsidP="00F843D7">
      <w:pPr>
        <w:spacing w:line="240" w:lineRule="auto"/>
        <w:contextualSpacing/>
        <w:outlineLvl w:val="1"/>
        <w:rPr>
          <w:rFonts w:eastAsia="Times New Roman" w:cstheme="minorHAnsi"/>
          <w:bCs/>
          <w:sz w:val="24"/>
          <w:szCs w:val="24"/>
        </w:rPr>
      </w:pPr>
      <w:r w:rsidRPr="00EB0612">
        <w:rPr>
          <w:rFonts w:eastAsia="Times New Roman" w:cstheme="minorHAnsi"/>
          <w:bCs/>
          <w:sz w:val="24"/>
          <w:szCs w:val="24"/>
        </w:rPr>
        <w:t>California Air Resources Board</w:t>
      </w:r>
    </w:p>
    <w:p w:rsidR="00F843D7" w:rsidRPr="00EB0612" w:rsidRDefault="00F843D7" w:rsidP="00F843D7">
      <w:pPr>
        <w:spacing w:line="240" w:lineRule="auto"/>
        <w:contextualSpacing/>
        <w:outlineLvl w:val="1"/>
        <w:rPr>
          <w:rFonts w:eastAsia="Times New Roman" w:cstheme="minorHAnsi"/>
          <w:bCs/>
          <w:sz w:val="24"/>
          <w:szCs w:val="24"/>
        </w:rPr>
      </w:pPr>
      <w:r w:rsidRPr="00EB0612">
        <w:rPr>
          <w:rFonts w:eastAsia="Times New Roman" w:cstheme="minorHAnsi"/>
          <w:bCs/>
          <w:sz w:val="24"/>
          <w:szCs w:val="24"/>
        </w:rPr>
        <w:t xml:space="preserve">1001 </w:t>
      </w:r>
      <w:r w:rsidR="007B313A">
        <w:rPr>
          <w:rFonts w:eastAsia="Times New Roman" w:cstheme="minorHAnsi"/>
          <w:bCs/>
          <w:sz w:val="24"/>
          <w:szCs w:val="24"/>
        </w:rPr>
        <w:t>I</w:t>
      </w:r>
      <w:r w:rsidRPr="00EB0612">
        <w:rPr>
          <w:rFonts w:eastAsia="Times New Roman" w:cstheme="minorHAnsi"/>
          <w:bCs/>
          <w:sz w:val="24"/>
          <w:szCs w:val="24"/>
        </w:rPr>
        <w:t xml:space="preserve"> Street </w:t>
      </w:r>
    </w:p>
    <w:p w:rsidR="004D407A" w:rsidRDefault="00F843D7" w:rsidP="004D407A">
      <w:pPr>
        <w:spacing w:line="240" w:lineRule="auto"/>
        <w:contextualSpacing/>
        <w:outlineLvl w:val="1"/>
        <w:rPr>
          <w:rFonts w:eastAsia="Times New Roman" w:cstheme="minorHAnsi"/>
          <w:bCs/>
          <w:sz w:val="24"/>
          <w:szCs w:val="24"/>
        </w:rPr>
      </w:pPr>
      <w:r w:rsidRPr="00EB0612">
        <w:rPr>
          <w:rFonts w:eastAsia="Times New Roman" w:cstheme="minorHAnsi"/>
          <w:bCs/>
          <w:sz w:val="24"/>
          <w:szCs w:val="24"/>
        </w:rPr>
        <w:t>Sacramento CA, 95814</w:t>
      </w:r>
      <w:r w:rsidRPr="00EB0612">
        <w:rPr>
          <w:rFonts w:eastAsia="Times New Roman" w:cstheme="minorHAnsi"/>
          <w:bCs/>
          <w:i/>
          <w:sz w:val="24"/>
          <w:szCs w:val="24"/>
        </w:rPr>
        <w:t xml:space="preserve"> </w:t>
      </w:r>
    </w:p>
    <w:p w:rsidR="004D407A" w:rsidRPr="004D407A" w:rsidRDefault="004D407A" w:rsidP="004D407A">
      <w:pPr>
        <w:spacing w:line="240" w:lineRule="auto"/>
        <w:contextualSpacing/>
        <w:outlineLvl w:val="1"/>
        <w:rPr>
          <w:rFonts w:eastAsia="Times New Roman" w:cstheme="minorHAnsi"/>
          <w:bCs/>
          <w:sz w:val="24"/>
          <w:szCs w:val="24"/>
        </w:rPr>
      </w:pPr>
    </w:p>
    <w:p w:rsidR="00F843D7" w:rsidRPr="00EB0612" w:rsidRDefault="00F843D7" w:rsidP="00F843D7">
      <w:pPr>
        <w:ind w:firstLine="720"/>
        <w:outlineLvl w:val="1"/>
        <w:rPr>
          <w:rFonts w:eastAsia="Times New Roman" w:cstheme="minorHAnsi"/>
          <w:bCs/>
          <w:sz w:val="24"/>
          <w:szCs w:val="24"/>
        </w:rPr>
      </w:pPr>
      <w:r w:rsidRPr="00EB0612">
        <w:rPr>
          <w:rFonts w:eastAsia="Times New Roman" w:cstheme="minorHAnsi"/>
          <w:b/>
          <w:bCs/>
          <w:i/>
          <w:sz w:val="24"/>
          <w:szCs w:val="24"/>
        </w:rPr>
        <w:t>Filed Electronically</w:t>
      </w:r>
    </w:p>
    <w:p w:rsidR="00F843D7" w:rsidRPr="00EB0612" w:rsidRDefault="00F843D7" w:rsidP="00F843D7">
      <w:pPr>
        <w:spacing w:before="100" w:beforeAutospacing="1" w:after="100" w:afterAutospacing="1"/>
        <w:ind w:left="1440" w:hanging="720"/>
        <w:outlineLvl w:val="1"/>
        <w:rPr>
          <w:rFonts w:eastAsia="Times New Roman" w:cstheme="minorHAnsi"/>
          <w:bCs/>
          <w:sz w:val="24"/>
          <w:szCs w:val="24"/>
        </w:rPr>
      </w:pPr>
      <w:r w:rsidRPr="00EB0612">
        <w:rPr>
          <w:rFonts w:eastAsia="Times New Roman" w:cstheme="minorHAnsi"/>
          <w:bCs/>
          <w:i/>
          <w:sz w:val="24"/>
          <w:szCs w:val="24"/>
        </w:rPr>
        <w:t>RE:</w:t>
      </w:r>
      <w:r w:rsidRPr="00EB0612">
        <w:rPr>
          <w:rFonts w:eastAsia="Times New Roman" w:cstheme="minorHAnsi"/>
          <w:bCs/>
          <w:sz w:val="24"/>
          <w:szCs w:val="24"/>
        </w:rPr>
        <w:tab/>
      </w:r>
      <w:r w:rsidRPr="00EB0612">
        <w:rPr>
          <w:rFonts w:eastAsia="Times New Roman" w:cstheme="minorHAnsi"/>
          <w:bCs/>
          <w:i/>
          <w:sz w:val="24"/>
          <w:szCs w:val="24"/>
        </w:rPr>
        <w:t>Modesto Irrigation District</w:t>
      </w:r>
      <w:r w:rsidR="003F33F4">
        <w:rPr>
          <w:rFonts w:eastAsia="Times New Roman" w:cstheme="minorHAnsi"/>
          <w:bCs/>
          <w:i/>
          <w:sz w:val="24"/>
          <w:szCs w:val="24"/>
        </w:rPr>
        <w:t xml:space="preserve"> and Turlock Irrigation District</w:t>
      </w:r>
      <w:r w:rsidRPr="00EB0612">
        <w:rPr>
          <w:rFonts w:eastAsia="Times New Roman" w:cstheme="minorHAnsi"/>
          <w:bCs/>
          <w:i/>
          <w:sz w:val="24"/>
          <w:szCs w:val="24"/>
        </w:rPr>
        <w:t>’s Comments from the October 2, 2015 Workshop Regarding Amendments to the California Cap-and-Trade Program – Renewable Portfolio Standard (RPS) Adjustment</w:t>
      </w:r>
    </w:p>
    <w:p w:rsidR="00F843D7" w:rsidRPr="00EB0612"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Dear Ms. Sahota:</w:t>
      </w:r>
    </w:p>
    <w:p w:rsidR="00035791" w:rsidRDefault="0052477F"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Modesto Irrigation District (MID) </w:t>
      </w:r>
      <w:r>
        <w:rPr>
          <w:rFonts w:eastAsia="Times New Roman" w:cstheme="minorHAnsi"/>
          <w:bCs/>
          <w:sz w:val="24"/>
          <w:szCs w:val="24"/>
        </w:rPr>
        <w:t xml:space="preserve">and </w:t>
      </w:r>
      <w:r w:rsidR="00F843D7" w:rsidRPr="00EB0612">
        <w:rPr>
          <w:rFonts w:eastAsia="Times New Roman" w:cstheme="minorHAnsi"/>
          <w:bCs/>
          <w:sz w:val="24"/>
          <w:szCs w:val="24"/>
        </w:rPr>
        <w:t xml:space="preserve">Turlock Irrigation District (TID) are concerned </w:t>
      </w:r>
      <w:r w:rsidR="00035791">
        <w:rPr>
          <w:rFonts w:eastAsia="Times New Roman" w:cstheme="minorHAnsi"/>
          <w:bCs/>
          <w:sz w:val="24"/>
          <w:szCs w:val="24"/>
        </w:rPr>
        <w:t>with</w:t>
      </w:r>
      <w:r w:rsidR="00035791" w:rsidRPr="00EB0612">
        <w:rPr>
          <w:rFonts w:eastAsia="Times New Roman" w:cstheme="minorHAnsi"/>
          <w:bCs/>
          <w:sz w:val="24"/>
          <w:szCs w:val="24"/>
        </w:rPr>
        <w:t xml:space="preserve"> </w:t>
      </w:r>
      <w:r w:rsidR="007728B1">
        <w:rPr>
          <w:rFonts w:eastAsia="Times New Roman" w:cstheme="minorHAnsi"/>
          <w:bCs/>
          <w:sz w:val="24"/>
          <w:szCs w:val="24"/>
        </w:rPr>
        <w:t>the California Air Resources Board’s (</w:t>
      </w:r>
      <w:r w:rsidR="00F843D7" w:rsidRPr="00EB0612">
        <w:rPr>
          <w:rFonts w:eastAsia="Times New Roman" w:cstheme="minorHAnsi"/>
          <w:bCs/>
          <w:sz w:val="24"/>
          <w:szCs w:val="24"/>
        </w:rPr>
        <w:t>ARB</w:t>
      </w:r>
      <w:r w:rsidR="007728B1">
        <w:rPr>
          <w:rFonts w:eastAsia="Times New Roman" w:cstheme="minorHAnsi"/>
          <w:bCs/>
          <w:sz w:val="24"/>
          <w:szCs w:val="24"/>
        </w:rPr>
        <w:t>)</w:t>
      </w:r>
      <w:r w:rsidR="00F843D7" w:rsidRPr="00EB0612">
        <w:rPr>
          <w:rFonts w:eastAsia="Times New Roman" w:cstheme="minorHAnsi"/>
          <w:bCs/>
          <w:sz w:val="24"/>
          <w:szCs w:val="24"/>
        </w:rPr>
        <w:t xml:space="preserve"> proposed amendments, which would remove the RPS Adjustment from the Cap-and-Trade Regu</w:t>
      </w:r>
      <w:r w:rsidR="004D407A">
        <w:rPr>
          <w:rFonts w:eastAsia="Times New Roman" w:cstheme="minorHAnsi"/>
          <w:bCs/>
          <w:sz w:val="24"/>
          <w:szCs w:val="24"/>
        </w:rPr>
        <w:t xml:space="preserve">lation in the existing program.  </w:t>
      </w:r>
      <w:r w:rsidR="00F843D7" w:rsidRPr="00EB0612">
        <w:rPr>
          <w:rFonts w:eastAsia="Times New Roman" w:cstheme="minorHAnsi"/>
          <w:bCs/>
          <w:sz w:val="24"/>
          <w:szCs w:val="24"/>
        </w:rPr>
        <w:t xml:space="preserve">The RPS Adjustment is an integral part of Cap-and-Trade that reflects a core State policy requiring extensive use of renewable resources, and is </w:t>
      </w:r>
      <w:r w:rsidR="00035791">
        <w:rPr>
          <w:rFonts w:eastAsia="Times New Roman" w:cstheme="minorHAnsi"/>
          <w:bCs/>
          <w:sz w:val="24"/>
          <w:szCs w:val="24"/>
        </w:rPr>
        <w:t xml:space="preserve">overall </w:t>
      </w:r>
      <w:r w:rsidR="00F843D7" w:rsidRPr="00EB0612">
        <w:rPr>
          <w:rFonts w:eastAsia="Times New Roman" w:cstheme="minorHAnsi"/>
          <w:bCs/>
          <w:sz w:val="24"/>
          <w:szCs w:val="24"/>
        </w:rPr>
        <w:t xml:space="preserve">a critical element in the renewable energy markets. </w:t>
      </w:r>
      <w:r w:rsidR="00AA1667">
        <w:rPr>
          <w:rFonts w:eastAsia="Times New Roman" w:cstheme="minorHAnsi"/>
          <w:bCs/>
          <w:sz w:val="24"/>
          <w:szCs w:val="24"/>
        </w:rPr>
        <w:t xml:space="preserve">These comments focus on </w:t>
      </w:r>
      <w:r w:rsidR="007A4402">
        <w:rPr>
          <w:rFonts w:eastAsia="Times New Roman" w:cstheme="minorHAnsi"/>
          <w:bCs/>
          <w:sz w:val="24"/>
          <w:szCs w:val="24"/>
        </w:rPr>
        <w:t>our</w:t>
      </w:r>
      <w:r w:rsidR="00AA1667">
        <w:rPr>
          <w:rFonts w:eastAsia="Times New Roman" w:cstheme="minorHAnsi"/>
          <w:bCs/>
          <w:sz w:val="24"/>
          <w:szCs w:val="24"/>
        </w:rPr>
        <w:t xml:space="preserve"> recommended revisions to the Renewable Portfolio Standard (RPS</w:t>
      </w:r>
      <w:r w:rsidR="00F86A88">
        <w:rPr>
          <w:rFonts w:eastAsia="Times New Roman" w:cstheme="minorHAnsi"/>
          <w:bCs/>
          <w:sz w:val="24"/>
          <w:szCs w:val="24"/>
        </w:rPr>
        <w:t>)</w:t>
      </w:r>
      <w:r w:rsidR="00AA1667">
        <w:rPr>
          <w:rFonts w:eastAsia="Times New Roman" w:cstheme="minorHAnsi"/>
          <w:bCs/>
          <w:sz w:val="24"/>
          <w:szCs w:val="24"/>
        </w:rPr>
        <w:t xml:space="preserve"> adjustment sections of the CAP-and-Trade Program and Mandatory Reporting Regulation (MRR).</w:t>
      </w:r>
      <w:r w:rsidR="00F843D7" w:rsidRPr="00EB0612">
        <w:rPr>
          <w:rFonts w:eastAsia="Times New Roman" w:cstheme="minorHAnsi"/>
          <w:bCs/>
          <w:sz w:val="24"/>
          <w:szCs w:val="24"/>
        </w:rPr>
        <w:t xml:space="preserve"> </w:t>
      </w:r>
    </w:p>
    <w:p w:rsidR="00F843D7" w:rsidRPr="00EB0612"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Removal of this regulatory mechanism would significantly </w:t>
      </w:r>
      <w:r w:rsidR="0007756F">
        <w:rPr>
          <w:rFonts w:eastAsia="Times New Roman" w:cstheme="minorHAnsi"/>
          <w:bCs/>
          <w:sz w:val="24"/>
          <w:szCs w:val="24"/>
        </w:rPr>
        <w:t>impact</w:t>
      </w:r>
      <w:r w:rsidR="00035791">
        <w:rPr>
          <w:rFonts w:eastAsia="Times New Roman" w:cstheme="minorHAnsi"/>
          <w:bCs/>
          <w:sz w:val="24"/>
          <w:szCs w:val="24"/>
        </w:rPr>
        <w:t xml:space="preserve"> and very likely </w:t>
      </w:r>
      <w:r w:rsidR="00C82F1C">
        <w:rPr>
          <w:rFonts w:eastAsia="Times New Roman" w:cstheme="minorHAnsi"/>
          <w:bCs/>
          <w:sz w:val="24"/>
          <w:szCs w:val="24"/>
        </w:rPr>
        <w:t>escalate</w:t>
      </w:r>
      <w:r w:rsidR="0007756F" w:rsidRPr="00EB0612">
        <w:rPr>
          <w:rFonts w:eastAsia="Times New Roman" w:cstheme="minorHAnsi"/>
          <w:bCs/>
          <w:sz w:val="24"/>
          <w:szCs w:val="24"/>
        </w:rPr>
        <w:t xml:space="preserve"> </w:t>
      </w:r>
      <w:r w:rsidRPr="00EB0612">
        <w:rPr>
          <w:rFonts w:eastAsia="Times New Roman" w:cstheme="minorHAnsi"/>
          <w:bCs/>
          <w:sz w:val="24"/>
          <w:szCs w:val="24"/>
        </w:rPr>
        <w:t xml:space="preserve">the costs of importing out-of-state renewables.  Furthermore, it would penalize utilities </w:t>
      </w:r>
      <w:r w:rsidR="00035791">
        <w:rPr>
          <w:rFonts w:eastAsia="Times New Roman" w:cstheme="minorHAnsi"/>
          <w:bCs/>
          <w:sz w:val="24"/>
          <w:szCs w:val="24"/>
        </w:rPr>
        <w:t xml:space="preserve">like MID and TID </w:t>
      </w:r>
      <w:r w:rsidR="004E192F">
        <w:rPr>
          <w:rFonts w:eastAsia="Times New Roman" w:cstheme="minorHAnsi"/>
          <w:bCs/>
          <w:sz w:val="24"/>
          <w:szCs w:val="24"/>
        </w:rPr>
        <w:t>–</w:t>
      </w:r>
      <w:r w:rsidRPr="00EB0612">
        <w:rPr>
          <w:rFonts w:eastAsia="Times New Roman" w:cstheme="minorHAnsi"/>
          <w:bCs/>
          <w:sz w:val="24"/>
          <w:szCs w:val="24"/>
        </w:rPr>
        <w:t xml:space="preserve">and </w:t>
      </w:r>
      <w:r w:rsidR="0007756F">
        <w:rPr>
          <w:rFonts w:eastAsia="Times New Roman" w:cstheme="minorHAnsi"/>
          <w:bCs/>
          <w:sz w:val="24"/>
          <w:szCs w:val="24"/>
        </w:rPr>
        <w:t>our</w:t>
      </w:r>
      <w:r w:rsidR="0007756F" w:rsidRPr="00EB0612">
        <w:rPr>
          <w:rFonts w:eastAsia="Times New Roman" w:cstheme="minorHAnsi"/>
          <w:bCs/>
          <w:sz w:val="24"/>
          <w:szCs w:val="24"/>
        </w:rPr>
        <w:t xml:space="preserve"> </w:t>
      </w:r>
      <w:r w:rsidRPr="00EB0612">
        <w:rPr>
          <w:rFonts w:eastAsia="Times New Roman" w:cstheme="minorHAnsi"/>
          <w:bCs/>
          <w:sz w:val="24"/>
          <w:szCs w:val="24"/>
        </w:rPr>
        <w:t>ratepayer</w:t>
      </w:r>
      <w:r w:rsidR="004E192F">
        <w:rPr>
          <w:rFonts w:eastAsia="Times New Roman" w:cstheme="minorHAnsi"/>
          <w:bCs/>
          <w:sz w:val="24"/>
          <w:szCs w:val="24"/>
        </w:rPr>
        <w:t>s –</w:t>
      </w:r>
      <w:r w:rsidRPr="00EB0612">
        <w:rPr>
          <w:rFonts w:eastAsia="Times New Roman" w:cstheme="minorHAnsi"/>
          <w:bCs/>
          <w:sz w:val="24"/>
          <w:szCs w:val="24"/>
        </w:rPr>
        <w:t xml:space="preserve"> who made early investments in these preferred resources</w:t>
      </w:r>
      <w:r w:rsidR="0007756F">
        <w:rPr>
          <w:rFonts w:eastAsia="Times New Roman" w:cstheme="minorHAnsi"/>
          <w:bCs/>
          <w:sz w:val="24"/>
          <w:szCs w:val="24"/>
        </w:rPr>
        <w:t xml:space="preserve"> and </w:t>
      </w:r>
      <w:r w:rsidR="00035791">
        <w:rPr>
          <w:rFonts w:eastAsia="Times New Roman" w:cstheme="minorHAnsi"/>
          <w:bCs/>
          <w:sz w:val="24"/>
          <w:szCs w:val="24"/>
        </w:rPr>
        <w:t xml:space="preserve">formulated </w:t>
      </w:r>
      <w:r w:rsidR="0007756F">
        <w:rPr>
          <w:rFonts w:eastAsia="Times New Roman" w:cstheme="minorHAnsi"/>
          <w:bCs/>
          <w:sz w:val="24"/>
          <w:szCs w:val="24"/>
        </w:rPr>
        <w:t>subsequent energy portfolio decisions</w:t>
      </w:r>
      <w:r w:rsidRPr="00EB0612">
        <w:rPr>
          <w:rFonts w:eastAsia="Times New Roman" w:cstheme="minorHAnsi"/>
          <w:bCs/>
          <w:sz w:val="24"/>
          <w:szCs w:val="24"/>
        </w:rPr>
        <w:t xml:space="preserve"> </w:t>
      </w:r>
      <w:r w:rsidR="0007756F">
        <w:rPr>
          <w:rFonts w:eastAsia="Times New Roman" w:cstheme="minorHAnsi"/>
          <w:bCs/>
          <w:sz w:val="24"/>
          <w:szCs w:val="24"/>
        </w:rPr>
        <w:t xml:space="preserve">consistent with the State’s renewable program.  </w:t>
      </w:r>
      <w:r w:rsidR="00281BE2">
        <w:rPr>
          <w:rFonts w:eastAsia="Times New Roman" w:cstheme="minorHAnsi"/>
          <w:bCs/>
          <w:sz w:val="24"/>
          <w:szCs w:val="24"/>
        </w:rPr>
        <w:t>As publicly owned utilities</w:t>
      </w:r>
      <w:r w:rsidR="00592611">
        <w:rPr>
          <w:rFonts w:eastAsia="Times New Roman" w:cstheme="minorHAnsi"/>
          <w:bCs/>
          <w:sz w:val="24"/>
          <w:szCs w:val="24"/>
        </w:rPr>
        <w:t xml:space="preserve"> (POU</w:t>
      </w:r>
      <w:r w:rsidR="000845A6">
        <w:rPr>
          <w:rFonts w:eastAsia="Times New Roman" w:cstheme="minorHAnsi"/>
          <w:bCs/>
          <w:sz w:val="24"/>
          <w:szCs w:val="24"/>
        </w:rPr>
        <w:t>s</w:t>
      </w:r>
      <w:r w:rsidR="00592611">
        <w:rPr>
          <w:rFonts w:eastAsia="Times New Roman" w:cstheme="minorHAnsi"/>
          <w:bCs/>
          <w:sz w:val="24"/>
          <w:szCs w:val="24"/>
        </w:rPr>
        <w:t>)</w:t>
      </w:r>
      <w:r w:rsidR="00281BE2">
        <w:rPr>
          <w:rFonts w:eastAsia="Times New Roman" w:cstheme="minorHAnsi"/>
          <w:bCs/>
          <w:sz w:val="24"/>
          <w:szCs w:val="24"/>
        </w:rPr>
        <w:t xml:space="preserve">, </w:t>
      </w:r>
      <w:r w:rsidR="000845A6">
        <w:rPr>
          <w:rFonts w:eastAsia="Times New Roman" w:cstheme="minorHAnsi"/>
          <w:bCs/>
          <w:sz w:val="24"/>
          <w:szCs w:val="24"/>
        </w:rPr>
        <w:t xml:space="preserve">our customers will ultimately bear the negative </w:t>
      </w:r>
      <w:r w:rsidR="00281BE2">
        <w:rPr>
          <w:rFonts w:eastAsia="Times New Roman" w:cstheme="minorHAnsi"/>
          <w:bCs/>
          <w:sz w:val="24"/>
          <w:szCs w:val="24"/>
        </w:rPr>
        <w:t xml:space="preserve">financial and </w:t>
      </w:r>
      <w:r w:rsidR="000845A6">
        <w:rPr>
          <w:rFonts w:eastAsia="Times New Roman" w:cstheme="minorHAnsi"/>
          <w:bCs/>
          <w:sz w:val="24"/>
          <w:szCs w:val="24"/>
        </w:rPr>
        <w:t xml:space="preserve">resulting </w:t>
      </w:r>
      <w:r w:rsidR="00281BE2">
        <w:rPr>
          <w:rFonts w:eastAsia="Times New Roman" w:cstheme="minorHAnsi"/>
          <w:bCs/>
          <w:sz w:val="24"/>
          <w:szCs w:val="24"/>
        </w:rPr>
        <w:t xml:space="preserve">rate impacts </w:t>
      </w:r>
      <w:r w:rsidR="000845A6">
        <w:rPr>
          <w:rFonts w:eastAsia="Times New Roman" w:cstheme="minorHAnsi"/>
          <w:bCs/>
          <w:sz w:val="24"/>
          <w:szCs w:val="24"/>
        </w:rPr>
        <w:t>due to</w:t>
      </w:r>
      <w:r w:rsidRPr="00EB0612">
        <w:rPr>
          <w:rFonts w:eastAsia="Times New Roman" w:cstheme="minorHAnsi"/>
          <w:bCs/>
          <w:sz w:val="24"/>
          <w:szCs w:val="24"/>
        </w:rPr>
        <w:t xml:space="preserve"> </w:t>
      </w:r>
      <w:r w:rsidR="00281BE2">
        <w:rPr>
          <w:rFonts w:eastAsia="Times New Roman" w:cstheme="minorHAnsi"/>
          <w:bCs/>
          <w:sz w:val="24"/>
          <w:szCs w:val="24"/>
        </w:rPr>
        <w:t>such</w:t>
      </w:r>
      <w:r w:rsidRPr="00EB0612">
        <w:rPr>
          <w:rFonts w:eastAsia="Times New Roman" w:cstheme="minorHAnsi"/>
          <w:bCs/>
          <w:sz w:val="24"/>
          <w:szCs w:val="24"/>
        </w:rPr>
        <w:t xml:space="preserve"> a regulatory rule change. </w:t>
      </w:r>
    </w:p>
    <w:p w:rsidR="00F843D7" w:rsidRPr="004D407A" w:rsidRDefault="00F843D7" w:rsidP="004D407A">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One of the goals to California’s RPS program is to reduce </w:t>
      </w:r>
      <w:r w:rsidR="00592611">
        <w:rPr>
          <w:rFonts w:eastAsia="Times New Roman" w:cstheme="minorHAnsi"/>
          <w:bCs/>
          <w:sz w:val="24"/>
          <w:szCs w:val="24"/>
        </w:rPr>
        <w:t>greenhouse gas (</w:t>
      </w:r>
      <w:r w:rsidRPr="00EB0612">
        <w:rPr>
          <w:rFonts w:eastAsia="Times New Roman" w:cstheme="minorHAnsi"/>
          <w:bCs/>
          <w:sz w:val="24"/>
          <w:szCs w:val="24"/>
        </w:rPr>
        <w:t>GHG</w:t>
      </w:r>
      <w:r w:rsidR="00592611">
        <w:rPr>
          <w:rFonts w:eastAsia="Times New Roman" w:cstheme="minorHAnsi"/>
          <w:bCs/>
          <w:sz w:val="24"/>
          <w:szCs w:val="24"/>
        </w:rPr>
        <w:t>)</w:t>
      </w:r>
      <w:r w:rsidRPr="00EB0612">
        <w:rPr>
          <w:rFonts w:eastAsia="Times New Roman" w:cstheme="minorHAnsi"/>
          <w:bCs/>
          <w:sz w:val="24"/>
          <w:szCs w:val="24"/>
        </w:rPr>
        <w:t xml:space="preserve"> emissions through cost-effective procurement of zero emission renewable resources.  The RPS law allows </w:t>
      </w:r>
      <w:r w:rsidRPr="00EB0612">
        <w:rPr>
          <w:rFonts w:eastAsia="Times New Roman" w:cstheme="minorHAnsi"/>
          <w:bCs/>
          <w:sz w:val="24"/>
          <w:szCs w:val="24"/>
        </w:rPr>
        <w:lastRenderedPageBreak/>
        <w:t xml:space="preserve">utilities to procure renewable energy irrespective of the location of production (i.e., whether from an in-state or out-of-state renewable resource).  </w:t>
      </w:r>
    </w:p>
    <w:p w:rsidR="00F843D7" w:rsidRPr="00EB0612"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Due to transmission limitations, the intermittent nature of some renewable resources, and complexities around transmission scheduling, both past and current RPS laws allow the power from out-of-state resources to be “firmed and shaped” for delivery at a time other than when the generation occurs.  The total volume of qualified RPS procurement is limited by the actual metered generation of the facility.  The firming and shaping provisions provide a cost-effective means to procure zero emissions energy from geographically disparate resources.  This is an important component of the existing RPS law that California’s utilities have relied upon in developing their RPS procurement plans since the adoption of the mandatory RPS law in 2002.  </w:t>
      </w:r>
    </w:p>
    <w:p w:rsidR="00F843D7" w:rsidRPr="00EB0612" w:rsidRDefault="00434064" w:rsidP="00F843D7">
      <w:pPr>
        <w:spacing w:before="100" w:beforeAutospacing="1" w:after="100" w:afterAutospacing="1"/>
        <w:outlineLvl w:val="1"/>
        <w:rPr>
          <w:rFonts w:eastAsia="Times New Roman" w:cstheme="minorHAnsi"/>
          <w:bCs/>
          <w:sz w:val="24"/>
          <w:szCs w:val="24"/>
        </w:rPr>
      </w:pPr>
      <w:r>
        <w:rPr>
          <w:rFonts w:eastAsia="Times New Roman" w:cstheme="minorHAnsi"/>
          <w:bCs/>
          <w:sz w:val="24"/>
          <w:szCs w:val="24"/>
        </w:rPr>
        <w:t>MID and TID have</w:t>
      </w:r>
      <w:r w:rsidR="007B313A">
        <w:rPr>
          <w:rFonts w:eastAsia="Times New Roman" w:cstheme="minorHAnsi"/>
          <w:bCs/>
          <w:sz w:val="24"/>
          <w:szCs w:val="24"/>
        </w:rPr>
        <w:t xml:space="preserve"> made</w:t>
      </w:r>
      <w:r w:rsidR="00F843D7" w:rsidRPr="00EB0612">
        <w:rPr>
          <w:rFonts w:eastAsia="Times New Roman" w:cstheme="minorHAnsi"/>
          <w:bCs/>
          <w:sz w:val="24"/>
          <w:szCs w:val="24"/>
        </w:rPr>
        <w:t xml:space="preserve"> early investments in a low</w:t>
      </w:r>
      <w:r w:rsidR="00592611">
        <w:rPr>
          <w:rFonts w:eastAsia="Times New Roman" w:cstheme="minorHAnsi"/>
          <w:bCs/>
          <w:sz w:val="24"/>
          <w:szCs w:val="24"/>
        </w:rPr>
        <w:t>-</w:t>
      </w:r>
      <w:r w:rsidR="00F843D7" w:rsidRPr="00EB0612">
        <w:rPr>
          <w:rFonts w:eastAsia="Times New Roman" w:cstheme="minorHAnsi"/>
          <w:bCs/>
          <w:sz w:val="24"/>
          <w:szCs w:val="24"/>
        </w:rPr>
        <w:t xml:space="preserve">carbon future by entering into long-term contracts and ownership structures with out-of-state renewable resources using the firming and shaping </w:t>
      </w:r>
      <w:r w:rsidR="007B313A">
        <w:rPr>
          <w:rFonts w:eastAsia="Times New Roman" w:cstheme="minorHAnsi"/>
          <w:bCs/>
          <w:sz w:val="24"/>
          <w:szCs w:val="24"/>
        </w:rPr>
        <w:t>mechanism</w:t>
      </w:r>
      <w:r w:rsidR="00F843D7" w:rsidRPr="00EB0612">
        <w:rPr>
          <w:rFonts w:eastAsia="Times New Roman" w:cstheme="minorHAnsi"/>
          <w:bCs/>
          <w:sz w:val="24"/>
          <w:szCs w:val="24"/>
        </w:rPr>
        <w:t xml:space="preserve">.  Many of these investments were made at a time long before it was known whether, if at all, </w:t>
      </w:r>
      <w:r w:rsidR="00371B56">
        <w:rPr>
          <w:rFonts w:eastAsia="Times New Roman" w:cstheme="minorHAnsi"/>
          <w:bCs/>
          <w:sz w:val="24"/>
          <w:szCs w:val="24"/>
        </w:rPr>
        <w:t>California would develop a</w:t>
      </w:r>
      <w:r w:rsidR="00371B56" w:rsidRPr="00EB0612">
        <w:rPr>
          <w:rFonts w:eastAsia="Times New Roman" w:cstheme="minorHAnsi"/>
          <w:bCs/>
          <w:sz w:val="24"/>
          <w:szCs w:val="24"/>
        </w:rPr>
        <w:t xml:space="preserve"> </w:t>
      </w:r>
      <w:r w:rsidR="00F843D7" w:rsidRPr="00EB0612">
        <w:rPr>
          <w:rFonts w:eastAsia="Times New Roman" w:cstheme="minorHAnsi"/>
          <w:bCs/>
          <w:sz w:val="24"/>
          <w:szCs w:val="24"/>
        </w:rPr>
        <w:t xml:space="preserve">cap-and-trade program, much less whether such a program would apply to out-of-state zero emissions resources.  </w:t>
      </w:r>
    </w:p>
    <w:p w:rsidR="00F843D7" w:rsidRPr="00EB0612"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Early in the development of the Cap-and-Trade Program the ARB wisely addressed these concerns by creating the RPS Adjustment mechanism.</w:t>
      </w:r>
      <w:r w:rsidRPr="00EB0612">
        <w:rPr>
          <w:rStyle w:val="FootnoteReference"/>
          <w:rFonts w:eastAsia="Times New Roman" w:cstheme="minorHAnsi"/>
          <w:bCs/>
          <w:sz w:val="24"/>
          <w:szCs w:val="24"/>
        </w:rPr>
        <w:footnoteReference w:id="1"/>
      </w:r>
      <w:r w:rsidRPr="00EB0612">
        <w:rPr>
          <w:rFonts w:eastAsia="Times New Roman" w:cstheme="minorHAnsi"/>
          <w:bCs/>
          <w:sz w:val="24"/>
          <w:szCs w:val="24"/>
        </w:rPr>
        <w:t xml:space="preserve">  The inclusion of the RPS Adjustment sent a clear signal to the electricity sector that existing investments in out-of-state, zero emissions resources would still retain their value as zero-emission assets, provided they meet the requirements set forth in Section 95852(b)(4) of the Cap-and-Trade Regulation.  </w:t>
      </w:r>
    </w:p>
    <w:p w:rsidR="00CE4ED1"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The inclusion of this provision helped preserve the long-term investments of POUs and also facilitated new investments in renewable energy within the Western Interconnection.  The RPS Adjustment enables a broader market for zero emission energy by allowing out-of-state renewable energy resources to compete on a level playing field with in-state resources.  This level of west-wide competition advances the goal of creating and integrating market interests to reduce regional GHG emissions.  </w:t>
      </w:r>
    </w:p>
    <w:p w:rsidR="004D407A" w:rsidRDefault="00F843D7" w:rsidP="004D407A">
      <w:pPr>
        <w:rPr>
          <w:rFonts w:eastAsia="Times New Roman" w:cstheme="minorHAnsi"/>
          <w:bCs/>
          <w:sz w:val="24"/>
          <w:szCs w:val="24"/>
        </w:rPr>
      </w:pPr>
      <w:r w:rsidRPr="00EB0612">
        <w:rPr>
          <w:rFonts w:eastAsia="Times New Roman" w:cstheme="minorHAnsi"/>
          <w:bCs/>
          <w:sz w:val="24"/>
          <w:szCs w:val="24"/>
        </w:rPr>
        <w:t xml:space="preserve">By furthering the regional renewable energy markets, the RPS Adjustment is a central component that plays an important role in achieving the State and region’s GHG emission reduction goals.  We believe that removal of the RPS Adjustment from the Cap-and-Trade rules </w:t>
      </w:r>
      <w:r w:rsidR="00D55153">
        <w:rPr>
          <w:rFonts w:eastAsia="Times New Roman" w:cstheme="minorHAnsi"/>
          <w:bCs/>
          <w:sz w:val="24"/>
          <w:szCs w:val="24"/>
        </w:rPr>
        <w:t>will</w:t>
      </w:r>
      <w:r w:rsidRPr="00EB0612">
        <w:rPr>
          <w:rFonts w:eastAsia="Times New Roman" w:cstheme="minorHAnsi"/>
          <w:bCs/>
          <w:sz w:val="24"/>
          <w:szCs w:val="24"/>
        </w:rPr>
        <w:t xml:space="preserve"> drastically undermine the value long-term investments in </w:t>
      </w:r>
      <w:r w:rsidR="00D55153">
        <w:rPr>
          <w:rFonts w:eastAsia="Times New Roman" w:cstheme="minorHAnsi"/>
          <w:bCs/>
          <w:sz w:val="24"/>
          <w:szCs w:val="24"/>
        </w:rPr>
        <w:t xml:space="preserve">out-of-state </w:t>
      </w:r>
      <w:r w:rsidRPr="00EB0612">
        <w:rPr>
          <w:rFonts w:eastAsia="Times New Roman" w:cstheme="minorHAnsi"/>
          <w:bCs/>
          <w:sz w:val="24"/>
          <w:szCs w:val="24"/>
        </w:rPr>
        <w:t xml:space="preserve">renewable energy, </w:t>
      </w:r>
      <w:r w:rsidR="00592611">
        <w:rPr>
          <w:rFonts w:eastAsia="Times New Roman" w:cstheme="minorHAnsi"/>
          <w:bCs/>
          <w:sz w:val="24"/>
          <w:szCs w:val="24"/>
        </w:rPr>
        <w:t>negatively impact</w:t>
      </w:r>
      <w:r w:rsidR="00592611" w:rsidRPr="00EB0612">
        <w:rPr>
          <w:rFonts w:eastAsia="Times New Roman" w:cstheme="minorHAnsi"/>
          <w:bCs/>
          <w:sz w:val="24"/>
          <w:szCs w:val="24"/>
        </w:rPr>
        <w:t xml:space="preserve"> </w:t>
      </w:r>
      <w:r w:rsidR="00592611">
        <w:rPr>
          <w:rFonts w:eastAsia="Times New Roman" w:cstheme="minorHAnsi"/>
          <w:bCs/>
          <w:sz w:val="24"/>
          <w:szCs w:val="24"/>
        </w:rPr>
        <w:t xml:space="preserve">utility </w:t>
      </w:r>
      <w:r w:rsidRPr="00EB0612">
        <w:rPr>
          <w:rFonts w:eastAsia="Times New Roman" w:cstheme="minorHAnsi"/>
          <w:bCs/>
          <w:sz w:val="24"/>
          <w:szCs w:val="24"/>
        </w:rPr>
        <w:t>ratepayer</w:t>
      </w:r>
      <w:r w:rsidR="00592611">
        <w:rPr>
          <w:rFonts w:eastAsia="Times New Roman" w:cstheme="minorHAnsi"/>
          <w:bCs/>
          <w:sz w:val="24"/>
          <w:szCs w:val="24"/>
        </w:rPr>
        <w:t>s</w:t>
      </w:r>
      <w:r w:rsidRPr="00EB0612">
        <w:rPr>
          <w:rFonts w:eastAsia="Times New Roman" w:cstheme="minorHAnsi"/>
          <w:bCs/>
          <w:sz w:val="24"/>
          <w:szCs w:val="24"/>
        </w:rPr>
        <w:t xml:space="preserve"> </w:t>
      </w:r>
      <w:r w:rsidR="00592611">
        <w:rPr>
          <w:rFonts w:eastAsia="Times New Roman" w:cstheme="minorHAnsi"/>
          <w:bCs/>
          <w:sz w:val="24"/>
          <w:szCs w:val="24"/>
        </w:rPr>
        <w:t>throughout</w:t>
      </w:r>
      <w:r w:rsidR="00592611" w:rsidRPr="00EB0612">
        <w:rPr>
          <w:rFonts w:eastAsia="Times New Roman" w:cstheme="minorHAnsi"/>
          <w:bCs/>
          <w:sz w:val="24"/>
          <w:szCs w:val="24"/>
        </w:rPr>
        <w:t xml:space="preserve"> </w:t>
      </w:r>
      <w:r w:rsidRPr="00EB0612">
        <w:rPr>
          <w:rFonts w:eastAsia="Times New Roman" w:cstheme="minorHAnsi"/>
          <w:bCs/>
          <w:sz w:val="24"/>
          <w:szCs w:val="24"/>
        </w:rPr>
        <w:t>California and substantially limit the ability to diversify access to resources that w</w:t>
      </w:r>
      <w:r w:rsidR="00D55153">
        <w:rPr>
          <w:rFonts w:eastAsia="Times New Roman" w:cstheme="minorHAnsi"/>
          <w:bCs/>
          <w:sz w:val="24"/>
          <w:szCs w:val="24"/>
        </w:rPr>
        <w:t>ould</w:t>
      </w:r>
      <w:r w:rsidRPr="00EB0612">
        <w:rPr>
          <w:rFonts w:eastAsia="Times New Roman" w:cstheme="minorHAnsi"/>
          <w:bCs/>
          <w:sz w:val="24"/>
          <w:szCs w:val="24"/>
        </w:rPr>
        <w:t xml:space="preserve"> further the ARB’s GHG reduction policies.</w:t>
      </w:r>
    </w:p>
    <w:p w:rsidR="00F843D7" w:rsidRPr="00EB0612" w:rsidRDefault="00F843D7" w:rsidP="004D407A">
      <w:pPr>
        <w:rPr>
          <w:rFonts w:eastAsia="Times New Roman" w:cstheme="minorHAnsi"/>
          <w:bCs/>
          <w:sz w:val="24"/>
          <w:szCs w:val="24"/>
        </w:rPr>
      </w:pPr>
      <w:r w:rsidRPr="00EB0612">
        <w:rPr>
          <w:rFonts w:eastAsia="Times New Roman" w:cstheme="minorHAnsi"/>
          <w:bCs/>
          <w:sz w:val="24"/>
          <w:szCs w:val="24"/>
        </w:rPr>
        <w:lastRenderedPageBreak/>
        <w:t xml:space="preserve">The primary challenge to implementation of the RPS Adjustment is the direct delivery prohibition, which is intended to prevent double counting of an out-of-state resource’s emission attributes due to more than one entity claiming credit for the same emissions reduction.  </w:t>
      </w:r>
      <w:r w:rsidR="00EB0612" w:rsidRPr="00EB0612">
        <w:rPr>
          <w:rFonts w:eastAsia="Times New Roman" w:cstheme="minorHAnsi"/>
          <w:bCs/>
          <w:sz w:val="24"/>
          <w:szCs w:val="24"/>
        </w:rPr>
        <w:t xml:space="preserve">MID and TID </w:t>
      </w:r>
      <w:r w:rsidRPr="00EB0612">
        <w:rPr>
          <w:rFonts w:eastAsia="Times New Roman" w:cstheme="minorHAnsi"/>
          <w:bCs/>
          <w:sz w:val="24"/>
          <w:szCs w:val="24"/>
        </w:rPr>
        <w:t>understand, appreciate and support that the ARB must protect the integrity of the Cap-and-Trade program and prevent double counting of emissions reductions; however, it</w:t>
      </w:r>
      <w:r w:rsidR="00592611">
        <w:rPr>
          <w:rFonts w:eastAsia="Times New Roman" w:cstheme="minorHAnsi"/>
          <w:bCs/>
          <w:sz w:val="24"/>
          <w:szCs w:val="24"/>
        </w:rPr>
        <w:t>’s</w:t>
      </w:r>
      <w:r w:rsidRPr="00EB0612">
        <w:rPr>
          <w:rFonts w:eastAsia="Times New Roman" w:cstheme="minorHAnsi"/>
          <w:bCs/>
          <w:sz w:val="24"/>
          <w:szCs w:val="24"/>
        </w:rPr>
        <w:t xml:space="preserve"> possible to minimize or eliminate the risk of double counting and keep the RPS Adjustment in place.  Under current law, null power </w:t>
      </w:r>
      <w:r w:rsidR="006A06CD">
        <w:rPr>
          <w:rFonts w:eastAsia="Times New Roman" w:cstheme="minorHAnsi"/>
          <w:bCs/>
          <w:sz w:val="24"/>
          <w:szCs w:val="24"/>
        </w:rPr>
        <w:t>[</w:t>
      </w:r>
      <w:r w:rsidRPr="00EB0612">
        <w:rPr>
          <w:rFonts w:eastAsia="Times New Roman" w:cstheme="minorHAnsi"/>
          <w:bCs/>
          <w:sz w:val="24"/>
          <w:szCs w:val="24"/>
        </w:rPr>
        <w:t xml:space="preserve">i.e., energy without the </w:t>
      </w:r>
      <w:r w:rsidR="006A06CD">
        <w:rPr>
          <w:rFonts w:eastAsia="Times New Roman" w:cstheme="minorHAnsi"/>
          <w:bCs/>
          <w:sz w:val="24"/>
          <w:szCs w:val="24"/>
        </w:rPr>
        <w:t>renewable energy credits (</w:t>
      </w:r>
      <w:r w:rsidRPr="00EB0612">
        <w:rPr>
          <w:rFonts w:eastAsia="Times New Roman" w:cstheme="minorHAnsi"/>
          <w:bCs/>
          <w:sz w:val="24"/>
          <w:szCs w:val="24"/>
        </w:rPr>
        <w:t>RECs)</w:t>
      </w:r>
      <w:r w:rsidR="006A06CD">
        <w:rPr>
          <w:rFonts w:eastAsia="Times New Roman" w:cstheme="minorHAnsi"/>
          <w:bCs/>
          <w:sz w:val="24"/>
          <w:szCs w:val="24"/>
        </w:rPr>
        <w:t>]</w:t>
      </w:r>
      <w:r w:rsidRPr="00EB0612">
        <w:rPr>
          <w:rFonts w:eastAsia="Times New Roman" w:cstheme="minorHAnsi"/>
          <w:bCs/>
          <w:sz w:val="24"/>
          <w:szCs w:val="24"/>
        </w:rPr>
        <w:t xml:space="preserve"> can be transacted and imported to California and can be claimed as a zero emissions resource even though the importer does</w:t>
      </w:r>
      <w:r w:rsidR="006A06CD">
        <w:rPr>
          <w:rFonts w:eastAsia="Times New Roman" w:cstheme="minorHAnsi"/>
          <w:bCs/>
          <w:sz w:val="24"/>
          <w:szCs w:val="24"/>
        </w:rPr>
        <w:t>n’t</w:t>
      </w:r>
      <w:r w:rsidRPr="00EB0612">
        <w:rPr>
          <w:rFonts w:eastAsia="Times New Roman" w:cstheme="minorHAnsi"/>
          <w:bCs/>
          <w:sz w:val="24"/>
          <w:szCs w:val="24"/>
        </w:rPr>
        <w:t xml:space="preserve"> have title to the RECs.  </w:t>
      </w:r>
    </w:p>
    <w:p w:rsidR="00F843D7" w:rsidRPr="00EB0612"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By adjusting the Cap-and-Trade and Mandatory Reporting Regulations to decouple null power from its associated RECs and align the regulations with REC ownership only, verification that only one entity claims any one REC will be much simpler and more accurate because assessing direct deliveries will no longer be required.  Such regulation revisions would avoid harm to the proactive and prudent long-term investments made by California utilities in out-of-state renewables.  </w:t>
      </w:r>
    </w:p>
    <w:p w:rsidR="00CE4ED1" w:rsidRDefault="00F843D7" w:rsidP="00F843D7">
      <w:pPr>
        <w:spacing w:before="100" w:beforeAutospacing="1" w:after="100" w:afterAutospacing="1"/>
        <w:outlineLvl w:val="1"/>
        <w:rPr>
          <w:rFonts w:eastAsia="Times New Roman" w:cstheme="minorHAnsi"/>
          <w:bCs/>
          <w:sz w:val="24"/>
          <w:szCs w:val="24"/>
        </w:rPr>
      </w:pPr>
      <w:r w:rsidRPr="00EB0612">
        <w:rPr>
          <w:rFonts w:eastAsia="Times New Roman" w:cstheme="minorHAnsi"/>
          <w:bCs/>
          <w:sz w:val="24"/>
          <w:szCs w:val="24"/>
        </w:rPr>
        <w:t xml:space="preserve">This recommendation addresses the ARB’s concerns with respect to the direct delivery and would eliminate the potential for double counting.  As </w:t>
      </w:r>
      <w:r w:rsidR="006A06CD">
        <w:rPr>
          <w:rFonts w:eastAsia="Times New Roman" w:cstheme="minorHAnsi"/>
          <w:bCs/>
          <w:sz w:val="24"/>
          <w:szCs w:val="24"/>
        </w:rPr>
        <w:t>we’ve noted</w:t>
      </w:r>
      <w:r w:rsidRPr="00EB0612">
        <w:rPr>
          <w:rFonts w:eastAsia="Times New Roman" w:cstheme="minorHAnsi"/>
          <w:bCs/>
          <w:sz w:val="24"/>
          <w:szCs w:val="24"/>
        </w:rPr>
        <w:t xml:space="preserve">, maintaining the RPS Adjustment is critical for publicly owned utilities that have made early, long-term investments in out-of-state renewable resources and prudent subsequent portfolio decisions based in large part on those early actions.  The RPS Adjustment also plays a critical role in maintaining a robust regional renewable energy market and is therefore important to advancing the State’s GHG objectives.  </w:t>
      </w:r>
    </w:p>
    <w:p w:rsidR="00F843D7" w:rsidRPr="004D407A" w:rsidRDefault="00F843D7" w:rsidP="004D407A">
      <w:pPr>
        <w:rPr>
          <w:rFonts w:eastAsia="Times New Roman" w:cstheme="minorHAnsi"/>
          <w:bCs/>
          <w:sz w:val="24"/>
          <w:szCs w:val="24"/>
        </w:rPr>
      </w:pPr>
      <w:r w:rsidRPr="00EB0612">
        <w:rPr>
          <w:rFonts w:eastAsia="Times New Roman" w:cstheme="minorHAnsi"/>
          <w:bCs/>
          <w:sz w:val="24"/>
          <w:szCs w:val="24"/>
        </w:rPr>
        <w:t xml:space="preserve">As such, </w:t>
      </w:r>
      <w:r w:rsidR="0052477F">
        <w:rPr>
          <w:rFonts w:eastAsia="Times New Roman" w:cstheme="minorHAnsi"/>
          <w:bCs/>
          <w:sz w:val="24"/>
          <w:szCs w:val="24"/>
        </w:rPr>
        <w:t>MID and TID</w:t>
      </w:r>
      <w:r w:rsidR="00D55153">
        <w:rPr>
          <w:rFonts w:eastAsia="Times New Roman" w:cstheme="minorHAnsi"/>
          <w:bCs/>
          <w:sz w:val="24"/>
          <w:szCs w:val="24"/>
        </w:rPr>
        <w:t xml:space="preserve"> urge</w:t>
      </w:r>
      <w:r w:rsidRPr="00EB0612">
        <w:rPr>
          <w:rFonts w:eastAsia="Times New Roman" w:cstheme="minorHAnsi"/>
          <w:bCs/>
          <w:sz w:val="24"/>
          <w:szCs w:val="24"/>
        </w:rPr>
        <w:t xml:space="preserve"> the ARB hold a series of workshops </w:t>
      </w:r>
      <w:r w:rsidR="00D55153">
        <w:rPr>
          <w:rFonts w:eastAsia="Times New Roman" w:cstheme="minorHAnsi"/>
          <w:bCs/>
          <w:sz w:val="24"/>
          <w:szCs w:val="24"/>
        </w:rPr>
        <w:t>to more fully explore the array of possible solutions</w:t>
      </w:r>
      <w:r w:rsidRPr="00EB0612">
        <w:rPr>
          <w:rFonts w:eastAsia="Times New Roman" w:cstheme="minorHAnsi"/>
          <w:bCs/>
          <w:sz w:val="24"/>
          <w:szCs w:val="24"/>
        </w:rPr>
        <w:t xml:space="preserve">.  We look forward to working with the ARB to address these issues.    </w:t>
      </w:r>
    </w:p>
    <w:p w:rsidR="00F843D7" w:rsidRPr="00EB0612" w:rsidRDefault="004D407A" w:rsidP="00F843D7">
      <w:pPr>
        <w:contextualSpacing/>
        <w:rPr>
          <w:rFonts w:eastAsia="Calibri" w:cstheme="minorHAnsi"/>
          <w:sz w:val="24"/>
          <w:szCs w:val="24"/>
        </w:rPr>
      </w:pPr>
      <w:r>
        <w:rPr>
          <w:rFonts w:eastAsia="Calibri" w:cstheme="minorHAnsi"/>
          <w:sz w:val="24"/>
          <w:szCs w:val="24"/>
        </w:rPr>
        <w:t>Sincerely</w:t>
      </w:r>
      <w:r w:rsidR="00F843D7" w:rsidRPr="00EB0612">
        <w:rPr>
          <w:rFonts w:eastAsia="Calibri" w:cstheme="minorHAnsi"/>
          <w:sz w:val="24"/>
          <w:szCs w:val="24"/>
        </w:rPr>
        <w:t>,</w:t>
      </w:r>
    </w:p>
    <w:p w:rsidR="00F843D7" w:rsidRPr="00EB0612" w:rsidRDefault="00A94AA0" w:rsidP="00F843D7">
      <w:pPr>
        <w:contextualSpacing/>
        <w:rPr>
          <w:rFonts w:eastAsia="Calibri" w:cstheme="minorHAnsi"/>
          <w:sz w:val="24"/>
          <w:szCs w:val="24"/>
        </w:rPr>
      </w:pPr>
      <w:r>
        <w:rPr>
          <w:noProof/>
        </w:rPr>
        <w:drawing>
          <wp:anchor distT="0" distB="0" distL="114300" distR="114300" simplePos="0" relativeHeight="251662336" behindDoc="0" locked="0" layoutInCell="1" allowOverlap="1" wp14:anchorId="2AA320A7" wp14:editId="4F286083">
            <wp:simplePos x="0" y="0"/>
            <wp:positionH relativeFrom="column">
              <wp:posOffset>1159429</wp:posOffset>
            </wp:positionH>
            <wp:positionV relativeFrom="paragraph">
              <wp:posOffset>86995</wp:posOffset>
            </wp:positionV>
            <wp:extent cx="1712216" cy="6286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signature - blue.jpg"/>
                    <pic:cNvPicPr/>
                  </pic:nvPicPr>
                  <pic:blipFill>
                    <a:blip r:embed="rId10">
                      <a:extLst>
                        <a:ext uri="{28A0092B-C50C-407E-A947-70E740481C1C}">
                          <a14:useLocalDpi xmlns:a14="http://schemas.microsoft.com/office/drawing/2010/main" val="0"/>
                        </a:ext>
                      </a:extLst>
                    </a:blip>
                    <a:stretch>
                      <a:fillRect/>
                    </a:stretch>
                  </pic:blipFill>
                  <pic:spPr>
                    <a:xfrm>
                      <a:off x="0" y="0"/>
                      <a:ext cx="1714118" cy="629349"/>
                    </a:xfrm>
                    <a:prstGeom prst="rect">
                      <a:avLst/>
                    </a:prstGeom>
                  </pic:spPr>
                </pic:pic>
              </a:graphicData>
            </a:graphic>
            <wp14:sizeRelH relativeFrom="page">
              <wp14:pctWidth>0</wp14:pctWidth>
            </wp14:sizeRelH>
            <wp14:sizeRelV relativeFrom="page">
              <wp14:pctHeight>0</wp14:pctHeight>
            </wp14:sizeRelV>
          </wp:anchor>
        </w:drawing>
      </w:r>
      <w:r w:rsidR="00610B89">
        <w:rPr>
          <w:rFonts w:eastAsia="Calibri" w:cstheme="minorHAnsi"/>
          <w:noProof/>
          <w:sz w:val="24"/>
          <w:szCs w:val="24"/>
        </w:rPr>
        <w:drawing>
          <wp:anchor distT="0" distB="0" distL="114300" distR="114300" simplePos="0" relativeHeight="251660288" behindDoc="1" locked="0" layoutInCell="1" allowOverlap="1" wp14:anchorId="4F4EFF6E" wp14:editId="24AA0C35">
            <wp:simplePos x="0" y="0"/>
            <wp:positionH relativeFrom="column">
              <wp:posOffset>-190500</wp:posOffset>
            </wp:positionH>
            <wp:positionV relativeFrom="paragraph">
              <wp:posOffset>163195</wp:posOffset>
            </wp:positionV>
            <wp:extent cx="1857375" cy="552450"/>
            <wp:effectExtent l="0" t="0" r="9525" b="0"/>
            <wp:wrapThrough wrapText="bothSides">
              <wp:wrapPolygon edited="0">
                <wp:start x="0" y="0"/>
                <wp:lineTo x="0" y="20855"/>
                <wp:lineTo x="21489" y="20855"/>
                <wp:lineTo x="21489" y="0"/>
                <wp:lineTo x="0" y="0"/>
              </wp:wrapPolygon>
            </wp:wrapThrough>
            <wp:docPr id="4" name="Picture 4" descr="C:\Users\barbaras\Desktop\Greg Salyer'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s\Desktop\Greg Salyer's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3D7" w:rsidRPr="00EB0612" w:rsidRDefault="00A94AA0" w:rsidP="00F843D7">
      <w:pPr>
        <w:contextualSpacing/>
        <w:rPr>
          <w:rFonts w:eastAsia="Calibri" w:cstheme="minorHAnsi"/>
          <w:sz w:val="24"/>
          <w:szCs w:val="24"/>
        </w:rPr>
      </w:pPr>
      <w:r>
        <w:rPr>
          <w:rFonts w:eastAsia="Calibri" w:cstheme="minorHAnsi"/>
          <w:sz w:val="24"/>
          <w:szCs w:val="24"/>
        </w:rPr>
        <w:tab/>
      </w:r>
      <w:r>
        <w:rPr>
          <w:rFonts w:eastAsia="Calibri" w:cstheme="minorHAnsi"/>
          <w:sz w:val="24"/>
          <w:szCs w:val="24"/>
        </w:rPr>
        <w:tab/>
        <w:t xml:space="preserve">            </w:t>
      </w:r>
      <w:r>
        <w:rPr>
          <w:rFonts w:eastAsia="Calibri" w:cstheme="minorHAnsi"/>
          <w:sz w:val="24"/>
          <w:szCs w:val="24"/>
        </w:rPr>
        <w:tab/>
      </w:r>
      <w:r>
        <w:rPr>
          <w:rFonts w:eastAsia="Calibri" w:cstheme="minorHAnsi"/>
          <w:sz w:val="24"/>
          <w:szCs w:val="24"/>
        </w:rPr>
        <w:tab/>
      </w:r>
    </w:p>
    <w:p w:rsidR="00F843D7" w:rsidRPr="00EB0612" w:rsidRDefault="00F843D7" w:rsidP="00F843D7">
      <w:pPr>
        <w:contextualSpacing/>
        <w:rPr>
          <w:rFonts w:eastAsia="Calibri" w:cstheme="minorHAnsi"/>
          <w:sz w:val="24"/>
          <w:szCs w:val="24"/>
        </w:rPr>
      </w:pPr>
    </w:p>
    <w:p w:rsidR="00610B89" w:rsidRDefault="00610B89" w:rsidP="0052477F">
      <w:pPr>
        <w:spacing w:after="0" w:line="240" w:lineRule="auto"/>
        <w:contextualSpacing/>
        <w:rPr>
          <w:rFonts w:eastAsia="Calibri" w:cstheme="minorHAnsi"/>
          <w:sz w:val="24"/>
          <w:szCs w:val="24"/>
        </w:rPr>
      </w:pPr>
    </w:p>
    <w:p w:rsidR="00F843D7" w:rsidRPr="00EB0612" w:rsidRDefault="00EB0612" w:rsidP="0052477F">
      <w:pPr>
        <w:spacing w:after="0" w:line="240" w:lineRule="auto"/>
        <w:contextualSpacing/>
        <w:rPr>
          <w:rFonts w:eastAsia="Calibri" w:cstheme="minorHAnsi"/>
          <w:sz w:val="24"/>
          <w:szCs w:val="24"/>
        </w:rPr>
      </w:pPr>
      <w:r w:rsidRPr="00EB0612">
        <w:rPr>
          <w:rFonts w:eastAsia="Calibri" w:cstheme="minorHAnsi"/>
          <w:sz w:val="24"/>
          <w:szCs w:val="24"/>
        </w:rPr>
        <w:t>Greg Salyer</w:t>
      </w:r>
      <w:r w:rsidRPr="00EB0612">
        <w:rPr>
          <w:rFonts w:eastAsia="Calibri" w:cstheme="minorHAnsi"/>
          <w:sz w:val="24"/>
          <w:szCs w:val="24"/>
        </w:rPr>
        <w:tab/>
      </w:r>
      <w:r w:rsidR="00F843D7" w:rsidRPr="00EB0612">
        <w:rPr>
          <w:rFonts w:eastAsia="Calibri" w:cstheme="minorHAnsi"/>
          <w:sz w:val="24"/>
          <w:szCs w:val="24"/>
        </w:rPr>
        <w:tab/>
      </w:r>
      <w:r w:rsidR="00F843D7" w:rsidRPr="00EB0612">
        <w:rPr>
          <w:rFonts w:eastAsia="Calibri" w:cstheme="minorHAnsi"/>
          <w:sz w:val="24"/>
          <w:szCs w:val="24"/>
        </w:rPr>
        <w:tab/>
      </w:r>
      <w:r w:rsidR="00F843D7" w:rsidRPr="00EB0612">
        <w:rPr>
          <w:rFonts w:eastAsia="Calibri" w:cstheme="minorHAnsi"/>
          <w:sz w:val="24"/>
          <w:szCs w:val="24"/>
        </w:rPr>
        <w:tab/>
      </w:r>
      <w:r w:rsidR="00F843D7" w:rsidRPr="00EB0612">
        <w:rPr>
          <w:rFonts w:eastAsia="Calibri" w:cstheme="minorHAnsi"/>
          <w:sz w:val="24"/>
          <w:szCs w:val="24"/>
        </w:rPr>
        <w:tab/>
      </w:r>
      <w:r w:rsidR="00F843D7" w:rsidRPr="00EB0612">
        <w:rPr>
          <w:rFonts w:eastAsia="Calibri" w:cstheme="minorHAnsi"/>
          <w:sz w:val="24"/>
          <w:szCs w:val="24"/>
        </w:rPr>
        <w:tab/>
        <w:t>Casey Hashimoto</w:t>
      </w:r>
    </w:p>
    <w:p w:rsidR="00F843D7" w:rsidRPr="00EB0612" w:rsidRDefault="003F33F4" w:rsidP="0052477F">
      <w:pPr>
        <w:spacing w:after="0" w:line="240" w:lineRule="auto"/>
        <w:contextualSpacing/>
        <w:rPr>
          <w:rFonts w:eastAsia="Calibri" w:cstheme="minorHAnsi"/>
          <w:sz w:val="24"/>
          <w:szCs w:val="24"/>
        </w:rPr>
      </w:pPr>
      <w:r>
        <w:rPr>
          <w:rFonts w:eastAsia="Calibri" w:cstheme="minorHAnsi"/>
          <w:sz w:val="24"/>
          <w:szCs w:val="24"/>
        </w:rPr>
        <w:t xml:space="preserve">Interim </w:t>
      </w:r>
      <w:r w:rsidR="00F843D7" w:rsidRPr="00EB0612">
        <w:rPr>
          <w:rFonts w:eastAsia="Calibri" w:cstheme="minorHAnsi"/>
          <w:sz w:val="24"/>
          <w:szCs w:val="24"/>
        </w:rPr>
        <w:t>General Manager</w:t>
      </w:r>
      <w:r w:rsidR="00F843D7" w:rsidRPr="00EB0612">
        <w:rPr>
          <w:rFonts w:eastAsia="Calibri" w:cstheme="minorHAnsi"/>
          <w:sz w:val="24"/>
          <w:szCs w:val="24"/>
        </w:rPr>
        <w:tab/>
      </w:r>
      <w:r w:rsidR="00F843D7" w:rsidRPr="00EB0612">
        <w:rPr>
          <w:rFonts w:eastAsia="Calibri" w:cstheme="minorHAnsi"/>
          <w:sz w:val="24"/>
          <w:szCs w:val="24"/>
        </w:rPr>
        <w:tab/>
      </w:r>
      <w:r w:rsidR="00F843D7" w:rsidRPr="00EB0612">
        <w:rPr>
          <w:rFonts w:eastAsia="Calibri" w:cstheme="minorHAnsi"/>
          <w:sz w:val="24"/>
          <w:szCs w:val="24"/>
        </w:rPr>
        <w:tab/>
      </w:r>
      <w:r w:rsidR="00F843D7" w:rsidRPr="00EB0612">
        <w:rPr>
          <w:rFonts w:eastAsia="Calibri" w:cstheme="minorHAnsi"/>
          <w:sz w:val="24"/>
          <w:szCs w:val="24"/>
        </w:rPr>
        <w:tab/>
        <w:t>General Manager</w:t>
      </w:r>
    </w:p>
    <w:p w:rsidR="00F843D7" w:rsidRPr="00EB0612" w:rsidRDefault="00F843D7" w:rsidP="0052477F">
      <w:pPr>
        <w:spacing w:after="0" w:line="240" w:lineRule="auto"/>
        <w:contextualSpacing/>
        <w:rPr>
          <w:rFonts w:eastAsia="Calibri" w:cstheme="minorHAnsi"/>
          <w:sz w:val="24"/>
          <w:szCs w:val="24"/>
        </w:rPr>
      </w:pPr>
      <w:r w:rsidRPr="00EB0612">
        <w:rPr>
          <w:rFonts w:eastAsia="Calibri" w:cstheme="minorHAnsi"/>
          <w:sz w:val="24"/>
          <w:szCs w:val="24"/>
        </w:rPr>
        <w:t>Modesto Irrigation District</w:t>
      </w:r>
      <w:r w:rsidRPr="00EB0612">
        <w:rPr>
          <w:rFonts w:eastAsia="Calibri" w:cstheme="minorHAnsi"/>
          <w:sz w:val="24"/>
          <w:szCs w:val="24"/>
        </w:rPr>
        <w:tab/>
      </w:r>
      <w:r w:rsidRPr="00EB0612">
        <w:rPr>
          <w:rFonts w:eastAsia="Calibri" w:cstheme="minorHAnsi"/>
          <w:sz w:val="24"/>
          <w:szCs w:val="24"/>
        </w:rPr>
        <w:tab/>
      </w:r>
      <w:r w:rsidRPr="00EB0612">
        <w:rPr>
          <w:rFonts w:eastAsia="Calibri" w:cstheme="minorHAnsi"/>
          <w:sz w:val="24"/>
          <w:szCs w:val="24"/>
        </w:rPr>
        <w:tab/>
      </w:r>
      <w:r w:rsidRPr="00EB0612">
        <w:rPr>
          <w:rFonts w:eastAsia="Calibri" w:cstheme="minorHAnsi"/>
          <w:sz w:val="24"/>
          <w:szCs w:val="24"/>
        </w:rPr>
        <w:tab/>
        <w:t>Turlock Irrigation District</w:t>
      </w:r>
    </w:p>
    <w:p w:rsidR="00F843D7" w:rsidRDefault="00F843D7">
      <w:pPr>
        <w:rPr>
          <w:rFonts w:cstheme="minorHAnsi"/>
          <w:sz w:val="24"/>
          <w:szCs w:val="24"/>
        </w:rPr>
      </w:pPr>
    </w:p>
    <w:p w:rsidR="00EB0612" w:rsidRPr="00EB0612" w:rsidRDefault="0052477F" w:rsidP="0052477F">
      <w:pPr>
        <w:rPr>
          <w:rFonts w:cstheme="minorHAnsi"/>
          <w:sz w:val="24"/>
          <w:szCs w:val="24"/>
        </w:rPr>
      </w:pPr>
      <w:r>
        <w:rPr>
          <w:rFonts w:cstheme="minorHAnsi"/>
          <w:sz w:val="24"/>
          <w:szCs w:val="24"/>
        </w:rPr>
        <w:tab/>
      </w:r>
      <w:r>
        <w:rPr>
          <w:rFonts w:cstheme="minorHAnsi"/>
          <w:sz w:val="24"/>
          <w:szCs w:val="24"/>
        </w:rPr>
        <w:tab/>
        <w:t xml:space="preserve"> </w:t>
      </w:r>
    </w:p>
    <w:sectPr w:rsidR="00EB0612" w:rsidRPr="00EB06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C7" w:rsidRDefault="001D37C7" w:rsidP="00F843D7">
      <w:pPr>
        <w:spacing w:after="0" w:line="240" w:lineRule="auto"/>
      </w:pPr>
      <w:r>
        <w:separator/>
      </w:r>
    </w:p>
  </w:endnote>
  <w:endnote w:type="continuationSeparator" w:id="0">
    <w:p w:rsidR="001D37C7" w:rsidRDefault="001D37C7" w:rsidP="00F8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C7" w:rsidRDefault="001D37C7" w:rsidP="00F843D7">
      <w:pPr>
        <w:spacing w:after="0" w:line="240" w:lineRule="auto"/>
      </w:pPr>
      <w:r>
        <w:separator/>
      </w:r>
    </w:p>
  </w:footnote>
  <w:footnote w:type="continuationSeparator" w:id="0">
    <w:p w:rsidR="001D37C7" w:rsidRDefault="001D37C7" w:rsidP="00F843D7">
      <w:pPr>
        <w:spacing w:after="0" w:line="240" w:lineRule="auto"/>
      </w:pPr>
      <w:r>
        <w:continuationSeparator/>
      </w:r>
    </w:p>
  </w:footnote>
  <w:footnote w:id="1">
    <w:p w:rsidR="00F843D7" w:rsidRPr="004D407A" w:rsidRDefault="00F843D7" w:rsidP="00F843D7">
      <w:pPr>
        <w:pStyle w:val="FootnoteText"/>
        <w:rPr>
          <w:rFonts w:cs="Times New Roman"/>
        </w:rPr>
      </w:pPr>
      <w:r w:rsidRPr="004D407A">
        <w:rPr>
          <w:rStyle w:val="FootnoteReference"/>
        </w:rPr>
        <w:footnoteRef/>
      </w:r>
      <w:r w:rsidRPr="004D407A">
        <w:t xml:space="preserve"> </w:t>
      </w:r>
      <w:r w:rsidRPr="004D407A">
        <w:rPr>
          <w:rFonts w:cs="Times New Roman"/>
        </w:rPr>
        <w:t xml:space="preserve">See October 2011 Final Statement of </w:t>
      </w:r>
      <w:r w:rsidR="0052477F" w:rsidRPr="004D407A">
        <w:rPr>
          <w:rFonts w:cs="Times New Roman"/>
        </w:rPr>
        <w:t xml:space="preserve">Reasons at p. 57, available at: </w:t>
      </w:r>
      <w:r w:rsidR="004D407A" w:rsidRPr="004D407A">
        <w:rPr>
          <w:rFonts w:cs="Times New Roman"/>
        </w:rPr>
        <w:t xml:space="preserve">http://www.arb.ca.gov/regact/2010/ </w:t>
      </w:r>
      <w:r w:rsidR="0052477F" w:rsidRPr="004D407A">
        <w:rPr>
          <w:rFonts w:cs="Times New Roman"/>
        </w:rPr>
        <w:t>capandtrade10/fsor.pdf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D"/>
    <w:rsid w:val="00035791"/>
    <w:rsid w:val="0007756F"/>
    <w:rsid w:val="000845A6"/>
    <w:rsid w:val="001B0299"/>
    <w:rsid w:val="001D37C7"/>
    <w:rsid w:val="00265577"/>
    <w:rsid w:val="00281BE2"/>
    <w:rsid w:val="002D0324"/>
    <w:rsid w:val="00321C1E"/>
    <w:rsid w:val="00366922"/>
    <w:rsid w:val="00371B56"/>
    <w:rsid w:val="003C33A0"/>
    <w:rsid w:val="003F33F4"/>
    <w:rsid w:val="00434064"/>
    <w:rsid w:val="004710E9"/>
    <w:rsid w:val="00493C75"/>
    <w:rsid w:val="004D407A"/>
    <w:rsid w:val="004E192F"/>
    <w:rsid w:val="0052477F"/>
    <w:rsid w:val="00565B43"/>
    <w:rsid w:val="00592611"/>
    <w:rsid w:val="005E2A00"/>
    <w:rsid w:val="005F7189"/>
    <w:rsid w:val="00610B89"/>
    <w:rsid w:val="006A06CD"/>
    <w:rsid w:val="006B3242"/>
    <w:rsid w:val="006C7497"/>
    <w:rsid w:val="007728B1"/>
    <w:rsid w:val="007A4402"/>
    <w:rsid w:val="007B313A"/>
    <w:rsid w:val="007F18A4"/>
    <w:rsid w:val="00811B91"/>
    <w:rsid w:val="00831CBD"/>
    <w:rsid w:val="00854A1E"/>
    <w:rsid w:val="00922703"/>
    <w:rsid w:val="0092615F"/>
    <w:rsid w:val="00A94AA0"/>
    <w:rsid w:val="00AA1667"/>
    <w:rsid w:val="00B160C1"/>
    <w:rsid w:val="00BC4499"/>
    <w:rsid w:val="00C82F1C"/>
    <w:rsid w:val="00CE4ED1"/>
    <w:rsid w:val="00D55153"/>
    <w:rsid w:val="00E27711"/>
    <w:rsid w:val="00EB0612"/>
    <w:rsid w:val="00F35905"/>
    <w:rsid w:val="00F3660F"/>
    <w:rsid w:val="00F71A0F"/>
    <w:rsid w:val="00F843D7"/>
    <w:rsid w:val="00F86A88"/>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BD"/>
    <w:rPr>
      <w:rFonts w:ascii="Tahoma" w:hAnsi="Tahoma" w:cs="Tahoma"/>
      <w:sz w:val="16"/>
      <w:szCs w:val="16"/>
    </w:rPr>
  </w:style>
  <w:style w:type="character" w:styleId="Hyperlink">
    <w:name w:val="Hyperlink"/>
    <w:basedOn w:val="DefaultParagraphFont"/>
    <w:uiPriority w:val="99"/>
    <w:unhideWhenUsed/>
    <w:rsid w:val="00F843D7"/>
    <w:rPr>
      <w:color w:val="0000FF"/>
      <w:u w:val="single"/>
    </w:rPr>
  </w:style>
  <w:style w:type="paragraph" w:styleId="FootnoteText">
    <w:name w:val="footnote text"/>
    <w:basedOn w:val="Normal"/>
    <w:link w:val="FootnoteTextChar"/>
    <w:uiPriority w:val="99"/>
    <w:unhideWhenUsed/>
    <w:rsid w:val="00F843D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843D7"/>
    <w:rPr>
      <w:rFonts w:eastAsiaTheme="minorEastAsia"/>
      <w:sz w:val="20"/>
      <w:szCs w:val="20"/>
    </w:rPr>
  </w:style>
  <w:style w:type="character" w:styleId="FootnoteReference">
    <w:name w:val="footnote reference"/>
    <w:basedOn w:val="DefaultParagraphFont"/>
    <w:uiPriority w:val="99"/>
    <w:unhideWhenUsed/>
    <w:rsid w:val="00F843D7"/>
    <w:rPr>
      <w:vertAlign w:val="superscript"/>
    </w:rPr>
  </w:style>
  <w:style w:type="character" w:styleId="CommentReference">
    <w:name w:val="annotation reference"/>
    <w:basedOn w:val="DefaultParagraphFont"/>
    <w:uiPriority w:val="99"/>
    <w:semiHidden/>
    <w:unhideWhenUsed/>
    <w:rsid w:val="00F843D7"/>
    <w:rPr>
      <w:sz w:val="16"/>
      <w:szCs w:val="16"/>
    </w:rPr>
  </w:style>
  <w:style w:type="paragraph" w:styleId="CommentText">
    <w:name w:val="annotation text"/>
    <w:basedOn w:val="Normal"/>
    <w:link w:val="CommentTextChar"/>
    <w:uiPriority w:val="99"/>
    <w:semiHidden/>
    <w:unhideWhenUsed/>
    <w:rsid w:val="00F843D7"/>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843D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28B1"/>
    <w:pPr>
      <w:spacing w:after="200"/>
    </w:pPr>
    <w:rPr>
      <w:rFonts w:eastAsiaTheme="minorHAnsi"/>
      <w:b/>
      <w:bCs/>
    </w:rPr>
  </w:style>
  <w:style w:type="character" w:customStyle="1" w:styleId="CommentSubjectChar">
    <w:name w:val="Comment Subject Char"/>
    <w:basedOn w:val="CommentTextChar"/>
    <w:link w:val="CommentSubject"/>
    <w:uiPriority w:val="99"/>
    <w:semiHidden/>
    <w:rsid w:val="007728B1"/>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BD"/>
    <w:rPr>
      <w:rFonts w:ascii="Tahoma" w:hAnsi="Tahoma" w:cs="Tahoma"/>
      <w:sz w:val="16"/>
      <w:szCs w:val="16"/>
    </w:rPr>
  </w:style>
  <w:style w:type="character" w:styleId="Hyperlink">
    <w:name w:val="Hyperlink"/>
    <w:basedOn w:val="DefaultParagraphFont"/>
    <w:uiPriority w:val="99"/>
    <w:unhideWhenUsed/>
    <w:rsid w:val="00F843D7"/>
    <w:rPr>
      <w:color w:val="0000FF"/>
      <w:u w:val="single"/>
    </w:rPr>
  </w:style>
  <w:style w:type="paragraph" w:styleId="FootnoteText">
    <w:name w:val="footnote text"/>
    <w:basedOn w:val="Normal"/>
    <w:link w:val="FootnoteTextChar"/>
    <w:uiPriority w:val="99"/>
    <w:unhideWhenUsed/>
    <w:rsid w:val="00F843D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843D7"/>
    <w:rPr>
      <w:rFonts w:eastAsiaTheme="minorEastAsia"/>
      <w:sz w:val="20"/>
      <w:szCs w:val="20"/>
    </w:rPr>
  </w:style>
  <w:style w:type="character" w:styleId="FootnoteReference">
    <w:name w:val="footnote reference"/>
    <w:basedOn w:val="DefaultParagraphFont"/>
    <w:uiPriority w:val="99"/>
    <w:unhideWhenUsed/>
    <w:rsid w:val="00F843D7"/>
    <w:rPr>
      <w:vertAlign w:val="superscript"/>
    </w:rPr>
  </w:style>
  <w:style w:type="character" w:styleId="CommentReference">
    <w:name w:val="annotation reference"/>
    <w:basedOn w:val="DefaultParagraphFont"/>
    <w:uiPriority w:val="99"/>
    <w:semiHidden/>
    <w:unhideWhenUsed/>
    <w:rsid w:val="00F843D7"/>
    <w:rPr>
      <w:sz w:val="16"/>
      <w:szCs w:val="16"/>
    </w:rPr>
  </w:style>
  <w:style w:type="paragraph" w:styleId="CommentText">
    <w:name w:val="annotation text"/>
    <w:basedOn w:val="Normal"/>
    <w:link w:val="CommentTextChar"/>
    <w:uiPriority w:val="99"/>
    <w:semiHidden/>
    <w:unhideWhenUsed/>
    <w:rsid w:val="00F843D7"/>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843D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28B1"/>
    <w:pPr>
      <w:spacing w:after="200"/>
    </w:pPr>
    <w:rPr>
      <w:rFonts w:eastAsiaTheme="minorHAnsi"/>
      <w:b/>
      <w:bCs/>
    </w:rPr>
  </w:style>
  <w:style w:type="character" w:customStyle="1" w:styleId="CommentSubjectChar">
    <w:name w:val="Comment Subject Char"/>
    <w:basedOn w:val="CommentTextChar"/>
    <w:link w:val="CommentSubject"/>
    <w:uiPriority w:val="99"/>
    <w:semiHidden/>
    <w:rsid w:val="007728B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0A84A.71A7C1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Turlock Irrigation District</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melissaw</dc:creator>
  <cp:lastModifiedBy>zaguiler</cp:lastModifiedBy>
  <cp:revision>2</cp:revision>
  <cp:lastPrinted>2015-10-21T22:08:00Z</cp:lastPrinted>
  <dcterms:created xsi:type="dcterms:W3CDTF">2015-10-22T22:31:00Z</dcterms:created>
  <dcterms:modified xsi:type="dcterms:W3CDTF">2015-10-22T22:31:00Z</dcterms:modified>
</cp:coreProperties>
</file>