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04" w:rsidRPr="00042D0F" w:rsidRDefault="00FE0A04" w:rsidP="00FE0A04">
      <w:pPr>
        <w:jc w:val="center"/>
        <w:rPr>
          <w:rFonts w:cs="Arial"/>
          <w:b/>
          <w:sz w:val="28"/>
          <w:szCs w:val="28"/>
        </w:rPr>
      </w:pPr>
      <w:bookmarkStart w:id="0" w:name="_GoBack"/>
      <w:bookmarkEnd w:id="0"/>
      <w:r w:rsidRPr="00042D0F">
        <w:rPr>
          <w:rFonts w:cs="Arial"/>
          <w:b/>
          <w:sz w:val="28"/>
          <w:szCs w:val="28"/>
        </w:rPr>
        <w:t>Cap and Trade Allowance Revenues for Forestry Sector Areas</w:t>
      </w:r>
      <w:r w:rsidR="00104E51">
        <w:rPr>
          <w:rFonts w:cs="Arial"/>
          <w:b/>
          <w:sz w:val="28"/>
          <w:szCs w:val="28"/>
        </w:rPr>
        <w:t>: A Focus on Bioenergy</w:t>
      </w:r>
      <w:r w:rsidR="00C4054E">
        <w:rPr>
          <w:rFonts w:cs="Arial"/>
          <w:b/>
          <w:sz w:val="28"/>
          <w:szCs w:val="28"/>
        </w:rPr>
        <w:t>, Fuels Delivery</w:t>
      </w:r>
      <w:r w:rsidR="00104E51">
        <w:rPr>
          <w:rFonts w:cs="Arial"/>
          <w:b/>
          <w:sz w:val="28"/>
          <w:szCs w:val="28"/>
        </w:rPr>
        <w:t xml:space="preserve"> and Forest Treatments</w:t>
      </w:r>
    </w:p>
    <w:p w:rsidR="00FE0A04" w:rsidRPr="00042D0F" w:rsidRDefault="00FE0A04">
      <w:pPr>
        <w:rPr>
          <w:rFonts w:cs="Arial"/>
          <w:b/>
        </w:rPr>
      </w:pPr>
    </w:p>
    <w:p w:rsidR="00FE0A04" w:rsidRPr="00042D0F" w:rsidRDefault="008724B7" w:rsidP="00FE0A04">
      <w:pPr>
        <w:jc w:val="center"/>
        <w:rPr>
          <w:rFonts w:cs="Arial"/>
          <w:b/>
        </w:rPr>
      </w:pPr>
      <w:r w:rsidRPr="007B00A7">
        <w:rPr>
          <w:rFonts w:cs="Arial"/>
          <w:b/>
        </w:rPr>
        <w:t xml:space="preserve">April </w:t>
      </w:r>
      <w:r w:rsidR="0027720C" w:rsidRPr="007B00A7">
        <w:rPr>
          <w:rFonts w:cs="Arial"/>
          <w:b/>
        </w:rPr>
        <w:t>2</w:t>
      </w:r>
      <w:r w:rsidR="0007005F">
        <w:rPr>
          <w:rFonts w:cs="Arial"/>
          <w:b/>
        </w:rPr>
        <w:t>3</w:t>
      </w:r>
      <w:r w:rsidR="00FE0A04" w:rsidRPr="007B00A7">
        <w:rPr>
          <w:rFonts w:cs="Arial"/>
          <w:b/>
        </w:rPr>
        <w:t>, 2013</w:t>
      </w:r>
    </w:p>
    <w:p w:rsidR="00FE0A04" w:rsidRPr="00042D0F" w:rsidRDefault="00FE0A04">
      <w:pPr>
        <w:rPr>
          <w:rFonts w:cs="Arial"/>
          <w:b/>
        </w:rPr>
      </w:pPr>
    </w:p>
    <w:p w:rsidR="003806B3" w:rsidRPr="00AB2DB7" w:rsidRDefault="000D17DA">
      <w:pPr>
        <w:rPr>
          <w:rFonts w:cs="Arial"/>
          <w:b/>
        </w:rPr>
      </w:pPr>
      <w:r w:rsidRPr="00AB2DB7">
        <w:rPr>
          <w:rFonts w:cs="Arial"/>
          <w:b/>
        </w:rPr>
        <w:t>Introduction</w:t>
      </w:r>
    </w:p>
    <w:p w:rsidR="000D17DA" w:rsidRPr="00AB2DB7" w:rsidRDefault="000D17DA">
      <w:pPr>
        <w:rPr>
          <w:rFonts w:cs="Arial"/>
        </w:rPr>
      </w:pPr>
    </w:p>
    <w:p w:rsidR="00A53F55" w:rsidRPr="00AB2DB7" w:rsidRDefault="00AD7F03">
      <w:pPr>
        <w:rPr>
          <w:rFonts w:cs="Arial"/>
        </w:rPr>
      </w:pPr>
      <w:r w:rsidRPr="00AB2DB7">
        <w:rPr>
          <w:rFonts w:cs="Arial"/>
        </w:rPr>
        <w:t xml:space="preserve">Almost one-third </w:t>
      </w:r>
      <w:r w:rsidR="00104E51">
        <w:rPr>
          <w:rFonts w:cs="Arial"/>
        </w:rPr>
        <w:t>of California—31 million acres—</w:t>
      </w:r>
      <w:r w:rsidRPr="00AB2DB7">
        <w:rPr>
          <w:rFonts w:cs="Arial"/>
        </w:rPr>
        <w:t>is</w:t>
      </w:r>
      <w:r w:rsidR="00104E51">
        <w:rPr>
          <w:rFonts w:cs="Arial"/>
        </w:rPr>
        <w:t xml:space="preserve"> </w:t>
      </w:r>
      <w:r w:rsidRPr="00AB2DB7">
        <w:rPr>
          <w:rFonts w:cs="Arial"/>
        </w:rPr>
        <w:t xml:space="preserve">forested, providing an extensive opportunity for the capture and storage of carbon in trees.  </w:t>
      </w:r>
      <w:r w:rsidR="00FE0A04" w:rsidRPr="00AB2DB7">
        <w:rPr>
          <w:rFonts w:cs="Arial"/>
        </w:rPr>
        <w:t>Members of the California forestry sector</w:t>
      </w:r>
      <w:r w:rsidR="000D17DA" w:rsidRPr="00AB2DB7">
        <w:rPr>
          <w:rFonts w:cs="Arial"/>
        </w:rPr>
        <w:t xml:space="preserve"> </w:t>
      </w:r>
      <w:r w:rsidR="00FE0A04" w:rsidRPr="00AB2DB7">
        <w:rPr>
          <w:rFonts w:cs="Arial"/>
        </w:rPr>
        <w:t xml:space="preserve">broadly </w:t>
      </w:r>
      <w:r w:rsidR="000D17DA" w:rsidRPr="00AB2DB7">
        <w:rPr>
          <w:rFonts w:cs="Arial"/>
        </w:rPr>
        <w:t xml:space="preserve">support the </w:t>
      </w:r>
      <w:r w:rsidR="00FE0A04" w:rsidRPr="00AB2DB7">
        <w:rPr>
          <w:rFonts w:cs="Arial"/>
        </w:rPr>
        <w:t xml:space="preserve">five </w:t>
      </w:r>
      <w:r w:rsidR="000D17DA" w:rsidRPr="00AB2DB7">
        <w:rPr>
          <w:rFonts w:cs="Arial"/>
        </w:rPr>
        <w:t xml:space="preserve">Forestry Sector </w:t>
      </w:r>
      <w:r w:rsidR="00FE0A04" w:rsidRPr="00AB2DB7">
        <w:rPr>
          <w:rFonts w:cs="Arial"/>
        </w:rPr>
        <w:t>greenhouse gas (</w:t>
      </w:r>
      <w:r w:rsidR="000D17DA" w:rsidRPr="00AB2DB7">
        <w:rPr>
          <w:rFonts w:cs="Arial"/>
        </w:rPr>
        <w:t>GHG</w:t>
      </w:r>
      <w:r w:rsidR="00FE0A04" w:rsidRPr="00AB2DB7">
        <w:rPr>
          <w:rFonts w:cs="Arial"/>
        </w:rPr>
        <w:t>)</w:t>
      </w:r>
      <w:r w:rsidR="000D17DA" w:rsidRPr="00AB2DB7">
        <w:rPr>
          <w:rFonts w:cs="Arial"/>
        </w:rPr>
        <w:t xml:space="preserve"> </w:t>
      </w:r>
      <w:r w:rsidR="00FE0A04" w:rsidRPr="00AB2DB7">
        <w:rPr>
          <w:rFonts w:cs="Arial"/>
        </w:rPr>
        <w:t xml:space="preserve">reduction </w:t>
      </w:r>
      <w:r w:rsidR="000D17DA" w:rsidRPr="00AB2DB7">
        <w:rPr>
          <w:rFonts w:cs="Arial"/>
        </w:rPr>
        <w:t>activities that are discussed in the AB</w:t>
      </w:r>
      <w:r w:rsidR="00FE0A04" w:rsidRPr="00AB2DB7">
        <w:rPr>
          <w:rFonts w:cs="Arial"/>
        </w:rPr>
        <w:t xml:space="preserve"> 32 Climate Change Scoping Plan.  They also broadly support the various pathways that the Scoping Plan presents for the utilization of forest</w:t>
      </w:r>
      <w:r w:rsidR="00A53F55" w:rsidRPr="00AB2DB7">
        <w:rPr>
          <w:rFonts w:cs="Arial"/>
        </w:rPr>
        <w:t xml:space="preserve">-derived biomass for energy production, </w:t>
      </w:r>
      <w:r w:rsidR="0027720C">
        <w:rPr>
          <w:rFonts w:cs="Arial"/>
        </w:rPr>
        <w:t>consistent with California’s</w:t>
      </w:r>
      <w:r w:rsidR="00A53F55" w:rsidRPr="00AB2DB7">
        <w:rPr>
          <w:rFonts w:cs="Arial"/>
        </w:rPr>
        <w:t xml:space="preserve"> Renewables Portfolio Standard.  </w:t>
      </w:r>
      <w:r w:rsidR="00E62E4F" w:rsidRPr="00AB2DB7">
        <w:rPr>
          <w:rFonts w:cs="Arial"/>
        </w:rPr>
        <w:t>Senate</w:t>
      </w:r>
      <w:r w:rsidR="00A53F55" w:rsidRPr="00AB2DB7">
        <w:rPr>
          <w:rFonts w:cs="Arial"/>
        </w:rPr>
        <w:t xml:space="preserve"> Bill 1122 (</w:t>
      </w:r>
      <w:r w:rsidR="00DA4269" w:rsidRPr="00AB2DB7">
        <w:rPr>
          <w:rFonts w:cs="Arial"/>
        </w:rPr>
        <w:t>Rubio</w:t>
      </w:r>
      <w:r w:rsidR="00A53F55" w:rsidRPr="00AB2DB7">
        <w:rPr>
          <w:rFonts w:cs="Arial"/>
        </w:rPr>
        <w:t>) provides further direction for the development of forest biomass renewable energy production facilities</w:t>
      </w:r>
      <w:r w:rsidR="00821452">
        <w:rPr>
          <w:rFonts w:cs="Arial"/>
        </w:rPr>
        <w:t xml:space="preserve"> in high fire </w:t>
      </w:r>
      <w:r w:rsidR="00E9745E">
        <w:rPr>
          <w:rFonts w:cs="Arial"/>
        </w:rPr>
        <w:t xml:space="preserve">threat </w:t>
      </w:r>
      <w:r w:rsidR="00821452">
        <w:rPr>
          <w:rFonts w:cs="Arial"/>
        </w:rPr>
        <w:t>areas</w:t>
      </w:r>
      <w:r w:rsidR="00A53F55" w:rsidRPr="00AB2DB7">
        <w:rPr>
          <w:rFonts w:cs="Arial"/>
        </w:rPr>
        <w:t xml:space="preserve">.  </w:t>
      </w:r>
      <w:r w:rsidR="00D6629C" w:rsidRPr="00AB2DB7">
        <w:rPr>
          <w:rFonts w:cs="Arial"/>
        </w:rPr>
        <w:t>California forestlands of all ownership categories (private and public) provide opportunities for the application of these approaches.</w:t>
      </w:r>
      <w:r w:rsidR="00104E51">
        <w:rPr>
          <w:rFonts w:cs="Arial"/>
        </w:rPr>
        <w:t xml:space="preserve">  Capacity exi</w:t>
      </w:r>
      <w:r w:rsidR="007547A1">
        <w:rPr>
          <w:rFonts w:cs="Arial"/>
        </w:rPr>
        <w:t>s</w:t>
      </w:r>
      <w:r w:rsidR="00104E51">
        <w:rPr>
          <w:rFonts w:cs="Arial"/>
        </w:rPr>
        <w:t xml:space="preserve">ts among state, </w:t>
      </w:r>
      <w:r w:rsidR="00E9745E">
        <w:rPr>
          <w:rFonts w:cs="Arial"/>
        </w:rPr>
        <w:t xml:space="preserve">federal </w:t>
      </w:r>
      <w:r w:rsidR="00104E51">
        <w:rPr>
          <w:rFonts w:cs="Arial"/>
        </w:rPr>
        <w:t xml:space="preserve">and local agencies </w:t>
      </w:r>
      <w:r w:rsidR="00E9745E">
        <w:rPr>
          <w:rFonts w:cs="Arial"/>
        </w:rPr>
        <w:t xml:space="preserve">and land managers </w:t>
      </w:r>
      <w:r w:rsidR="00104E51">
        <w:rPr>
          <w:rFonts w:cs="Arial"/>
        </w:rPr>
        <w:t>to implement these approaches.</w:t>
      </w:r>
      <w:r w:rsidR="00667B7A">
        <w:rPr>
          <w:rFonts w:cs="Arial"/>
        </w:rPr>
        <w:t xml:space="preserve">  Biomass energy and forest treatment programs have the ability to deliver projects and environmental and economic benefits to disadvantaged rural communities, per the requirements of S</w:t>
      </w:r>
      <w:r w:rsidR="0027720C">
        <w:rPr>
          <w:rFonts w:cs="Arial"/>
        </w:rPr>
        <w:t xml:space="preserve">enate </w:t>
      </w:r>
      <w:r w:rsidR="00667B7A">
        <w:rPr>
          <w:rFonts w:cs="Arial"/>
        </w:rPr>
        <w:t>B</w:t>
      </w:r>
      <w:r w:rsidR="0027720C">
        <w:rPr>
          <w:rFonts w:cs="Arial"/>
        </w:rPr>
        <w:t>ill</w:t>
      </w:r>
      <w:r w:rsidR="00667B7A">
        <w:rPr>
          <w:rFonts w:cs="Arial"/>
        </w:rPr>
        <w:t xml:space="preserve"> 535.  </w:t>
      </w:r>
    </w:p>
    <w:p w:rsidR="00A53F55" w:rsidRPr="00AB2DB7" w:rsidRDefault="00A53F55">
      <w:pPr>
        <w:rPr>
          <w:rFonts w:cs="Arial"/>
        </w:rPr>
      </w:pPr>
    </w:p>
    <w:p w:rsidR="00B15B80" w:rsidRDefault="00104E51">
      <w:pPr>
        <w:rPr>
          <w:rFonts w:cs="Arial"/>
        </w:rPr>
      </w:pPr>
      <w:r>
        <w:rPr>
          <w:rFonts w:cs="Arial"/>
        </w:rPr>
        <w:t xml:space="preserve">The </w:t>
      </w:r>
      <w:r w:rsidR="00C47DE8">
        <w:rPr>
          <w:rFonts w:cs="Arial"/>
        </w:rPr>
        <w:t>California Air Resources Board released the draft Cap and Trade Proceeds Three Year Investment Plan</w:t>
      </w:r>
      <w:r>
        <w:rPr>
          <w:rFonts w:cs="Arial"/>
        </w:rPr>
        <w:t xml:space="preserve"> on April 16</w:t>
      </w:r>
      <w:r w:rsidR="00C47DE8">
        <w:rPr>
          <w:rFonts w:cs="Arial"/>
        </w:rPr>
        <w:t>.  Within the Natural Resources and Waste Diversion Section</w:t>
      </w:r>
      <w:r w:rsidR="00D81872">
        <w:rPr>
          <w:rFonts w:cs="Arial"/>
        </w:rPr>
        <w:t xml:space="preserve">, Forests and Ecosystem Management is included as an investment area to be considered.  This paper provides a more specific investment proposal that could </w:t>
      </w:r>
      <w:r w:rsidR="00F20FAE">
        <w:rPr>
          <w:rFonts w:cs="Arial"/>
        </w:rPr>
        <w:t>guide a portion of the</w:t>
      </w:r>
      <w:r>
        <w:rPr>
          <w:rFonts w:cs="Arial"/>
        </w:rPr>
        <w:t>se</w:t>
      </w:r>
      <w:r w:rsidR="00F20FAE">
        <w:rPr>
          <w:rFonts w:cs="Arial"/>
        </w:rPr>
        <w:t xml:space="preserve"> </w:t>
      </w:r>
      <w:r w:rsidR="00D81872">
        <w:rPr>
          <w:rFonts w:cs="Arial"/>
        </w:rPr>
        <w:t>forest investments</w:t>
      </w:r>
      <w:r w:rsidR="0027720C">
        <w:rPr>
          <w:rFonts w:cs="Arial"/>
        </w:rPr>
        <w:t>.</w:t>
      </w:r>
      <w:r w:rsidR="00F20FAE">
        <w:rPr>
          <w:rFonts w:cs="Arial"/>
        </w:rPr>
        <w:t xml:space="preserve"> The draft investment plan specific</w:t>
      </w:r>
      <w:r>
        <w:rPr>
          <w:rFonts w:cs="Arial"/>
        </w:rPr>
        <w:t>ally</w:t>
      </w:r>
      <w:r w:rsidR="00F20FAE">
        <w:rPr>
          <w:rFonts w:cs="Arial"/>
        </w:rPr>
        <w:t xml:space="preserve"> calls for “</w:t>
      </w:r>
      <w:r w:rsidR="00D81872">
        <w:rPr>
          <w:rFonts w:cs="Arial"/>
        </w:rPr>
        <w:t>including competitive grants or other mechanisms for forest management, restoration, fuel reduction treatments; fire protection and biomass energy production</w:t>
      </w:r>
      <w:r w:rsidR="0027720C">
        <w:rPr>
          <w:rFonts w:cs="Arial"/>
        </w:rPr>
        <w:t>”</w:t>
      </w:r>
      <w:r w:rsidR="00D81872">
        <w:rPr>
          <w:rFonts w:cs="Arial"/>
        </w:rPr>
        <w:t xml:space="preserve"> (p. B-12). </w:t>
      </w:r>
    </w:p>
    <w:p w:rsidR="0027720C" w:rsidRDefault="0027720C">
      <w:pPr>
        <w:rPr>
          <w:rFonts w:cs="Arial"/>
        </w:rPr>
      </w:pPr>
    </w:p>
    <w:p w:rsidR="00287EBC" w:rsidRDefault="000D17DA" w:rsidP="00104E51">
      <w:pPr>
        <w:autoSpaceDE w:val="0"/>
        <w:autoSpaceDN w:val="0"/>
        <w:adjustRightInd w:val="0"/>
        <w:rPr>
          <w:rFonts w:cs="Arial"/>
        </w:rPr>
      </w:pPr>
      <w:r w:rsidRPr="00AB2DB7">
        <w:rPr>
          <w:rFonts w:cs="Arial"/>
        </w:rPr>
        <w:t>This proposal focuses</w:t>
      </w:r>
      <w:r w:rsidR="006D6CD9">
        <w:rPr>
          <w:rFonts w:cs="Arial"/>
        </w:rPr>
        <w:t xml:space="preserve"> </w:t>
      </w:r>
      <w:r w:rsidR="00B15B80">
        <w:rPr>
          <w:rFonts w:cs="Arial"/>
        </w:rPr>
        <w:t>on the</w:t>
      </w:r>
      <w:r w:rsidR="00B15B80">
        <w:t xml:space="preserve"> utilization of forest biomass resulting from </w:t>
      </w:r>
      <w:r w:rsidR="00A24142">
        <w:t xml:space="preserve">forest </w:t>
      </w:r>
      <w:r w:rsidR="003837EC">
        <w:t>treatment</w:t>
      </w:r>
      <w:r w:rsidR="00A24142">
        <w:t xml:space="preserve"> </w:t>
      </w:r>
      <w:r w:rsidR="00B15B80">
        <w:t xml:space="preserve">activities, with the primary use being production of </w:t>
      </w:r>
      <w:r w:rsidR="0027720C">
        <w:t>renewable energy (</w:t>
      </w:r>
      <w:r w:rsidR="00B15B80">
        <w:t>electricity</w:t>
      </w:r>
      <w:r w:rsidR="0027720C">
        <w:t xml:space="preserve"> and thermal energy)</w:t>
      </w:r>
      <w:r w:rsidR="00B15B80">
        <w:t>.  This investment will directly support i</w:t>
      </w:r>
      <w:r w:rsidR="00B15B80">
        <w:rPr>
          <w:rFonts w:cs="Arial"/>
        </w:rPr>
        <w:t xml:space="preserve">mplementation of </w:t>
      </w:r>
      <w:r w:rsidR="00727A8E">
        <w:rPr>
          <w:rFonts w:cs="Arial"/>
        </w:rPr>
        <w:t xml:space="preserve">SB 1122 and </w:t>
      </w:r>
      <w:r w:rsidR="00B15B80">
        <w:rPr>
          <w:rFonts w:cs="Arial"/>
        </w:rPr>
        <w:t xml:space="preserve">the </w:t>
      </w:r>
      <w:r w:rsidR="00727A8E">
        <w:rPr>
          <w:rFonts w:cs="Arial"/>
        </w:rPr>
        <w:t xml:space="preserve">2012 </w:t>
      </w:r>
      <w:r w:rsidR="00B15B80">
        <w:rPr>
          <w:rFonts w:cs="Arial"/>
        </w:rPr>
        <w:t>C</w:t>
      </w:r>
      <w:r w:rsidR="00727A8E">
        <w:rPr>
          <w:rFonts w:cs="Arial"/>
        </w:rPr>
        <w:t>alifornia</w:t>
      </w:r>
      <w:r w:rsidR="00B15B80">
        <w:rPr>
          <w:rFonts w:cs="Arial"/>
        </w:rPr>
        <w:t xml:space="preserve"> Bioenergy Action Plan</w:t>
      </w:r>
      <w:r w:rsidR="006D6CD9">
        <w:rPr>
          <w:rFonts w:cs="Arial"/>
        </w:rPr>
        <w:t xml:space="preserve">.  SB 1122 </w:t>
      </w:r>
      <w:r w:rsidR="0027720C">
        <w:rPr>
          <w:rFonts w:cs="Arial"/>
        </w:rPr>
        <w:t>includes</w:t>
      </w:r>
      <w:r w:rsidR="006D6CD9">
        <w:rPr>
          <w:rFonts w:cs="Arial"/>
        </w:rPr>
        <w:t xml:space="preserve"> a procurement requirement for large utilities to buy </w:t>
      </w:r>
      <w:r w:rsidR="00287EBC">
        <w:rPr>
          <w:rFonts w:cs="Arial"/>
        </w:rPr>
        <w:t xml:space="preserve">50 megawatts of </w:t>
      </w:r>
      <w:r w:rsidR="006D6CD9">
        <w:rPr>
          <w:rFonts w:cs="Arial"/>
          <w:lang w:eastAsia="en-US"/>
        </w:rPr>
        <w:t xml:space="preserve">biomass </w:t>
      </w:r>
      <w:r w:rsidR="006D6CD9" w:rsidRPr="00104E51">
        <w:rPr>
          <w:rFonts w:cs="Arial"/>
          <w:iCs/>
          <w:lang w:eastAsia="en-US"/>
        </w:rPr>
        <w:t xml:space="preserve">bioenergy </w:t>
      </w:r>
      <w:r w:rsidR="00287EBC" w:rsidRPr="00104E51">
        <w:rPr>
          <w:rFonts w:cs="Arial"/>
          <w:iCs/>
          <w:lang w:eastAsia="en-US"/>
        </w:rPr>
        <w:t>derived from susta</w:t>
      </w:r>
      <w:r w:rsidR="006D6CD9" w:rsidRPr="00104E51">
        <w:rPr>
          <w:rFonts w:cs="Arial"/>
          <w:iCs/>
          <w:lang w:eastAsia="en-US"/>
        </w:rPr>
        <w:t>inable forest management in fire threat treatment areas</w:t>
      </w:r>
      <w:r w:rsidR="0027720C">
        <w:rPr>
          <w:rFonts w:cs="Arial"/>
          <w:iCs/>
          <w:lang w:eastAsia="en-US"/>
        </w:rPr>
        <w:t xml:space="preserve"> (as designated by CAL</w:t>
      </w:r>
      <w:r w:rsidR="00F91250">
        <w:rPr>
          <w:rFonts w:cs="Arial"/>
          <w:iCs/>
          <w:lang w:eastAsia="en-US"/>
        </w:rPr>
        <w:t xml:space="preserve"> </w:t>
      </w:r>
      <w:r w:rsidR="0027720C">
        <w:rPr>
          <w:rFonts w:cs="Arial"/>
          <w:iCs/>
          <w:lang w:eastAsia="en-US"/>
        </w:rPr>
        <w:t>FIRE)</w:t>
      </w:r>
      <w:r w:rsidR="00A24142">
        <w:rPr>
          <w:rFonts w:cs="Arial"/>
        </w:rPr>
        <w:t>.  The specific components of this proposal are</w:t>
      </w:r>
      <w:r w:rsidR="002138B3">
        <w:rPr>
          <w:rFonts w:cs="Arial"/>
        </w:rPr>
        <w:t xml:space="preserve"> </w:t>
      </w:r>
      <w:r w:rsidR="00D0640E">
        <w:rPr>
          <w:rFonts w:cs="Arial"/>
        </w:rPr>
        <w:t xml:space="preserve">separable and </w:t>
      </w:r>
      <w:r w:rsidR="002138B3">
        <w:rPr>
          <w:rFonts w:cs="Arial"/>
        </w:rPr>
        <w:t>scalable, but support and complement each other</w:t>
      </w:r>
      <w:r w:rsidR="00A24142">
        <w:rPr>
          <w:rFonts w:cs="Arial"/>
        </w:rPr>
        <w:t>:</w:t>
      </w:r>
    </w:p>
    <w:p w:rsidR="00A24142" w:rsidRDefault="00A24142" w:rsidP="00A24142">
      <w:pPr>
        <w:rPr>
          <w:rFonts w:cs="Arial"/>
        </w:rPr>
      </w:pPr>
    </w:p>
    <w:p w:rsidR="00A24142" w:rsidRPr="00945226" w:rsidRDefault="00A24142" w:rsidP="00A24142">
      <w:pPr>
        <w:pStyle w:val="ListParagraph"/>
        <w:numPr>
          <w:ilvl w:val="0"/>
          <w:numId w:val="13"/>
        </w:numPr>
        <w:rPr>
          <w:rFonts w:cs="Arial"/>
        </w:rPr>
      </w:pPr>
      <w:r>
        <w:rPr>
          <w:rFonts w:cs="Arial"/>
        </w:rPr>
        <w:t>C</w:t>
      </w:r>
      <w:r w:rsidRPr="00AB2DB7">
        <w:rPr>
          <w:rFonts w:cs="Arial"/>
        </w:rPr>
        <w:t xml:space="preserve">ommunity-scale </w:t>
      </w:r>
      <w:r w:rsidR="00E9745E">
        <w:rPr>
          <w:rFonts w:cs="Arial"/>
        </w:rPr>
        <w:t>B</w:t>
      </w:r>
      <w:r w:rsidRPr="00AB2DB7">
        <w:rPr>
          <w:rFonts w:cs="Arial"/>
        </w:rPr>
        <w:t xml:space="preserve">iomass </w:t>
      </w:r>
      <w:r w:rsidR="00E9745E">
        <w:rPr>
          <w:rFonts w:cs="Arial"/>
        </w:rPr>
        <w:t>F</w:t>
      </w:r>
      <w:r>
        <w:rPr>
          <w:rFonts w:cs="Arial"/>
        </w:rPr>
        <w:t xml:space="preserve">acility </w:t>
      </w:r>
      <w:r w:rsidR="00E9745E">
        <w:rPr>
          <w:rFonts w:cs="Arial"/>
        </w:rPr>
        <w:t>S</w:t>
      </w:r>
      <w:r w:rsidRPr="00AB2DB7">
        <w:rPr>
          <w:rFonts w:cs="Arial"/>
        </w:rPr>
        <w:t xml:space="preserve">tart-up </w:t>
      </w:r>
      <w:r w:rsidR="00E9745E">
        <w:rPr>
          <w:rFonts w:cs="Arial"/>
        </w:rPr>
        <w:t>F</w:t>
      </w:r>
      <w:r w:rsidRPr="00AB2DB7">
        <w:rPr>
          <w:rFonts w:cs="Arial"/>
        </w:rPr>
        <w:t>unding</w:t>
      </w:r>
    </w:p>
    <w:p w:rsidR="00A24142" w:rsidRPr="00104E51" w:rsidRDefault="00592B36" w:rsidP="00A24142">
      <w:pPr>
        <w:pStyle w:val="ListParagraph"/>
        <w:numPr>
          <w:ilvl w:val="0"/>
          <w:numId w:val="13"/>
        </w:numPr>
        <w:rPr>
          <w:rFonts w:cs="Arial"/>
        </w:rPr>
      </w:pPr>
      <w:r>
        <w:rPr>
          <w:rFonts w:cs="Arial"/>
        </w:rPr>
        <w:t xml:space="preserve">Fuels Delivery </w:t>
      </w:r>
      <w:r w:rsidR="00A24142" w:rsidRPr="001954E4">
        <w:rPr>
          <w:rFonts w:cs="Arial"/>
        </w:rPr>
        <w:t>Transportation Incentive</w:t>
      </w:r>
      <w:r w:rsidR="00A24142" w:rsidRPr="001A1252">
        <w:rPr>
          <w:rFonts w:cs="Arial"/>
        </w:rPr>
        <w:t>;</w:t>
      </w:r>
    </w:p>
    <w:p w:rsidR="00A24142" w:rsidRPr="00AB2DB7" w:rsidRDefault="00A24142" w:rsidP="00A24142">
      <w:pPr>
        <w:pStyle w:val="ListParagraph"/>
        <w:numPr>
          <w:ilvl w:val="0"/>
          <w:numId w:val="13"/>
        </w:numPr>
        <w:rPr>
          <w:rFonts w:cs="Arial"/>
        </w:rPr>
      </w:pPr>
      <w:r w:rsidRPr="00AB2DB7">
        <w:rPr>
          <w:rFonts w:cs="Arial"/>
        </w:rPr>
        <w:t xml:space="preserve">Forest Treatments:  Management, </w:t>
      </w:r>
      <w:r>
        <w:rPr>
          <w:rFonts w:cs="Arial"/>
        </w:rPr>
        <w:t>Restoration,</w:t>
      </w:r>
      <w:r w:rsidRPr="00AB2DB7">
        <w:rPr>
          <w:rFonts w:cs="Arial"/>
        </w:rPr>
        <w:t xml:space="preserve"> Fuels </w:t>
      </w:r>
      <w:r>
        <w:rPr>
          <w:rFonts w:cs="Arial"/>
        </w:rPr>
        <w:t>Reduction</w:t>
      </w:r>
      <w:r w:rsidRPr="00AB2DB7">
        <w:rPr>
          <w:rFonts w:cs="Arial"/>
        </w:rPr>
        <w:t xml:space="preserve"> Treatments, </w:t>
      </w:r>
      <w:r>
        <w:rPr>
          <w:rFonts w:cs="Arial"/>
        </w:rPr>
        <w:t>and Fire Protection.</w:t>
      </w:r>
      <w:r w:rsidRPr="00AB2DB7">
        <w:rPr>
          <w:rFonts w:cs="Arial"/>
        </w:rPr>
        <w:t xml:space="preserve"> </w:t>
      </w:r>
    </w:p>
    <w:p w:rsidR="00287EBC" w:rsidRDefault="00287EBC" w:rsidP="00104E51">
      <w:pPr>
        <w:autoSpaceDE w:val="0"/>
        <w:autoSpaceDN w:val="0"/>
        <w:adjustRightInd w:val="0"/>
        <w:rPr>
          <w:rFonts w:cs="Arial"/>
        </w:rPr>
      </w:pPr>
    </w:p>
    <w:p w:rsidR="00287EBC" w:rsidRDefault="00287EBC" w:rsidP="00104E51">
      <w:pPr>
        <w:rPr>
          <w:rFonts w:eastAsia="Times New Roman" w:cs="Arial"/>
          <w:color w:val="000000"/>
        </w:rPr>
      </w:pPr>
      <w:r>
        <w:rPr>
          <w:rFonts w:cs="Arial"/>
        </w:rPr>
        <w:lastRenderedPageBreak/>
        <w:t>The 201</w:t>
      </w:r>
      <w:r w:rsidR="00945226">
        <w:rPr>
          <w:rFonts w:cs="Arial"/>
        </w:rPr>
        <w:t>2</w:t>
      </w:r>
      <w:r>
        <w:rPr>
          <w:rFonts w:cs="Arial"/>
        </w:rPr>
        <w:t xml:space="preserve"> California Bioenergy Action Plan calls for the </w:t>
      </w:r>
      <w:r>
        <w:rPr>
          <w:rFonts w:eastAsia="Times New Roman" w:cs="Arial"/>
          <w:color w:val="000000"/>
        </w:rPr>
        <w:t xml:space="preserve">Resources Agency, Sierra Nevada Conservancy (SNC), </w:t>
      </w:r>
      <w:r w:rsidR="00104E51">
        <w:rPr>
          <w:rFonts w:eastAsia="Times New Roman" w:cs="Arial"/>
          <w:color w:val="000000"/>
        </w:rPr>
        <w:t>California Department of Forestry and Fire Protection (</w:t>
      </w:r>
      <w:r>
        <w:rPr>
          <w:noProof/>
        </w:rPr>
        <w:t>CAL FIRE</w:t>
      </w:r>
      <w:r w:rsidR="00104E51">
        <w:rPr>
          <w:noProof/>
        </w:rPr>
        <w:t>)</w:t>
      </w:r>
      <w:r>
        <w:rPr>
          <w:rFonts w:eastAsia="Times New Roman" w:cs="Arial"/>
          <w:color w:val="000000"/>
        </w:rPr>
        <w:t xml:space="preserve">, </w:t>
      </w:r>
      <w:r w:rsidR="00104E51">
        <w:rPr>
          <w:rFonts w:eastAsia="Times New Roman" w:cs="Arial"/>
          <w:color w:val="000000"/>
        </w:rPr>
        <w:t xml:space="preserve">California </w:t>
      </w:r>
      <w:r>
        <w:rPr>
          <w:rFonts w:eastAsia="Times New Roman" w:cs="Arial"/>
          <w:color w:val="000000"/>
        </w:rPr>
        <w:t xml:space="preserve">Energy Commission and </w:t>
      </w:r>
      <w:r w:rsidR="00592B36">
        <w:rPr>
          <w:rFonts w:eastAsia="Times New Roman" w:cs="Arial"/>
          <w:color w:val="000000"/>
        </w:rPr>
        <w:t>o</w:t>
      </w:r>
      <w:r>
        <w:rPr>
          <w:rFonts w:eastAsia="Times New Roman" w:cs="Arial"/>
          <w:color w:val="000000"/>
        </w:rPr>
        <w:t>ther agencies</w:t>
      </w:r>
      <w:r w:rsidR="00945226">
        <w:rPr>
          <w:rFonts w:eastAsia="Times New Roman" w:cs="Arial"/>
          <w:color w:val="000000"/>
        </w:rPr>
        <w:t xml:space="preserve"> to</w:t>
      </w:r>
      <w:r>
        <w:rPr>
          <w:rFonts w:eastAsia="Times New Roman" w:cs="Arial"/>
          <w:color w:val="000000"/>
        </w:rPr>
        <w:t xml:space="preserve"> continue working with stakeholders and expanding the forest biomass collaborative to identify and promote small-scale forest biomass projects that reduce fire hazards, restore healthier, more resilient forests, provide renewable energy, and promote rural economic development</w:t>
      </w:r>
      <w:r w:rsidR="0094664B">
        <w:rPr>
          <w:rFonts w:eastAsia="Times New Roman" w:cs="Arial"/>
          <w:color w:val="000000"/>
        </w:rPr>
        <w:t xml:space="preserve"> </w:t>
      </w:r>
      <w:r>
        <w:rPr>
          <w:rFonts w:eastAsia="Times New Roman" w:cs="Arial"/>
          <w:color w:val="000000"/>
        </w:rPr>
        <w:t>(Section 1</w:t>
      </w:r>
      <w:r w:rsidR="0094664B">
        <w:rPr>
          <w:rFonts w:eastAsia="Times New Roman" w:cs="Arial"/>
          <w:color w:val="000000"/>
        </w:rPr>
        <w:t>:</w:t>
      </w:r>
      <w:r>
        <w:rPr>
          <w:rFonts w:eastAsia="Times New Roman" w:cs="Arial"/>
          <w:color w:val="000000"/>
        </w:rPr>
        <w:t xml:space="preserve"> 1.1)</w:t>
      </w:r>
    </w:p>
    <w:p w:rsidR="0094664B" w:rsidRDefault="0094664B" w:rsidP="00287EBC">
      <w:pPr>
        <w:ind w:left="720"/>
        <w:rPr>
          <w:rFonts w:eastAsia="Times New Roman" w:cs="Arial"/>
          <w:color w:val="000000"/>
        </w:rPr>
      </w:pPr>
    </w:p>
    <w:p w:rsidR="0094664B" w:rsidRPr="00EB0885" w:rsidRDefault="0094664B" w:rsidP="00EC5520">
      <w:pPr>
        <w:rPr>
          <w:rFonts w:eastAsia="Times New Roman"/>
        </w:rPr>
      </w:pPr>
      <w:r>
        <w:t>The Action Plan continues by stating “</w:t>
      </w:r>
      <w:r w:rsidRPr="00EB0885">
        <w:t>Biomass energy facilities are essential to achieving forest restoration activities and rural economic development objectives in California’s forested areas.</w:t>
      </w:r>
      <w:r w:rsidR="00104E51">
        <w:t>”</w:t>
      </w:r>
      <w:r w:rsidRPr="00EB0885">
        <w:rPr>
          <w:rFonts w:eastAsia="Times New Roman"/>
        </w:rPr>
        <w:t xml:space="preserve"> The Sierra Nevada Conservancy is providing state agency leadership in working with a diverse group of stakeholders and government entities to promote small-scale bioenergy projects that are consistent with forest restoration, economic development, and social equity objectives.</w:t>
      </w:r>
    </w:p>
    <w:p w:rsidR="0094664B" w:rsidRDefault="00945226" w:rsidP="00EC5520">
      <w:r>
        <w:t>The Sierra Nevada Conservancy is c</w:t>
      </w:r>
      <w:r w:rsidR="0094664B" w:rsidRPr="00EC5520">
        <w:t>oordinat</w:t>
      </w:r>
      <w:r w:rsidR="00592B36">
        <w:t>ing</w:t>
      </w:r>
      <w:r w:rsidR="0094664B" w:rsidRPr="00EC5520">
        <w:t xml:space="preserve"> the Biomass Working Group, a collaborative of agencies, stakeholders and technical experts, to</w:t>
      </w:r>
      <w:r w:rsidR="0094664B" w:rsidRPr="00727A8E">
        <w:t>:</w:t>
      </w:r>
    </w:p>
    <w:p w:rsidR="00104E51" w:rsidRPr="00D36CFF" w:rsidRDefault="00104E51" w:rsidP="00EC5520"/>
    <w:p w:rsidR="0094664B" w:rsidRPr="00E25A04" w:rsidRDefault="00104E51" w:rsidP="00EC5520">
      <w:pPr>
        <w:pStyle w:val="ListParagraph"/>
        <w:numPr>
          <w:ilvl w:val="0"/>
          <w:numId w:val="12"/>
        </w:numPr>
      </w:pPr>
      <w:r>
        <w:t>R</w:t>
      </w:r>
      <w:r w:rsidR="0094664B" w:rsidRPr="00E25A04">
        <w:t>efine criteria for community-scale biomass energy facili</w:t>
      </w:r>
      <w:r w:rsidR="0094664B">
        <w:t>ties</w:t>
      </w:r>
      <w:r w:rsidR="0094664B" w:rsidRPr="00E25A04">
        <w:t>, identify a few candidate projects, and seek developers and cost-share for deploying and demonstrating commercial and emerging community-scale bioenergy technologies.</w:t>
      </w:r>
    </w:p>
    <w:p w:rsidR="0094664B" w:rsidRPr="00EC5520" w:rsidRDefault="0094664B" w:rsidP="00EC5520">
      <w:pPr>
        <w:pStyle w:val="ListParagraph"/>
        <w:numPr>
          <w:ilvl w:val="0"/>
          <w:numId w:val="12"/>
        </w:numPr>
        <w:rPr>
          <w:color w:val="000000"/>
        </w:rPr>
      </w:pPr>
      <w:r w:rsidRPr="00945226">
        <w:rPr>
          <w:color w:val="000000"/>
        </w:rPr>
        <w:t xml:space="preserve">Identify and seek private, state, including public interest </w:t>
      </w:r>
      <w:r w:rsidR="0027720C">
        <w:rPr>
          <w:color w:val="000000"/>
        </w:rPr>
        <w:t xml:space="preserve">energy </w:t>
      </w:r>
      <w:r w:rsidRPr="00945226">
        <w:rPr>
          <w:color w:val="000000"/>
        </w:rPr>
        <w:t xml:space="preserve">research and </w:t>
      </w:r>
      <w:r w:rsidR="00F91250">
        <w:rPr>
          <w:color w:val="000000"/>
        </w:rPr>
        <w:t>electricity production investment charge</w:t>
      </w:r>
      <w:r w:rsidRPr="00945226">
        <w:rPr>
          <w:color w:val="000000"/>
        </w:rPr>
        <w:t>, and federal funding</w:t>
      </w:r>
      <w:r w:rsidRPr="00D90834">
        <w:t xml:space="preserve"> for feasibility studies, pilot and demonstration projects, and research to support community-scale biomass utilization projects.</w:t>
      </w:r>
    </w:p>
    <w:p w:rsidR="00930A8F" w:rsidRDefault="00930A8F">
      <w:pPr>
        <w:pStyle w:val="ListParagraph"/>
        <w:rPr>
          <w:color w:val="000000"/>
        </w:rPr>
      </w:pPr>
    </w:p>
    <w:p w:rsidR="0094664B" w:rsidRDefault="00B15B80" w:rsidP="0094664B">
      <w:pPr>
        <w:rPr>
          <w:rFonts w:cs="Arial"/>
        </w:rPr>
      </w:pPr>
      <w:r>
        <w:rPr>
          <w:rFonts w:cs="Arial"/>
        </w:rPr>
        <w:t xml:space="preserve">The </w:t>
      </w:r>
      <w:r w:rsidR="0094664B">
        <w:rPr>
          <w:rFonts w:cs="Arial"/>
        </w:rPr>
        <w:t xml:space="preserve">focus of this </w:t>
      </w:r>
      <w:r>
        <w:rPr>
          <w:rFonts w:cs="Arial"/>
        </w:rPr>
        <w:t xml:space="preserve">investment </w:t>
      </w:r>
      <w:r w:rsidR="0094664B">
        <w:rPr>
          <w:rFonts w:cs="Arial"/>
        </w:rPr>
        <w:t xml:space="preserve">proposal </w:t>
      </w:r>
      <w:r>
        <w:rPr>
          <w:rFonts w:cs="Arial"/>
        </w:rPr>
        <w:t xml:space="preserve">is </w:t>
      </w:r>
      <w:r w:rsidR="00FD1BA6">
        <w:rPr>
          <w:rFonts w:cs="Arial"/>
        </w:rPr>
        <w:t xml:space="preserve">to deliver GHG emission reductions through investments in forest restoration and management, and development of </w:t>
      </w:r>
      <w:r>
        <w:rPr>
          <w:rFonts w:cs="Arial"/>
        </w:rPr>
        <w:t>c</w:t>
      </w:r>
      <w:r w:rsidRPr="00AB2DB7">
        <w:rPr>
          <w:rFonts w:cs="Arial"/>
        </w:rPr>
        <w:t>ommunity-scale bio</w:t>
      </w:r>
      <w:r w:rsidR="00FD1BA6">
        <w:rPr>
          <w:rFonts w:cs="Arial"/>
        </w:rPr>
        <w:t>energy facilities.</w:t>
      </w:r>
      <w:r w:rsidR="0094664B" w:rsidRPr="0094664B">
        <w:rPr>
          <w:rFonts w:cs="Arial"/>
        </w:rPr>
        <w:t xml:space="preserve"> </w:t>
      </w:r>
      <w:r w:rsidR="0094664B">
        <w:rPr>
          <w:rFonts w:cs="Arial"/>
        </w:rPr>
        <w:t xml:space="preserve">This proposal is outlined in a way that all three components support forest biomass utilization, primarily for distributed electricity </w:t>
      </w:r>
      <w:r w:rsidR="00F91250">
        <w:rPr>
          <w:rFonts w:cs="Arial"/>
        </w:rPr>
        <w:t xml:space="preserve">generation </w:t>
      </w:r>
      <w:r w:rsidR="0094664B">
        <w:rPr>
          <w:rFonts w:cs="Arial"/>
        </w:rPr>
        <w:t>in rural communities</w:t>
      </w:r>
      <w:r w:rsidR="00DC607E">
        <w:rPr>
          <w:rFonts w:cs="Arial"/>
        </w:rPr>
        <w:t>;</w:t>
      </w:r>
      <w:r w:rsidR="0094664B">
        <w:rPr>
          <w:rFonts w:cs="Arial"/>
        </w:rPr>
        <w:t xml:space="preserve"> however</w:t>
      </w:r>
      <w:r w:rsidR="00DC607E">
        <w:rPr>
          <w:rFonts w:cs="Arial"/>
        </w:rPr>
        <w:t>,</w:t>
      </w:r>
      <w:r w:rsidR="0094664B">
        <w:rPr>
          <w:rFonts w:cs="Arial"/>
        </w:rPr>
        <w:t xml:space="preserve"> each component can be funded separately.  The first section </w:t>
      </w:r>
      <w:r w:rsidR="00DC607E">
        <w:rPr>
          <w:rFonts w:cs="Arial"/>
        </w:rPr>
        <w:t xml:space="preserve">provides </w:t>
      </w:r>
      <w:r w:rsidR="0094664B">
        <w:rPr>
          <w:rFonts w:cs="Arial"/>
        </w:rPr>
        <w:t xml:space="preserve">funds </w:t>
      </w:r>
      <w:r w:rsidR="00DC607E">
        <w:rPr>
          <w:rFonts w:cs="Arial"/>
        </w:rPr>
        <w:t xml:space="preserve">related directly to </w:t>
      </w:r>
      <w:r w:rsidR="0094664B">
        <w:rPr>
          <w:rFonts w:cs="Arial"/>
        </w:rPr>
        <w:t xml:space="preserve">the start-up of these small-scale facilities producing 3 MW or less of power.  The second component helps offset the prohibitive costs of transporting forest </w:t>
      </w:r>
      <w:r w:rsidR="00592B36">
        <w:rPr>
          <w:rFonts w:cs="Arial"/>
        </w:rPr>
        <w:t xml:space="preserve">fuels </w:t>
      </w:r>
      <w:r w:rsidR="0094664B">
        <w:rPr>
          <w:rFonts w:cs="Arial"/>
        </w:rPr>
        <w:t xml:space="preserve">from the woods to the facilities.  Finally the third component directly invests </w:t>
      </w:r>
      <w:r w:rsidR="005453CD">
        <w:rPr>
          <w:rFonts w:cs="Arial"/>
        </w:rPr>
        <w:t xml:space="preserve">in forest restoration and management </w:t>
      </w:r>
      <w:r w:rsidR="0094664B">
        <w:rPr>
          <w:rFonts w:cs="Arial"/>
        </w:rPr>
        <w:t>by funding forest thinning projects which reduce fuels</w:t>
      </w:r>
      <w:r w:rsidR="00104E51">
        <w:rPr>
          <w:rFonts w:cs="Arial"/>
        </w:rPr>
        <w:t>,</w:t>
      </w:r>
      <w:r w:rsidR="0094664B">
        <w:rPr>
          <w:rFonts w:cs="Arial"/>
        </w:rPr>
        <w:t xml:space="preserve"> help prevent catastrophic fire</w:t>
      </w:r>
      <w:r w:rsidR="00104E51">
        <w:rPr>
          <w:rFonts w:cs="Arial"/>
        </w:rPr>
        <w:t>, and increase forest health and resilience</w:t>
      </w:r>
      <w:r w:rsidR="0094664B">
        <w:rPr>
          <w:rFonts w:cs="Arial"/>
        </w:rPr>
        <w:t xml:space="preserve">. </w:t>
      </w:r>
      <w:r w:rsidR="005453CD">
        <w:rPr>
          <w:rFonts w:cs="Arial"/>
        </w:rPr>
        <w:t>Additionally, these activities will secur</w:t>
      </w:r>
      <w:r w:rsidR="00A27916">
        <w:rPr>
          <w:rFonts w:cs="Arial"/>
        </w:rPr>
        <w:t>e</w:t>
      </w:r>
      <w:r w:rsidR="005453CD">
        <w:rPr>
          <w:rFonts w:cs="Arial"/>
        </w:rPr>
        <w:t xml:space="preserve"> the fuel supply for the bioenergy facilities.</w:t>
      </w:r>
      <w:r w:rsidR="0094664B">
        <w:rPr>
          <w:rFonts w:cs="Arial"/>
        </w:rPr>
        <w:t xml:space="preserve"> </w:t>
      </w:r>
    </w:p>
    <w:p w:rsidR="000D17DA" w:rsidRPr="00AB2DB7" w:rsidRDefault="000D17DA">
      <w:pPr>
        <w:rPr>
          <w:rFonts w:cs="Arial"/>
        </w:rPr>
      </w:pPr>
    </w:p>
    <w:p w:rsidR="000D17DA" w:rsidRPr="00AB2DB7" w:rsidRDefault="000D17DA">
      <w:pPr>
        <w:rPr>
          <w:rFonts w:cs="Arial"/>
        </w:rPr>
      </w:pPr>
      <w:r w:rsidRPr="00AB2DB7">
        <w:rPr>
          <w:rFonts w:cs="Arial"/>
        </w:rPr>
        <w:t xml:space="preserve">These forestry </w:t>
      </w:r>
      <w:r w:rsidR="006B37B5" w:rsidRPr="00AB2DB7">
        <w:rPr>
          <w:rFonts w:cs="Arial"/>
        </w:rPr>
        <w:t xml:space="preserve">and </w:t>
      </w:r>
      <w:r w:rsidR="00AD7F03" w:rsidRPr="00AB2DB7">
        <w:rPr>
          <w:rFonts w:cs="Arial"/>
        </w:rPr>
        <w:t xml:space="preserve">renewable </w:t>
      </w:r>
      <w:r w:rsidR="006B37B5" w:rsidRPr="00AB2DB7">
        <w:rPr>
          <w:rFonts w:cs="Arial"/>
        </w:rPr>
        <w:t xml:space="preserve">energy </w:t>
      </w:r>
      <w:r w:rsidRPr="00AB2DB7">
        <w:rPr>
          <w:rFonts w:cs="Arial"/>
        </w:rPr>
        <w:t xml:space="preserve">sector activities have the capability of providing significant </w:t>
      </w:r>
      <w:r w:rsidR="0031734F" w:rsidRPr="00D53376">
        <w:rPr>
          <w:rFonts w:cs="Arial"/>
        </w:rPr>
        <w:t xml:space="preserve">carbon </w:t>
      </w:r>
      <w:r w:rsidRPr="00D53376">
        <w:rPr>
          <w:rFonts w:cs="Arial"/>
        </w:rPr>
        <w:t xml:space="preserve">sequestration and </w:t>
      </w:r>
      <w:r w:rsidR="0031734F" w:rsidRPr="00D53376">
        <w:rPr>
          <w:rFonts w:cs="Arial"/>
        </w:rPr>
        <w:t xml:space="preserve">GHG </w:t>
      </w:r>
      <w:r w:rsidRPr="00D53376">
        <w:rPr>
          <w:rFonts w:cs="Arial"/>
        </w:rPr>
        <w:t>emission reduction benefits.  In addition, these activities can be targeted to disadvantage</w:t>
      </w:r>
      <w:r w:rsidR="00BC7F11">
        <w:rPr>
          <w:rFonts w:cs="Arial"/>
        </w:rPr>
        <w:t xml:space="preserve">d rural communities and can provide substantial environmental, economic, and social co-benefits.  These programs are scalable as more funding resources become available from cap and trade allowance revenues and as program implementation capacity is </w:t>
      </w:r>
      <w:r w:rsidR="00BC7F11">
        <w:rPr>
          <w:rFonts w:cs="Arial"/>
        </w:rPr>
        <w:lastRenderedPageBreak/>
        <w:t>built.  Some of this implementation capacity already exists within state and federal agencies and can be built upon quickly, efficiently, and effectively.</w:t>
      </w:r>
    </w:p>
    <w:p w:rsidR="0094664B" w:rsidRDefault="00BC7F11">
      <w:pPr>
        <w:rPr>
          <w:rFonts w:cs="Arial"/>
        </w:rPr>
      </w:pPr>
      <w:r>
        <w:rPr>
          <w:rFonts w:cs="Arial"/>
        </w:rPr>
        <w:t>We seek $15 million in year one from Cap-n-Trade Auction Revenues</w:t>
      </w:r>
      <w:r w:rsidR="00497A34" w:rsidRPr="00D53376">
        <w:rPr>
          <w:rFonts w:cs="Arial"/>
        </w:rPr>
        <w:t>, to be distributed across these three forestry and renewable energy sector activities.  In years 2 and 3</w:t>
      </w:r>
      <w:r>
        <w:rPr>
          <w:rFonts w:cs="Arial"/>
        </w:rPr>
        <w:t xml:space="preserve"> of the initial investment plan, we seek $</w:t>
      </w:r>
      <w:r w:rsidR="003C708F">
        <w:rPr>
          <w:rFonts w:cs="Arial"/>
        </w:rPr>
        <w:t>3</w:t>
      </w:r>
      <w:r>
        <w:rPr>
          <w:rFonts w:cs="Arial"/>
        </w:rPr>
        <w:t>0 and $</w:t>
      </w:r>
      <w:r w:rsidR="003C708F">
        <w:rPr>
          <w:rFonts w:cs="Arial"/>
        </w:rPr>
        <w:t>4</w:t>
      </w:r>
      <w:r>
        <w:rPr>
          <w:rFonts w:cs="Arial"/>
        </w:rPr>
        <w:t>5 million, respectively.  These funds could be administered via grant program</w:t>
      </w:r>
      <w:r w:rsidR="00EC5520">
        <w:rPr>
          <w:rFonts w:cs="Arial"/>
        </w:rPr>
        <w:t>s and direct implementation</w:t>
      </w:r>
      <w:r>
        <w:rPr>
          <w:rFonts w:cs="Arial"/>
        </w:rPr>
        <w:t xml:space="preserve"> by the Sierra Nevada Conservancy</w:t>
      </w:r>
      <w:r w:rsidR="00EC5520">
        <w:rPr>
          <w:rFonts w:cs="Arial"/>
        </w:rPr>
        <w:t xml:space="preserve">, CAL FIRE, </w:t>
      </w:r>
      <w:r>
        <w:rPr>
          <w:rFonts w:cs="Arial"/>
        </w:rPr>
        <w:t xml:space="preserve">or other appropriate state </w:t>
      </w:r>
      <w:r w:rsidR="00EC5520">
        <w:rPr>
          <w:rFonts w:cs="Arial"/>
        </w:rPr>
        <w:t>agencies</w:t>
      </w:r>
      <w:r>
        <w:rPr>
          <w:rFonts w:cs="Arial"/>
        </w:rPr>
        <w:t>.  Please see each section below for details of each request, including a summary of direct benefits in carbon sequestration</w:t>
      </w:r>
      <w:r w:rsidR="00EC5520">
        <w:rPr>
          <w:rFonts w:cs="Arial"/>
        </w:rPr>
        <w:t>,</w:t>
      </w:r>
      <w:r>
        <w:rPr>
          <w:rFonts w:cs="Arial"/>
        </w:rPr>
        <w:t xml:space="preserve"> accompanying reductions in GHG emissions, and </w:t>
      </w:r>
      <w:r w:rsidR="00EC5520">
        <w:rPr>
          <w:rFonts w:cs="Arial"/>
        </w:rPr>
        <w:t>co-</w:t>
      </w:r>
      <w:r>
        <w:rPr>
          <w:rFonts w:cs="Arial"/>
        </w:rPr>
        <w:t>benefits.</w:t>
      </w:r>
      <w:r w:rsidR="00AC1F34">
        <w:rPr>
          <w:rFonts w:cs="Arial"/>
        </w:rPr>
        <w:t xml:space="preserve">  The potential GHG benefits realized by 2050</w:t>
      </w:r>
      <w:r w:rsidR="00E04F4B">
        <w:rPr>
          <w:rFonts w:cs="Arial"/>
        </w:rPr>
        <w:t>, as a result of this investment</w:t>
      </w:r>
      <w:r w:rsidR="00AC1F34">
        <w:rPr>
          <w:rFonts w:cs="Arial"/>
        </w:rPr>
        <w:t xml:space="preserve"> </w:t>
      </w:r>
      <w:r w:rsidR="004650A7">
        <w:rPr>
          <w:rFonts w:cs="Arial"/>
        </w:rPr>
        <w:t xml:space="preserve">proposal </w:t>
      </w:r>
      <w:r w:rsidR="00AC1F34">
        <w:rPr>
          <w:rFonts w:cs="Arial"/>
        </w:rPr>
        <w:t>are substantial</w:t>
      </w:r>
      <w:r w:rsidR="00E04F4B">
        <w:rPr>
          <w:rFonts w:cs="Arial"/>
        </w:rPr>
        <w:t xml:space="preserve">, with a </w:t>
      </w:r>
      <w:r w:rsidR="00462D3C">
        <w:rPr>
          <w:rFonts w:cs="Arial"/>
        </w:rPr>
        <w:t>total sequestration of 8 million metric tons from all three investment areas</w:t>
      </w:r>
      <w:r w:rsidR="00E04F4B">
        <w:rPr>
          <w:rFonts w:cs="Arial"/>
        </w:rPr>
        <w:t xml:space="preserve">. </w:t>
      </w:r>
    </w:p>
    <w:p w:rsidR="002F737E" w:rsidRDefault="002F737E">
      <w:pPr>
        <w:rPr>
          <w:rFonts w:cs="Arial"/>
          <w:b/>
        </w:rPr>
      </w:pPr>
    </w:p>
    <w:p w:rsidR="0094664B" w:rsidRPr="00936845" w:rsidRDefault="008D7323">
      <w:pPr>
        <w:rPr>
          <w:rFonts w:cs="Arial"/>
          <w:b/>
        </w:rPr>
      </w:pPr>
      <w:r w:rsidRPr="008D7323">
        <w:rPr>
          <w:rFonts w:cs="Arial"/>
          <w:b/>
        </w:rPr>
        <w:t>Investment Proposal Summary</w:t>
      </w:r>
    </w:p>
    <w:p w:rsidR="0094664B" w:rsidRDefault="0094664B">
      <w:pPr>
        <w:rPr>
          <w:rFonts w:cs="Arial"/>
        </w:rPr>
      </w:pPr>
    </w:p>
    <w:tbl>
      <w:tblPr>
        <w:tblStyle w:val="TableGrid"/>
        <w:tblW w:w="0" w:type="auto"/>
        <w:tblLook w:val="04A0" w:firstRow="1" w:lastRow="0" w:firstColumn="1" w:lastColumn="0" w:noHBand="0" w:noVBand="1"/>
      </w:tblPr>
      <w:tblGrid>
        <w:gridCol w:w="1657"/>
        <w:gridCol w:w="1666"/>
        <w:gridCol w:w="2139"/>
        <w:gridCol w:w="1801"/>
        <w:gridCol w:w="1593"/>
      </w:tblGrid>
      <w:tr w:rsidR="00054DA4" w:rsidTr="00F75AA3">
        <w:trPr>
          <w:trHeight w:val="856"/>
        </w:trPr>
        <w:tc>
          <w:tcPr>
            <w:tcW w:w="1657" w:type="dxa"/>
            <w:vAlign w:val="bottom"/>
          </w:tcPr>
          <w:p w:rsidR="00727A8E" w:rsidRDefault="00727A8E" w:rsidP="00F75AA3">
            <w:pPr>
              <w:jc w:val="center"/>
              <w:rPr>
                <w:rFonts w:cs="Arial"/>
              </w:rPr>
            </w:pPr>
          </w:p>
        </w:tc>
        <w:tc>
          <w:tcPr>
            <w:tcW w:w="1666" w:type="dxa"/>
            <w:vAlign w:val="bottom"/>
          </w:tcPr>
          <w:p w:rsidR="00727A8E" w:rsidRDefault="00E91791" w:rsidP="00F75AA3">
            <w:pPr>
              <w:jc w:val="center"/>
              <w:rPr>
                <w:rFonts w:cs="Arial"/>
              </w:rPr>
            </w:pPr>
            <w:r>
              <w:rPr>
                <w:rFonts w:cs="Arial"/>
              </w:rPr>
              <w:t xml:space="preserve">1. </w:t>
            </w:r>
            <w:r w:rsidR="00727A8E">
              <w:rPr>
                <w:rFonts w:cs="Arial"/>
              </w:rPr>
              <w:t>Bioenergy Facilities</w:t>
            </w:r>
          </w:p>
        </w:tc>
        <w:tc>
          <w:tcPr>
            <w:tcW w:w="2139" w:type="dxa"/>
            <w:vAlign w:val="bottom"/>
          </w:tcPr>
          <w:p w:rsidR="00727A8E" w:rsidRDefault="00E91791" w:rsidP="00E6353C">
            <w:pPr>
              <w:jc w:val="center"/>
              <w:rPr>
                <w:rFonts w:cs="Arial"/>
              </w:rPr>
            </w:pPr>
            <w:r>
              <w:rPr>
                <w:rFonts w:cs="Arial"/>
              </w:rPr>
              <w:t xml:space="preserve">2. </w:t>
            </w:r>
            <w:r w:rsidR="00592B36">
              <w:rPr>
                <w:rFonts w:cs="Arial"/>
              </w:rPr>
              <w:t>Fuel Delivery</w:t>
            </w:r>
            <w:r w:rsidR="00727A8E">
              <w:rPr>
                <w:rFonts w:cs="Arial"/>
              </w:rPr>
              <w:t xml:space="preserve"> Transportation Incentive</w:t>
            </w:r>
          </w:p>
        </w:tc>
        <w:tc>
          <w:tcPr>
            <w:tcW w:w="1801" w:type="dxa"/>
            <w:vAlign w:val="bottom"/>
          </w:tcPr>
          <w:p w:rsidR="00727A8E" w:rsidRDefault="00E91791">
            <w:pPr>
              <w:jc w:val="center"/>
              <w:rPr>
                <w:rFonts w:cs="Arial"/>
              </w:rPr>
            </w:pPr>
            <w:r>
              <w:rPr>
                <w:rFonts w:cs="Arial"/>
              </w:rPr>
              <w:t xml:space="preserve">3. </w:t>
            </w:r>
            <w:r w:rsidR="00727A8E">
              <w:rPr>
                <w:rFonts w:cs="Arial"/>
              </w:rPr>
              <w:t>Forest Treatments</w:t>
            </w:r>
          </w:p>
        </w:tc>
        <w:tc>
          <w:tcPr>
            <w:tcW w:w="1593" w:type="dxa"/>
            <w:vAlign w:val="bottom"/>
          </w:tcPr>
          <w:p w:rsidR="00727A8E" w:rsidRDefault="00727A8E">
            <w:pPr>
              <w:jc w:val="center"/>
              <w:rPr>
                <w:rFonts w:cs="Arial"/>
              </w:rPr>
            </w:pPr>
            <w:r>
              <w:rPr>
                <w:rFonts w:cs="Arial"/>
              </w:rPr>
              <w:t>TOTAL</w:t>
            </w:r>
          </w:p>
        </w:tc>
      </w:tr>
      <w:tr w:rsidR="00054DA4" w:rsidTr="00F75AA3">
        <w:trPr>
          <w:trHeight w:val="576"/>
        </w:trPr>
        <w:tc>
          <w:tcPr>
            <w:tcW w:w="1657" w:type="dxa"/>
          </w:tcPr>
          <w:p w:rsidR="00727A8E" w:rsidRDefault="00EC5520">
            <w:pPr>
              <w:rPr>
                <w:rFonts w:cs="Arial"/>
              </w:rPr>
            </w:pPr>
            <w:r>
              <w:rPr>
                <w:rFonts w:cs="Arial"/>
              </w:rPr>
              <w:t xml:space="preserve">Year </w:t>
            </w:r>
            <w:r w:rsidR="00727A8E">
              <w:rPr>
                <w:rFonts w:cs="Arial"/>
              </w:rPr>
              <w:t xml:space="preserve">1 (FY </w:t>
            </w:r>
            <w:r w:rsidR="00AE589A">
              <w:rPr>
                <w:rFonts w:cs="Arial"/>
              </w:rPr>
              <w:t>20</w:t>
            </w:r>
            <w:r w:rsidR="00727A8E">
              <w:rPr>
                <w:rFonts w:cs="Arial"/>
              </w:rPr>
              <w:t>13-14)</w:t>
            </w:r>
          </w:p>
        </w:tc>
        <w:tc>
          <w:tcPr>
            <w:tcW w:w="1666" w:type="dxa"/>
          </w:tcPr>
          <w:p w:rsidR="00727A8E" w:rsidRDefault="00727A8E" w:rsidP="00EC5520">
            <w:pPr>
              <w:jc w:val="right"/>
              <w:rPr>
                <w:rFonts w:cs="Arial"/>
              </w:rPr>
            </w:pPr>
            <w:r>
              <w:rPr>
                <w:rFonts w:cs="Arial"/>
              </w:rPr>
              <w:t>$2.45</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$6.8 million</w:t>
            </w:r>
          </w:p>
        </w:tc>
        <w:tc>
          <w:tcPr>
            <w:tcW w:w="1801" w:type="dxa"/>
          </w:tcPr>
          <w:p w:rsidR="00727A8E" w:rsidRDefault="00DC1A2E" w:rsidP="00EC5520">
            <w:pPr>
              <w:jc w:val="right"/>
              <w:rPr>
                <w:rFonts w:cs="Arial"/>
              </w:rPr>
            </w:pPr>
            <w:r>
              <w:rPr>
                <w:rFonts w:cs="Arial"/>
              </w:rPr>
              <w:t>$5.75 million</w:t>
            </w:r>
          </w:p>
        </w:tc>
        <w:tc>
          <w:tcPr>
            <w:tcW w:w="1593" w:type="dxa"/>
          </w:tcPr>
          <w:p w:rsidR="00727A8E" w:rsidRDefault="00DC1A2E" w:rsidP="00EC5520">
            <w:pPr>
              <w:jc w:val="right"/>
              <w:rPr>
                <w:rFonts w:cs="Arial"/>
              </w:rPr>
            </w:pPr>
            <w:r>
              <w:rPr>
                <w:rFonts w:cs="Arial"/>
              </w:rPr>
              <w:t>$15 million</w:t>
            </w:r>
          </w:p>
        </w:tc>
      </w:tr>
      <w:tr w:rsidR="00054DA4" w:rsidTr="00F75AA3">
        <w:trPr>
          <w:trHeight w:val="560"/>
        </w:trPr>
        <w:tc>
          <w:tcPr>
            <w:tcW w:w="1657" w:type="dxa"/>
          </w:tcPr>
          <w:p w:rsidR="00727A8E" w:rsidRDefault="00EC5520">
            <w:pPr>
              <w:rPr>
                <w:rFonts w:cs="Arial"/>
              </w:rPr>
            </w:pPr>
            <w:r>
              <w:rPr>
                <w:rFonts w:cs="Arial"/>
              </w:rPr>
              <w:t xml:space="preserve">Year </w:t>
            </w:r>
            <w:r w:rsidR="00727A8E">
              <w:rPr>
                <w:rFonts w:cs="Arial"/>
              </w:rPr>
              <w:t xml:space="preserve">2 (FY </w:t>
            </w:r>
            <w:r w:rsidR="00AE589A">
              <w:rPr>
                <w:rFonts w:cs="Arial"/>
              </w:rPr>
              <w:t>20</w:t>
            </w:r>
            <w:r w:rsidR="00727A8E">
              <w:rPr>
                <w:rFonts w:cs="Arial"/>
              </w:rPr>
              <w:t>14-15)</w:t>
            </w:r>
          </w:p>
        </w:tc>
        <w:tc>
          <w:tcPr>
            <w:tcW w:w="1666" w:type="dxa"/>
          </w:tcPr>
          <w:p w:rsidR="00727A8E" w:rsidRDefault="00727A8E" w:rsidP="00EC5520">
            <w:pPr>
              <w:jc w:val="right"/>
              <w:rPr>
                <w:rFonts w:cs="Arial"/>
              </w:rPr>
            </w:pPr>
            <w:r>
              <w:rPr>
                <w:rFonts w:cs="Arial"/>
              </w:rPr>
              <w:t>$2.8</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w:t>
            </w:r>
            <w:r w:rsidR="00141B5A">
              <w:rPr>
                <w:rFonts w:cs="Arial"/>
              </w:rPr>
              <w:t>5</w:t>
            </w:r>
            <w:r>
              <w:rPr>
                <w:rFonts w:cs="Arial"/>
              </w:rPr>
              <w:t xml:space="preserve"> million</w:t>
            </w:r>
          </w:p>
        </w:tc>
        <w:tc>
          <w:tcPr>
            <w:tcW w:w="1801" w:type="dxa"/>
          </w:tcPr>
          <w:p w:rsidR="00727A8E" w:rsidRDefault="00DC1A2E" w:rsidP="00B76788">
            <w:pPr>
              <w:jc w:val="right"/>
              <w:rPr>
                <w:rFonts w:cs="Arial"/>
              </w:rPr>
            </w:pPr>
            <w:r>
              <w:rPr>
                <w:rFonts w:cs="Arial"/>
              </w:rPr>
              <w:t>$</w:t>
            </w:r>
            <w:r w:rsidR="003C708F">
              <w:rPr>
                <w:rFonts w:cs="Arial"/>
              </w:rPr>
              <w:t>2</w:t>
            </w:r>
            <w:r w:rsidR="00141B5A">
              <w:rPr>
                <w:rFonts w:cs="Arial"/>
              </w:rPr>
              <w:t>2</w:t>
            </w:r>
            <w:r>
              <w:rPr>
                <w:rFonts w:cs="Arial"/>
              </w:rPr>
              <w:t>.2 million</w:t>
            </w:r>
          </w:p>
        </w:tc>
        <w:tc>
          <w:tcPr>
            <w:tcW w:w="1593" w:type="dxa"/>
          </w:tcPr>
          <w:p w:rsidR="00727A8E" w:rsidRDefault="00DC1A2E" w:rsidP="00B76788">
            <w:pPr>
              <w:jc w:val="right"/>
              <w:rPr>
                <w:rFonts w:cs="Arial"/>
              </w:rPr>
            </w:pPr>
            <w:r>
              <w:rPr>
                <w:rFonts w:cs="Arial"/>
              </w:rPr>
              <w:t>$</w:t>
            </w:r>
            <w:r w:rsidR="003C708F">
              <w:rPr>
                <w:rFonts w:cs="Arial"/>
              </w:rPr>
              <w:t>3</w:t>
            </w:r>
            <w:r w:rsidR="00B76788">
              <w:rPr>
                <w:rFonts w:cs="Arial"/>
              </w:rPr>
              <w:t>0</w:t>
            </w:r>
            <w:r>
              <w:rPr>
                <w:rFonts w:cs="Arial"/>
              </w:rPr>
              <w:t xml:space="preserve"> million</w:t>
            </w:r>
          </w:p>
        </w:tc>
      </w:tr>
      <w:tr w:rsidR="00054DA4" w:rsidTr="00F75AA3">
        <w:trPr>
          <w:trHeight w:val="560"/>
        </w:trPr>
        <w:tc>
          <w:tcPr>
            <w:tcW w:w="1657" w:type="dxa"/>
          </w:tcPr>
          <w:p w:rsidR="00727A8E" w:rsidRDefault="00EC5520">
            <w:pPr>
              <w:rPr>
                <w:rFonts w:cs="Arial"/>
              </w:rPr>
            </w:pPr>
            <w:r>
              <w:rPr>
                <w:rFonts w:cs="Arial"/>
              </w:rPr>
              <w:t xml:space="preserve">Year </w:t>
            </w:r>
            <w:r w:rsidR="00727A8E">
              <w:rPr>
                <w:rFonts w:cs="Arial"/>
              </w:rPr>
              <w:t xml:space="preserve">3 (FY </w:t>
            </w:r>
            <w:r w:rsidR="00AE589A">
              <w:rPr>
                <w:rFonts w:cs="Arial"/>
              </w:rPr>
              <w:t>20</w:t>
            </w:r>
            <w:r w:rsidR="00727A8E">
              <w:rPr>
                <w:rFonts w:cs="Arial"/>
              </w:rPr>
              <w:t>15-16)</w:t>
            </w:r>
          </w:p>
        </w:tc>
        <w:tc>
          <w:tcPr>
            <w:tcW w:w="1666" w:type="dxa"/>
          </w:tcPr>
          <w:p w:rsidR="00727A8E" w:rsidRDefault="00727A8E" w:rsidP="00EC5520">
            <w:pPr>
              <w:jc w:val="right"/>
              <w:rPr>
                <w:rFonts w:cs="Arial"/>
              </w:rPr>
            </w:pPr>
            <w:r>
              <w:rPr>
                <w:rFonts w:cs="Arial"/>
              </w:rPr>
              <w:t>$4.2</w:t>
            </w:r>
            <w:r w:rsidR="00EC5520">
              <w:rPr>
                <w:rFonts w:cs="Arial"/>
              </w:rPr>
              <w:t xml:space="preserve"> </w:t>
            </w:r>
            <w:r w:rsidR="00945226">
              <w:rPr>
                <w:rFonts w:cs="Arial"/>
              </w:rPr>
              <w:t>m</w:t>
            </w:r>
            <w:r w:rsidR="00EC5520">
              <w:rPr>
                <w:rFonts w:cs="Arial"/>
              </w:rPr>
              <w:t>illion</w:t>
            </w:r>
          </w:p>
        </w:tc>
        <w:tc>
          <w:tcPr>
            <w:tcW w:w="2139" w:type="dxa"/>
          </w:tcPr>
          <w:p w:rsidR="00727A8E" w:rsidRDefault="00837B61" w:rsidP="00EC5520">
            <w:pPr>
              <w:jc w:val="right"/>
              <w:rPr>
                <w:rFonts w:cs="Arial"/>
              </w:rPr>
            </w:pPr>
            <w:r>
              <w:rPr>
                <w:rFonts w:cs="Arial"/>
              </w:rPr>
              <w:t>$</w:t>
            </w:r>
            <w:r w:rsidR="00141B5A">
              <w:rPr>
                <w:rFonts w:cs="Arial"/>
              </w:rPr>
              <w:t>4</w:t>
            </w:r>
            <w:r>
              <w:rPr>
                <w:rFonts w:cs="Arial"/>
              </w:rPr>
              <w:t xml:space="preserve"> million </w:t>
            </w:r>
          </w:p>
        </w:tc>
        <w:tc>
          <w:tcPr>
            <w:tcW w:w="1801" w:type="dxa"/>
          </w:tcPr>
          <w:p w:rsidR="00727A8E" w:rsidRDefault="00DC1A2E" w:rsidP="00EC5520">
            <w:pPr>
              <w:jc w:val="right"/>
              <w:rPr>
                <w:rFonts w:cs="Arial"/>
              </w:rPr>
            </w:pPr>
            <w:r>
              <w:rPr>
                <w:rFonts w:cs="Arial"/>
              </w:rPr>
              <w:t>$</w:t>
            </w:r>
            <w:r w:rsidR="003C708F">
              <w:rPr>
                <w:rFonts w:cs="Arial"/>
              </w:rPr>
              <w:t>3</w:t>
            </w:r>
            <w:r w:rsidR="00141B5A">
              <w:rPr>
                <w:rFonts w:cs="Arial"/>
              </w:rPr>
              <w:t>6</w:t>
            </w:r>
            <w:r>
              <w:rPr>
                <w:rFonts w:cs="Arial"/>
              </w:rPr>
              <w:t>.8 million</w:t>
            </w:r>
          </w:p>
        </w:tc>
        <w:tc>
          <w:tcPr>
            <w:tcW w:w="1593" w:type="dxa"/>
          </w:tcPr>
          <w:p w:rsidR="00727A8E" w:rsidRDefault="00DC1A2E" w:rsidP="00B76788">
            <w:pPr>
              <w:jc w:val="right"/>
              <w:rPr>
                <w:rFonts w:cs="Arial"/>
              </w:rPr>
            </w:pPr>
            <w:r>
              <w:rPr>
                <w:rFonts w:cs="Arial"/>
              </w:rPr>
              <w:t>$</w:t>
            </w:r>
            <w:r w:rsidR="003C708F">
              <w:rPr>
                <w:rFonts w:cs="Arial"/>
              </w:rPr>
              <w:t>4</w:t>
            </w:r>
            <w:r>
              <w:rPr>
                <w:rFonts w:cs="Arial"/>
              </w:rPr>
              <w:t xml:space="preserve">5 million </w:t>
            </w:r>
          </w:p>
        </w:tc>
      </w:tr>
      <w:tr w:rsidR="00054DA4" w:rsidTr="00F75AA3">
        <w:trPr>
          <w:trHeight w:val="280"/>
        </w:trPr>
        <w:tc>
          <w:tcPr>
            <w:tcW w:w="1657" w:type="dxa"/>
          </w:tcPr>
          <w:p w:rsidR="00727A8E" w:rsidRDefault="00727A8E">
            <w:pPr>
              <w:rPr>
                <w:rFonts w:cs="Arial"/>
              </w:rPr>
            </w:pPr>
            <w:r>
              <w:rPr>
                <w:rFonts w:cs="Arial"/>
              </w:rPr>
              <w:t>TOTAL</w:t>
            </w:r>
          </w:p>
        </w:tc>
        <w:tc>
          <w:tcPr>
            <w:tcW w:w="1666" w:type="dxa"/>
          </w:tcPr>
          <w:p w:rsidR="00727A8E" w:rsidRDefault="00EC5520" w:rsidP="00EC5520">
            <w:pPr>
              <w:jc w:val="right"/>
              <w:rPr>
                <w:rFonts w:cs="Arial"/>
              </w:rPr>
            </w:pPr>
            <w:r>
              <w:rPr>
                <w:rFonts w:cs="Arial"/>
              </w:rPr>
              <w:t>$</w:t>
            </w:r>
            <w:r w:rsidR="00727A8E">
              <w:rPr>
                <w:rFonts w:cs="Arial"/>
              </w:rPr>
              <w:t>9.45</w:t>
            </w:r>
            <w:r>
              <w:rPr>
                <w:rFonts w:cs="Arial"/>
              </w:rPr>
              <w:t xml:space="preserve"> </w:t>
            </w:r>
            <w:r w:rsidR="00945226">
              <w:rPr>
                <w:rFonts w:cs="Arial"/>
              </w:rPr>
              <w:t>m</w:t>
            </w:r>
            <w:r>
              <w:rPr>
                <w:rFonts w:cs="Arial"/>
              </w:rPr>
              <w:t>illion</w:t>
            </w:r>
          </w:p>
        </w:tc>
        <w:tc>
          <w:tcPr>
            <w:tcW w:w="2139" w:type="dxa"/>
          </w:tcPr>
          <w:p w:rsidR="00727A8E" w:rsidRDefault="00DC1A2E" w:rsidP="00EC5520">
            <w:pPr>
              <w:jc w:val="right"/>
              <w:rPr>
                <w:rFonts w:cs="Arial"/>
              </w:rPr>
            </w:pPr>
            <w:r>
              <w:rPr>
                <w:rFonts w:cs="Arial"/>
              </w:rPr>
              <w:t>$1</w:t>
            </w:r>
            <w:r w:rsidR="00141B5A">
              <w:rPr>
                <w:rFonts w:cs="Arial"/>
              </w:rPr>
              <w:t>5</w:t>
            </w:r>
            <w:r>
              <w:rPr>
                <w:rFonts w:cs="Arial"/>
              </w:rPr>
              <w:t>.8 million</w:t>
            </w:r>
          </w:p>
        </w:tc>
        <w:tc>
          <w:tcPr>
            <w:tcW w:w="1801" w:type="dxa"/>
          </w:tcPr>
          <w:p w:rsidR="00727A8E" w:rsidRDefault="00DC1A2E" w:rsidP="00B76788">
            <w:pPr>
              <w:jc w:val="right"/>
              <w:rPr>
                <w:rFonts w:cs="Arial"/>
              </w:rPr>
            </w:pPr>
            <w:r>
              <w:rPr>
                <w:rFonts w:cs="Arial"/>
              </w:rPr>
              <w:t>$</w:t>
            </w:r>
            <w:r w:rsidR="003C708F">
              <w:rPr>
                <w:rFonts w:cs="Arial"/>
              </w:rPr>
              <w:t>6</w:t>
            </w:r>
            <w:r w:rsidR="00141B5A">
              <w:rPr>
                <w:rFonts w:cs="Arial"/>
              </w:rPr>
              <w:t>4</w:t>
            </w:r>
            <w:r>
              <w:rPr>
                <w:rFonts w:cs="Arial"/>
              </w:rPr>
              <w:t>.75 million</w:t>
            </w:r>
          </w:p>
        </w:tc>
        <w:tc>
          <w:tcPr>
            <w:tcW w:w="1593" w:type="dxa"/>
          </w:tcPr>
          <w:p w:rsidR="00727A8E" w:rsidRDefault="00945226" w:rsidP="00B76788">
            <w:pPr>
              <w:jc w:val="right"/>
              <w:rPr>
                <w:rFonts w:cs="Arial"/>
              </w:rPr>
            </w:pPr>
            <w:r>
              <w:rPr>
                <w:rFonts w:cs="Arial"/>
              </w:rPr>
              <w:t>$</w:t>
            </w:r>
            <w:r w:rsidR="003C708F">
              <w:rPr>
                <w:rFonts w:cs="Arial"/>
              </w:rPr>
              <w:t>9</w:t>
            </w:r>
            <w:r w:rsidR="00B76788">
              <w:rPr>
                <w:rFonts w:cs="Arial"/>
              </w:rPr>
              <w:t>0</w:t>
            </w:r>
            <w:r w:rsidR="00EC5520">
              <w:rPr>
                <w:rFonts w:cs="Arial"/>
              </w:rPr>
              <w:t xml:space="preserve"> </w:t>
            </w:r>
            <w:r>
              <w:rPr>
                <w:rFonts w:cs="Arial"/>
              </w:rPr>
              <w:t>m</w:t>
            </w:r>
            <w:r w:rsidR="00EC5520">
              <w:rPr>
                <w:rFonts w:cs="Arial"/>
              </w:rPr>
              <w:t>illion</w:t>
            </w:r>
          </w:p>
        </w:tc>
      </w:tr>
      <w:tr w:rsidR="00133796" w:rsidTr="0027720C">
        <w:trPr>
          <w:trHeight w:val="576"/>
        </w:trPr>
        <w:tc>
          <w:tcPr>
            <w:tcW w:w="1657" w:type="dxa"/>
          </w:tcPr>
          <w:p w:rsidR="00133796" w:rsidRDefault="00133796" w:rsidP="0027720C">
            <w:pPr>
              <w:rPr>
                <w:rFonts w:cs="Arial"/>
              </w:rPr>
            </w:pPr>
          </w:p>
        </w:tc>
        <w:tc>
          <w:tcPr>
            <w:tcW w:w="1666" w:type="dxa"/>
          </w:tcPr>
          <w:p w:rsidR="00133796" w:rsidRDefault="00133796" w:rsidP="0027720C">
            <w:pPr>
              <w:rPr>
                <w:rFonts w:cs="Arial"/>
              </w:rPr>
            </w:pPr>
          </w:p>
        </w:tc>
        <w:tc>
          <w:tcPr>
            <w:tcW w:w="2139" w:type="dxa"/>
          </w:tcPr>
          <w:p w:rsidR="00133796" w:rsidRDefault="00133796" w:rsidP="0027720C">
            <w:pPr>
              <w:rPr>
                <w:rFonts w:cs="Arial"/>
              </w:rPr>
            </w:pPr>
          </w:p>
        </w:tc>
        <w:tc>
          <w:tcPr>
            <w:tcW w:w="1801" w:type="dxa"/>
          </w:tcPr>
          <w:p w:rsidR="00133796" w:rsidRDefault="00133796" w:rsidP="0027720C">
            <w:pPr>
              <w:rPr>
                <w:rFonts w:cs="Arial"/>
              </w:rPr>
            </w:pPr>
          </w:p>
        </w:tc>
        <w:tc>
          <w:tcPr>
            <w:tcW w:w="1593" w:type="dxa"/>
          </w:tcPr>
          <w:p w:rsidR="00133796" w:rsidRDefault="00133796" w:rsidP="0027720C">
            <w:pPr>
              <w:rPr>
                <w:rFonts w:cs="Arial"/>
              </w:rPr>
            </w:pPr>
          </w:p>
        </w:tc>
      </w:tr>
      <w:tr w:rsidR="00054DA4" w:rsidTr="0027720C">
        <w:trPr>
          <w:trHeight w:val="576"/>
        </w:trPr>
        <w:tc>
          <w:tcPr>
            <w:tcW w:w="1657" w:type="dxa"/>
          </w:tcPr>
          <w:p w:rsidR="00732AB4" w:rsidRDefault="00732AB4" w:rsidP="0027720C">
            <w:pPr>
              <w:rPr>
                <w:rFonts w:cs="Arial"/>
              </w:rPr>
            </w:pPr>
            <w:r>
              <w:rPr>
                <w:rFonts w:cs="Arial"/>
              </w:rPr>
              <w:t>Potential Implementing Agencies</w:t>
            </w:r>
          </w:p>
        </w:tc>
        <w:tc>
          <w:tcPr>
            <w:tcW w:w="1666" w:type="dxa"/>
          </w:tcPr>
          <w:p w:rsidR="00732AB4" w:rsidRDefault="00732AB4" w:rsidP="0027720C">
            <w:pPr>
              <w:rPr>
                <w:rFonts w:cs="Arial"/>
              </w:rPr>
            </w:pPr>
            <w:r>
              <w:rPr>
                <w:rFonts w:cs="Arial"/>
              </w:rPr>
              <w:t>SNC</w:t>
            </w:r>
          </w:p>
        </w:tc>
        <w:tc>
          <w:tcPr>
            <w:tcW w:w="2139" w:type="dxa"/>
          </w:tcPr>
          <w:p w:rsidR="00732AB4" w:rsidRDefault="00732AB4" w:rsidP="0027720C">
            <w:pPr>
              <w:rPr>
                <w:rFonts w:cs="Arial"/>
              </w:rPr>
            </w:pPr>
            <w:r>
              <w:rPr>
                <w:rFonts w:cs="Arial"/>
              </w:rPr>
              <w:t>SNC, CAL FIRE</w:t>
            </w:r>
          </w:p>
        </w:tc>
        <w:tc>
          <w:tcPr>
            <w:tcW w:w="1801" w:type="dxa"/>
          </w:tcPr>
          <w:p w:rsidR="00732AB4" w:rsidRDefault="00732AB4" w:rsidP="0027720C">
            <w:pPr>
              <w:rPr>
                <w:rFonts w:cs="Arial"/>
              </w:rPr>
            </w:pPr>
            <w:r>
              <w:rPr>
                <w:rFonts w:cs="Arial"/>
              </w:rPr>
              <w:t>CAL FIRE, SNC</w:t>
            </w:r>
            <w:r w:rsidR="004316F1">
              <w:rPr>
                <w:rFonts w:cs="Arial"/>
              </w:rPr>
              <w:t>, CDFW</w:t>
            </w:r>
          </w:p>
        </w:tc>
        <w:tc>
          <w:tcPr>
            <w:tcW w:w="1593" w:type="dxa"/>
          </w:tcPr>
          <w:p w:rsidR="00732AB4" w:rsidRDefault="00732AB4" w:rsidP="0027720C">
            <w:pPr>
              <w:rPr>
                <w:rFonts w:cs="Arial"/>
              </w:rPr>
            </w:pPr>
          </w:p>
        </w:tc>
      </w:tr>
      <w:tr w:rsidR="00054DA4" w:rsidTr="0027720C">
        <w:trPr>
          <w:trHeight w:val="576"/>
        </w:trPr>
        <w:tc>
          <w:tcPr>
            <w:tcW w:w="1657" w:type="dxa"/>
          </w:tcPr>
          <w:p w:rsidR="00732AB4" w:rsidRDefault="00732AB4" w:rsidP="0027720C">
            <w:pPr>
              <w:rPr>
                <w:rFonts w:cs="Arial"/>
              </w:rPr>
            </w:pPr>
            <w:r>
              <w:rPr>
                <w:rFonts w:cs="Arial"/>
              </w:rPr>
              <w:t xml:space="preserve">Potential </w:t>
            </w:r>
            <w:r w:rsidR="004316F1">
              <w:rPr>
                <w:rFonts w:cs="Arial"/>
              </w:rPr>
              <w:t xml:space="preserve">Recipients and </w:t>
            </w:r>
            <w:r>
              <w:rPr>
                <w:rFonts w:cs="Arial"/>
              </w:rPr>
              <w:t>Implementing Partners</w:t>
            </w:r>
            <w:r w:rsidR="004316F1">
              <w:rPr>
                <w:rFonts w:cs="Arial"/>
              </w:rPr>
              <w:t xml:space="preserve"> </w:t>
            </w:r>
          </w:p>
        </w:tc>
        <w:tc>
          <w:tcPr>
            <w:tcW w:w="1666" w:type="dxa"/>
          </w:tcPr>
          <w:p w:rsidR="00732AB4" w:rsidRDefault="003573D0">
            <w:pPr>
              <w:rPr>
                <w:rFonts w:cs="Arial"/>
              </w:rPr>
            </w:pPr>
            <w:r>
              <w:rPr>
                <w:rFonts w:cs="Arial"/>
              </w:rPr>
              <w:t>Community-based groups, b</w:t>
            </w:r>
            <w:r w:rsidR="00F75AA3">
              <w:rPr>
                <w:rFonts w:cs="Arial"/>
              </w:rPr>
              <w:t xml:space="preserve">iomass energy producers, </w:t>
            </w:r>
            <w:r w:rsidR="00732AB4">
              <w:rPr>
                <w:rFonts w:cs="Arial"/>
              </w:rPr>
              <w:t xml:space="preserve">CA Energy Commission, CAL FIRE </w:t>
            </w:r>
          </w:p>
        </w:tc>
        <w:tc>
          <w:tcPr>
            <w:tcW w:w="2139" w:type="dxa"/>
          </w:tcPr>
          <w:p w:rsidR="00732AB4" w:rsidRDefault="00F75AA3" w:rsidP="002404C2">
            <w:pPr>
              <w:rPr>
                <w:rFonts w:cs="Arial"/>
              </w:rPr>
            </w:pPr>
            <w:r>
              <w:rPr>
                <w:rFonts w:cs="Arial"/>
              </w:rPr>
              <w:t xml:space="preserve">Biomass </w:t>
            </w:r>
            <w:r w:rsidR="002404C2">
              <w:rPr>
                <w:rFonts w:cs="Arial"/>
              </w:rPr>
              <w:t>fuel suppliers</w:t>
            </w:r>
            <w:r w:rsidR="00C406A7">
              <w:rPr>
                <w:rFonts w:cs="Arial"/>
              </w:rPr>
              <w:t>, US Forest Service</w:t>
            </w:r>
          </w:p>
        </w:tc>
        <w:tc>
          <w:tcPr>
            <w:tcW w:w="1801" w:type="dxa"/>
          </w:tcPr>
          <w:p w:rsidR="00732AB4" w:rsidRDefault="00054DA4">
            <w:pPr>
              <w:rPr>
                <w:rFonts w:cs="Arial"/>
              </w:rPr>
            </w:pPr>
            <w:r>
              <w:rPr>
                <w:rFonts w:cs="Arial"/>
              </w:rPr>
              <w:t xml:space="preserve">Fire Safe Councils, local fire districts, CDFW, </w:t>
            </w:r>
            <w:r w:rsidR="00732AB4">
              <w:rPr>
                <w:rFonts w:cs="Arial"/>
              </w:rPr>
              <w:t>US Forest Service, private forest landowners</w:t>
            </w:r>
          </w:p>
        </w:tc>
        <w:tc>
          <w:tcPr>
            <w:tcW w:w="1593" w:type="dxa"/>
          </w:tcPr>
          <w:p w:rsidR="00732AB4" w:rsidRDefault="00732AB4" w:rsidP="0027720C">
            <w:pPr>
              <w:rPr>
                <w:rFonts w:cs="Arial"/>
              </w:rPr>
            </w:pPr>
          </w:p>
        </w:tc>
      </w:tr>
    </w:tbl>
    <w:p w:rsidR="0094664B" w:rsidRPr="00AB2DB7" w:rsidRDefault="0094664B">
      <w:pPr>
        <w:rPr>
          <w:rFonts w:cs="Arial"/>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2F737E" w:rsidRDefault="002F737E" w:rsidP="00537E78">
      <w:pPr>
        <w:rPr>
          <w:rFonts w:cs="Arial"/>
          <w:b/>
        </w:rPr>
      </w:pPr>
    </w:p>
    <w:p w:rsidR="00537E78" w:rsidRPr="00537E78" w:rsidRDefault="00537E78" w:rsidP="00537E78">
      <w:pPr>
        <w:rPr>
          <w:rFonts w:cs="Arial"/>
          <w:b/>
        </w:rPr>
      </w:pPr>
      <w:r>
        <w:rPr>
          <w:rFonts w:cs="Arial"/>
          <w:b/>
        </w:rPr>
        <w:t>Greenhouse Gas Benefits (CO</w:t>
      </w:r>
      <w:r>
        <w:rPr>
          <w:rFonts w:cs="Arial"/>
          <w:b/>
          <w:vertAlign w:val="subscript"/>
        </w:rPr>
        <w:t>2</w:t>
      </w:r>
      <w:r>
        <w:rPr>
          <w:rFonts w:cs="Arial"/>
          <w:b/>
        </w:rPr>
        <w:t>e</w:t>
      </w:r>
      <w:r w:rsidR="0071272E">
        <w:rPr>
          <w:rFonts w:cs="Arial"/>
          <w:b/>
        </w:rPr>
        <w:t xml:space="preserve"> reductions</w:t>
      </w:r>
      <w:r w:rsidR="00E07664">
        <w:rPr>
          <w:rFonts w:cs="Arial"/>
          <w:b/>
        </w:rPr>
        <w:t>, annual benefits</w:t>
      </w:r>
      <w:r w:rsidR="000831E9">
        <w:rPr>
          <w:rFonts w:cs="Arial"/>
          <w:b/>
        </w:rPr>
        <w:t xml:space="preserve"> by investment component, projected through 2050</w:t>
      </w:r>
      <w:r>
        <w:rPr>
          <w:rFonts w:cs="Arial"/>
          <w:b/>
        </w:rPr>
        <w:t>)</w:t>
      </w:r>
    </w:p>
    <w:p w:rsidR="00537E78" w:rsidRDefault="00537E78" w:rsidP="00537E78">
      <w:pPr>
        <w:rPr>
          <w:rFonts w:cs="Arial"/>
          <w:b/>
        </w:rPr>
      </w:pPr>
    </w:p>
    <w:tbl>
      <w:tblPr>
        <w:tblStyle w:val="TableGrid"/>
        <w:tblW w:w="0" w:type="auto"/>
        <w:tblLayout w:type="fixed"/>
        <w:tblLook w:val="04A0" w:firstRow="1" w:lastRow="0" w:firstColumn="1" w:lastColumn="0" w:noHBand="0" w:noVBand="1"/>
      </w:tblPr>
      <w:tblGrid>
        <w:gridCol w:w="1908"/>
        <w:gridCol w:w="1800"/>
        <w:gridCol w:w="1800"/>
        <w:gridCol w:w="1530"/>
        <w:gridCol w:w="1818"/>
      </w:tblGrid>
      <w:tr w:rsidR="00141B5A" w:rsidTr="007B00A7">
        <w:trPr>
          <w:trHeight w:val="856"/>
        </w:trPr>
        <w:tc>
          <w:tcPr>
            <w:tcW w:w="1908" w:type="dxa"/>
            <w:vAlign w:val="bottom"/>
          </w:tcPr>
          <w:p w:rsidR="00537E78" w:rsidRDefault="00537E78" w:rsidP="0071272E">
            <w:pPr>
              <w:jc w:val="center"/>
              <w:rPr>
                <w:rFonts w:cs="Arial"/>
              </w:rPr>
            </w:pPr>
          </w:p>
        </w:tc>
        <w:tc>
          <w:tcPr>
            <w:tcW w:w="1800" w:type="dxa"/>
            <w:vAlign w:val="bottom"/>
          </w:tcPr>
          <w:p w:rsidR="00537E78" w:rsidRDefault="00E91791" w:rsidP="0071272E">
            <w:pPr>
              <w:jc w:val="center"/>
              <w:rPr>
                <w:rFonts w:cs="Arial"/>
              </w:rPr>
            </w:pPr>
            <w:r>
              <w:rPr>
                <w:rFonts w:cs="Arial"/>
              </w:rPr>
              <w:t xml:space="preserve">1. </w:t>
            </w:r>
            <w:r w:rsidR="00537E78">
              <w:rPr>
                <w:rFonts w:cs="Arial"/>
              </w:rPr>
              <w:t>Bioenergy Facilities</w:t>
            </w:r>
          </w:p>
        </w:tc>
        <w:tc>
          <w:tcPr>
            <w:tcW w:w="1800" w:type="dxa"/>
            <w:vAlign w:val="bottom"/>
          </w:tcPr>
          <w:p w:rsidR="00537E78" w:rsidRDefault="00E91791" w:rsidP="0071272E">
            <w:pPr>
              <w:jc w:val="center"/>
              <w:rPr>
                <w:rFonts w:cs="Arial"/>
              </w:rPr>
            </w:pPr>
            <w:r>
              <w:rPr>
                <w:rFonts w:cs="Arial"/>
              </w:rPr>
              <w:t xml:space="preserve">2. </w:t>
            </w:r>
            <w:r w:rsidR="00537E78">
              <w:rPr>
                <w:rFonts w:cs="Arial"/>
              </w:rPr>
              <w:t>Fuel Delivery Transportation Incentive</w:t>
            </w:r>
          </w:p>
        </w:tc>
        <w:tc>
          <w:tcPr>
            <w:tcW w:w="1530" w:type="dxa"/>
            <w:vAlign w:val="bottom"/>
          </w:tcPr>
          <w:p w:rsidR="00537E78" w:rsidRDefault="00E91791" w:rsidP="0071272E">
            <w:pPr>
              <w:jc w:val="center"/>
              <w:rPr>
                <w:rFonts w:cs="Arial"/>
              </w:rPr>
            </w:pPr>
            <w:r>
              <w:rPr>
                <w:rFonts w:cs="Arial"/>
              </w:rPr>
              <w:t xml:space="preserve">3. </w:t>
            </w:r>
            <w:r w:rsidR="00537E78">
              <w:rPr>
                <w:rFonts w:cs="Arial"/>
              </w:rPr>
              <w:t>Forest Treatments</w:t>
            </w:r>
          </w:p>
        </w:tc>
        <w:tc>
          <w:tcPr>
            <w:tcW w:w="1818" w:type="dxa"/>
            <w:vAlign w:val="bottom"/>
          </w:tcPr>
          <w:p w:rsidR="00537E78" w:rsidRDefault="00537E78" w:rsidP="0071272E">
            <w:pPr>
              <w:jc w:val="center"/>
              <w:rPr>
                <w:rFonts w:cs="Arial"/>
              </w:rPr>
            </w:pPr>
            <w:r>
              <w:rPr>
                <w:rFonts w:cs="Arial"/>
              </w:rPr>
              <w:t>TOTAL</w:t>
            </w:r>
          </w:p>
        </w:tc>
      </w:tr>
      <w:tr w:rsidR="00141B5A" w:rsidTr="007B00A7">
        <w:trPr>
          <w:trHeight w:val="576"/>
        </w:trPr>
        <w:tc>
          <w:tcPr>
            <w:tcW w:w="1908" w:type="dxa"/>
          </w:tcPr>
          <w:p w:rsidR="00537E78" w:rsidRDefault="00537E78" w:rsidP="00537E78">
            <w:pPr>
              <w:rPr>
                <w:rFonts w:cs="Arial"/>
              </w:rPr>
            </w:pPr>
            <w:r>
              <w:rPr>
                <w:rFonts w:cs="Arial"/>
              </w:rPr>
              <w:t>Year 1 (2014)</w:t>
            </w:r>
          </w:p>
        </w:tc>
        <w:tc>
          <w:tcPr>
            <w:tcW w:w="1800" w:type="dxa"/>
          </w:tcPr>
          <w:p w:rsidR="00537E78" w:rsidRDefault="00141B5A" w:rsidP="0071272E">
            <w:pPr>
              <w:jc w:val="right"/>
              <w:rPr>
                <w:rFonts w:cs="Arial"/>
              </w:rPr>
            </w:pPr>
            <w:r>
              <w:rPr>
                <w:rFonts w:cs="Arial"/>
              </w:rPr>
              <w:t>0</w:t>
            </w:r>
          </w:p>
          <w:p w:rsidR="00141B5A" w:rsidRDefault="00141B5A" w:rsidP="0071272E">
            <w:pPr>
              <w:jc w:val="right"/>
              <w:rPr>
                <w:rFonts w:cs="Arial"/>
              </w:rPr>
            </w:pPr>
          </w:p>
        </w:tc>
        <w:tc>
          <w:tcPr>
            <w:tcW w:w="1800" w:type="dxa"/>
          </w:tcPr>
          <w:p w:rsidR="00537E78" w:rsidRDefault="0097201E" w:rsidP="0071272E">
            <w:pPr>
              <w:jc w:val="right"/>
              <w:rPr>
                <w:rFonts w:cs="Arial"/>
              </w:rPr>
            </w:pPr>
            <w:r>
              <w:rPr>
                <w:rFonts w:cs="Arial"/>
              </w:rPr>
              <w:t>258,400 tons</w:t>
            </w:r>
          </w:p>
        </w:tc>
        <w:tc>
          <w:tcPr>
            <w:tcW w:w="1530" w:type="dxa"/>
          </w:tcPr>
          <w:p w:rsidR="0097201E" w:rsidRPr="007B00A7" w:rsidRDefault="0097201E" w:rsidP="0071272E">
            <w:pPr>
              <w:jc w:val="right"/>
              <w:rPr>
                <w:rFonts w:cs="Arial"/>
              </w:rPr>
            </w:pPr>
          </w:p>
          <w:p w:rsidR="00537E78" w:rsidRPr="007B00A7" w:rsidRDefault="00537E78" w:rsidP="0071272E">
            <w:pPr>
              <w:jc w:val="right"/>
              <w:rPr>
                <w:rFonts w:cs="Arial"/>
              </w:rPr>
            </w:pPr>
          </w:p>
        </w:tc>
        <w:tc>
          <w:tcPr>
            <w:tcW w:w="1818" w:type="dxa"/>
          </w:tcPr>
          <w:p w:rsidR="0017768B" w:rsidRDefault="001F47BB" w:rsidP="0071272E">
            <w:pPr>
              <w:jc w:val="right"/>
              <w:rPr>
                <w:rFonts w:cs="Arial"/>
              </w:rPr>
            </w:pPr>
            <w:r>
              <w:rPr>
                <w:rFonts w:cs="Arial"/>
              </w:rPr>
              <w:t>&gt;258,400 tons</w:t>
            </w:r>
          </w:p>
        </w:tc>
      </w:tr>
      <w:tr w:rsidR="00141B5A" w:rsidTr="007B00A7">
        <w:trPr>
          <w:trHeight w:val="560"/>
        </w:trPr>
        <w:tc>
          <w:tcPr>
            <w:tcW w:w="1908" w:type="dxa"/>
          </w:tcPr>
          <w:p w:rsidR="00537E78" w:rsidRDefault="00537E78" w:rsidP="00141B5A">
            <w:pPr>
              <w:rPr>
                <w:rFonts w:cs="Arial"/>
              </w:rPr>
            </w:pPr>
            <w:r>
              <w:rPr>
                <w:rFonts w:cs="Arial"/>
              </w:rPr>
              <w:t>Year 2 (2015)</w:t>
            </w:r>
          </w:p>
        </w:tc>
        <w:tc>
          <w:tcPr>
            <w:tcW w:w="1800" w:type="dxa"/>
          </w:tcPr>
          <w:p w:rsidR="00537E78" w:rsidRDefault="00141B5A" w:rsidP="0071272E">
            <w:pPr>
              <w:jc w:val="right"/>
              <w:rPr>
                <w:rFonts w:cs="Arial"/>
              </w:rPr>
            </w:pPr>
            <w:r>
              <w:rPr>
                <w:rFonts w:cs="Arial"/>
              </w:rPr>
              <w:t>0</w:t>
            </w:r>
          </w:p>
          <w:p w:rsidR="00141B5A" w:rsidRDefault="00141B5A" w:rsidP="0071272E">
            <w:pPr>
              <w:jc w:val="right"/>
              <w:rPr>
                <w:rFonts w:cs="Arial"/>
              </w:rPr>
            </w:pPr>
          </w:p>
        </w:tc>
        <w:tc>
          <w:tcPr>
            <w:tcW w:w="1800" w:type="dxa"/>
          </w:tcPr>
          <w:p w:rsidR="00537E78" w:rsidRDefault="0097201E" w:rsidP="0071272E">
            <w:pPr>
              <w:jc w:val="right"/>
              <w:rPr>
                <w:rFonts w:cs="Arial"/>
              </w:rPr>
            </w:pPr>
            <w:r>
              <w:rPr>
                <w:rFonts w:cs="Arial"/>
              </w:rPr>
              <w:t>189,924 tons</w:t>
            </w:r>
          </w:p>
          <w:p w:rsidR="0097201E" w:rsidRDefault="0097201E" w:rsidP="0071272E">
            <w:pPr>
              <w:jc w:val="right"/>
              <w:rPr>
                <w:rFonts w:cs="Arial"/>
              </w:rPr>
            </w:pPr>
          </w:p>
        </w:tc>
        <w:tc>
          <w:tcPr>
            <w:tcW w:w="1530" w:type="dxa"/>
          </w:tcPr>
          <w:p w:rsidR="00537E78" w:rsidRPr="007B00A7" w:rsidRDefault="00537E78" w:rsidP="0071272E">
            <w:pPr>
              <w:jc w:val="right"/>
              <w:rPr>
                <w:rFonts w:cs="Arial"/>
              </w:rPr>
            </w:pPr>
          </w:p>
        </w:tc>
        <w:tc>
          <w:tcPr>
            <w:tcW w:w="1818" w:type="dxa"/>
          </w:tcPr>
          <w:p w:rsidR="001F47BB" w:rsidRDefault="001F47BB" w:rsidP="001F47BB">
            <w:pPr>
              <w:jc w:val="right"/>
              <w:rPr>
                <w:rFonts w:cs="Arial"/>
              </w:rPr>
            </w:pPr>
            <w:r>
              <w:rPr>
                <w:rFonts w:cs="Arial"/>
              </w:rPr>
              <w:t>&gt;189,924 tons</w:t>
            </w:r>
          </w:p>
          <w:p w:rsidR="00357ACB" w:rsidRDefault="00357ACB" w:rsidP="0071272E">
            <w:pPr>
              <w:jc w:val="right"/>
              <w:rPr>
                <w:rFonts w:cs="Arial"/>
              </w:rPr>
            </w:pPr>
          </w:p>
        </w:tc>
      </w:tr>
      <w:tr w:rsidR="00141B5A" w:rsidTr="007B00A7">
        <w:trPr>
          <w:trHeight w:val="560"/>
        </w:trPr>
        <w:tc>
          <w:tcPr>
            <w:tcW w:w="1908" w:type="dxa"/>
          </w:tcPr>
          <w:p w:rsidR="00537E78" w:rsidRDefault="00537E78" w:rsidP="00537E78">
            <w:pPr>
              <w:rPr>
                <w:rFonts w:cs="Arial"/>
              </w:rPr>
            </w:pPr>
            <w:r>
              <w:rPr>
                <w:rFonts w:cs="Arial"/>
              </w:rPr>
              <w:t>Year 3 (20</w:t>
            </w:r>
            <w:r w:rsidR="00141B5A">
              <w:rPr>
                <w:rFonts w:cs="Arial"/>
              </w:rPr>
              <w:t>16</w:t>
            </w:r>
            <w:r>
              <w:rPr>
                <w:rFonts w:cs="Arial"/>
              </w:rPr>
              <w:t>)</w:t>
            </w:r>
          </w:p>
        </w:tc>
        <w:tc>
          <w:tcPr>
            <w:tcW w:w="1800" w:type="dxa"/>
          </w:tcPr>
          <w:p w:rsidR="00537E78" w:rsidRDefault="00141B5A" w:rsidP="00141B5A">
            <w:pPr>
              <w:jc w:val="right"/>
              <w:rPr>
                <w:rFonts w:cs="Arial"/>
              </w:rPr>
            </w:pPr>
            <w:r>
              <w:rPr>
                <w:rFonts w:cs="Arial"/>
              </w:rPr>
              <w:t>0</w:t>
            </w:r>
            <w:r w:rsidR="00885D79">
              <w:rPr>
                <w:rFonts w:cs="Arial"/>
              </w:rPr>
              <w:t>*</w:t>
            </w:r>
          </w:p>
        </w:tc>
        <w:tc>
          <w:tcPr>
            <w:tcW w:w="1800" w:type="dxa"/>
          </w:tcPr>
          <w:p w:rsidR="0097201E" w:rsidRDefault="0097201E" w:rsidP="0097201E">
            <w:pPr>
              <w:jc w:val="right"/>
              <w:rPr>
                <w:rFonts w:cs="Arial"/>
              </w:rPr>
            </w:pPr>
            <w:r>
              <w:rPr>
                <w:rFonts w:cs="Arial"/>
              </w:rPr>
              <w:t>152,000 tons</w:t>
            </w:r>
          </w:p>
        </w:tc>
        <w:tc>
          <w:tcPr>
            <w:tcW w:w="1530" w:type="dxa"/>
          </w:tcPr>
          <w:p w:rsidR="00537E78" w:rsidRPr="007B00A7" w:rsidRDefault="00537E78" w:rsidP="0071272E">
            <w:pPr>
              <w:jc w:val="right"/>
              <w:rPr>
                <w:rFonts w:cs="Arial"/>
              </w:rPr>
            </w:pPr>
          </w:p>
        </w:tc>
        <w:tc>
          <w:tcPr>
            <w:tcW w:w="1818" w:type="dxa"/>
          </w:tcPr>
          <w:p w:rsidR="00537E78" w:rsidRDefault="001F47BB" w:rsidP="0071272E">
            <w:pPr>
              <w:jc w:val="right"/>
              <w:rPr>
                <w:rFonts w:cs="Arial"/>
              </w:rPr>
            </w:pPr>
            <w:r>
              <w:rPr>
                <w:rFonts w:cs="Arial"/>
              </w:rPr>
              <w:t>&gt;152,000 tons</w:t>
            </w:r>
          </w:p>
        </w:tc>
      </w:tr>
      <w:tr w:rsidR="00141B5A" w:rsidTr="007B00A7">
        <w:trPr>
          <w:trHeight w:val="280"/>
        </w:trPr>
        <w:tc>
          <w:tcPr>
            <w:tcW w:w="1908" w:type="dxa"/>
          </w:tcPr>
          <w:p w:rsidR="00537E78" w:rsidRDefault="00141B5A" w:rsidP="007B00A7">
            <w:pPr>
              <w:rPr>
                <w:rFonts w:cs="Arial"/>
              </w:rPr>
            </w:pPr>
            <w:r>
              <w:rPr>
                <w:rFonts w:cs="Arial"/>
              </w:rPr>
              <w:t>Year</w:t>
            </w:r>
            <w:r w:rsidR="000831E9">
              <w:rPr>
                <w:rFonts w:cs="Arial"/>
              </w:rPr>
              <w:t xml:space="preserve"> </w:t>
            </w:r>
            <w:r w:rsidR="0097201E">
              <w:rPr>
                <w:rFonts w:cs="Arial"/>
              </w:rPr>
              <w:t>10</w:t>
            </w:r>
            <w:r w:rsidR="00537E78">
              <w:rPr>
                <w:rFonts w:cs="Arial"/>
              </w:rPr>
              <w:t xml:space="preserve"> (</w:t>
            </w:r>
            <w:r>
              <w:rPr>
                <w:rFonts w:cs="Arial"/>
              </w:rPr>
              <w:t>2023</w:t>
            </w:r>
            <w:r w:rsidR="000831E9">
              <w:rPr>
                <w:rFonts w:cs="Arial"/>
              </w:rPr>
              <w:t>)</w:t>
            </w:r>
            <w:r>
              <w:rPr>
                <w:rFonts w:cs="Arial"/>
              </w:rPr>
              <w:t xml:space="preserve"> </w:t>
            </w:r>
          </w:p>
        </w:tc>
        <w:tc>
          <w:tcPr>
            <w:tcW w:w="1800" w:type="dxa"/>
          </w:tcPr>
          <w:p w:rsidR="00537E78" w:rsidRDefault="00537E78" w:rsidP="0071272E">
            <w:pPr>
              <w:jc w:val="right"/>
              <w:rPr>
                <w:rFonts w:cs="Arial"/>
              </w:rPr>
            </w:pPr>
            <w:r>
              <w:rPr>
                <w:rFonts w:cs="Arial"/>
              </w:rPr>
              <w:t>152,000 tons</w:t>
            </w:r>
            <w:r w:rsidR="000831E9">
              <w:rPr>
                <w:rFonts w:cs="Arial"/>
              </w:rPr>
              <w:t>*</w:t>
            </w:r>
          </w:p>
        </w:tc>
        <w:tc>
          <w:tcPr>
            <w:tcW w:w="1800" w:type="dxa"/>
          </w:tcPr>
          <w:p w:rsidR="00537E78" w:rsidRDefault="0097201E" w:rsidP="0071272E">
            <w:pPr>
              <w:jc w:val="right"/>
              <w:rPr>
                <w:rFonts w:cs="Arial"/>
              </w:rPr>
            </w:pPr>
            <w:r>
              <w:rPr>
                <w:rFonts w:cs="Arial"/>
              </w:rPr>
              <w:t>0</w:t>
            </w:r>
          </w:p>
        </w:tc>
        <w:tc>
          <w:tcPr>
            <w:tcW w:w="1530" w:type="dxa"/>
          </w:tcPr>
          <w:p w:rsidR="00537E78" w:rsidRPr="007B00A7" w:rsidRDefault="00537E78" w:rsidP="0071272E">
            <w:pPr>
              <w:jc w:val="right"/>
              <w:rPr>
                <w:rFonts w:cs="Arial"/>
              </w:rPr>
            </w:pPr>
          </w:p>
        </w:tc>
        <w:tc>
          <w:tcPr>
            <w:tcW w:w="1818" w:type="dxa"/>
          </w:tcPr>
          <w:p w:rsidR="00537E78" w:rsidRDefault="001F47BB" w:rsidP="0071272E">
            <w:pPr>
              <w:jc w:val="right"/>
              <w:rPr>
                <w:rFonts w:cs="Arial"/>
              </w:rPr>
            </w:pPr>
            <w:r>
              <w:rPr>
                <w:rFonts w:cs="Arial"/>
              </w:rPr>
              <w:t>&gt;152,000 tons</w:t>
            </w:r>
          </w:p>
        </w:tc>
      </w:tr>
      <w:tr w:rsidR="008032E1" w:rsidTr="007B00A7">
        <w:trPr>
          <w:trHeight w:val="576"/>
        </w:trPr>
        <w:tc>
          <w:tcPr>
            <w:tcW w:w="1908" w:type="dxa"/>
          </w:tcPr>
          <w:p w:rsidR="008032E1" w:rsidRDefault="008032E1" w:rsidP="0071272E">
            <w:pPr>
              <w:rPr>
                <w:rFonts w:cs="Arial"/>
              </w:rPr>
            </w:pPr>
            <w:r>
              <w:rPr>
                <w:rFonts w:cs="Arial"/>
              </w:rPr>
              <w:t>2048</w:t>
            </w:r>
          </w:p>
        </w:tc>
        <w:tc>
          <w:tcPr>
            <w:tcW w:w="1800" w:type="dxa"/>
          </w:tcPr>
          <w:p w:rsidR="008032E1" w:rsidRDefault="008032E1" w:rsidP="0071272E">
            <w:pPr>
              <w:jc w:val="right"/>
              <w:rPr>
                <w:rFonts w:cs="Arial"/>
              </w:rPr>
            </w:pPr>
            <w:r>
              <w:rPr>
                <w:rFonts w:cs="Arial"/>
              </w:rPr>
              <w:t>152,000 tons</w:t>
            </w:r>
          </w:p>
          <w:p w:rsidR="008032E1" w:rsidRDefault="008032E1" w:rsidP="0071272E">
            <w:pPr>
              <w:jc w:val="right"/>
              <w:rPr>
                <w:rFonts w:cs="Arial"/>
              </w:rPr>
            </w:pPr>
          </w:p>
        </w:tc>
        <w:tc>
          <w:tcPr>
            <w:tcW w:w="1800" w:type="dxa"/>
          </w:tcPr>
          <w:p w:rsidR="008032E1" w:rsidRDefault="008032E1" w:rsidP="0071272E">
            <w:pPr>
              <w:jc w:val="right"/>
              <w:rPr>
                <w:rFonts w:cs="Arial"/>
              </w:rPr>
            </w:pPr>
            <w:r>
              <w:rPr>
                <w:rFonts w:cs="Arial"/>
              </w:rPr>
              <w:t>0</w:t>
            </w:r>
          </w:p>
        </w:tc>
        <w:tc>
          <w:tcPr>
            <w:tcW w:w="1530" w:type="dxa"/>
          </w:tcPr>
          <w:p w:rsidR="008032E1" w:rsidRDefault="008032E1" w:rsidP="0071272E">
            <w:pPr>
              <w:jc w:val="right"/>
              <w:rPr>
                <w:rFonts w:cs="Arial"/>
              </w:rPr>
            </w:pPr>
            <w:r>
              <w:rPr>
                <w:rFonts w:cs="Arial"/>
              </w:rPr>
              <w:t>0.20 million metric tons</w:t>
            </w:r>
          </w:p>
        </w:tc>
        <w:tc>
          <w:tcPr>
            <w:tcW w:w="1818" w:type="dxa"/>
          </w:tcPr>
          <w:p w:rsidR="008032E1" w:rsidRDefault="001F47BB" w:rsidP="007B00A7">
            <w:pPr>
              <w:jc w:val="right"/>
              <w:rPr>
                <w:rFonts w:cs="Arial"/>
              </w:rPr>
            </w:pPr>
            <w:r>
              <w:rPr>
                <w:rFonts w:cs="Arial"/>
              </w:rPr>
              <w:t>&gt;0.35 million metric tons</w:t>
            </w:r>
          </w:p>
        </w:tc>
      </w:tr>
      <w:tr w:rsidR="00141B5A" w:rsidTr="007B00A7">
        <w:trPr>
          <w:trHeight w:val="576"/>
        </w:trPr>
        <w:tc>
          <w:tcPr>
            <w:tcW w:w="1908" w:type="dxa"/>
          </w:tcPr>
          <w:p w:rsidR="00537E78" w:rsidRDefault="00537E78" w:rsidP="0071272E">
            <w:pPr>
              <w:rPr>
                <w:rFonts w:cs="Arial"/>
              </w:rPr>
            </w:pPr>
            <w:r>
              <w:rPr>
                <w:rFonts w:cs="Arial"/>
              </w:rPr>
              <w:t>2049</w:t>
            </w:r>
          </w:p>
        </w:tc>
        <w:tc>
          <w:tcPr>
            <w:tcW w:w="1800" w:type="dxa"/>
          </w:tcPr>
          <w:p w:rsidR="00537E78" w:rsidRDefault="00141B5A" w:rsidP="007B00A7">
            <w:pPr>
              <w:jc w:val="right"/>
              <w:rPr>
                <w:rFonts w:cs="Arial"/>
              </w:rPr>
            </w:pPr>
            <w:r>
              <w:rPr>
                <w:rFonts w:cs="Arial"/>
              </w:rPr>
              <w:t>152,000 tons</w:t>
            </w:r>
          </w:p>
        </w:tc>
        <w:tc>
          <w:tcPr>
            <w:tcW w:w="1800" w:type="dxa"/>
          </w:tcPr>
          <w:p w:rsidR="00537E78" w:rsidRDefault="0097201E" w:rsidP="007B00A7">
            <w:pPr>
              <w:jc w:val="right"/>
              <w:rPr>
                <w:rFonts w:cs="Arial"/>
              </w:rPr>
            </w:pPr>
            <w:r>
              <w:rPr>
                <w:rFonts w:cs="Arial"/>
              </w:rPr>
              <w:t>0</w:t>
            </w:r>
          </w:p>
        </w:tc>
        <w:tc>
          <w:tcPr>
            <w:tcW w:w="1530" w:type="dxa"/>
          </w:tcPr>
          <w:p w:rsidR="00537E78" w:rsidRDefault="008032E1" w:rsidP="007B00A7">
            <w:pPr>
              <w:jc w:val="right"/>
              <w:rPr>
                <w:rFonts w:cs="Arial"/>
              </w:rPr>
            </w:pPr>
            <w:r>
              <w:rPr>
                <w:rFonts w:cs="Arial"/>
              </w:rPr>
              <w:t>0.76 million metric tons</w:t>
            </w:r>
          </w:p>
          <w:p w:rsidR="00537E78" w:rsidRDefault="00537E78" w:rsidP="007B00A7">
            <w:pPr>
              <w:jc w:val="right"/>
              <w:rPr>
                <w:rFonts w:cs="Arial"/>
              </w:rPr>
            </w:pPr>
          </w:p>
        </w:tc>
        <w:tc>
          <w:tcPr>
            <w:tcW w:w="1818" w:type="dxa"/>
          </w:tcPr>
          <w:p w:rsidR="00537E78" w:rsidRDefault="001F47BB" w:rsidP="007B00A7">
            <w:pPr>
              <w:jc w:val="right"/>
              <w:rPr>
                <w:rFonts w:cs="Arial"/>
              </w:rPr>
            </w:pPr>
            <w:r>
              <w:rPr>
                <w:rFonts w:cs="Arial"/>
              </w:rPr>
              <w:t>&gt;0.91 million metric tons</w:t>
            </w:r>
          </w:p>
        </w:tc>
      </w:tr>
      <w:tr w:rsidR="00141B5A" w:rsidTr="007B00A7">
        <w:trPr>
          <w:trHeight w:val="576"/>
        </w:trPr>
        <w:tc>
          <w:tcPr>
            <w:tcW w:w="1908" w:type="dxa"/>
          </w:tcPr>
          <w:p w:rsidR="00537E78" w:rsidRDefault="00537E78" w:rsidP="0071272E">
            <w:pPr>
              <w:rPr>
                <w:rFonts w:cs="Arial"/>
              </w:rPr>
            </w:pPr>
            <w:r>
              <w:rPr>
                <w:rFonts w:cs="Arial"/>
              </w:rPr>
              <w:t>2050</w:t>
            </w:r>
          </w:p>
        </w:tc>
        <w:tc>
          <w:tcPr>
            <w:tcW w:w="1800" w:type="dxa"/>
          </w:tcPr>
          <w:p w:rsidR="00537E78" w:rsidRDefault="00141B5A" w:rsidP="007B00A7">
            <w:pPr>
              <w:jc w:val="right"/>
              <w:rPr>
                <w:rFonts w:cs="Arial"/>
              </w:rPr>
            </w:pPr>
            <w:r>
              <w:rPr>
                <w:rFonts w:cs="Arial"/>
              </w:rPr>
              <w:t>152,000 tons</w:t>
            </w:r>
          </w:p>
        </w:tc>
        <w:tc>
          <w:tcPr>
            <w:tcW w:w="1800" w:type="dxa"/>
          </w:tcPr>
          <w:p w:rsidR="00537E78" w:rsidRDefault="0097201E" w:rsidP="007B00A7">
            <w:pPr>
              <w:jc w:val="right"/>
              <w:rPr>
                <w:rFonts w:cs="Arial"/>
              </w:rPr>
            </w:pPr>
            <w:r>
              <w:rPr>
                <w:rFonts w:cs="Arial"/>
              </w:rPr>
              <w:t>0</w:t>
            </w:r>
          </w:p>
          <w:p w:rsidR="0097201E" w:rsidRDefault="0097201E" w:rsidP="007B00A7">
            <w:pPr>
              <w:jc w:val="right"/>
              <w:rPr>
                <w:rFonts w:cs="Arial"/>
              </w:rPr>
            </w:pPr>
          </w:p>
        </w:tc>
        <w:tc>
          <w:tcPr>
            <w:tcW w:w="1530" w:type="dxa"/>
          </w:tcPr>
          <w:p w:rsidR="0097201E" w:rsidRDefault="008032E1" w:rsidP="007B00A7">
            <w:pPr>
              <w:jc w:val="right"/>
              <w:rPr>
                <w:rFonts w:cs="Arial"/>
              </w:rPr>
            </w:pPr>
            <w:r>
              <w:rPr>
                <w:rFonts w:cs="Arial"/>
              </w:rPr>
              <w:t>1.26 million metric tons</w:t>
            </w:r>
          </w:p>
        </w:tc>
        <w:tc>
          <w:tcPr>
            <w:tcW w:w="1818" w:type="dxa"/>
          </w:tcPr>
          <w:p w:rsidR="00537E78" w:rsidRDefault="001F47BB" w:rsidP="007B00A7">
            <w:pPr>
              <w:jc w:val="right"/>
              <w:rPr>
                <w:rFonts w:cs="Arial"/>
              </w:rPr>
            </w:pPr>
            <w:r>
              <w:rPr>
                <w:rFonts w:cs="Arial"/>
              </w:rPr>
              <w:t>&gt;1.4 million metric tons</w:t>
            </w:r>
          </w:p>
        </w:tc>
      </w:tr>
      <w:tr w:rsidR="00141B5A" w:rsidTr="007B00A7">
        <w:trPr>
          <w:trHeight w:val="576"/>
        </w:trPr>
        <w:tc>
          <w:tcPr>
            <w:tcW w:w="1908" w:type="dxa"/>
          </w:tcPr>
          <w:p w:rsidR="00537E78" w:rsidRDefault="00537E78" w:rsidP="0071272E">
            <w:pPr>
              <w:rPr>
                <w:rFonts w:cs="Arial"/>
              </w:rPr>
            </w:pPr>
            <w:r>
              <w:rPr>
                <w:rFonts w:cs="Arial"/>
              </w:rPr>
              <w:t>Total</w:t>
            </w:r>
          </w:p>
        </w:tc>
        <w:tc>
          <w:tcPr>
            <w:tcW w:w="1800" w:type="dxa"/>
          </w:tcPr>
          <w:p w:rsidR="00537E78" w:rsidRDefault="00357ACB" w:rsidP="007B00A7">
            <w:pPr>
              <w:jc w:val="right"/>
              <w:rPr>
                <w:rFonts w:cs="Arial"/>
              </w:rPr>
            </w:pPr>
            <w:r>
              <w:rPr>
                <w:rFonts w:cs="Arial"/>
              </w:rPr>
              <w:t>&gt;</w:t>
            </w:r>
            <w:r w:rsidR="00141B5A">
              <w:rPr>
                <w:rFonts w:cs="Arial"/>
              </w:rPr>
              <w:t>4.3 million metric tons</w:t>
            </w:r>
          </w:p>
        </w:tc>
        <w:tc>
          <w:tcPr>
            <w:tcW w:w="1800" w:type="dxa"/>
          </w:tcPr>
          <w:p w:rsidR="00537E78" w:rsidRDefault="00357ACB" w:rsidP="007B00A7">
            <w:pPr>
              <w:jc w:val="right"/>
              <w:rPr>
                <w:rFonts w:cs="Arial"/>
              </w:rPr>
            </w:pPr>
            <w:r>
              <w:rPr>
                <w:rFonts w:cs="Arial"/>
              </w:rPr>
              <w:t>&gt;</w:t>
            </w:r>
            <w:r w:rsidR="0071272E">
              <w:rPr>
                <w:rFonts w:cs="Arial"/>
              </w:rPr>
              <w:t>1.5</w:t>
            </w:r>
            <w:r w:rsidR="0097201E">
              <w:rPr>
                <w:rFonts w:cs="Arial"/>
              </w:rPr>
              <w:t xml:space="preserve"> million metric tons</w:t>
            </w:r>
          </w:p>
        </w:tc>
        <w:tc>
          <w:tcPr>
            <w:tcW w:w="1530" w:type="dxa"/>
          </w:tcPr>
          <w:p w:rsidR="00537E78" w:rsidRDefault="00357ACB" w:rsidP="007B00A7">
            <w:pPr>
              <w:jc w:val="right"/>
              <w:rPr>
                <w:rFonts w:cs="Arial"/>
              </w:rPr>
            </w:pPr>
            <w:r>
              <w:rPr>
                <w:rFonts w:cs="Arial"/>
              </w:rPr>
              <w:t>&gt;2.2 million metric tons</w:t>
            </w:r>
          </w:p>
        </w:tc>
        <w:tc>
          <w:tcPr>
            <w:tcW w:w="1818" w:type="dxa"/>
          </w:tcPr>
          <w:p w:rsidR="00537E78" w:rsidRDefault="00357ACB" w:rsidP="007B00A7">
            <w:pPr>
              <w:jc w:val="right"/>
              <w:rPr>
                <w:rFonts w:cs="Arial"/>
              </w:rPr>
            </w:pPr>
            <w:r>
              <w:rPr>
                <w:rFonts w:cs="Arial"/>
              </w:rPr>
              <w:t>&gt;8.0 million metric tons</w:t>
            </w:r>
          </w:p>
        </w:tc>
      </w:tr>
    </w:tbl>
    <w:p w:rsidR="00537E78" w:rsidRPr="007B00A7" w:rsidRDefault="0071272E" w:rsidP="007B00A7">
      <w:pPr>
        <w:ind w:left="360"/>
        <w:rPr>
          <w:rFonts w:cs="Arial"/>
          <w:sz w:val="20"/>
          <w:szCs w:val="20"/>
        </w:rPr>
      </w:pPr>
      <w:r w:rsidRPr="007B00A7">
        <w:rPr>
          <w:rFonts w:cs="Arial"/>
          <w:b/>
          <w:vanish/>
          <w:sz w:val="20"/>
          <w:szCs w:val="20"/>
        </w:rPr>
        <w:t>* 5auctionss)</w:t>
      </w:r>
      <w:r w:rsidRPr="007B00A7">
        <w:rPr>
          <w:rFonts w:cs="Arial"/>
          <w:b/>
          <w:vanish/>
          <w:sz w:val="20"/>
          <w:szCs w:val="20"/>
        </w:rPr>
        <w:cr/>
        <w:t xml:space="preserve">tric tonse ($2erop.ucal varies </w:t>
      </w:r>
      <w:r w:rsidR="007F6404" w:rsidRPr="007B00A7">
        <w:rPr>
          <w:rFonts w:cs="Arial"/>
          <w:b/>
          <w:sz w:val="20"/>
          <w:szCs w:val="20"/>
        </w:rPr>
        <w:t xml:space="preserve"> </w:t>
      </w:r>
      <w:r w:rsidR="00885D79" w:rsidRPr="007B00A7">
        <w:rPr>
          <w:rFonts w:cs="Arial"/>
          <w:sz w:val="20"/>
          <w:szCs w:val="20"/>
        </w:rPr>
        <w:t>*A community-scale bioenergy facility will likely be on-line by 2016, resulting in some GHG benefits.</w:t>
      </w:r>
      <w:r w:rsidR="000831E9" w:rsidRPr="007B00A7">
        <w:rPr>
          <w:rFonts w:cs="Arial"/>
          <w:sz w:val="20"/>
          <w:szCs w:val="20"/>
        </w:rPr>
        <w:t xml:space="preserve"> By year 10 (2023), it is assumed that all 50 MW of SB 1122 community-scale forest bioenergy facilities will be operational.</w:t>
      </w:r>
    </w:p>
    <w:p w:rsidR="000D17DA" w:rsidRPr="00AB2DB7" w:rsidRDefault="000D17DA">
      <w:pPr>
        <w:rPr>
          <w:rFonts w:cs="Arial"/>
        </w:rPr>
      </w:pPr>
    </w:p>
    <w:p w:rsidR="008724B7" w:rsidRPr="007B00A7" w:rsidRDefault="00BC7F11" w:rsidP="007B00A7">
      <w:pPr>
        <w:pStyle w:val="ListParagraph"/>
        <w:numPr>
          <w:ilvl w:val="0"/>
          <w:numId w:val="14"/>
        </w:numPr>
        <w:ind w:left="360"/>
        <w:rPr>
          <w:rFonts w:cs="Arial"/>
          <w:b/>
          <w:u w:val="single"/>
        </w:rPr>
      </w:pPr>
      <w:r w:rsidRPr="007B00A7">
        <w:rPr>
          <w:rFonts w:cs="Arial"/>
          <w:b/>
          <w:u w:val="single"/>
        </w:rPr>
        <w:t>Community-</w:t>
      </w:r>
      <w:r w:rsidR="00EC5520" w:rsidRPr="007B00A7">
        <w:rPr>
          <w:rFonts w:cs="Arial"/>
          <w:b/>
          <w:u w:val="single"/>
        </w:rPr>
        <w:t xml:space="preserve">Scale </w:t>
      </w:r>
      <w:r w:rsidR="00533710" w:rsidRPr="007B00A7">
        <w:rPr>
          <w:rFonts w:cs="Arial"/>
          <w:b/>
          <w:u w:val="single"/>
        </w:rPr>
        <w:t>Forest Bioenergy</w:t>
      </w:r>
      <w:r w:rsidRPr="007B00A7">
        <w:rPr>
          <w:rFonts w:cs="Arial"/>
          <w:b/>
          <w:u w:val="single"/>
        </w:rPr>
        <w:t xml:space="preserve">, </w:t>
      </w:r>
      <w:r w:rsidR="00EC5520" w:rsidRPr="007B00A7">
        <w:rPr>
          <w:rFonts w:cs="Arial"/>
          <w:b/>
          <w:u w:val="single"/>
        </w:rPr>
        <w:t>Start</w:t>
      </w:r>
      <w:r w:rsidRPr="007B00A7">
        <w:rPr>
          <w:rFonts w:cs="Arial"/>
          <w:b/>
          <w:u w:val="single"/>
        </w:rPr>
        <w:t>-</w:t>
      </w:r>
      <w:r w:rsidR="00EC5520" w:rsidRPr="007B00A7">
        <w:rPr>
          <w:rFonts w:cs="Arial"/>
          <w:b/>
          <w:u w:val="single"/>
        </w:rPr>
        <w:t>Up Funding</w:t>
      </w:r>
      <w:r w:rsidR="00592B36" w:rsidRPr="007B00A7">
        <w:rPr>
          <w:rFonts w:cs="Arial"/>
          <w:b/>
          <w:u w:val="single"/>
        </w:rPr>
        <w:t xml:space="preserve"> </w:t>
      </w:r>
    </w:p>
    <w:p w:rsidR="008724B7" w:rsidRPr="00AB2DB7" w:rsidRDefault="008724B7" w:rsidP="008724B7">
      <w:pPr>
        <w:rPr>
          <w:rFonts w:cs="Arial"/>
          <w:b/>
        </w:rPr>
      </w:pPr>
    </w:p>
    <w:p w:rsidR="008724B7" w:rsidRPr="00AB2DB7" w:rsidRDefault="00BC7F11" w:rsidP="008724B7">
      <w:pPr>
        <w:rPr>
          <w:rFonts w:cs="Arial"/>
        </w:rPr>
      </w:pPr>
      <w:r>
        <w:rPr>
          <w:rFonts w:cs="Arial"/>
        </w:rPr>
        <w:t>Excess forest biomass material removed as a byproduct of forest fuels reduction and forest restoration activities is typically piled and burned (business</w:t>
      </w:r>
      <w:r w:rsidR="00EC5520">
        <w:rPr>
          <w:rFonts w:cs="Arial"/>
        </w:rPr>
        <w:t>-</w:t>
      </w:r>
      <w:r>
        <w:rPr>
          <w:rFonts w:cs="Arial"/>
        </w:rPr>
        <w:t>as</w:t>
      </w:r>
      <w:r w:rsidR="00EC5520">
        <w:rPr>
          <w:rFonts w:cs="Arial"/>
        </w:rPr>
        <w:t>-</w:t>
      </w:r>
      <w:r>
        <w:rPr>
          <w:rFonts w:cs="Arial"/>
        </w:rPr>
        <w:t>usual disposal technique).  Development of community-scale forest bioenergy projects will provide an alternative opportunity to utilize this excess forest biomass material using technologies (gasification and controlled combustion) that significantly reduce air emissions when compared to business</w:t>
      </w:r>
      <w:r w:rsidR="00EC5520">
        <w:rPr>
          <w:rFonts w:cs="Arial"/>
        </w:rPr>
        <w:t>-</w:t>
      </w:r>
      <w:r>
        <w:rPr>
          <w:rFonts w:cs="Arial"/>
        </w:rPr>
        <w:t>as</w:t>
      </w:r>
      <w:r w:rsidR="00EC5520">
        <w:rPr>
          <w:rFonts w:cs="Arial"/>
        </w:rPr>
        <w:t>-</w:t>
      </w:r>
      <w:r>
        <w:rPr>
          <w:rFonts w:cs="Arial"/>
        </w:rPr>
        <w:t>usual pile</w:t>
      </w:r>
      <w:r w:rsidR="00EC5520">
        <w:rPr>
          <w:rFonts w:cs="Arial"/>
        </w:rPr>
        <w:t>-</w:t>
      </w:r>
      <w:r>
        <w:rPr>
          <w:rFonts w:cs="Arial"/>
        </w:rPr>
        <w:t>and</w:t>
      </w:r>
      <w:r w:rsidR="00EC5520">
        <w:rPr>
          <w:rFonts w:cs="Arial"/>
        </w:rPr>
        <w:t>-</w:t>
      </w:r>
      <w:r>
        <w:rPr>
          <w:rFonts w:cs="Arial"/>
        </w:rPr>
        <w:t>burn disposal techniques.  In addition, community-scale bioenergy facilities will provide family-wage employment for rural communities while producing base-load renewable energy.  This business model is consistent with the Governor’s Clean Energy Jobs Plan (development of 12,000 MW of renewable distributed generation by 2020)</w:t>
      </w:r>
      <w:r w:rsidR="00533710">
        <w:rPr>
          <w:rFonts w:cs="Arial"/>
        </w:rPr>
        <w:t xml:space="preserve"> and SB 1122</w:t>
      </w:r>
      <w:r>
        <w:rPr>
          <w:rFonts w:cs="Arial"/>
        </w:rPr>
        <w:t xml:space="preserve">.  </w:t>
      </w:r>
    </w:p>
    <w:p w:rsidR="008724B7" w:rsidRPr="00AB2DB7" w:rsidRDefault="008724B7" w:rsidP="008724B7">
      <w:pPr>
        <w:rPr>
          <w:rFonts w:cs="Arial"/>
        </w:rPr>
      </w:pPr>
    </w:p>
    <w:p w:rsidR="008724B7" w:rsidRPr="00AB2DB7" w:rsidRDefault="00BC7F11" w:rsidP="008724B7">
      <w:pPr>
        <w:rPr>
          <w:rFonts w:cs="Arial"/>
        </w:rPr>
      </w:pPr>
      <w:r>
        <w:rPr>
          <w:rFonts w:cs="Arial"/>
        </w:rPr>
        <w:t xml:space="preserve">Strategically located community-scale forest bioenergy projects would supplement California’s </w:t>
      </w:r>
      <w:r w:rsidR="002E69E0">
        <w:rPr>
          <w:rFonts w:cs="Arial"/>
        </w:rPr>
        <w:t>existing</w:t>
      </w:r>
      <w:r>
        <w:rPr>
          <w:rFonts w:cs="Arial"/>
        </w:rPr>
        <w:t xml:space="preserve"> bioenergy infrastructure.  </w:t>
      </w:r>
      <w:r w:rsidR="002E69E0">
        <w:rPr>
          <w:rFonts w:cs="Arial"/>
        </w:rPr>
        <w:t xml:space="preserve">These strategically located facilities will provide a biomass utilization option that cannot be met by the existing infrastructure based on location alone.  </w:t>
      </w:r>
      <w:r>
        <w:rPr>
          <w:rFonts w:cs="Arial"/>
        </w:rPr>
        <w:t>In</w:t>
      </w:r>
      <w:r w:rsidR="002E69E0">
        <w:rPr>
          <w:rFonts w:cs="Arial"/>
        </w:rPr>
        <w:t xml:space="preserve"> addition, in</w:t>
      </w:r>
      <w:r>
        <w:rPr>
          <w:rFonts w:cs="Arial"/>
        </w:rPr>
        <w:t xml:space="preserve"> the last four </w:t>
      </w:r>
      <w:r>
        <w:rPr>
          <w:rFonts w:cs="Arial"/>
        </w:rPr>
        <w:lastRenderedPageBreak/>
        <w:t>years, four of the first generation forest bio</w:t>
      </w:r>
      <w:r w:rsidR="003C708F">
        <w:rPr>
          <w:rFonts w:cs="Arial"/>
        </w:rPr>
        <w:t>energy</w:t>
      </w:r>
      <w:r>
        <w:rPr>
          <w:rFonts w:cs="Arial"/>
        </w:rPr>
        <w:t xml:space="preserve"> generation facilities have closed, representing </w:t>
      </w:r>
      <w:r w:rsidR="00A24142">
        <w:rPr>
          <w:rFonts w:cs="Arial"/>
        </w:rPr>
        <w:t xml:space="preserve">a loss of </w:t>
      </w:r>
      <w:r>
        <w:rPr>
          <w:rFonts w:cs="Arial"/>
        </w:rPr>
        <w:t>almost 50MW of forest bio</w:t>
      </w:r>
      <w:r w:rsidR="003C708F">
        <w:rPr>
          <w:rFonts w:cs="Arial"/>
        </w:rPr>
        <w:t>energy</w:t>
      </w:r>
      <w:r>
        <w:rPr>
          <w:rFonts w:cs="Arial"/>
        </w:rPr>
        <w:t xml:space="preserve"> generation capacity</w:t>
      </w:r>
      <w:r w:rsidR="00592B36">
        <w:rPr>
          <w:rFonts w:cs="Arial"/>
        </w:rPr>
        <w:t>.</w:t>
      </w:r>
    </w:p>
    <w:p w:rsidR="00A24142" w:rsidRDefault="00A24142" w:rsidP="008724B7">
      <w:pPr>
        <w:rPr>
          <w:rFonts w:cs="Arial"/>
        </w:rPr>
      </w:pPr>
    </w:p>
    <w:p w:rsidR="00592B36" w:rsidRDefault="00930A8F" w:rsidP="008724B7">
      <w:pPr>
        <w:rPr>
          <w:rFonts w:cs="Arial"/>
        </w:rPr>
      </w:pPr>
      <w:r w:rsidRPr="0077194F">
        <w:rPr>
          <w:rFonts w:cs="Arial"/>
        </w:rPr>
        <w:t>The majority of rural communities experience large unemployment rates and at best, low median household incomes.  A study by the Political Economy Research Institute at the University of Massachusetts (PERI, 2009) showed substantial job creation benefits from two key components of this proposal:  biomass energy production; and the suite of work including reforestation, land and watershed restoration, and sustainable forest management.  For every $1 million invested in biomass, PERI calculated the creation of direct, indirect, and induced jobs of 7.4, 5.0, and 4.96, or a total of 17.36 jobs.  For the reforestation suite, PERI calculated even more substantial benefits: 17.55 direct, 12.95 indirect, and 9.2 induced, or a total of 39.7 jobs per $1 million investment.</w:t>
      </w:r>
      <w:r w:rsidR="00592B36">
        <w:rPr>
          <w:rFonts w:cs="Arial"/>
        </w:rPr>
        <w:t xml:space="preserve"> </w:t>
      </w:r>
    </w:p>
    <w:p w:rsidR="00592B36" w:rsidRDefault="00592B36" w:rsidP="008724B7">
      <w:pPr>
        <w:rPr>
          <w:rFonts w:cs="Arial"/>
        </w:rPr>
      </w:pPr>
    </w:p>
    <w:p w:rsidR="008724B7" w:rsidRPr="00936845" w:rsidRDefault="008D7323" w:rsidP="008724B7">
      <w:pPr>
        <w:rPr>
          <w:rFonts w:cs="Arial"/>
          <w:b/>
        </w:rPr>
      </w:pPr>
      <w:r w:rsidRPr="008D7323">
        <w:rPr>
          <w:rFonts w:cs="Arial"/>
          <w:b/>
        </w:rPr>
        <w:t>Opportunity and GHG Benefits</w:t>
      </w:r>
    </w:p>
    <w:p w:rsidR="008724B7" w:rsidRPr="00AB2DB7" w:rsidRDefault="008724B7" w:rsidP="008724B7">
      <w:pPr>
        <w:rPr>
          <w:rFonts w:cs="Arial"/>
        </w:rPr>
      </w:pPr>
    </w:p>
    <w:p w:rsidR="008724B7" w:rsidRPr="00AB2DB7" w:rsidRDefault="00BC7F11" w:rsidP="008724B7">
      <w:pPr>
        <w:tabs>
          <w:tab w:val="left" w:pos="1170"/>
        </w:tabs>
        <w:rPr>
          <w:rFonts w:cs="Arial"/>
        </w:rPr>
      </w:pPr>
      <w:r>
        <w:rPr>
          <w:rFonts w:cs="Arial"/>
        </w:rPr>
        <w:t xml:space="preserve">Like all renewable energy generation that displaces fossil fuels, bioenergy production avoids the production of an equivalent amount of energy from fossil fuels.  In addition, </w:t>
      </w:r>
      <w:r w:rsidR="00533710">
        <w:rPr>
          <w:rFonts w:cs="Arial"/>
        </w:rPr>
        <w:t xml:space="preserve">forest </w:t>
      </w:r>
      <w:r>
        <w:rPr>
          <w:rFonts w:cs="Arial"/>
        </w:rPr>
        <w:t xml:space="preserve">bioenergy production avoids the biogenic greenhouse-gas emissions produced by other methods for disposing of forest waste such as pile burning and instead replaces them with much lower emissions from energy production using controlled combustion/gasification technologies. </w:t>
      </w:r>
    </w:p>
    <w:p w:rsidR="008724B7" w:rsidRPr="00AB2DB7" w:rsidRDefault="008724B7" w:rsidP="008724B7">
      <w:pPr>
        <w:tabs>
          <w:tab w:val="left" w:pos="1170"/>
        </w:tabs>
        <w:rPr>
          <w:rFonts w:cs="Arial"/>
        </w:rPr>
      </w:pPr>
    </w:p>
    <w:p w:rsidR="008724B7" w:rsidRPr="00AB2DB7" w:rsidRDefault="00BC7F11" w:rsidP="008724B7">
      <w:pPr>
        <w:tabs>
          <w:tab w:val="left" w:pos="1170"/>
        </w:tabs>
        <w:rPr>
          <w:rFonts w:cs="Arial"/>
        </w:rPr>
      </w:pPr>
      <w:r>
        <w:rPr>
          <w:rFonts w:cs="Arial"/>
        </w:rPr>
        <w:t xml:space="preserve">Summarized below are the GHG benefits of deploying </w:t>
      </w:r>
      <w:r w:rsidR="00A24142">
        <w:rPr>
          <w:rFonts w:cs="Arial"/>
        </w:rPr>
        <w:t xml:space="preserve">SB 1122-compatible </w:t>
      </w:r>
      <w:r>
        <w:rPr>
          <w:rFonts w:cs="Arial"/>
        </w:rPr>
        <w:t xml:space="preserve">community-scale forest bioenergy facilities in strategic locations near high wildfire threat areas </w:t>
      </w:r>
      <w:r w:rsidR="00533710">
        <w:rPr>
          <w:rFonts w:cs="Arial"/>
        </w:rPr>
        <w:t>with</w:t>
      </w:r>
      <w:r>
        <w:rPr>
          <w:rFonts w:cs="Arial"/>
        </w:rPr>
        <w:t xml:space="preserve">in the state: </w:t>
      </w:r>
    </w:p>
    <w:p w:rsidR="008724B7" w:rsidRPr="00AB2DB7" w:rsidRDefault="008724B7" w:rsidP="008724B7">
      <w:pPr>
        <w:tabs>
          <w:tab w:val="left" w:pos="1170"/>
        </w:tabs>
        <w:rPr>
          <w:rFonts w:cs="Arial"/>
        </w:rPr>
      </w:pPr>
    </w:p>
    <w:p w:rsidR="00A47154" w:rsidRDefault="00A47154" w:rsidP="00A47154">
      <w:pPr>
        <w:pStyle w:val="ListParagraph"/>
        <w:numPr>
          <w:ilvl w:val="0"/>
          <w:numId w:val="1"/>
        </w:numPr>
        <w:tabs>
          <w:tab w:val="left" w:pos="1170"/>
        </w:tabs>
        <w:rPr>
          <w:rFonts w:cs="Arial"/>
        </w:rPr>
      </w:pPr>
      <w:r w:rsidRPr="00A47154">
        <w:rPr>
          <w:rFonts w:cs="Arial"/>
        </w:rPr>
        <w:t xml:space="preserve">At full build-out of 50 MW capacity, the community-based bioenergy facilities will be able to process approximately 400,000 </w:t>
      </w:r>
      <w:r w:rsidR="00533710">
        <w:rPr>
          <w:rFonts w:cs="Arial"/>
        </w:rPr>
        <w:t>bone dry tons (</w:t>
      </w:r>
      <w:r w:rsidRPr="00A47154">
        <w:rPr>
          <w:rFonts w:cs="Arial"/>
        </w:rPr>
        <w:t>BDT</w:t>
      </w:r>
      <w:r w:rsidR="00533710">
        <w:rPr>
          <w:rFonts w:cs="Arial"/>
        </w:rPr>
        <w:t>)</w:t>
      </w:r>
      <w:r w:rsidRPr="00A47154">
        <w:rPr>
          <w:rFonts w:cs="Arial"/>
        </w:rPr>
        <w:t xml:space="preserve"> of forest biomass per year.  Forest treatments (fuels reduction, thinning, etc.) produce about 1</w:t>
      </w:r>
      <w:r w:rsidR="00AA455F">
        <w:rPr>
          <w:rFonts w:cs="Arial"/>
        </w:rPr>
        <w:t>3</w:t>
      </w:r>
      <w:r w:rsidRPr="00A47154">
        <w:rPr>
          <w:rFonts w:cs="Arial"/>
        </w:rPr>
        <w:t xml:space="preserve"> BDT per acre. At capacity, these small bioenergy facilities will result in a market for woody biomass representing over 30,000 acres treated per year.  Long-term, those acres will have the capacity to sequester more carbon in larger trees.  In the short term, removal of forest biomass to produce energy instead of burning the material in piles will result in direct benefits through reductions in GHG emissions and particulate </w:t>
      </w:r>
      <w:r w:rsidR="00533710">
        <w:rPr>
          <w:rFonts w:cs="Arial"/>
        </w:rPr>
        <w:t xml:space="preserve">matter </w:t>
      </w:r>
      <w:r w:rsidRPr="00A47154">
        <w:rPr>
          <w:rFonts w:cs="Arial"/>
        </w:rPr>
        <w:t xml:space="preserve">pollutants.  </w:t>
      </w:r>
      <w:r w:rsidR="00AA1652">
        <w:rPr>
          <w:rFonts w:cs="Arial"/>
        </w:rPr>
        <w:t>A</w:t>
      </w:r>
      <w:r w:rsidRPr="00A47154">
        <w:rPr>
          <w:rFonts w:cs="Arial"/>
        </w:rPr>
        <w:t>ssuming 400,000 BDT processed per year, the annual benefits would include a reduction in GHG emissions of about 152,000 tons CO2e. Other annual benefits include reductions in: particulate matter (2</w:t>
      </w:r>
      <w:r w:rsidR="00533710">
        <w:rPr>
          <w:rFonts w:cs="Arial"/>
        </w:rPr>
        <w:t>,</w:t>
      </w:r>
      <w:r w:rsidRPr="00A47154">
        <w:rPr>
          <w:rFonts w:cs="Arial"/>
        </w:rPr>
        <w:t>400 metric tons), NOx (640 metric tons), NMOCs</w:t>
      </w:r>
      <w:r w:rsidR="001B2E81">
        <w:rPr>
          <w:rFonts w:cs="Arial"/>
        </w:rPr>
        <w:t xml:space="preserve"> </w:t>
      </w:r>
      <w:r w:rsidRPr="00A47154">
        <w:rPr>
          <w:rFonts w:cs="Arial"/>
        </w:rPr>
        <w:t>(1880 metric tons), and CO (23,200 metric tons)</w:t>
      </w:r>
      <w:r w:rsidR="00AA1652">
        <w:rPr>
          <w:rFonts w:cs="Arial"/>
        </w:rPr>
        <w:t xml:space="preserve"> (</w:t>
      </w:r>
      <w:r w:rsidR="00AA1652" w:rsidRPr="00A47154">
        <w:rPr>
          <w:rFonts w:cs="Arial"/>
        </w:rPr>
        <w:t>Springsteen</w:t>
      </w:r>
      <w:r w:rsidR="003C708F">
        <w:rPr>
          <w:rFonts w:cs="Arial"/>
        </w:rPr>
        <w:t xml:space="preserve"> </w:t>
      </w:r>
      <w:r w:rsidR="00AA1652">
        <w:rPr>
          <w:rFonts w:cs="Arial"/>
        </w:rPr>
        <w:t>et al</w:t>
      </w:r>
      <w:r w:rsidR="003C708F">
        <w:rPr>
          <w:rFonts w:cs="Arial"/>
        </w:rPr>
        <w:t>.</w:t>
      </w:r>
      <w:r w:rsidR="00AA1652">
        <w:rPr>
          <w:rFonts w:cs="Arial"/>
        </w:rPr>
        <w:t>,</w:t>
      </w:r>
      <w:r w:rsidR="00AA1652" w:rsidRPr="00A47154">
        <w:rPr>
          <w:rFonts w:cs="Arial"/>
        </w:rPr>
        <w:t xml:space="preserve"> 2011)</w:t>
      </w:r>
      <w:r w:rsidRPr="00A47154">
        <w:rPr>
          <w:rFonts w:cs="Arial"/>
        </w:rPr>
        <w:t xml:space="preserve">.   </w:t>
      </w:r>
    </w:p>
    <w:p w:rsidR="00A47154" w:rsidRPr="00A47154" w:rsidRDefault="00A47154" w:rsidP="00A47154">
      <w:pPr>
        <w:tabs>
          <w:tab w:val="left" w:pos="1170"/>
        </w:tabs>
        <w:ind w:left="360"/>
        <w:rPr>
          <w:rFonts w:cs="Arial"/>
        </w:rPr>
      </w:pPr>
    </w:p>
    <w:p w:rsidR="008724B7" w:rsidRPr="00AB2DB7" w:rsidRDefault="00BC7F11" w:rsidP="00A47154">
      <w:pPr>
        <w:pStyle w:val="ListParagraph"/>
        <w:numPr>
          <w:ilvl w:val="0"/>
          <w:numId w:val="1"/>
        </w:numPr>
        <w:tabs>
          <w:tab w:val="left" w:pos="1170"/>
        </w:tabs>
        <w:rPr>
          <w:rFonts w:cs="Arial"/>
        </w:rPr>
      </w:pPr>
      <w:r>
        <w:rPr>
          <w:rFonts w:cs="Arial"/>
        </w:rPr>
        <w:t xml:space="preserve">Forests are the largest source for global carbon storage after the oceans.  California forests currently sequester about 30 million metric tons of CO2 </w:t>
      </w:r>
      <w:r>
        <w:rPr>
          <w:rFonts w:cs="Arial"/>
        </w:rPr>
        <w:lastRenderedPageBreak/>
        <w:t>annually (</w:t>
      </w:r>
      <w:r w:rsidR="00A24142">
        <w:rPr>
          <w:rFonts w:cs="Arial"/>
        </w:rPr>
        <w:t xml:space="preserve">CAL FIRE </w:t>
      </w:r>
      <w:r>
        <w:rPr>
          <w:rFonts w:cs="Arial"/>
        </w:rPr>
        <w:t>2010).   Wildfire, not forest</w:t>
      </w:r>
      <w:r w:rsidR="00A24142">
        <w:rPr>
          <w:rFonts w:cs="Arial"/>
        </w:rPr>
        <w:t xml:space="preserve"> management</w:t>
      </w:r>
      <w:r>
        <w:rPr>
          <w:rFonts w:cs="Arial"/>
        </w:rPr>
        <w:t>, is the dominant influence on forest carbon flux and sequestration today (Stewart et al</w:t>
      </w:r>
      <w:r w:rsidR="0066596B">
        <w:rPr>
          <w:rFonts w:cs="Arial"/>
        </w:rPr>
        <w:t>.</w:t>
      </w:r>
      <w:r>
        <w:rPr>
          <w:rFonts w:cs="Arial"/>
        </w:rPr>
        <w:t xml:space="preserve"> 2010).  In fire-prone forests of the West, large releases of carbon occur when trees are killed or partially killed by wildfire (</w:t>
      </w:r>
      <w:r w:rsidRPr="007B00A7">
        <w:rPr>
          <w:rFonts w:cs="Arial"/>
        </w:rPr>
        <w:t>Hurtt</w:t>
      </w:r>
      <w:r>
        <w:rPr>
          <w:rFonts w:cs="Arial"/>
        </w:rPr>
        <w:t xml:space="preserve"> et al. 2002, Hurteau et al. 2008). </w:t>
      </w:r>
    </w:p>
    <w:p w:rsidR="008724B7" w:rsidRPr="00AB2DB7" w:rsidRDefault="008724B7" w:rsidP="008724B7">
      <w:pPr>
        <w:tabs>
          <w:tab w:val="left" w:pos="1170"/>
        </w:tabs>
        <w:rPr>
          <w:rFonts w:cs="Arial"/>
        </w:rPr>
      </w:pPr>
    </w:p>
    <w:p w:rsidR="008724B7" w:rsidRPr="00AB2DB7" w:rsidRDefault="00BC7F11" w:rsidP="008724B7">
      <w:pPr>
        <w:pStyle w:val="ListParagraph"/>
        <w:numPr>
          <w:ilvl w:val="0"/>
          <w:numId w:val="1"/>
        </w:numPr>
        <w:tabs>
          <w:tab w:val="left" w:pos="1170"/>
        </w:tabs>
        <w:rPr>
          <w:rFonts w:cs="Arial"/>
        </w:rPr>
      </w:pPr>
      <w:r>
        <w:rPr>
          <w:rFonts w:cs="Arial"/>
        </w:rPr>
        <w:t>The preferred method to safely store carbon in forests is to accumulate it in a small</w:t>
      </w:r>
      <w:r w:rsidR="00A24142">
        <w:rPr>
          <w:rFonts w:cs="Arial"/>
        </w:rPr>
        <w:t>er</w:t>
      </w:r>
      <w:r>
        <w:rPr>
          <w:rFonts w:cs="Arial"/>
        </w:rPr>
        <w:t xml:space="preserve"> number of large trees that are resistant to severe fires</w:t>
      </w:r>
      <w:r w:rsidR="00A24142">
        <w:rPr>
          <w:rFonts w:cs="Arial"/>
        </w:rPr>
        <w:t>, rather than in a larger number of small trees that are less fire resistant</w:t>
      </w:r>
      <w:r>
        <w:rPr>
          <w:rFonts w:cs="Arial"/>
        </w:rPr>
        <w:t xml:space="preserve"> (e.g.</w:t>
      </w:r>
      <w:r w:rsidR="00A24142">
        <w:rPr>
          <w:rFonts w:cs="Arial"/>
        </w:rPr>
        <w:t>,</w:t>
      </w:r>
      <w:r>
        <w:rPr>
          <w:rFonts w:cs="Arial"/>
        </w:rPr>
        <w:t xml:space="preserve"> Hurteau and North 2009).  Forest management practices have been developed to accomplish this arrangement through thinning and prescribed fire (North et al. 2009).  Forest thinning is often the preferred treatment today because many forests stands have accumulated large fuel loads that prevent the safe use of prescribed fire</w:t>
      </w:r>
      <w:r w:rsidR="00A24142">
        <w:rPr>
          <w:rFonts w:cs="Arial"/>
        </w:rPr>
        <w:t xml:space="preserve"> as an initial treatment in particular</w:t>
      </w:r>
      <w:r>
        <w:rPr>
          <w:rFonts w:cs="Arial"/>
        </w:rPr>
        <w:t xml:space="preserve">.  Forest bioenergy facilities will be able to provide a ready market for the </w:t>
      </w:r>
      <w:r w:rsidR="00533710">
        <w:rPr>
          <w:rFonts w:cs="Arial"/>
        </w:rPr>
        <w:t xml:space="preserve">excess </w:t>
      </w:r>
      <w:r>
        <w:rPr>
          <w:rFonts w:cs="Arial"/>
        </w:rPr>
        <w:t xml:space="preserve">biomass generated by thinning operations, thus </w:t>
      </w:r>
      <w:r w:rsidR="00A24142">
        <w:rPr>
          <w:rFonts w:cs="Arial"/>
        </w:rPr>
        <w:t xml:space="preserve">helping to at least partially </w:t>
      </w:r>
      <w:r>
        <w:rPr>
          <w:rFonts w:cs="Arial"/>
        </w:rPr>
        <w:t xml:space="preserve">offset the cost of biomass collection, processing and transport. </w:t>
      </w:r>
    </w:p>
    <w:p w:rsidR="008724B7" w:rsidRPr="00AB2DB7" w:rsidRDefault="008724B7" w:rsidP="008724B7">
      <w:pPr>
        <w:rPr>
          <w:rFonts w:cs="Arial"/>
        </w:rPr>
      </w:pPr>
    </w:p>
    <w:p w:rsidR="008724B7" w:rsidRPr="00DC1A2E" w:rsidRDefault="00BC7F11" w:rsidP="00DC1A2E">
      <w:pPr>
        <w:keepNext/>
        <w:rPr>
          <w:rFonts w:cs="Arial"/>
          <w:b/>
        </w:rPr>
      </w:pPr>
      <w:r w:rsidRPr="00DC1A2E">
        <w:rPr>
          <w:rFonts w:cs="Arial"/>
          <w:b/>
        </w:rPr>
        <w:t>Co-</w:t>
      </w:r>
      <w:r w:rsidR="00A24142" w:rsidRPr="00DC1A2E">
        <w:rPr>
          <w:rFonts w:cs="Arial"/>
          <w:b/>
        </w:rPr>
        <w:t xml:space="preserve">Benefits </w:t>
      </w:r>
    </w:p>
    <w:p w:rsidR="008724B7" w:rsidRPr="00AB2DB7" w:rsidRDefault="008724B7" w:rsidP="00DC1A2E">
      <w:pPr>
        <w:keepNext/>
        <w:rPr>
          <w:rFonts w:cs="Arial"/>
        </w:rPr>
      </w:pPr>
    </w:p>
    <w:p w:rsidR="008724B7" w:rsidRPr="00AB2DB7" w:rsidRDefault="00BC7F11" w:rsidP="008724B7">
      <w:pPr>
        <w:rPr>
          <w:rFonts w:cs="Arial"/>
        </w:rPr>
      </w:pPr>
      <w:r>
        <w:rPr>
          <w:rFonts w:cs="Arial"/>
        </w:rPr>
        <w:t>Many forests in California are at risk to damage from wildfire, insect outbreaks, disease agents, drought and changing climate because of over-stocked conditions (too many stems per acre).   Removing forest biomass as feedstock for bio-energy production can be done in ways that promote healthier</w:t>
      </w:r>
      <w:r w:rsidR="00A24142">
        <w:rPr>
          <w:rFonts w:cs="Arial"/>
        </w:rPr>
        <w:t>, more resilient</w:t>
      </w:r>
      <w:r>
        <w:rPr>
          <w:rFonts w:cs="Arial"/>
        </w:rPr>
        <w:t xml:space="preserve"> forests while protecting other resources (e.g., soil and water).   </w:t>
      </w:r>
      <w:r>
        <w:rPr>
          <w:rFonts w:cs="Arial"/>
          <w:vanish/>
        </w:rPr>
        <w:t>eathy foresHHh</w:t>
      </w:r>
      <w:r>
        <w:rPr>
          <w:rFonts w:cs="Arial"/>
        </w:rPr>
        <w:t>Healthy forests that benefit from biomass removal provide an array of other societal benefits</w:t>
      </w:r>
      <w:r w:rsidR="00533710">
        <w:rPr>
          <w:rFonts w:cs="Arial"/>
        </w:rPr>
        <w:t xml:space="preserve"> including</w:t>
      </w:r>
      <w:r w:rsidR="0077194F">
        <w:rPr>
          <w:rFonts w:cs="Arial"/>
        </w:rPr>
        <w:t>:</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Healthy forests reduce the extent of severe fires and dramatically reduce the costs and damages from wildfire.  Examples are reduced costs of fire suppression, improved firefighter safety, and reduced damage to property and the environment.</w:t>
      </w:r>
    </w:p>
    <w:p w:rsidR="008724B7" w:rsidRPr="00AB2DB7" w:rsidRDefault="008724B7" w:rsidP="008724B7">
      <w:pPr>
        <w:pStyle w:val="ListParagraph"/>
        <w:rPr>
          <w:rFonts w:cs="Arial"/>
        </w:rPr>
      </w:pPr>
    </w:p>
    <w:p w:rsidR="008724B7" w:rsidRPr="00AB2DB7" w:rsidRDefault="00BC7F11" w:rsidP="008724B7">
      <w:pPr>
        <w:pStyle w:val="ListParagraph"/>
        <w:numPr>
          <w:ilvl w:val="0"/>
          <w:numId w:val="5"/>
        </w:numPr>
        <w:rPr>
          <w:rFonts w:cs="Arial"/>
        </w:rPr>
      </w:pPr>
      <w:r>
        <w:rPr>
          <w:rFonts w:cs="Arial"/>
        </w:rPr>
        <w:t xml:space="preserve">Healthy forests in the Sierra Nevada </w:t>
      </w:r>
      <w:r w:rsidR="00AA1652">
        <w:rPr>
          <w:rFonts w:cs="Arial"/>
        </w:rPr>
        <w:t xml:space="preserve">range </w:t>
      </w:r>
      <w:r w:rsidR="002F65D4">
        <w:rPr>
          <w:rFonts w:cs="Arial"/>
        </w:rPr>
        <w:t>alone</w:t>
      </w:r>
      <w:r w:rsidR="00AA1652">
        <w:rPr>
          <w:rFonts w:cs="Arial"/>
        </w:rPr>
        <w:t xml:space="preserve"> </w:t>
      </w:r>
      <w:r>
        <w:rPr>
          <w:rFonts w:cs="Arial"/>
        </w:rPr>
        <w:t xml:space="preserve">help protect the water supply for 25 million Californians.  Sediment deposited by runoff after severe fires can require costly clean-up operations for managers of public drinking water facilities as well as managers of hydroelectric and water storage facilities.  Carefully managed forests can ameliorate large sediment movements by reducing fire severity and protecting soils.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Many of the benefits to public health come from added fire protection and reduced air and water</w:t>
      </w:r>
      <w:r w:rsidR="00AE589A" w:rsidRPr="00AE589A">
        <w:rPr>
          <w:rFonts w:cs="Arial"/>
        </w:rPr>
        <w:t xml:space="preserve"> </w:t>
      </w:r>
      <w:r w:rsidR="00AE589A">
        <w:rPr>
          <w:rFonts w:cs="Arial"/>
        </w:rPr>
        <w:t>pollution</w:t>
      </w:r>
      <w:r>
        <w:rPr>
          <w:rFonts w:cs="Arial"/>
        </w:rPr>
        <w:t xml:space="preserve">.  An assessment of a proposed bioenergy facility in Placer County found that the project posed no significant risks to public health and would offer considerable improvements over the traditional method of burning forest waste in piles.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Healthy forests continuously increase carbon storage in the large trees while making stands more resistant to fire</w:t>
      </w:r>
      <w:r w:rsidR="00AE589A">
        <w:rPr>
          <w:rFonts w:cs="Arial"/>
        </w:rPr>
        <w:t>s</w:t>
      </w:r>
      <w:r>
        <w:rPr>
          <w:rFonts w:cs="Arial"/>
        </w:rPr>
        <w:t xml:space="preserve">.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 xml:space="preserve">Biomass </w:t>
      </w:r>
      <w:r w:rsidR="00A120B3">
        <w:rPr>
          <w:rFonts w:cs="Arial"/>
        </w:rPr>
        <w:t>removal that is conducted</w:t>
      </w:r>
      <w:r>
        <w:rPr>
          <w:rFonts w:cs="Arial"/>
        </w:rPr>
        <w:t xml:space="preserve"> to reduce </w:t>
      </w:r>
      <w:r w:rsidR="00AE589A">
        <w:rPr>
          <w:rFonts w:cs="Arial"/>
        </w:rPr>
        <w:t>hazardous fuel levels</w:t>
      </w:r>
      <w:r>
        <w:rPr>
          <w:rFonts w:cs="Arial"/>
        </w:rPr>
        <w:t xml:space="preserve"> will generally be regarded as beneficial for wildlife as long as abundant key structural components (snags, down logs, hardwoods, etc.) are retained. </w:t>
      </w:r>
    </w:p>
    <w:p w:rsidR="008724B7" w:rsidRPr="00AB2DB7" w:rsidRDefault="00BC7F11" w:rsidP="008724B7">
      <w:pPr>
        <w:rPr>
          <w:rFonts w:cs="Arial"/>
        </w:rPr>
      </w:pPr>
      <w:r>
        <w:rPr>
          <w:rFonts w:cs="Arial"/>
        </w:rPr>
        <w:t xml:space="preserve"> </w:t>
      </w:r>
    </w:p>
    <w:p w:rsidR="008724B7" w:rsidRPr="00AB2DB7" w:rsidRDefault="00BC7F11" w:rsidP="008724B7">
      <w:pPr>
        <w:pStyle w:val="ListParagraph"/>
        <w:numPr>
          <w:ilvl w:val="0"/>
          <w:numId w:val="5"/>
        </w:numPr>
        <w:rPr>
          <w:rFonts w:cs="Arial"/>
        </w:rPr>
      </w:pPr>
      <w:r>
        <w:rPr>
          <w:rFonts w:cs="Arial"/>
        </w:rPr>
        <w:t xml:space="preserve">Healthy forests can help avoid serious disruptions to forest recreation.  Many rural communities are dependent upon recreational activities as a primary employment opportunity.  </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Biomass power facilities mean jobs with comparatively good wages that are needed in many disadvantaged rural forest communities.</w:t>
      </w:r>
    </w:p>
    <w:p w:rsidR="008724B7" w:rsidRPr="00AB2DB7" w:rsidRDefault="008724B7" w:rsidP="008724B7">
      <w:pPr>
        <w:rPr>
          <w:rFonts w:cs="Arial"/>
        </w:rPr>
      </w:pPr>
    </w:p>
    <w:p w:rsidR="008724B7" w:rsidRPr="00AB2DB7" w:rsidRDefault="00BC7F11" w:rsidP="008724B7">
      <w:pPr>
        <w:pStyle w:val="ListParagraph"/>
        <w:numPr>
          <w:ilvl w:val="0"/>
          <w:numId w:val="5"/>
        </w:numPr>
        <w:rPr>
          <w:rFonts w:cs="Arial"/>
        </w:rPr>
      </w:pPr>
      <w:r>
        <w:rPr>
          <w:rFonts w:cs="Arial"/>
        </w:rPr>
        <w:t xml:space="preserve">Forest bioenergy facilities provide a reliable source of renewable energy that helps diversify California’s renewable energy portfolio while offering firm reliable power when other </w:t>
      </w:r>
      <w:r w:rsidR="00A120B3">
        <w:rPr>
          <w:rFonts w:cs="Arial"/>
        </w:rPr>
        <w:t>intermitt</w:t>
      </w:r>
      <w:r w:rsidR="0077194F">
        <w:rPr>
          <w:rFonts w:cs="Arial"/>
        </w:rPr>
        <w:t>e</w:t>
      </w:r>
      <w:r w:rsidR="00A120B3">
        <w:rPr>
          <w:rFonts w:cs="Arial"/>
        </w:rPr>
        <w:t>nt</w:t>
      </w:r>
      <w:r w:rsidR="00AE589A">
        <w:rPr>
          <w:rFonts w:cs="Arial"/>
        </w:rPr>
        <w:t xml:space="preserve"> </w:t>
      </w:r>
      <w:r>
        <w:rPr>
          <w:rFonts w:cs="Arial"/>
        </w:rPr>
        <w:t>sources such as wind and solar may be off line.</w:t>
      </w:r>
    </w:p>
    <w:p w:rsidR="008724B7" w:rsidRPr="00AB2DB7" w:rsidRDefault="008724B7" w:rsidP="008724B7">
      <w:pPr>
        <w:rPr>
          <w:rFonts w:cs="Arial"/>
          <w:b/>
        </w:rPr>
      </w:pPr>
    </w:p>
    <w:p w:rsidR="008724B7" w:rsidRPr="00D7128B" w:rsidRDefault="002E69E0" w:rsidP="008724B7">
      <w:pPr>
        <w:rPr>
          <w:rFonts w:cs="Arial"/>
          <w:b/>
        </w:rPr>
      </w:pPr>
      <w:r w:rsidRPr="00D7128B">
        <w:rPr>
          <w:rFonts w:cs="Arial"/>
          <w:b/>
        </w:rPr>
        <w:t xml:space="preserve">Proposed </w:t>
      </w:r>
      <w:r w:rsidR="0016479F" w:rsidRPr="00D7128B">
        <w:rPr>
          <w:rFonts w:cs="Arial"/>
          <w:b/>
        </w:rPr>
        <w:t>Investment</w:t>
      </w:r>
      <w:r w:rsidR="00BC7F11" w:rsidRPr="00D7128B">
        <w:rPr>
          <w:rFonts w:cs="Arial"/>
          <w:b/>
        </w:rPr>
        <w:t xml:space="preserve"> </w:t>
      </w:r>
    </w:p>
    <w:p w:rsidR="008724B7" w:rsidRPr="00AB2DB7" w:rsidRDefault="008724B7" w:rsidP="008724B7">
      <w:pPr>
        <w:rPr>
          <w:rFonts w:cs="Arial"/>
          <w:i/>
        </w:rPr>
      </w:pPr>
    </w:p>
    <w:p w:rsidR="008724B7" w:rsidRPr="00AB2DB7" w:rsidRDefault="00BC7F11" w:rsidP="008724B7">
      <w:pPr>
        <w:rPr>
          <w:rFonts w:cs="Arial"/>
        </w:rPr>
      </w:pPr>
      <w:r>
        <w:rPr>
          <w:rFonts w:cs="Arial"/>
        </w:rPr>
        <w:t>Investment of cap and trade allowance revenues should target early phase development and deployment of community-scale forest bioenergy technologies</w:t>
      </w:r>
      <w:r w:rsidR="00AE589A">
        <w:rPr>
          <w:rFonts w:cs="Arial"/>
        </w:rPr>
        <w:t xml:space="preserve"> consistent with SB 1122</w:t>
      </w:r>
      <w:r>
        <w:rPr>
          <w:rFonts w:cs="Arial"/>
        </w:rPr>
        <w:t xml:space="preserve">.  </w:t>
      </w:r>
    </w:p>
    <w:p w:rsidR="008724B7" w:rsidRPr="00AB2DB7" w:rsidRDefault="008724B7" w:rsidP="008724B7">
      <w:pPr>
        <w:rPr>
          <w:rFonts w:cs="Arial"/>
        </w:rPr>
      </w:pPr>
    </w:p>
    <w:p w:rsidR="008724B7" w:rsidRPr="00AB2DB7" w:rsidRDefault="00761987" w:rsidP="008724B7">
      <w:pPr>
        <w:rPr>
          <w:rFonts w:cs="Arial"/>
        </w:rPr>
      </w:pPr>
      <w:r w:rsidRPr="00761987">
        <w:rPr>
          <w:rFonts w:cs="Arial"/>
        </w:rPr>
        <w:t>Currently</w:t>
      </w:r>
      <w:r w:rsidR="00AE589A">
        <w:rPr>
          <w:rFonts w:cs="Arial"/>
        </w:rPr>
        <w:t>,</w:t>
      </w:r>
      <w:r w:rsidRPr="00761987">
        <w:rPr>
          <w:rFonts w:cs="Arial"/>
        </w:rPr>
        <w:t xml:space="preserve"> there is a limited amount of funding available to project proponents to conduct the preliminary analysis phase</w:t>
      </w:r>
      <w:r w:rsidR="00AE589A">
        <w:rPr>
          <w:rFonts w:cs="Arial"/>
        </w:rPr>
        <w:t>,</w:t>
      </w:r>
      <w:r w:rsidRPr="00761987">
        <w:rPr>
          <w:rFonts w:cs="Arial"/>
        </w:rPr>
        <w:t xml:space="preserve"> which includes project engineering, design, environmental analysis, and permitting.  This work is required before the utility company </w:t>
      </w:r>
      <w:r w:rsidR="00A120B3">
        <w:rPr>
          <w:rFonts w:cs="Arial"/>
        </w:rPr>
        <w:t xml:space="preserve">energy </w:t>
      </w:r>
      <w:r w:rsidRPr="00761987">
        <w:rPr>
          <w:rFonts w:cs="Arial"/>
        </w:rPr>
        <w:t xml:space="preserve">price negotiations can take place, which then establishes the income stream for the project.  This preliminary analysis phase must therefore be completed before private financing can be obtained to implement the project.  </w:t>
      </w:r>
    </w:p>
    <w:p w:rsidR="008724B7" w:rsidRPr="00AB2DB7" w:rsidRDefault="008724B7" w:rsidP="008724B7">
      <w:pPr>
        <w:rPr>
          <w:rFonts w:cs="Arial"/>
        </w:rPr>
      </w:pPr>
    </w:p>
    <w:p w:rsidR="008724B7" w:rsidRPr="00AB2DB7" w:rsidRDefault="00761987" w:rsidP="008724B7">
      <w:pPr>
        <w:rPr>
          <w:rFonts w:cs="Arial"/>
        </w:rPr>
      </w:pPr>
      <w:r w:rsidRPr="00761987">
        <w:rPr>
          <w:rFonts w:cs="Arial"/>
        </w:rPr>
        <w:t>The cost of completing the preliminary analysis phase is generally between $100,000 and $3</w:t>
      </w:r>
      <w:r w:rsidR="00945226">
        <w:rPr>
          <w:rFonts w:cs="Arial"/>
        </w:rPr>
        <w:t>5</w:t>
      </w:r>
      <w:r w:rsidRPr="00761987">
        <w:rPr>
          <w:rFonts w:cs="Arial"/>
        </w:rPr>
        <w:t xml:space="preserve">0,000 (but can be as high as $750,000).  </w:t>
      </w:r>
      <w:r w:rsidR="002E69E0">
        <w:rPr>
          <w:rFonts w:cs="Arial"/>
        </w:rPr>
        <w:t xml:space="preserve">In order to achieve 50 </w:t>
      </w:r>
      <w:r w:rsidR="00945226">
        <w:rPr>
          <w:rFonts w:cs="Arial"/>
        </w:rPr>
        <w:t>MW</w:t>
      </w:r>
      <w:r w:rsidR="002E69E0">
        <w:rPr>
          <w:rFonts w:cs="Arial"/>
        </w:rPr>
        <w:t xml:space="preserve"> from forest biomass, a</w:t>
      </w:r>
      <w:r w:rsidR="00DE57BF">
        <w:rPr>
          <w:rFonts w:cs="Arial"/>
        </w:rPr>
        <w:t>pproximately $</w:t>
      </w:r>
      <w:r w:rsidR="00395F63">
        <w:rPr>
          <w:rFonts w:cs="Arial"/>
        </w:rPr>
        <w:t>10</w:t>
      </w:r>
      <w:r w:rsidR="00DE57BF">
        <w:rPr>
          <w:rFonts w:cs="Arial"/>
        </w:rPr>
        <w:t xml:space="preserve"> million w</w:t>
      </w:r>
      <w:r w:rsidR="00395F63">
        <w:rPr>
          <w:rFonts w:cs="Arial"/>
        </w:rPr>
        <w:t>ill</w:t>
      </w:r>
      <w:r w:rsidR="00DE57BF">
        <w:rPr>
          <w:rFonts w:cs="Arial"/>
        </w:rPr>
        <w:t xml:space="preserve"> be needed.  </w:t>
      </w:r>
      <w:r w:rsidRPr="00761987">
        <w:rPr>
          <w:rFonts w:cs="Arial"/>
        </w:rPr>
        <w:t>The uncertainties of this new industry</w:t>
      </w:r>
      <w:r w:rsidR="00A120B3">
        <w:rPr>
          <w:rFonts w:cs="Arial"/>
        </w:rPr>
        <w:t xml:space="preserve"> and the fact that this is an emerging market sector</w:t>
      </w:r>
      <w:r w:rsidRPr="00761987">
        <w:rPr>
          <w:rFonts w:cs="Arial"/>
        </w:rPr>
        <w:t xml:space="preserve"> make it virtually impossible to obtain this up-front investment.  The costs and income from projects are </w:t>
      </w:r>
      <w:r w:rsidR="00A120B3">
        <w:rPr>
          <w:rFonts w:cs="Arial"/>
        </w:rPr>
        <w:t>significant</w:t>
      </w:r>
      <w:r w:rsidRPr="00761987">
        <w:rPr>
          <w:rFonts w:cs="Arial"/>
        </w:rPr>
        <w:t xml:space="preserve"> unknown</w:t>
      </w:r>
      <w:r w:rsidR="0077194F">
        <w:rPr>
          <w:rFonts w:cs="Arial"/>
        </w:rPr>
        <w:t>s</w:t>
      </w:r>
      <w:r w:rsidRPr="00761987">
        <w:rPr>
          <w:rFonts w:cs="Arial"/>
        </w:rPr>
        <w:t xml:space="preserve"> for investors and lenders to make these up-front investments</w:t>
      </w:r>
      <w:r w:rsidR="00AE589A">
        <w:rPr>
          <w:rFonts w:cs="Arial"/>
        </w:rPr>
        <w:t>.  T</w:t>
      </w:r>
      <w:r w:rsidRPr="00761987">
        <w:rPr>
          <w:rFonts w:cs="Arial"/>
        </w:rPr>
        <w:t>herefore</w:t>
      </w:r>
      <w:r w:rsidR="00AE589A">
        <w:rPr>
          <w:rFonts w:cs="Arial"/>
        </w:rPr>
        <w:t>,</w:t>
      </w:r>
      <w:r w:rsidRPr="00761987">
        <w:rPr>
          <w:rFonts w:cs="Arial"/>
        </w:rPr>
        <w:t xml:space="preserve"> public funds have been retained to support the current projects under development.  The majority of funds have been secured through competitive federal and state grant programs.  However, there is limited funding in these programs and they are generally only made available one time per year</w:t>
      </w:r>
      <w:r w:rsidR="00AE589A">
        <w:rPr>
          <w:rFonts w:cs="Arial"/>
        </w:rPr>
        <w:t>,</w:t>
      </w:r>
      <w:r w:rsidRPr="00761987">
        <w:rPr>
          <w:rFonts w:cs="Arial"/>
        </w:rPr>
        <w:t xml:space="preserve"> </w:t>
      </w:r>
      <w:r w:rsidR="00AE589A">
        <w:rPr>
          <w:rFonts w:cs="Arial"/>
        </w:rPr>
        <w:t>which</w:t>
      </w:r>
      <w:r w:rsidRPr="00761987">
        <w:rPr>
          <w:rFonts w:cs="Arial"/>
        </w:rPr>
        <w:t xml:space="preserve"> can delay project development.  </w:t>
      </w:r>
    </w:p>
    <w:p w:rsidR="008724B7" w:rsidRPr="00AB2DB7" w:rsidRDefault="008724B7" w:rsidP="008724B7">
      <w:pPr>
        <w:rPr>
          <w:rFonts w:cs="Arial"/>
        </w:rPr>
      </w:pPr>
    </w:p>
    <w:p w:rsidR="008724B7" w:rsidRPr="00AB2DB7" w:rsidRDefault="00F75AA3" w:rsidP="008724B7">
      <w:pPr>
        <w:rPr>
          <w:rFonts w:cs="Arial"/>
        </w:rPr>
      </w:pPr>
      <w:r>
        <w:rPr>
          <w:rFonts w:cs="Arial"/>
        </w:rPr>
        <w:lastRenderedPageBreak/>
        <w:t xml:space="preserve">We recommend a </w:t>
      </w:r>
      <w:r w:rsidR="008724B7" w:rsidRPr="00AB2DB7">
        <w:rPr>
          <w:rFonts w:cs="Arial"/>
        </w:rPr>
        <w:t xml:space="preserve">dedicated amount of </w:t>
      </w:r>
      <w:r w:rsidR="00DE57BF">
        <w:rPr>
          <w:rFonts w:cs="Arial"/>
        </w:rPr>
        <w:t>$ 2</w:t>
      </w:r>
      <w:r w:rsidR="00AA1652">
        <w:rPr>
          <w:rFonts w:cs="Arial"/>
        </w:rPr>
        <w:t xml:space="preserve"> </w:t>
      </w:r>
      <w:r w:rsidR="00395F63">
        <w:rPr>
          <w:rFonts w:cs="Arial"/>
        </w:rPr>
        <w:t>-</w:t>
      </w:r>
      <w:r w:rsidR="00AA1652">
        <w:rPr>
          <w:rFonts w:cs="Arial"/>
        </w:rPr>
        <w:t xml:space="preserve"> </w:t>
      </w:r>
      <w:r w:rsidR="0016479F">
        <w:rPr>
          <w:rFonts w:cs="Arial"/>
        </w:rPr>
        <w:t>4</w:t>
      </w:r>
      <w:r w:rsidR="00DE57BF">
        <w:rPr>
          <w:rFonts w:cs="Arial"/>
        </w:rPr>
        <w:t xml:space="preserve"> million annually from </w:t>
      </w:r>
      <w:r w:rsidR="008724B7" w:rsidRPr="00AB2DB7">
        <w:rPr>
          <w:rFonts w:cs="Arial"/>
        </w:rPr>
        <w:t>cap and trade revenues to support e</w:t>
      </w:r>
      <w:r w:rsidR="008724B7" w:rsidRPr="00D53376">
        <w:rPr>
          <w:rFonts w:cs="Arial"/>
        </w:rPr>
        <w:t xml:space="preserve">arly phase investment in forest bioenergy </w:t>
      </w:r>
      <w:r w:rsidR="008724B7" w:rsidRPr="002B70FB">
        <w:rPr>
          <w:rFonts w:cs="Arial"/>
        </w:rPr>
        <w:t xml:space="preserve">demonstration projects to establish the industry.   </w:t>
      </w:r>
      <w:r w:rsidR="00821452">
        <w:rPr>
          <w:rFonts w:cs="Arial"/>
        </w:rPr>
        <w:t>O</w:t>
      </w:r>
      <w:r w:rsidR="00761987" w:rsidRPr="00761987">
        <w:rPr>
          <w:rFonts w:cs="Arial"/>
        </w:rPr>
        <w:t>nce these demonstration projects are operational</w:t>
      </w:r>
      <w:r>
        <w:rPr>
          <w:rFonts w:cs="Arial"/>
        </w:rPr>
        <w:t>,</w:t>
      </w:r>
      <w:r w:rsidR="00761987" w:rsidRPr="00761987">
        <w:rPr>
          <w:rFonts w:cs="Arial"/>
        </w:rPr>
        <w:t xml:space="preserve"> this industry can function like other small-scale renewable energy operations, obtaining working capital for the preliminary analysis costs through investors who have developed confidence in the new industry.  </w:t>
      </w:r>
    </w:p>
    <w:p w:rsidR="008724B7" w:rsidRPr="00D53376" w:rsidRDefault="008724B7" w:rsidP="008724B7">
      <w:pPr>
        <w:rPr>
          <w:rFonts w:cs="Arial"/>
        </w:rPr>
      </w:pPr>
    </w:p>
    <w:tbl>
      <w:tblPr>
        <w:tblStyle w:val="TableGrid"/>
        <w:tblW w:w="8856" w:type="dxa"/>
        <w:tblLook w:val="04A0" w:firstRow="1" w:lastRow="0" w:firstColumn="1" w:lastColumn="0" w:noHBand="0" w:noVBand="1"/>
      </w:tblPr>
      <w:tblGrid>
        <w:gridCol w:w="2214"/>
        <w:gridCol w:w="2574"/>
        <w:gridCol w:w="1854"/>
        <w:gridCol w:w="2214"/>
      </w:tblGrid>
      <w:tr w:rsidR="00133796" w:rsidTr="007B00A7">
        <w:tc>
          <w:tcPr>
            <w:tcW w:w="2214" w:type="dxa"/>
            <w:vAlign w:val="bottom"/>
          </w:tcPr>
          <w:p w:rsidR="00133796" w:rsidRDefault="00133796" w:rsidP="00F75AA3">
            <w:pPr>
              <w:jc w:val="center"/>
              <w:rPr>
                <w:rFonts w:cs="Arial"/>
              </w:rPr>
            </w:pPr>
            <w:r>
              <w:rPr>
                <w:rFonts w:cs="Arial"/>
              </w:rPr>
              <w:t>Fiscal Year</w:t>
            </w:r>
          </w:p>
        </w:tc>
        <w:tc>
          <w:tcPr>
            <w:tcW w:w="2574" w:type="dxa"/>
            <w:vAlign w:val="bottom"/>
          </w:tcPr>
          <w:p w:rsidR="00133796" w:rsidRDefault="00133796" w:rsidP="00133796">
            <w:pPr>
              <w:jc w:val="center"/>
              <w:rPr>
                <w:rFonts w:cs="Arial"/>
              </w:rPr>
            </w:pPr>
            <w:r>
              <w:rPr>
                <w:rFonts w:cs="Arial"/>
              </w:rPr>
              <w:t>Funds Needed (based on $350,000</w:t>
            </w:r>
            <w:r w:rsidR="0079117F">
              <w:rPr>
                <w:rFonts w:cs="Arial"/>
              </w:rPr>
              <w:t xml:space="preserve"> per </w:t>
            </w:r>
            <w:r>
              <w:rPr>
                <w:rFonts w:cs="Arial"/>
              </w:rPr>
              <w:t>project)</w:t>
            </w:r>
          </w:p>
        </w:tc>
        <w:tc>
          <w:tcPr>
            <w:tcW w:w="1854" w:type="dxa"/>
            <w:vAlign w:val="bottom"/>
          </w:tcPr>
          <w:p w:rsidR="00133796" w:rsidRDefault="00133796" w:rsidP="00133796">
            <w:pPr>
              <w:jc w:val="center"/>
              <w:rPr>
                <w:rFonts w:cs="Arial"/>
              </w:rPr>
            </w:pPr>
            <w:r>
              <w:rPr>
                <w:rFonts w:cs="Arial"/>
              </w:rPr>
              <w:t>Number of projects</w:t>
            </w:r>
          </w:p>
        </w:tc>
        <w:tc>
          <w:tcPr>
            <w:tcW w:w="2214" w:type="dxa"/>
            <w:vAlign w:val="bottom"/>
          </w:tcPr>
          <w:p w:rsidR="00133796" w:rsidRDefault="00133796" w:rsidP="00133796">
            <w:pPr>
              <w:jc w:val="center"/>
              <w:rPr>
                <w:rFonts w:cs="Arial"/>
              </w:rPr>
            </w:pPr>
            <w:r>
              <w:rPr>
                <w:rFonts w:cs="Arial"/>
              </w:rPr>
              <w:t>Cumulative MW</w:t>
            </w:r>
          </w:p>
        </w:tc>
      </w:tr>
      <w:tr w:rsidR="00133796" w:rsidTr="007B00A7">
        <w:tc>
          <w:tcPr>
            <w:tcW w:w="2214" w:type="dxa"/>
          </w:tcPr>
          <w:p w:rsidR="00133796" w:rsidRDefault="00133796">
            <w:pPr>
              <w:rPr>
                <w:rFonts w:cs="Arial"/>
              </w:rPr>
            </w:pPr>
            <w:r>
              <w:rPr>
                <w:rFonts w:cs="Arial"/>
              </w:rPr>
              <w:t>1 (2013-14)</w:t>
            </w:r>
          </w:p>
        </w:tc>
        <w:tc>
          <w:tcPr>
            <w:tcW w:w="2574" w:type="dxa"/>
          </w:tcPr>
          <w:p w:rsidR="00133796" w:rsidRDefault="00133796" w:rsidP="00133796">
            <w:pPr>
              <w:jc w:val="center"/>
              <w:rPr>
                <w:rFonts w:cs="Arial"/>
              </w:rPr>
            </w:pPr>
            <w:r>
              <w:rPr>
                <w:rFonts w:cs="Arial"/>
              </w:rPr>
              <w:t>2.45</w:t>
            </w:r>
          </w:p>
        </w:tc>
        <w:tc>
          <w:tcPr>
            <w:tcW w:w="1854" w:type="dxa"/>
          </w:tcPr>
          <w:p w:rsidR="00133796" w:rsidRDefault="00133796" w:rsidP="00133796">
            <w:pPr>
              <w:jc w:val="center"/>
              <w:rPr>
                <w:rFonts w:cs="Arial"/>
              </w:rPr>
            </w:pPr>
            <w:r>
              <w:rPr>
                <w:rFonts w:cs="Arial"/>
              </w:rPr>
              <w:t>7</w:t>
            </w:r>
          </w:p>
        </w:tc>
        <w:tc>
          <w:tcPr>
            <w:tcW w:w="2214" w:type="dxa"/>
          </w:tcPr>
          <w:p w:rsidR="00133796" w:rsidRDefault="00133796" w:rsidP="00133796">
            <w:pPr>
              <w:jc w:val="center"/>
              <w:rPr>
                <w:rFonts w:cs="Arial"/>
              </w:rPr>
            </w:pPr>
            <w:r>
              <w:rPr>
                <w:rFonts w:cs="Arial"/>
              </w:rPr>
              <w:t>16</w:t>
            </w:r>
          </w:p>
        </w:tc>
      </w:tr>
      <w:tr w:rsidR="00133796" w:rsidTr="007B00A7">
        <w:tc>
          <w:tcPr>
            <w:tcW w:w="2214" w:type="dxa"/>
          </w:tcPr>
          <w:p w:rsidR="00133796" w:rsidRDefault="00133796">
            <w:pPr>
              <w:rPr>
                <w:rFonts w:cs="Arial"/>
              </w:rPr>
            </w:pPr>
            <w:r>
              <w:rPr>
                <w:rFonts w:cs="Arial"/>
              </w:rPr>
              <w:t>2 (2014-15)</w:t>
            </w:r>
          </w:p>
        </w:tc>
        <w:tc>
          <w:tcPr>
            <w:tcW w:w="2574" w:type="dxa"/>
          </w:tcPr>
          <w:p w:rsidR="00133796" w:rsidRDefault="00133796" w:rsidP="00133796">
            <w:pPr>
              <w:jc w:val="center"/>
              <w:rPr>
                <w:rFonts w:cs="Arial"/>
              </w:rPr>
            </w:pPr>
            <w:r>
              <w:rPr>
                <w:rFonts w:cs="Arial"/>
              </w:rPr>
              <w:t>2.8</w:t>
            </w:r>
          </w:p>
        </w:tc>
        <w:tc>
          <w:tcPr>
            <w:tcW w:w="1854" w:type="dxa"/>
          </w:tcPr>
          <w:p w:rsidR="00133796" w:rsidRDefault="00133796" w:rsidP="00133796">
            <w:pPr>
              <w:jc w:val="center"/>
              <w:rPr>
                <w:rFonts w:cs="Arial"/>
              </w:rPr>
            </w:pPr>
            <w:r>
              <w:rPr>
                <w:rFonts w:cs="Arial"/>
              </w:rPr>
              <w:t>8</w:t>
            </w:r>
          </w:p>
        </w:tc>
        <w:tc>
          <w:tcPr>
            <w:tcW w:w="2214" w:type="dxa"/>
          </w:tcPr>
          <w:p w:rsidR="00133796" w:rsidRDefault="00133796" w:rsidP="00133796">
            <w:pPr>
              <w:jc w:val="center"/>
              <w:rPr>
                <w:rFonts w:cs="Arial"/>
              </w:rPr>
            </w:pPr>
            <w:r>
              <w:rPr>
                <w:rFonts w:cs="Arial"/>
              </w:rPr>
              <w:t>20</w:t>
            </w:r>
          </w:p>
        </w:tc>
      </w:tr>
      <w:tr w:rsidR="00133796" w:rsidTr="007B00A7">
        <w:tc>
          <w:tcPr>
            <w:tcW w:w="2214" w:type="dxa"/>
          </w:tcPr>
          <w:p w:rsidR="00133796" w:rsidRDefault="00133796">
            <w:pPr>
              <w:rPr>
                <w:rFonts w:cs="Arial"/>
              </w:rPr>
            </w:pPr>
            <w:r>
              <w:rPr>
                <w:rFonts w:cs="Arial"/>
              </w:rPr>
              <w:t>3 (2015-16)</w:t>
            </w:r>
          </w:p>
        </w:tc>
        <w:tc>
          <w:tcPr>
            <w:tcW w:w="2574" w:type="dxa"/>
          </w:tcPr>
          <w:p w:rsidR="00133796" w:rsidRDefault="00133796" w:rsidP="00133796">
            <w:pPr>
              <w:jc w:val="center"/>
              <w:rPr>
                <w:rFonts w:cs="Arial"/>
              </w:rPr>
            </w:pPr>
            <w:r>
              <w:rPr>
                <w:rFonts w:cs="Arial"/>
              </w:rPr>
              <w:t>4.2</w:t>
            </w:r>
          </w:p>
        </w:tc>
        <w:tc>
          <w:tcPr>
            <w:tcW w:w="1854" w:type="dxa"/>
          </w:tcPr>
          <w:p w:rsidR="00133796" w:rsidRDefault="00133796" w:rsidP="00133796">
            <w:pPr>
              <w:jc w:val="center"/>
              <w:rPr>
                <w:rFonts w:cs="Arial"/>
              </w:rPr>
            </w:pPr>
            <w:r>
              <w:rPr>
                <w:rFonts w:cs="Arial"/>
              </w:rPr>
              <w:t>12</w:t>
            </w:r>
          </w:p>
        </w:tc>
        <w:tc>
          <w:tcPr>
            <w:tcW w:w="2214" w:type="dxa"/>
          </w:tcPr>
          <w:p w:rsidR="00133796" w:rsidRDefault="00133796" w:rsidP="00133796">
            <w:pPr>
              <w:jc w:val="center"/>
              <w:rPr>
                <w:rFonts w:cs="Arial"/>
              </w:rPr>
            </w:pPr>
            <w:r>
              <w:rPr>
                <w:rFonts w:cs="Arial"/>
              </w:rPr>
              <w:t>14</w:t>
            </w:r>
          </w:p>
        </w:tc>
      </w:tr>
      <w:tr w:rsidR="00133796" w:rsidTr="007B00A7">
        <w:tc>
          <w:tcPr>
            <w:tcW w:w="2214" w:type="dxa"/>
          </w:tcPr>
          <w:p w:rsidR="00133796" w:rsidRDefault="00133796">
            <w:pPr>
              <w:rPr>
                <w:rFonts w:cs="Arial"/>
              </w:rPr>
            </w:pPr>
            <w:r>
              <w:rPr>
                <w:rFonts w:cs="Arial"/>
              </w:rPr>
              <w:t>TOTAL</w:t>
            </w:r>
          </w:p>
        </w:tc>
        <w:tc>
          <w:tcPr>
            <w:tcW w:w="2574" w:type="dxa"/>
          </w:tcPr>
          <w:p w:rsidR="00133796" w:rsidRDefault="00133796" w:rsidP="00133796">
            <w:pPr>
              <w:jc w:val="center"/>
              <w:rPr>
                <w:rFonts w:cs="Arial"/>
              </w:rPr>
            </w:pPr>
            <w:r>
              <w:rPr>
                <w:rFonts w:cs="Arial"/>
              </w:rPr>
              <w:t>$9.45m</w:t>
            </w:r>
          </w:p>
        </w:tc>
        <w:tc>
          <w:tcPr>
            <w:tcW w:w="1854" w:type="dxa"/>
          </w:tcPr>
          <w:p w:rsidR="00133796" w:rsidRDefault="00133796" w:rsidP="00133796">
            <w:pPr>
              <w:jc w:val="center"/>
              <w:rPr>
                <w:rFonts w:cs="Arial"/>
              </w:rPr>
            </w:pPr>
            <w:r>
              <w:rPr>
                <w:rFonts w:cs="Arial"/>
              </w:rPr>
              <w:t>27</w:t>
            </w:r>
          </w:p>
        </w:tc>
        <w:tc>
          <w:tcPr>
            <w:tcW w:w="2214" w:type="dxa"/>
          </w:tcPr>
          <w:p w:rsidR="00133796" w:rsidRDefault="00133796" w:rsidP="00133796">
            <w:pPr>
              <w:jc w:val="center"/>
              <w:rPr>
                <w:rFonts w:cs="Arial"/>
              </w:rPr>
            </w:pPr>
            <w:r>
              <w:rPr>
                <w:rFonts w:cs="Arial"/>
              </w:rPr>
              <w:t>50</w:t>
            </w:r>
          </w:p>
        </w:tc>
      </w:tr>
    </w:tbl>
    <w:p w:rsidR="000D17DA" w:rsidRPr="00AB2DB7" w:rsidRDefault="000D17DA">
      <w:pPr>
        <w:rPr>
          <w:rFonts w:cs="Arial"/>
        </w:rPr>
      </w:pPr>
    </w:p>
    <w:p w:rsidR="00945226" w:rsidRDefault="00945226" w:rsidP="008724B7">
      <w:pPr>
        <w:rPr>
          <w:rFonts w:cs="Arial"/>
          <w:u w:val="single"/>
        </w:rPr>
      </w:pPr>
    </w:p>
    <w:p w:rsidR="008724B7" w:rsidRPr="007B00A7" w:rsidRDefault="00133796" w:rsidP="007B00A7">
      <w:pPr>
        <w:pStyle w:val="ListParagraph"/>
        <w:numPr>
          <w:ilvl w:val="0"/>
          <w:numId w:val="14"/>
        </w:numPr>
        <w:ind w:left="360"/>
        <w:rPr>
          <w:rFonts w:cs="Arial"/>
          <w:b/>
          <w:u w:val="single"/>
        </w:rPr>
      </w:pPr>
      <w:r w:rsidRPr="007B00A7">
        <w:rPr>
          <w:rFonts w:cs="Arial"/>
          <w:b/>
          <w:u w:val="single"/>
        </w:rPr>
        <w:t xml:space="preserve">Fuels Delivery: </w:t>
      </w:r>
      <w:r w:rsidR="00B61B72" w:rsidRPr="007B00A7">
        <w:rPr>
          <w:rFonts w:cs="Arial"/>
          <w:b/>
          <w:u w:val="single"/>
        </w:rPr>
        <w:t>Forest</w:t>
      </w:r>
      <w:r w:rsidR="00BC7F11" w:rsidRPr="007B00A7">
        <w:rPr>
          <w:rFonts w:cs="Arial"/>
          <w:b/>
          <w:u w:val="single"/>
        </w:rPr>
        <w:t xml:space="preserve"> Biomass Utilization Transportation Incentive </w:t>
      </w:r>
    </w:p>
    <w:p w:rsidR="008724B7" w:rsidRPr="00AB2DB7" w:rsidRDefault="008724B7" w:rsidP="008724B7">
      <w:pPr>
        <w:rPr>
          <w:rFonts w:cs="Arial"/>
          <w:b/>
        </w:rPr>
      </w:pPr>
    </w:p>
    <w:p w:rsidR="00930A8F" w:rsidRDefault="00CD2BAE">
      <w:pPr>
        <w:rPr>
          <w:rFonts w:cs="Arial"/>
        </w:rPr>
      </w:pPr>
      <w:r>
        <w:rPr>
          <w:rFonts w:cs="Arial"/>
        </w:rPr>
        <w:t xml:space="preserve">Because of the relatively low price that energy producers can afford to pay for forest biomass and the relatively high cost of transporting that material from the forest to the energy plant, a transportation incentive may be needed to economically </w:t>
      </w:r>
      <w:r w:rsidR="00A120B3">
        <w:rPr>
          <w:rFonts w:cs="Arial"/>
        </w:rPr>
        <w:t>move</w:t>
      </w:r>
      <w:r>
        <w:rPr>
          <w:rFonts w:cs="Arial"/>
        </w:rPr>
        <w:t xml:space="preserve"> the material to a plant where it can be utilized, rather than pile burned in the forest.  Due in part to the expiration of price floors for biomass </w:t>
      </w:r>
      <w:r w:rsidR="00BC7F11">
        <w:rPr>
          <w:rFonts w:cs="Arial"/>
        </w:rPr>
        <w:t>power purchase agreements</w:t>
      </w:r>
      <w:r>
        <w:rPr>
          <w:rFonts w:cs="Arial"/>
        </w:rPr>
        <w:t xml:space="preserve">, established in the early 1980s </w:t>
      </w:r>
      <w:r w:rsidR="00BC7F11">
        <w:rPr>
          <w:rFonts w:cs="Arial"/>
        </w:rPr>
        <w:t>to provide an incentive for development of a biomass power industry</w:t>
      </w:r>
      <w:r w:rsidR="00E6353C">
        <w:rPr>
          <w:rFonts w:cs="Arial"/>
        </w:rPr>
        <w:t>, 39 of 62 bioenergy plants closed between the early 1990s and 2012 (see Mayhead, Garreth; U.C. Berkel</w:t>
      </w:r>
      <w:r w:rsidR="00E6353C" w:rsidRPr="00D53376">
        <w:rPr>
          <w:rFonts w:cs="Arial"/>
        </w:rPr>
        <w:t xml:space="preserve">ey, </w:t>
      </w:r>
      <w:hyperlink r:id="rId8" w:history="1">
        <w:r w:rsidR="00E6353C" w:rsidRPr="00AB2DB7">
          <w:rPr>
            <w:rStyle w:val="Hyperlink"/>
            <w:rFonts w:cs="Arial"/>
          </w:rPr>
          <w:t>http://ucce.ucdavis.edu/files/repositoryfiles/ca6601p6-91748.pdf</w:t>
        </w:r>
      </w:hyperlink>
      <w:r w:rsidR="00E6353C" w:rsidRPr="00AB2DB7">
        <w:rPr>
          <w:rFonts w:cs="Arial"/>
        </w:rPr>
        <w:t xml:space="preserve">).   </w:t>
      </w:r>
      <w:r w:rsidR="00E6353C">
        <w:rPr>
          <w:rFonts w:cs="Arial"/>
        </w:rPr>
        <w:t xml:space="preserve">Fewer plants </w:t>
      </w:r>
      <w:r w:rsidR="00133796">
        <w:rPr>
          <w:rFonts w:cs="Arial"/>
        </w:rPr>
        <w:t xml:space="preserve">equates to </w:t>
      </w:r>
      <w:r w:rsidR="00E6353C">
        <w:rPr>
          <w:rFonts w:cs="Arial"/>
        </w:rPr>
        <w:t xml:space="preserve">longer, more costly average haul distances to </w:t>
      </w:r>
      <w:r w:rsidR="00A120B3">
        <w:rPr>
          <w:rFonts w:cs="Arial"/>
        </w:rPr>
        <w:t xml:space="preserve">transport excess </w:t>
      </w:r>
      <w:r w:rsidR="00E6353C">
        <w:rPr>
          <w:rFonts w:cs="Arial"/>
        </w:rPr>
        <w:t>biomass from the forest to a bioenergy plant.</w:t>
      </w:r>
    </w:p>
    <w:p w:rsidR="003837EC" w:rsidRDefault="003837EC" w:rsidP="008724B7">
      <w:pPr>
        <w:autoSpaceDE w:val="0"/>
        <w:autoSpaceDN w:val="0"/>
        <w:adjustRightInd w:val="0"/>
        <w:rPr>
          <w:rFonts w:cs="Arial"/>
        </w:rPr>
      </w:pPr>
    </w:p>
    <w:p w:rsidR="00A04A00" w:rsidRDefault="00E6353C" w:rsidP="008724B7">
      <w:pPr>
        <w:autoSpaceDE w:val="0"/>
        <w:autoSpaceDN w:val="0"/>
        <w:adjustRightInd w:val="0"/>
        <w:rPr>
          <w:rFonts w:cs="Arial"/>
        </w:rPr>
      </w:pPr>
      <w:r>
        <w:rPr>
          <w:rFonts w:cs="Arial"/>
        </w:rPr>
        <w:t>As a specific example,</w:t>
      </w:r>
      <w:r w:rsidR="00BC7F11">
        <w:rPr>
          <w:rFonts w:cs="Arial"/>
        </w:rPr>
        <w:t xml:space="preserve"> the closure of these facilities has created a </w:t>
      </w:r>
      <w:r>
        <w:rPr>
          <w:rFonts w:cs="Arial"/>
        </w:rPr>
        <w:t xml:space="preserve">very challenging </w:t>
      </w:r>
      <w:r w:rsidR="00BC7F11">
        <w:rPr>
          <w:rFonts w:cs="Arial"/>
        </w:rPr>
        <w:t xml:space="preserve">economic situation for timber purchasers on </w:t>
      </w:r>
      <w:r w:rsidR="005453CD">
        <w:rPr>
          <w:rFonts w:cs="Arial"/>
        </w:rPr>
        <w:t>33</w:t>
      </w:r>
      <w:r w:rsidR="00BC7F11">
        <w:rPr>
          <w:rFonts w:cs="Arial"/>
        </w:rPr>
        <w:t xml:space="preserve"> Forest Service contracts with biomass removal specifications.  In aggregate, these contracts represent over 680,000 bone-dry tons (BDT) of material that will be too costly to deliver to more distant, </w:t>
      </w:r>
      <w:r w:rsidR="00A120B3">
        <w:rPr>
          <w:rFonts w:cs="Arial"/>
        </w:rPr>
        <w:t>currently operational</w:t>
      </w:r>
      <w:r w:rsidR="00BC7F11">
        <w:rPr>
          <w:rFonts w:cs="Arial"/>
        </w:rPr>
        <w:t xml:space="preserve"> facilities.  This volume of material, derived from approximately 53,000 acres of forest treatment, could generate </w:t>
      </w:r>
      <w:r w:rsidR="00A120B3">
        <w:rPr>
          <w:rFonts w:cs="Arial"/>
        </w:rPr>
        <w:t xml:space="preserve">approximately </w:t>
      </w:r>
      <w:r w:rsidR="00BC7F11">
        <w:rPr>
          <w:rFonts w:cs="Arial"/>
        </w:rPr>
        <w:t>85 MW of power in one year</w:t>
      </w:r>
      <w:r w:rsidR="006F19D4">
        <w:rPr>
          <w:rFonts w:cs="Arial"/>
        </w:rPr>
        <w:t xml:space="preserve">, enough to </w:t>
      </w:r>
      <w:r w:rsidR="00A120B3">
        <w:rPr>
          <w:rFonts w:cs="Arial"/>
        </w:rPr>
        <w:t>sustain about</w:t>
      </w:r>
      <w:r w:rsidR="006F19D4">
        <w:rPr>
          <w:rFonts w:cs="Arial"/>
        </w:rPr>
        <w:t xml:space="preserve"> 85,000 homes</w:t>
      </w:r>
      <w:r w:rsidR="00BC7F11">
        <w:rPr>
          <w:rFonts w:cs="Arial"/>
        </w:rPr>
        <w:t>. If the material is not removed from the woods, it will need to be piled and burned, resulting in increased GHG and particulate emissions. These contracts and resulting forest biomass material represent only a fraction of more th</w:t>
      </w:r>
      <w:r w:rsidR="00A04A00" w:rsidRPr="00D53376">
        <w:rPr>
          <w:rFonts w:cs="Arial"/>
        </w:rPr>
        <w:t>an</w:t>
      </w:r>
      <w:r w:rsidR="008724B7" w:rsidRPr="00D53376">
        <w:rPr>
          <w:rFonts w:cs="Arial"/>
        </w:rPr>
        <w:t xml:space="preserve"> 1 million </w:t>
      </w:r>
      <w:r w:rsidR="00D53376">
        <w:rPr>
          <w:rFonts w:cs="Arial"/>
        </w:rPr>
        <w:t>BDT</w:t>
      </w:r>
      <w:r w:rsidR="008724B7" w:rsidRPr="00D53376">
        <w:rPr>
          <w:rFonts w:cs="Arial"/>
        </w:rPr>
        <w:t xml:space="preserve"> of forest biomass currently being piled and burned </w:t>
      </w:r>
      <w:r>
        <w:rPr>
          <w:rFonts w:cs="Arial"/>
        </w:rPr>
        <w:t>annually</w:t>
      </w:r>
      <w:r w:rsidR="003837EC">
        <w:rPr>
          <w:rFonts w:cs="Arial"/>
        </w:rPr>
        <w:t xml:space="preserve"> </w:t>
      </w:r>
      <w:r w:rsidR="008724B7" w:rsidRPr="00D53376">
        <w:rPr>
          <w:rFonts w:cs="Arial"/>
        </w:rPr>
        <w:t xml:space="preserve">because </w:t>
      </w:r>
      <w:r w:rsidR="00A04A00" w:rsidRPr="00D53376">
        <w:rPr>
          <w:rFonts w:cs="Arial"/>
        </w:rPr>
        <w:t>it is not economical</w:t>
      </w:r>
      <w:r w:rsidR="008724B7" w:rsidRPr="00D53376">
        <w:rPr>
          <w:rFonts w:cs="Arial"/>
        </w:rPr>
        <w:t xml:space="preserve"> to transport to an ope</w:t>
      </w:r>
      <w:r w:rsidR="003837EC">
        <w:rPr>
          <w:rFonts w:cs="Arial"/>
        </w:rPr>
        <w:t>rating</w:t>
      </w:r>
      <w:r w:rsidR="008724B7" w:rsidRPr="00D53376">
        <w:rPr>
          <w:rFonts w:cs="Arial"/>
        </w:rPr>
        <w:t xml:space="preserve"> </w:t>
      </w:r>
      <w:r w:rsidR="003837EC">
        <w:rPr>
          <w:rFonts w:cs="Arial"/>
        </w:rPr>
        <w:t>power</w:t>
      </w:r>
      <w:r w:rsidR="00A120B3">
        <w:rPr>
          <w:rFonts w:cs="Arial"/>
        </w:rPr>
        <w:t xml:space="preserve"> </w:t>
      </w:r>
      <w:r w:rsidRPr="00D53376">
        <w:rPr>
          <w:rFonts w:cs="Arial"/>
        </w:rPr>
        <w:t>plant</w:t>
      </w:r>
      <w:r w:rsidR="003837EC">
        <w:rPr>
          <w:rFonts w:cs="Arial"/>
        </w:rPr>
        <w:t xml:space="preserve"> in need of feedstock</w:t>
      </w:r>
      <w:r w:rsidR="008724B7" w:rsidRPr="00D53376">
        <w:rPr>
          <w:rFonts w:cs="Arial"/>
        </w:rPr>
        <w:t>.</w:t>
      </w:r>
      <w:r>
        <w:rPr>
          <w:rFonts w:cs="Arial"/>
        </w:rPr>
        <w:t xml:space="preserve">  Similarly, large quantities of biomass are available </w:t>
      </w:r>
      <w:r w:rsidR="003837EC">
        <w:rPr>
          <w:rFonts w:cs="Arial"/>
        </w:rPr>
        <w:t>from</w:t>
      </w:r>
      <w:r>
        <w:rPr>
          <w:rFonts w:cs="Arial"/>
        </w:rPr>
        <w:t xml:space="preserve"> private forest lands. </w:t>
      </w:r>
    </w:p>
    <w:p w:rsidR="00E6353C" w:rsidRPr="00AB2DB7" w:rsidRDefault="00E6353C" w:rsidP="008724B7">
      <w:pPr>
        <w:autoSpaceDE w:val="0"/>
        <w:autoSpaceDN w:val="0"/>
        <w:adjustRightInd w:val="0"/>
        <w:rPr>
          <w:rFonts w:cs="Arial"/>
        </w:rPr>
      </w:pPr>
    </w:p>
    <w:p w:rsidR="008724B7" w:rsidRPr="00AB2DB7" w:rsidRDefault="00BC7F11" w:rsidP="008724B7">
      <w:pPr>
        <w:autoSpaceDE w:val="0"/>
        <w:autoSpaceDN w:val="0"/>
        <w:adjustRightInd w:val="0"/>
        <w:rPr>
          <w:rFonts w:cs="Arial"/>
        </w:rPr>
      </w:pPr>
      <w:r>
        <w:rPr>
          <w:rFonts w:cs="Arial"/>
        </w:rPr>
        <w:lastRenderedPageBreak/>
        <w:t xml:space="preserve">The cost of bringing the forest biomass to a </w:t>
      </w:r>
      <w:r w:rsidR="00A120B3">
        <w:rPr>
          <w:rFonts w:cs="Arial"/>
        </w:rPr>
        <w:t>roadside location</w:t>
      </w:r>
      <w:r>
        <w:rPr>
          <w:rFonts w:cs="Arial"/>
        </w:rPr>
        <w:t xml:space="preserve"> can generally be </w:t>
      </w:r>
      <w:r w:rsidR="00E6353C">
        <w:rPr>
          <w:rFonts w:cs="Arial"/>
        </w:rPr>
        <w:t>offset</w:t>
      </w:r>
      <w:r>
        <w:rPr>
          <w:rFonts w:cs="Arial"/>
        </w:rPr>
        <w:t xml:space="preserve"> by the net revenue of merchantable saw timber removed during the thinning operation. The current </w:t>
      </w:r>
      <w:r w:rsidR="00A120B3">
        <w:rPr>
          <w:rFonts w:cs="Arial"/>
        </w:rPr>
        <w:t xml:space="preserve">delivered </w:t>
      </w:r>
      <w:r>
        <w:rPr>
          <w:rFonts w:cs="Arial"/>
        </w:rPr>
        <w:t>price offered for forest biomass to generate heat and power is $</w:t>
      </w:r>
      <w:r w:rsidR="00170168">
        <w:rPr>
          <w:rFonts w:cs="Arial"/>
        </w:rPr>
        <w:t>40-50</w:t>
      </w:r>
      <w:r>
        <w:rPr>
          <w:rFonts w:cs="Arial"/>
        </w:rPr>
        <w:t xml:space="preserve"> per BDT.  In order to breakeven, the biomass fuel supplier must be able to chip, load, transport, and unload the material at these rates.  At the low end of this price range, haul distances over 20 miles makes this effort uneconomical. A transportation grant for forest biomass hauled from more than a 20-mile circle around an ope</w:t>
      </w:r>
      <w:r w:rsidR="003837EC">
        <w:rPr>
          <w:rFonts w:cs="Arial"/>
        </w:rPr>
        <w:t>rating</w:t>
      </w:r>
      <w:r>
        <w:rPr>
          <w:rFonts w:cs="Arial"/>
        </w:rPr>
        <w:t xml:space="preserve"> power</w:t>
      </w:r>
      <w:r w:rsidR="006C7DC9">
        <w:rPr>
          <w:rFonts w:cs="Arial"/>
        </w:rPr>
        <w:t xml:space="preserve"> </w:t>
      </w:r>
      <w:r>
        <w:rPr>
          <w:rFonts w:cs="Arial"/>
        </w:rPr>
        <w:t>plant would dramatically change the current condition.  The grant program could be administered by the Sierra Nevada Conservancy with payment directly to the fuel supplier</w:t>
      </w:r>
      <w:r w:rsidR="006C7DC9">
        <w:rPr>
          <w:rFonts w:cs="Arial"/>
        </w:rPr>
        <w:t>s</w:t>
      </w:r>
      <w:r>
        <w:rPr>
          <w:rFonts w:cs="Arial"/>
        </w:rPr>
        <w:t xml:space="preserve">.  </w:t>
      </w:r>
    </w:p>
    <w:p w:rsidR="008724B7" w:rsidRPr="00AB2DB7" w:rsidRDefault="008724B7" w:rsidP="008724B7">
      <w:pPr>
        <w:autoSpaceDE w:val="0"/>
        <w:autoSpaceDN w:val="0"/>
        <w:adjustRightInd w:val="0"/>
        <w:rPr>
          <w:rFonts w:cs="Arial"/>
        </w:rPr>
      </w:pPr>
    </w:p>
    <w:p w:rsidR="008724B7" w:rsidRPr="00936845" w:rsidRDefault="008D7323" w:rsidP="008724B7">
      <w:pPr>
        <w:autoSpaceDE w:val="0"/>
        <w:autoSpaceDN w:val="0"/>
        <w:adjustRightInd w:val="0"/>
        <w:rPr>
          <w:rFonts w:cs="Arial"/>
          <w:b/>
        </w:rPr>
      </w:pPr>
      <w:r w:rsidRPr="008D7323">
        <w:rPr>
          <w:rFonts w:cs="Arial"/>
          <w:b/>
        </w:rPr>
        <w:t>GHG Benefits and Co-Benefits</w:t>
      </w:r>
    </w:p>
    <w:p w:rsidR="00B270DD" w:rsidRPr="00AB2DB7" w:rsidRDefault="00B270DD" w:rsidP="008724B7">
      <w:pPr>
        <w:autoSpaceDE w:val="0"/>
        <w:autoSpaceDN w:val="0"/>
        <w:adjustRightInd w:val="0"/>
        <w:rPr>
          <w:rFonts w:cs="Arial"/>
        </w:rPr>
      </w:pPr>
    </w:p>
    <w:p w:rsidR="00410BA2" w:rsidRPr="00146DCD" w:rsidRDefault="00BC7F11" w:rsidP="008724B7">
      <w:pPr>
        <w:autoSpaceDE w:val="0"/>
        <w:autoSpaceDN w:val="0"/>
        <w:adjustRightInd w:val="0"/>
        <w:rPr>
          <w:rFonts w:cs="Arial"/>
        </w:rPr>
      </w:pPr>
      <w:r>
        <w:rPr>
          <w:rFonts w:cs="Arial"/>
        </w:rPr>
        <w:t>Recent studies document the benefits in reducing GHG and other pollutant emissions when woody biomass is used for energy rather than pile burned. Jones and others (2010) showed 38-45% reduction in carbon dioxide (CO</w:t>
      </w:r>
      <w:r>
        <w:rPr>
          <w:rFonts w:cs="Arial"/>
          <w:vertAlign w:val="subscript"/>
        </w:rPr>
        <w:t>2</w:t>
      </w:r>
      <w:r>
        <w:rPr>
          <w:rFonts w:cs="Arial"/>
        </w:rPr>
        <w:t>), 59-89% reduction in particulate matter (PM), 97% reduction in methane (CH</w:t>
      </w:r>
      <w:r>
        <w:rPr>
          <w:rFonts w:cs="Arial"/>
          <w:vertAlign w:val="subscript"/>
        </w:rPr>
        <w:t>4</w:t>
      </w:r>
      <w:r w:rsidR="002D1580" w:rsidRPr="002D1580">
        <w:rPr>
          <w:rFonts w:cs="Arial"/>
        </w:rPr>
        <w:t xml:space="preserve">, a very powerful </w:t>
      </w:r>
      <w:r w:rsidR="002D1580">
        <w:rPr>
          <w:rFonts w:cs="Arial"/>
        </w:rPr>
        <w:t>GHG</w:t>
      </w:r>
      <w:r>
        <w:rPr>
          <w:rFonts w:cs="Arial"/>
        </w:rPr>
        <w:t>), and 40% reduction in carbon monoxide (CO) emissions. They also found that diesel consumption for collecting, grinding, and hauling biomass represented less than 5% of the total bioenergy emissions; in fact, they found that an average of 21 units of bioenergy were produced for each unit of diesel used. Springsteen and others (2011) completed a demonstration project evaluating grinding and hauling 6</w:t>
      </w:r>
      <w:r w:rsidR="006C7DC9">
        <w:rPr>
          <w:rFonts w:cs="Arial"/>
        </w:rPr>
        <w:t>,</w:t>
      </w:r>
      <w:r>
        <w:rPr>
          <w:rFonts w:cs="Arial"/>
        </w:rPr>
        <w:t>096 BDT of mixed conifer forest slash in the Sierra Nevada foothills and found similar emissions reductions: 17% reduction in CO</w:t>
      </w:r>
      <w:r>
        <w:rPr>
          <w:rFonts w:cs="Arial"/>
          <w:vertAlign w:val="subscript"/>
        </w:rPr>
        <w:t>2</w:t>
      </w:r>
      <w:r>
        <w:rPr>
          <w:rFonts w:cs="Arial"/>
        </w:rPr>
        <w:t>, 98% reduction in in PM, 54% in NO</w:t>
      </w:r>
      <w:r>
        <w:rPr>
          <w:rFonts w:cs="Arial"/>
          <w:vertAlign w:val="subscript"/>
        </w:rPr>
        <w:t>x</w:t>
      </w:r>
      <w:r>
        <w:rPr>
          <w:rFonts w:cs="Arial"/>
        </w:rPr>
        <w:t>, 97% reduction in CH</w:t>
      </w:r>
      <w:r>
        <w:rPr>
          <w:rFonts w:cs="Arial"/>
          <w:vertAlign w:val="subscript"/>
        </w:rPr>
        <w:t>4</w:t>
      </w:r>
      <w:r>
        <w:rPr>
          <w:rFonts w:cs="Arial"/>
        </w:rPr>
        <w:t>, 99% reduction in non-methane volatile organic carbons (NMOC</w:t>
      </w:r>
      <w:r>
        <w:rPr>
          <w:rFonts w:cs="Arial"/>
          <w:vertAlign w:val="subscript"/>
        </w:rPr>
        <w:t>s</w:t>
      </w:r>
      <w:r>
        <w:rPr>
          <w:rFonts w:cs="Arial"/>
        </w:rPr>
        <w:t xml:space="preserve">), and 97% reduction in CO emissions. </w:t>
      </w:r>
      <w:r w:rsidR="00146DCD">
        <w:rPr>
          <w:rFonts w:cs="Arial"/>
        </w:rPr>
        <w:t xml:space="preserve">The Stockholm </w:t>
      </w:r>
      <w:r w:rsidR="00146DCD" w:rsidRPr="0077194F">
        <w:rPr>
          <w:rFonts w:cs="Arial"/>
        </w:rPr>
        <w:t>Institute (</w:t>
      </w:r>
      <w:r w:rsidR="006C7DC9" w:rsidRPr="0077194F">
        <w:rPr>
          <w:rFonts w:cs="Arial"/>
        </w:rPr>
        <w:t>2010</w:t>
      </w:r>
      <w:r w:rsidR="008D7323" w:rsidRPr="0077194F">
        <w:rPr>
          <w:rFonts w:cs="Arial"/>
        </w:rPr>
        <w:t>)</w:t>
      </w:r>
      <w:r w:rsidR="00146DCD" w:rsidRPr="0077194F">
        <w:rPr>
          <w:rFonts w:cs="Arial"/>
        </w:rPr>
        <w:t xml:space="preserve"> found</w:t>
      </w:r>
      <w:r w:rsidR="00146DCD">
        <w:rPr>
          <w:rFonts w:cs="Arial"/>
        </w:rPr>
        <w:t xml:space="preserve"> even greater benefits related to GHG emission reductions (34%) from </w:t>
      </w:r>
      <w:r w:rsidR="00EB587B">
        <w:rPr>
          <w:rFonts w:cs="Arial"/>
        </w:rPr>
        <w:t xml:space="preserve">biomass </w:t>
      </w:r>
      <w:r w:rsidR="00146DCD">
        <w:rPr>
          <w:rFonts w:cs="Arial"/>
        </w:rPr>
        <w:t xml:space="preserve">energy production </w:t>
      </w:r>
      <w:r w:rsidR="00EB587B">
        <w:rPr>
          <w:rFonts w:cs="Arial"/>
        </w:rPr>
        <w:t>instead of being burned in piles.</w:t>
      </w:r>
      <w:r w:rsidR="00146DCD">
        <w:rPr>
          <w:rFonts w:cs="Arial"/>
        </w:rPr>
        <w:t xml:space="preserve"> </w:t>
      </w:r>
      <w:r w:rsidR="00EB587B">
        <w:rPr>
          <w:rFonts w:cs="Arial"/>
        </w:rPr>
        <w:t xml:space="preserve">They </w:t>
      </w:r>
      <w:r w:rsidR="009E77D6">
        <w:rPr>
          <w:rFonts w:cs="Arial"/>
        </w:rPr>
        <w:t>calculated emissions</w:t>
      </w:r>
      <w:r w:rsidR="00146DCD">
        <w:rPr>
          <w:rFonts w:cs="Arial"/>
        </w:rPr>
        <w:t xml:space="preserve"> of 1.84 metric tons CO</w:t>
      </w:r>
      <w:r w:rsidR="00146DCD">
        <w:rPr>
          <w:rFonts w:cs="Arial"/>
          <w:vertAlign w:val="subscript"/>
        </w:rPr>
        <w:t>2</w:t>
      </w:r>
      <w:r w:rsidR="00146DCD">
        <w:rPr>
          <w:rFonts w:cs="Arial"/>
        </w:rPr>
        <w:t xml:space="preserve">e </w:t>
      </w:r>
      <w:r w:rsidR="00EB587B">
        <w:rPr>
          <w:rFonts w:cs="Arial"/>
        </w:rPr>
        <w:t xml:space="preserve">per BDT when biomass is chipped, hauled and converted to power versus </w:t>
      </w:r>
      <w:r w:rsidR="00146DCD">
        <w:rPr>
          <w:rFonts w:cs="Arial"/>
        </w:rPr>
        <w:t>2.77 metric tons CO</w:t>
      </w:r>
      <w:r w:rsidR="00146DCD">
        <w:rPr>
          <w:rFonts w:cs="Arial"/>
          <w:vertAlign w:val="subscript"/>
        </w:rPr>
        <w:t>2</w:t>
      </w:r>
      <w:r w:rsidR="00146DCD">
        <w:rPr>
          <w:rFonts w:cs="Arial"/>
        </w:rPr>
        <w:t>e for pile burning and</w:t>
      </w:r>
      <w:r w:rsidR="00EB587B">
        <w:rPr>
          <w:rFonts w:cs="Arial"/>
        </w:rPr>
        <w:t xml:space="preserve"> replacement of bioenergy with natural gas.</w:t>
      </w:r>
    </w:p>
    <w:p w:rsidR="002D1580" w:rsidRPr="00AB2DB7" w:rsidRDefault="002D1580" w:rsidP="008724B7">
      <w:pPr>
        <w:autoSpaceDE w:val="0"/>
        <w:autoSpaceDN w:val="0"/>
        <w:adjustRightInd w:val="0"/>
        <w:rPr>
          <w:rFonts w:cs="Arial"/>
        </w:rPr>
      </w:pPr>
    </w:p>
    <w:p w:rsidR="00B270DD" w:rsidRDefault="00BC7F11" w:rsidP="00570D50">
      <w:pPr>
        <w:autoSpaceDE w:val="0"/>
        <w:autoSpaceDN w:val="0"/>
        <w:adjustRightInd w:val="0"/>
        <w:rPr>
          <w:rFonts w:cs="Arial"/>
        </w:rPr>
      </w:pPr>
      <w:r>
        <w:rPr>
          <w:rFonts w:cs="Arial"/>
        </w:rPr>
        <w:t>Using the more conservative value in GHG reduction from Springsteen and others (CO</w:t>
      </w:r>
      <w:r>
        <w:rPr>
          <w:rFonts w:cs="Arial"/>
          <w:vertAlign w:val="subscript"/>
        </w:rPr>
        <w:t>2</w:t>
      </w:r>
      <w:r>
        <w:rPr>
          <w:rFonts w:cs="Arial"/>
        </w:rPr>
        <w:t xml:space="preserve">, 17% reduction), and applying it to the 680,000 BDT described above would result in </w:t>
      </w:r>
      <w:r w:rsidR="00761987" w:rsidRPr="00761987">
        <w:rPr>
          <w:rFonts w:cs="Arial"/>
          <w:b/>
        </w:rPr>
        <w:t>immediate direct benefits in GHG reduction of 258,400 tons CO</w:t>
      </w:r>
      <w:r w:rsidR="00761987" w:rsidRPr="00761987">
        <w:rPr>
          <w:rFonts w:cs="Arial"/>
          <w:b/>
          <w:vertAlign w:val="subscript"/>
        </w:rPr>
        <w:t>2</w:t>
      </w:r>
      <w:r w:rsidR="00761987" w:rsidRPr="00761987">
        <w:rPr>
          <w:rFonts w:cs="Arial"/>
          <w:b/>
        </w:rPr>
        <w:t>e</w:t>
      </w:r>
      <w:r w:rsidR="00570D50" w:rsidRPr="00AB2DB7">
        <w:rPr>
          <w:rFonts w:cs="Arial"/>
        </w:rPr>
        <w:t xml:space="preserve"> </w:t>
      </w:r>
      <w:r w:rsidR="00410BA2" w:rsidRPr="00AB2DB7">
        <w:rPr>
          <w:rFonts w:cs="Arial"/>
        </w:rPr>
        <w:t>and would include</w:t>
      </w:r>
      <w:r w:rsidR="00570D50" w:rsidRPr="00D53376">
        <w:rPr>
          <w:rFonts w:cs="Arial"/>
        </w:rPr>
        <w:t xml:space="preserve"> </w:t>
      </w:r>
      <w:r w:rsidR="00410BA2" w:rsidRPr="00D53376">
        <w:rPr>
          <w:rFonts w:cs="Arial"/>
        </w:rPr>
        <w:t>co-benefits in reductions in other emissions of:</w:t>
      </w:r>
    </w:p>
    <w:p w:rsidR="002224B7" w:rsidRPr="00D53376" w:rsidRDefault="002224B7" w:rsidP="00570D50">
      <w:pPr>
        <w:autoSpaceDE w:val="0"/>
        <w:autoSpaceDN w:val="0"/>
        <w:adjustRightInd w:val="0"/>
        <w:rPr>
          <w:rFonts w:cs="Arial"/>
        </w:rPr>
      </w:pPr>
    </w:p>
    <w:p w:rsidR="006C15B4" w:rsidRPr="00AB2DB7" w:rsidRDefault="00BC7F11" w:rsidP="008724B7">
      <w:pPr>
        <w:pStyle w:val="ListParagraph"/>
        <w:numPr>
          <w:ilvl w:val="0"/>
          <w:numId w:val="7"/>
        </w:numPr>
        <w:autoSpaceDE w:val="0"/>
        <w:autoSpaceDN w:val="0"/>
        <w:adjustRightInd w:val="0"/>
        <w:rPr>
          <w:rFonts w:cs="Arial"/>
        </w:rPr>
      </w:pPr>
      <w:r>
        <w:rPr>
          <w:rFonts w:cs="Arial"/>
        </w:rPr>
        <w:t>Particulate matter reduction of 4</w:t>
      </w:r>
      <w:r w:rsidR="00170168">
        <w:rPr>
          <w:rFonts w:cs="Arial"/>
        </w:rPr>
        <w:t>,</w:t>
      </w:r>
      <w:r>
        <w:rPr>
          <w:rFonts w:cs="Arial"/>
        </w:rPr>
        <w:t>080 metric tons</w:t>
      </w:r>
    </w:p>
    <w:p w:rsidR="006C15B4" w:rsidRPr="00AB2DB7" w:rsidRDefault="00BC7F11" w:rsidP="008724B7">
      <w:pPr>
        <w:pStyle w:val="ListParagraph"/>
        <w:numPr>
          <w:ilvl w:val="0"/>
          <w:numId w:val="7"/>
        </w:numPr>
        <w:autoSpaceDE w:val="0"/>
        <w:autoSpaceDN w:val="0"/>
        <w:adjustRightInd w:val="0"/>
        <w:rPr>
          <w:rFonts w:cs="Arial"/>
        </w:rPr>
      </w:pPr>
      <w:r>
        <w:rPr>
          <w:rFonts w:cs="Arial"/>
        </w:rPr>
        <w:t>NO</w:t>
      </w:r>
      <w:r>
        <w:rPr>
          <w:rFonts w:cs="Arial"/>
          <w:vertAlign w:val="subscript"/>
        </w:rPr>
        <w:t>x</w:t>
      </w:r>
      <w:r>
        <w:rPr>
          <w:rFonts w:cs="Arial"/>
        </w:rPr>
        <w:softHyphen/>
        <w:t xml:space="preserve"> reduction of 1</w:t>
      </w:r>
      <w:r w:rsidR="00170168">
        <w:rPr>
          <w:rFonts w:cs="Arial"/>
        </w:rPr>
        <w:t>,</w:t>
      </w:r>
      <w:r>
        <w:rPr>
          <w:rFonts w:cs="Arial"/>
        </w:rPr>
        <w:t>080 metric tons</w:t>
      </w:r>
    </w:p>
    <w:p w:rsidR="006C15B4" w:rsidRPr="00AB2DB7" w:rsidRDefault="00BC7F11" w:rsidP="008724B7">
      <w:pPr>
        <w:pStyle w:val="ListParagraph"/>
        <w:numPr>
          <w:ilvl w:val="0"/>
          <w:numId w:val="7"/>
        </w:numPr>
        <w:autoSpaceDE w:val="0"/>
        <w:autoSpaceDN w:val="0"/>
        <w:adjustRightInd w:val="0"/>
        <w:rPr>
          <w:rFonts w:cs="Arial"/>
        </w:rPr>
      </w:pPr>
      <w:r>
        <w:rPr>
          <w:rFonts w:cs="Arial"/>
        </w:rPr>
        <w:t>NMOC</w:t>
      </w:r>
      <w:r>
        <w:rPr>
          <w:rFonts w:cs="Arial"/>
          <w:vertAlign w:val="subscript"/>
        </w:rPr>
        <w:t>s</w:t>
      </w:r>
      <w:r>
        <w:rPr>
          <w:rFonts w:cs="Arial"/>
        </w:rPr>
        <w:t xml:space="preserve"> reduction of 3</w:t>
      </w:r>
      <w:r w:rsidR="00170168">
        <w:rPr>
          <w:rFonts w:cs="Arial"/>
        </w:rPr>
        <w:t>,</w:t>
      </w:r>
      <w:r>
        <w:rPr>
          <w:rFonts w:cs="Arial"/>
        </w:rPr>
        <w:t>196 metric tons</w:t>
      </w:r>
    </w:p>
    <w:p w:rsidR="006C15B4" w:rsidRPr="00AB2DB7" w:rsidRDefault="00BC7F11" w:rsidP="008724B7">
      <w:pPr>
        <w:pStyle w:val="ListParagraph"/>
        <w:numPr>
          <w:ilvl w:val="0"/>
          <w:numId w:val="7"/>
        </w:numPr>
        <w:autoSpaceDE w:val="0"/>
        <w:autoSpaceDN w:val="0"/>
        <w:adjustRightInd w:val="0"/>
        <w:rPr>
          <w:rFonts w:cs="Arial"/>
        </w:rPr>
      </w:pPr>
      <w:r>
        <w:rPr>
          <w:rFonts w:cs="Arial"/>
        </w:rPr>
        <w:t>CO reduction of 39,440 metric tons</w:t>
      </w:r>
    </w:p>
    <w:p w:rsidR="008724B7" w:rsidRPr="00AB2DB7" w:rsidRDefault="008724B7"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2F65D4" w:rsidRDefault="002F65D4" w:rsidP="008724B7">
      <w:pPr>
        <w:autoSpaceDE w:val="0"/>
        <w:autoSpaceDN w:val="0"/>
        <w:adjustRightInd w:val="0"/>
        <w:rPr>
          <w:rFonts w:cs="Arial"/>
        </w:rPr>
      </w:pPr>
    </w:p>
    <w:p w:rsidR="008724B7" w:rsidRDefault="00BC7F11" w:rsidP="008724B7">
      <w:pPr>
        <w:autoSpaceDE w:val="0"/>
        <w:autoSpaceDN w:val="0"/>
        <w:adjustRightInd w:val="0"/>
        <w:rPr>
          <w:rFonts w:cs="Arial"/>
        </w:rPr>
      </w:pPr>
      <w:r>
        <w:rPr>
          <w:rFonts w:cs="Arial"/>
        </w:rPr>
        <w:lastRenderedPageBreak/>
        <w:t>Other Co-benefits</w:t>
      </w:r>
    </w:p>
    <w:p w:rsidR="006F19D4" w:rsidRPr="00AB2DB7" w:rsidRDefault="006F19D4" w:rsidP="008724B7">
      <w:pPr>
        <w:autoSpaceDE w:val="0"/>
        <w:autoSpaceDN w:val="0"/>
        <w:adjustRightInd w:val="0"/>
        <w:rPr>
          <w:rFonts w:cs="Arial"/>
        </w:rPr>
      </w:pPr>
    </w:p>
    <w:p w:rsidR="008724B7" w:rsidRPr="00AB2DB7" w:rsidRDefault="00BC7F11" w:rsidP="008724B7">
      <w:pPr>
        <w:pStyle w:val="ListParagraph"/>
        <w:numPr>
          <w:ilvl w:val="0"/>
          <w:numId w:val="8"/>
        </w:numPr>
        <w:autoSpaceDE w:val="0"/>
        <w:autoSpaceDN w:val="0"/>
        <w:adjustRightInd w:val="0"/>
        <w:rPr>
          <w:rFonts w:cs="Arial"/>
        </w:rPr>
      </w:pPr>
      <w:r>
        <w:rPr>
          <w:rFonts w:cs="Arial"/>
        </w:rPr>
        <w:t>Provide stability for 3</w:t>
      </w:r>
      <w:r w:rsidR="006058BF">
        <w:rPr>
          <w:rFonts w:cs="Arial"/>
        </w:rPr>
        <w:t>3</w:t>
      </w:r>
      <w:r>
        <w:rPr>
          <w:rFonts w:cs="Arial"/>
        </w:rPr>
        <w:t xml:space="preserve"> vegetation management contracts with a direct value of $34 million</w:t>
      </w:r>
      <w:r w:rsidR="00170168">
        <w:rPr>
          <w:rFonts w:cs="Arial"/>
        </w:rPr>
        <w:t>.</w:t>
      </w:r>
    </w:p>
    <w:p w:rsidR="007840B0" w:rsidRPr="00AB2DB7" w:rsidRDefault="00BC7F11" w:rsidP="008724B7">
      <w:pPr>
        <w:pStyle w:val="ListParagraph"/>
        <w:numPr>
          <w:ilvl w:val="0"/>
          <w:numId w:val="8"/>
        </w:numPr>
        <w:autoSpaceDE w:val="0"/>
        <w:autoSpaceDN w:val="0"/>
        <w:adjustRightInd w:val="0"/>
        <w:rPr>
          <w:rFonts w:cs="Arial"/>
        </w:rPr>
      </w:pPr>
      <w:r>
        <w:rPr>
          <w:rFonts w:cs="Arial"/>
        </w:rPr>
        <w:t>Protect approximately 136 rural jobs</w:t>
      </w:r>
      <w:r w:rsidR="00D06DDB">
        <w:rPr>
          <w:rFonts w:cs="Arial"/>
        </w:rPr>
        <w:t xml:space="preserve"> connected to these contracts</w:t>
      </w:r>
      <w:r w:rsidR="00170168">
        <w:rPr>
          <w:rFonts w:cs="Arial"/>
        </w:rPr>
        <w:t>.</w:t>
      </w:r>
    </w:p>
    <w:p w:rsidR="006F19D4" w:rsidRDefault="006F19D4" w:rsidP="006F19D4">
      <w:pPr>
        <w:pStyle w:val="ListParagraph"/>
        <w:numPr>
          <w:ilvl w:val="0"/>
          <w:numId w:val="8"/>
        </w:numPr>
        <w:autoSpaceDE w:val="0"/>
        <w:autoSpaceDN w:val="0"/>
        <w:adjustRightInd w:val="0"/>
        <w:rPr>
          <w:rFonts w:cs="Arial"/>
        </w:rPr>
      </w:pPr>
      <w:r>
        <w:rPr>
          <w:rFonts w:cs="Arial"/>
        </w:rPr>
        <w:t>Achieve 53,000 acres of completed fuels reduction treatment</w:t>
      </w:r>
      <w:r w:rsidR="00170168">
        <w:rPr>
          <w:rFonts w:cs="Arial"/>
        </w:rPr>
        <w:t>.</w:t>
      </w:r>
    </w:p>
    <w:p w:rsidR="006F19D4" w:rsidRDefault="006F19D4" w:rsidP="006F19D4">
      <w:pPr>
        <w:pStyle w:val="ListParagraph"/>
        <w:numPr>
          <w:ilvl w:val="0"/>
          <w:numId w:val="8"/>
        </w:numPr>
        <w:autoSpaceDE w:val="0"/>
        <w:autoSpaceDN w:val="0"/>
        <w:adjustRightInd w:val="0"/>
        <w:rPr>
          <w:rFonts w:cs="Arial"/>
        </w:rPr>
      </w:pPr>
      <w:r>
        <w:rPr>
          <w:rFonts w:cs="Arial"/>
        </w:rPr>
        <w:t>Avoid the added fire-risk of forest biomass piles left in the forest until burning crews have favorable weather conditions to burn them</w:t>
      </w:r>
      <w:r w:rsidR="00170168">
        <w:rPr>
          <w:rFonts w:cs="Arial"/>
        </w:rPr>
        <w:t>.</w:t>
      </w:r>
    </w:p>
    <w:p w:rsidR="008724B7" w:rsidRPr="00AB2DB7" w:rsidRDefault="008724B7" w:rsidP="008724B7">
      <w:pPr>
        <w:autoSpaceDE w:val="0"/>
        <w:autoSpaceDN w:val="0"/>
        <w:adjustRightInd w:val="0"/>
        <w:rPr>
          <w:rFonts w:cs="Arial"/>
        </w:rPr>
      </w:pPr>
    </w:p>
    <w:p w:rsidR="008724B7" w:rsidRPr="00936845" w:rsidRDefault="008D7323" w:rsidP="008724B7">
      <w:pPr>
        <w:autoSpaceDE w:val="0"/>
        <w:autoSpaceDN w:val="0"/>
        <w:adjustRightInd w:val="0"/>
        <w:rPr>
          <w:rFonts w:cs="Arial"/>
          <w:b/>
        </w:rPr>
      </w:pPr>
      <w:r w:rsidRPr="008D7323">
        <w:rPr>
          <w:rFonts w:cs="Arial"/>
          <w:b/>
        </w:rPr>
        <w:t>Proposed Investment</w:t>
      </w:r>
    </w:p>
    <w:p w:rsidR="002B70FB" w:rsidRDefault="002B70FB" w:rsidP="008724B7">
      <w:pPr>
        <w:autoSpaceDE w:val="0"/>
        <w:autoSpaceDN w:val="0"/>
        <w:adjustRightInd w:val="0"/>
        <w:rPr>
          <w:rFonts w:cs="Arial"/>
        </w:rPr>
      </w:pPr>
    </w:p>
    <w:p w:rsidR="002B70FB" w:rsidRPr="00894A67" w:rsidRDefault="002B70FB" w:rsidP="002B70FB">
      <w:pPr>
        <w:rPr>
          <w:rFonts w:cs="Arial"/>
        </w:rPr>
      </w:pPr>
      <w:r w:rsidRPr="00894A67">
        <w:rPr>
          <w:rFonts w:cs="Arial"/>
        </w:rPr>
        <w:t xml:space="preserve">Investment of cap and trade allowance revenues should target </w:t>
      </w:r>
      <w:r>
        <w:rPr>
          <w:rFonts w:cs="Arial"/>
        </w:rPr>
        <w:t>removal of forest biomass in areas underserved by existing biomass facilities and areas awaiting development and depl</w:t>
      </w:r>
      <w:r w:rsidRPr="00894A67">
        <w:rPr>
          <w:rFonts w:cs="Arial"/>
        </w:rPr>
        <w:t xml:space="preserve">oyment of community-scale forest bioenergy technologies.  </w:t>
      </w:r>
    </w:p>
    <w:p w:rsidR="002B70FB" w:rsidRPr="002B70FB" w:rsidRDefault="002B70FB" w:rsidP="008724B7">
      <w:pPr>
        <w:autoSpaceDE w:val="0"/>
        <w:autoSpaceDN w:val="0"/>
        <w:adjustRightInd w:val="0"/>
        <w:rPr>
          <w:rFonts w:cs="Arial"/>
        </w:rPr>
      </w:pPr>
    </w:p>
    <w:p w:rsidR="008724B7" w:rsidRDefault="002B70FB" w:rsidP="0031734F">
      <w:pPr>
        <w:pStyle w:val="ListParagraph"/>
        <w:numPr>
          <w:ilvl w:val="0"/>
          <w:numId w:val="9"/>
        </w:numPr>
        <w:autoSpaceDE w:val="0"/>
        <w:autoSpaceDN w:val="0"/>
        <w:adjustRightInd w:val="0"/>
        <w:rPr>
          <w:rFonts w:cs="Arial"/>
        </w:rPr>
      </w:pPr>
      <w:r>
        <w:rPr>
          <w:rFonts w:cs="Arial"/>
        </w:rPr>
        <w:t xml:space="preserve">Provide a direct </w:t>
      </w:r>
      <w:r w:rsidR="00D07D57">
        <w:rPr>
          <w:rFonts w:cs="Arial"/>
        </w:rPr>
        <w:t>transportation</w:t>
      </w:r>
      <w:r>
        <w:rPr>
          <w:rFonts w:cs="Arial"/>
        </w:rPr>
        <w:t xml:space="preserve"> incentive to woody biomass fuel providers who need to transport biomass outside a 20-mile circle to get to an existing bioenergy facility. </w:t>
      </w:r>
    </w:p>
    <w:p w:rsidR="00893328" w:rsidRDefault="00893328" w:rsidP="0031734F">
      <w:pPr>
        <w:pStyle w:val="ListParagraph"/>
        <w:numPr>
          <w:ilvl w:val="0"/>
          <w:numId w:val="9"/>
        </w:numPr>
        <w:autoSpaceDE w:val="0"/>
        <w:autoSpaceDN w:val="0"/>
        <w:adjustRightInd w:val="0"/>
        <w:rPr>
          <w:rFonts w:cs="Arial"/>
        </w:rPr>
      </w:pPr>
      <w:r>
        <w:rPr>
          <w:rFonts w:cs="Arial"/>
        </w:rPr>
        <w:t>Assumptions: $</w:t>
      </w:r>
      <w:r w:rsidR="00170168">
        <w:rPr>
          <w:rFonts w:cs="Arial"/>
        </w:rPr>
        <w:t>40</w:t>
      </w:r>
      <w:r>
        <w:rPr>
          <w:rFonts w:cs="Arial"/>
        </w:rPr>
        <w:t>-</w:t>
      </w:r>
      <w:r w:rsidR="00170168">
        <w:rPr>
          <w:rFonts w:cs="Arial"/>
        </w:rPr>
        <w:t>50</w:t>
      </w:r>
      <w:r>
        <w:rPr>
          <w:rFonts w:cs="Arial"/>
        </w:rPr>
        <w:t xml:space="preserve"> paid for delivery of one BDT forest biomass.  Chipping/loading costs $</w:t>
      </w:r>
      <w:r w:rsidR="00170168">
        <w:rPr>
          <w:rFonts w:cs="Arial"/>
        </w:rPr>
        <w:t>3</w:t>
      </w:r>
      <w:r>
        <w:rPr>
          <w:rFonts w:cs="Arial"/>
        </w:rPr>
        <w:t>0/BDT. Chip van operating cost $90/hour, chip van capacity</w:t>
      </w:r>
      <w:r w:rsidR="00375AA7">
        <w:rPr>
          <w:rFonts w:cs="Arial"/>
        </w:rPr>
        <w:t xml:space="preserve"> </w:t>
      </w:r>
      <w:r w:rsidR="00E36C74">
        <w:rPr>
          <w:rFonts w:cs="Arial"/>
        </w:rPr>
        <w:t xml:space="preserve">is </w:t>
      </w:r>
      <w:r w:rsidR="00375AA7">
        <w:rPr>
          <w:rFonts w:cs="Arial"/>
        </w:rPr>
        <w:t>26 green tons or about</w:t>
      </w:r>
      <w:r>
        <w:rPr>
          <w:rFonts w:cs="Arial"/>
        </w:rPr>
        <w:t xml:space="preserve"> 13 BDT.  Loading/unloading of a truck takes about 1 hour and costs $90, or about $7 per BDT. A transportation distance of approximately 1.5 hours roundtrip would co</w:t>
      </w:r>
      <w:r w:rsidR="002E758B">
        <w:rPr>
          <w:rFonts w:cs="Arial"/>
        </w:rPr>
        <w:t>st $135, or about $10 per BDT</w:t>
      </w:r>
      <w:r>
        <w:rPr>
          <w:rFonts w:cs="Arial"/>
        </w:rPr>
        <w:t>.</w:t>
      </w:r>
      <w:r w:rsidRPr="00893328">
        <w:rPr>
          <w:rFonts w:cs="Arial"/>
        </w:rPr>
        <w:t xml:space="preserve"> </w:t>
      </w:r>
      <w:r w:rsidR="002E758B">
        <w:rPr>
          <w:rFonts w:cs="Arial"/>
        </w:rPr>
        <w:t>Total cost is $</w:t>
      </w:r>
      <w:r w:rsidR="00170168">
        <w:rPr>
          <w:rFonts w:cs="Arial"/>
        </w:rPr>
        <w:t>4</w:t>
      </w:r>
      <w:r w:rsidR="002E758B">
        <w:rPr>
          <w:rFonts w:cs="Arial"/>
        </w:rPr>
        <w:t>7 per BDT</w:t>
      </w:r>
      <w:r w:rsidR="00170168">
        <w:rPr>
          <w:rFonts w:cs="Arial"/>
        </w:rPr>
        <w:t xml:space="preserve">. </w:t>
      </w:r>
      <w:r w:rsidR="002E758B">
        <w:rPr>
          <w:rFonts w:cs="Arial"/>
        </w:rPr>
        <w:t xml:space="preserve"> Haul distances of greater than 1.5 hours round-trip result in a </w:t>
      </w:r>
      <w:r w:rsidR="00170168">
        <w:rPr>
          <w:rFonts w:cs="Arial"/>
        </w:rPr>
        <w:t xml:space="preserve">net economic </w:t>
      </w:r>
      <w:r w:rsidR="002E758B">
        <w:rPr>
          <w:rFonts w:cs="Arial"/>
        </w:rPr>
        <w:t>loss to the contractor.</w:t>
      </w:r>
    </w:p>
    <w:p w:rsidR="00BB2694" w:rsidRDefault="002B70FB" w:rsidP="0031734F">
      <w:pPr>
        <w:pStyle w:val="ListParagraph"/>
        <w:numPr>
          <w:ilvl w:val="0"/>
          <w:numId w:val="9"/>
        </w:numPr>
        <w:autoSpaceDE w:val="0"/>
        <w:autoSpaceDN w:val="0"/>
        <w:adjustRightInd w:val="0"/>
        <w:rPr>
          <w:rFonts w:cs="Arial"/>
        </w:rPr>
      </w:pPr>
      <w:r>
        <w:rPr>
          <w:rFonts w:cs="Arial"/>
        </w:rPr>
        <w:t>Calculate the need for funding based on</w:t>
      </w:r>
      <w:r w:rsidR="00893328">
        <w:rPr>
          <w:rFonts w:cs="Arial"/>
        </w:rPr>
        <w:t xml:space="preserve"> additional haul time above a 1.5</w:t>
      </w:r>
      <w:r>
        <w:rPr>
          <w:rFonts w:cs="Arial"/>
        </w:rPr>
        <w:t xml:space="preserve">-hour round-trip basis and an approximate haul cost of $90/hour; e.g., for a 13 BDT chip van that must travel an </w:t>
      </w:r>
      <w:r>
        <w:rPr>
          <w:rFonts w:cs="Arial"/>
          <w:i/>
        </w:rPr>
        <w:t xml:space="preserve">additional </w:t>
      </w:r>
      <w:r w:rsidR="00893328">
        <w:rPr>
          <w:rFonts w:cs="Arial"/>
        </w:rPr>
        <w:t>1</w:t>
      </w:r>
      <w:r>
        <w:rPr>
          <w:rFonts w:cs="Arial"/>
        </w:rPr>
        <w:t>.5 hours</w:t>
      </w:r>
      <w:r w:rsidR="00893328">
        <w:rPr>
          <w:rFonts w:cs="Arial"/>
        </w:rPr>
        <w:t xml:space="preserve"> (3 hours total roundtrip)</w:t>
      </w:r>
      <w:r>
        <w:rPr>
          <w:rFonts w:cs="Arial"/>
        </w:rPr>
        <w:t xml:space="preserve">, there is an increased cost of </w:t>
      </w:r>
      <w:r w:rsidR="00893328">
        <w:rPr>
          <w:rFonts w:cs="Arial"/>
        </w:rPr>
        <w:t>$135</w:t>
      </w:r>
      <w:r>
        <w:rPr>
          <w:rFonts w:cs="Arial"/>
        </w:rPr>
        <w:t xml:space="preserve">, which adds </w:t>
      </w:r>
      <w:r w:rsidR="00893328">
        <w:rPr>
          <w:rFonts w:cs="Arial"/>
        </w:rPr>
        <w:t>approximately $10 per BDT.</w:t>
      </w:r>
    </w:p>
    <w:p w:rsidR="002B70FB" w:rsidRPr="00BC3BF8" w:rsidRDefault="00BB2694" w:rsidP="0031734F">
      <w:pPr>
        <w:pStyle w:val="ListParagraph"/>
        <w:numPr>
          <w:ilvl w:val="0"/>
          <w:numId w:val="9"/>
        </w:numPr>
        <w:autoSpaceDE w:val="0"/>
        <w:autoSpaceDN w:val="0"/>
        <w:adjustRightInd w:val="0"/>
        <w:rPr>
          <w:rFonts w:cs="Arial"/>
        </w:rPr>
      </w:pPr>
      <w:r>
        <w:rPr>
          <w:rFonts w:cs="Arial"/>
        </w:rPr>
        <w:t xml:space="preserve">Request $10 per BDT for immediate help with existing contracts (680,000 BDT). </w:t>
      </w:r>
      <w:r w:rsidR="00146DCD">
        <w:rPr>
          <w:rFonts w:cs="Arial"/>
        </w:rPr>
        <w:t xml:space="preserve">Suggest development of criteria that would allow payments of $5-$15 per BDT dependent on distance to nearest operating bioenergy facility. </w:t>
      </w:r>
      <w:r>
        <w:rPr>
          <w:rFonts w:cs="Arial"/>
        </w:rPr>
        <w:t xml:space="preserve">Total </w:t>
      </w:r>
      <w:r w:rsidR="00D07D57">
        <w:rPr>
          <w:rFonts w:cs="Arial"/>
        </w:rPr>
        <w:t>request for</w:t>
      </w:r>
      <w:r>
        <w:rPr>
          <w:rFonts w:cs="Arial"/>
        </w:rPr>
        <w:t xml:space="preserve"> year one: $6.8 million. Request reduced amounts in year two </w:t>
      </w:r>
      <w:r w:rsidRPr="00BC3BF8">
        <w:rPr>
          <w:rFonts w:cs="Arial"/>
        </w:rPr>
        <w:t>($</w:t>
      </w:r>
      <w:r w:rsidR="00141B5A" w:rsidRPr="007B00A7">
        <w:rPr>
          <w:rFonts w:cs="Arial"/>
        </w:rPr>
        <w:t>5</w:t>
      </w:r>
      <w:r w:rsidRPr="00BC3BF8">
        <w:rPr>
          <w:rFonts w:cs="Arial"/>
        </w:rPr>
        <w:t xml:space="preserve"> million) and year three (</w:t>
      </w:r>
      <w:r w:rsidR="00141B5A" w:rsidRPr="007B00A7">
        <w:rPr>
          <w:rFonts w:cs="Arial"/>
        </w:rPr>
        <w:t>$4</w:t>
      </w:r>
      <w:r w:rsidRPr="00BC3BF8">
        <w:rPr>
          <w:rFonts w:cs="Arial"/>
        </w:rPr>
        <w:t xml:space="preserve"> million) as community-based biomass </w:t>
      </w:r>
      <w:r w:rsidR="00146DCD" w:rsidRPr="00BC3BF8">
        <w:rPr>
          <w:rFonts w:cs="Arial"/>
        </w:rPr>
        <w:t>plants</w:t>
      </w:r>
      <w:r w:rsidR="00D06DDB" w:rsidRPr="00BC3BF8">
        <w:rPr>
          <w:rFonts w:cs="Arial"/>
        </w:rPr>
        <w:t xml:space="preserve"> </w:t>
      </w:r>
      <w:r w:rsidRPr="00BC3BF8">
        <w:rPr>
          <w:rFonts w:cs="Arial"/>
        </w:rPr>
        <w:t>begin operation.</w:t>
      </w:r>
      <w:r w:rsidR="00893328" w:rsidRPr="00BC3BF8">
        <w:rPr>
          <w:rFonts w:cs="Arial"/>
        </w:rPr>
        <w:t xml:space="preserve">  </w:t>
      </w:r>
    </w:p>
    <w:p w:rsidR="002B70FB" w:rsidRDefault="002B70FB" w:rsidP="0031734F">
      <w:pPr>
        <w:pStyle w:val="ListParagraph"/>
        <w:numPr>
          <w:ilvl w:val="0"/>
          <w:numId w:val="9"/>
        </w:numPr>
        <w:autoSpaceDE w:val="0"/>
        <w:autoSpaceDN w:val="0"/>
        <w:adjustRightInd w:val="0"/>
        <w:rPr>
          <w:rFonts w:cs="Arial"/>
        </w:rPr>
      </w:pPr>
      <w:r>
        <w:rPr>
          <w:rFonts w:cs="Arial"/>
        </w:rPr>
        <w:t>Distribute these funds through a grant program administered by the Sierra Nevada Conservancy or other appropriate state agency.</w:t>
      </w:r>
    </w:p>
    <w:p w:rsidR="00912B69" w:rsidRPr="002B70FB" w:rsidRDefault="00912B69" w:rsidP="000D17DA">
      <w:pPr>
        <w:rPr>
          <w:rFonts w:cs="Arial"/>
        </w:rPr>
      </w:pPr>
    </w:p>
    <w:p w:rsidR="008724B7" w:rsidRPr="007B00A7" w:rsidRDefault="00042D0F" w:rsidP="007B00A7">
      <w:pPr>
        <w:pStyle w:val="ListParagraph"/>
        <w:numPr>
          <w:ilvl w:val="0"/>
          <w:numId w:val="14"/>
        </w:numPr>
        <w:ind w:left="360"/>
        <w:rPr>
          <w:rFonts w:cs="Arial"/>
          <w:b/>
          <w:u w:val="single"/>
        </w:rPr>
      </w:pPr>
      <w:r w:rsidRPr="007B00A7">
        <w:rPr>
          <w:rFonts w:cs="Arial"/>
          <w:b/>
          <w:u w:val="single"/>
        </w:rPr>
        <w:t xml:space="preserve">Forest </w:t>
      </w:r>
      <w:r w:rsidR="00BC7F11" w:rsidRPr="007B00A7">
        <w:rPr>
          <w:rFonts w:cs="Arial"/>
          <w:b/>
          <w:u w:val="single"/>
        </w:rPr>
        <w:t>Treatments:  Management, Fuels Treatments, and Reforestation</w:t>
      </w:r>
    </w:p>
    <w:p w:rsidR="00042D0F" w:rsidRPr="00AB2DB7" w:rsidRDefault="00042D0F" w:rsidP="008724B7">
      <w:pPr>
        <w:rPr>
          <w:rFonts w:cs="Arial"/>
        </w:rPr>
      </w:pPr>
    </w:p>
    <w:p w:rsidR="00DC1A2E" w:rsidRDefault="00DC1A2E" w:rsidP="00DC1A2E">
      <w:pPr>
        <w:rPr>
          <w:rFonts w:cs="Arial"/>
        </w:rPr>
      </w:pPr>
      <w:r>
        <w:rPr>
          <w:rFonts w:cs="Arial"/>
        </w:rPr>
        <w:t xml:space="preserve">Forest treatments reduce or avoid GHG emissions by increasing the rate of carbon capture in larger, </w:t>
      </w:r>
      <w:r w:rsidR="00170168">
        <w:rPr>
          <w:rFonts w:cs="Arial"/>
        </w:rPr>
        <w:t>more fire-</w:t>
      </w:r>
      <w:r w:rsidR="0077194F">
        <w:rPr>
          <w:rFonts w:cs="Arial"/>
        </w:rPr>
        <w:t>resilient</w:t>
      </w:r>
      <w:r>
        <w:rPr>
          <w:rFonts w:cs="Arial"/>
        </w:rPr>
        <w:t xml:space="preserve"> trees; replanting burned sites to restart the sequestration of carbon in trees much more quickly than will typically occur through natural regeneration processes alone, or planting trees in existing </w:t>
      </w:r>
      <w:r>
        <w:rPr>
          <w:rFonts w:cs="Arial"/>
        </w:rPr>
        <w:lastRenderedPageBreak/>
        <w:t>forest stands that are under</w:t>
      </w:r>
      <w:r w:rsidR="00922F38">
        <w:rPr>
          <w:rFonts w:cs="Arial"/>
        </w:rPr>
        <w:t xml:space="preserve"> </w:t>
      </w:r>
      <w:r>
        <w:rPr>
          <w:rFonts w:cs="Arial"/>
        </w:rPr>
        <w:t xml:space="preserve">stocked; and reducing the scale and intensity of wildfires and their GHG emissions through fuels reduction treatments.  </w:t>
      </w:r>
      <w:r w:rsidR="005233AE">
        <w:rPr>
          <w:rFonts w:cs="Arial"/>
        </w:rPr>
        <w:t>Forest treatment investments can be targeted to those projects that offer the greatest GHG reduction benefits and co-benefits, and that are located in or provide benefits to disadvantaged rural communities.</w:t>
      </w:r>
    </w:p>
    <w:p w:rsidR="00DC1A2E" w:rsidRDefault="00DC1A2E" w:rsidP="00DC1A2E">
      <w:pPr>
        <w:rPr>
          <w:rFonts w:cs="Arial"/>
        </w:rPr>
      </w:pPr>
    </w:p>
    <w:p w:rsidR="00DC1A2E" w:rsidRPr="00AB2DB7" w:rsidRDefault="00DC1A2E" w:rsidP="00DC1A2E">
      <w:pPr>
        <w:rPr>
          <w:rFonts w:cs="Arial"/>
        </w:rPr>
      </w:pPr>
      <w:r>
        <w:rPr>
          <w:rFonts w:cs="Arial"/>
        </w:rPr>
        <w:t xml:space="preserve">The April 16 draft Investment Plan identifies forest management, restoration, conservation, and fuels reduction treatments as potential investments under the area of Forests and Ecosystem Management (pp. B-12 to B-13).  CAL FIRE and existing CAL FIRE programs are identified as a means of implementation.  The SNC and Resource Conservation Districts also may be appropriate implementing agencies.  Potential implementation partners include the </w:t>
      </w:r>
      <w:r w:rsidRPr="00F03320">
        <w:rPr>
          <w:rFonts w:cs="Arial"/>
        </w:rPr>
        <w:t>US Forest Service, private forest landowners, Fire Safe Councils,</w:t>
      </w:r>
      <w:r>
        <w:rPr>
          <w:rFonts w:cs="Arial"/>
        </w:rPr>
        <w:t xml:space="preserve"> and </w:t>
      </w:r>
      <w:r w:rsidRPr="00F03320">
        <w:rPr>
          <w:rFonts w:cs="Arial"/>
        </w:rPr>
        <w:t>local fire districts</w:t>
      </w:r>
      <w:r>
        <w:rPr>
          <w:rFonts w:cs="Arial"/>
        </w:rPr>
        <w:t>.</w:t>
      </w:r>
      <w:r w:rsidRPr="00F03320">
        <w:rPr>
          <w:rFonts w:cs="Arial"/>
        </w:rPr>
        <w:t xml:space="preserve"> </w:t>
      </w:r>
      <w:r>
        <w:rPr>
          <w:rFonts w:cs="Arial"/>
        </w:rPr>
        <w:t xml:space="preserve">All forestlands in the state, </w:t>
      </w:r>
      <w:r w:rsidR="00170168">
        <w:rPr>
          <w:rFonts w:cs="Arial"/>
        </w:rPr>
        <w:t>(</w:t>
      </w:r>
      <w:r>
        <w:rPr>
          <w:rFonts w:cs="Arial"/>
        </w:rPr>
        <w:t>public or</w:t>
      </w:r>
      <w:r w:rsidR="0077194F">
        <w:rPr>
          <w:rFonts w:cs="Arial"/>
        </w:rPr>
        <w:t xml:space="preserve"> </w:t>
      </w:r>
      <w:r>
        <w:rPr>
          <w:rFonts w:cs="Arial"/>
        </w:rPr>
        <w:t>private</w:t>
      </w:r>
      <w:r w:rsidR="00170168">
        <w:rPr>
          <w:rFonts w:cs="Arial"/>
        </w:rPr>
        <w:t>)</w:t>
      </w:r>
      <w:r>
        <w:rPr>
          <w:rFonts w:cs="Arial"/>
        </w:rPr>
        <w:t>, and their owning or managing entities should be eligible for application of these treatment types and eligible to receive grant funding.  For some activity types, CAL FIRE may require additional authority (e.g., through budget trailer bill language) to be able to implement projects on federal lands or to grant to federal entities.</w:t>
      </w:r>
    </w:p>
    <w:p w:rsidR="00DC1A2E" w:rsidRPr="00AB2DB7" w:rsidRDefault="00DC1A2E" w:rsidP="00DC1A2E">
      <w:pPr>
        <w:rPr>
          <w:rFonts w:cs="Arial"/>
        </w:rPr>
      </w:pPr>
    </w:p>
    <w:p w:rsidR="00DC1A2E" w:rsidRDefault="00DC1A2E" w:rsidP="00DC1A2E">
      <w:pPr>
        <w:rPr>
          <w:rFonts w:cs="Arial"/>
          <w:b/>
        </w:rPr>
      </w:pPr>
      <w:r w:rsidRPr="00A74B10">
        <w:rPr>
          <w:rFonts w:cs="Arial"/>
          <w:b/>
        </w:rPr>
        <w:t>Opportunity and GHG Benefits</w:t>
      </w:r>
    </w:p>
    <w:p w:rsidR="002F737E" w:rsidRPr="00A74B10" w:rsidRDefault="002F737E" w:rsidP="00DC1A2E">
      <w:pPr>
        <w:rPr>
          <w:rFonts w:cs="Arial"/>
          <w:b/>
        </w:rPr>
      </w:pPr>
    </w:p>
    <w:p w:rsidR="00DC1A2E" w:rsidRPr="00AB2DB7" w:rsidRDefault="00DC1A2E" w:rsidP="00DC1A2E">
      <w:pPr>
        <w:pStyle w:val="ListParagraph"/>
        <w:numPr>
          <w:ilvl w:val="0"/>
          <w:numId w:val="1"/>
        </w:numPr>
        <w:rPr>
          <w:rFonts w:cs="Arial"/>
        </w:rPr>
      </w:pPr>
      <w:r>
        <w:rPr>
          <w:rFonts w:cs="Arial"/>
        </w:rPr>
        <w:t>The 2010 FRAP Assessment identified that 278,000 acres of non-reserved public forestlands and 253,000 acres of private forestlands need reforestation.  The National Forests have an identified reforestation need of over 123,000 acres. Reforestation is estimated to result in the sequestration of 1-7 metric tons CO</w:t>
      </w:r>
      <w:r w:rsidRPr="00B86486">
        <w:rPr>
          <w:rFonts w:cs="Arial"/>
          <w:vertAlign w:val="subscript"/>
        </w:rPr>
        <w:t>2</w:t>
      </w:r>
      <w:r>
        <w:rPr>
          <w:rFonts w:cs="Arial"/>
        </w:rPr>
        <w:t xml:space="preserve">e per acre per year.  </w:t>
      </w:r>
    </w:p>
    <w:p w:rsidR="00DC1A2E" w:rsidRPr="00AB2DB7" w:rsidRDefault="00DC1A2E" w:rsidP="00DC1A2E">
      <w:pPr>
        <w:pStyle w:val="ListParagraph"/>
        <w:numPr>
          <w:ilvl w:val="0"/>
          <w:numId w:val="1"/>
        </w:numPr>
        <w:rPr>
          <w:rFonts w:cs="Arial"/>
        </w:rPr>
      </w:pPr>
      <w:r>
        <w:rPr>
          <w:rFonts w:cs="Arial"/>
        </w:rPr>
        <w:t xml:space="preserve">The Assessment also identified 7.7 million acres of forestlands (private and public) as high priority landscapes for preventing wildfire threat to ecosystem health.  Treating vegetation to prevent or reduce the amount of vegetation burned </w:t>
      </w:r>
      <w:r w:rsidR="00170168">
        <w:rPr>
          <w:rFonts w:cs="Arial"/>
        </w:rPr>
        <w:t>due to</w:t>
      </w:r>
      <w:r>
        <w:rPr>
          <w:rFonts w:cs="Arial"/>
        </w:rPr>
        <w:t xml:space="preserve"> a wildfire can result in less wildfire GHG emissions.  Wildfires on private forestlands are estimated to result in average emissions of 1.1 million metric tons CO2e</w:t>
      </w:r>
      <w:r w:rsidRPr="00375909">
        <w:rPr>
          <w:rFonts w:cs="Arial"/>
        </w:rPr>
        <w:t xml:space="preserve"> per year</w:t>
      </w:r>
      <w:r>
        <w:rPr>
          <w:rFonts w:cs="Arial"/>
        </w:rPr>
        <w:t xml:space="preserve">.  </w:t>
      </w:r>
    </w:p>
    <w:p w:rsidR="00B76788" w:rsidRDefault="00DC1A2E" w:rsidP="00DC1A2E">
      <w:pPr>
        <w:pStyle w:val="ListParagraph"/>
        <w:numPr>
          <w:ilvl w:val="0"/>
          <w:numId w:val="1"/>
        </w:numPr>
        <w:rPr>
          <w:rFonts w:cs="Arial"/>
        </w:rPr>
      </w:pPr>
      <w:r w:rsidRPr="00B76788">
        <w:rPr>
          <w:rFonts w:cs="Arial"/>
        </w:rPr>
        <w:t>The 2010 FRAP Assessment identified 2.6 million acres of non-reserved public and 1.8 million acres of private forestland as needing improvement due to under stocked or over stocked conditions.  The National Forests have an identified need of over 266,000 acres of pre</w:t>
      </w:r>
      <w:r w:rsidR="0077194F">
        <w:rPr>
          <w:rFonts w:cs="Arial"/>
        </w:rPr>
        <w:t>-</w:t>
      </w:r>
      <w:r w:rsidRPr="00B76788">
        <w:rPr>
          <w:rFonts w:cs="Arial"/>
        </w:rPr>
        <w:t>commercial thinning.</w:t>
      </w:r>
    </w:p>
    <w:p w:rsidR="00364FBF" w:rsidRDefault="00364FBF" w:rsidP="00DC1A2E">
      <w:pPr>
        <w:pStyle w:val="ListParagraph"/>
        <w:numPr>
          <w:ilvl w:val="0"/>
          <w:numId w:val="1"/>
        </w:numPr>
        <w:rPr>
          <w:rFonts w:cs="Arial"/>
        </w:rPr>
      </w:pPr>
      <w:r>
        <w:rPr>
          <w:rFonts w:cs="Arial"/>
        </w:rPr>
        <w:t xml:space="preserve">CAL FIRE Unit Fire Plans and Community Wildfire Protection Plans identify hundreds of high priority fuels reduction projects covering tens of thousands of acres.  For example, the CAL FIRE Shasta-Trinity Unit 2012 Fire Plan identifies 53 high priority projects totaling </w:t>
      </w:r>
      <w:r w:rsidR="00D267B2">
        <w:rPr>
          <w:rFonts w:cs="Arial"/>
        </w:rPr>
        <w:t>over 5,000 acres;</w:t>
      </w:r>
      <w:r>
        <w:rPr>
          <w:rFonts w:cs="Arial"/>
        </w:rPr>
        <w:t xml:space="preserve"> </w:t>
      </w:r>
      <w:r w:rsidR="00D267B2">
        <w:rPr>
          <w:rFonts w:cs="Arial"/>
        </w:rPr>
        <w:t>t</w:t>
      </w:r>
      <w:r>
        <w:rPr>
          <w:rFonts w:cs="Arial"/>
        </w:rPr>
        <w:t>he Amador County Community Wildfire Protection</w:t>
      </w:r>
      <w:r w:rsidR="00D267B2">
        <w:rPr>
          <w:rFonts w:cs="Arial"/>
        </w:rPr>
        <w:t xml:space="preserve"> </w:t>
      </w:r>
      <w:r>
        <w:rPr>
          <w:rFonts w:cs="Arial"/>
        </w:rPr>
        <w:t>Plan identifies 25 primary fuel reduct</w:t>
      </w:r>
      <w:r w:rsidR="00D267B2">
        <w:rPr>
          <w:rFonts w:cs="Arial"/>
        </w:rPr>
        <w:t>ion projects totaling</w:t>
      </w:r>
      <w:r>
        <w:rPr>
          <w:rFonts w:cs="Arial"/>
        </w:rPr>
        <w:t xml:space="preserve"> </w:t>
      </w:r>
      <w:r w:rsidR="00D267B2">
        <w:rPr>
          <w:rFonts w:cs="Arial"/>
        </w:rPr>
        <w:t xml:space="preserve">2,411 acres.  </w:t>
      </w:r>
    </w:p>
    <w:p w:rsidR="002F65D4" w:rsidRDefault="002F65D4" w:rsidP="007B00A7">
      <w:pPr>
        <w:pStyle w:val="ListParagraph"/>
        <w:rPr>
          <w:rFonts w:cs="Arial"/>
        </w:rPr>
      </w:pPr>
    </w:p>
    <w:p w:rsidR="002F65D4" w:rsidRDefault="002F65D4" w:rsidP="007B00A7">
      <w:pPr>
        <w:pStyle w:val="ListParagraph"/>
        <w:rPr>
          <w:rFonts w:cs="Arial"/>
        </w:rPr>
      </w:pPr>
    </w:p>
    <w:p w:rsidR="00DC1A2E" w:rsidRPr="00B76788" w:rsidRDefault="00DC1A2E" w:rsidP="00DC1A2E">
      <w:pPr>
        <w:pStyle w:val="ListParagraph"/>
        <w:numPr>
          <w:ilvl w:val="0"/>
          <w:numId w:val="1"/>
        </w:numPr>
        <w:rPr>
          <w:rFonts w:cs="Arial"/>
        </w:rPr>
      </w:pPr>
      <w:r w:rsidRPr="00B76788">
        <w:rPr>
          <w:rFonts w:cs="Arial"/>
        </w:rPr>
        <w:lastRenderedPageBreak/>
        <w:t xml:space="preserve">Treatments are as important for federal lands as for </w:t>
      </w:r>
      <w:r w:rsidR="00D267B2">
        <w:rPr>
          <w:rFonts w:cs="Arial"/>
        </w:rPr>
        <w:t xml:space="preserve">other forest </w:t>
      </w:r>
      <w:r w:rsidRPr="00B76788">
        <w:rPr>
          <w:rFonts w:cs="Arial"/>
        </w:rPr>
        <w:t xml:space="preserve">lands.  Consider the following regarding National Forest </w:t>
      </w:r>
      <w:r w:rsidR="00D36447">
        <w:rPr>
          <w:rFonts w:cs="Arial"/>
        </w:rPr>
        <w:t>Systems (NFS) Lands</w:t>
      </w:r>
      <w:r w:rsidRPr="00B76788">
        <w:rPr>
          <w:rFonts w:cs="Arial"/>
        </w:rPr>
        <w:t xml:space="preserve"> in California: </w:t>
      </w:r>
    </w:p>
    <w:p w:rsidR="00102EC6" w:rsidRPr="00CB5DE8" w:rsidRDefault="00DC1A2E" w:rsidP="00DC1A2E">
      <w:pPr>
        <w:pStyle w:val="ListParagraph"/>
        <w:numPr>
          <w:ilvl w:val="1"/>
          <w:numId w:val="1"/>
        </w:numPr>
        <w:rPr>
          <w:rFonts w:cs="Arial"/>
        </w:rPr>
      </w:pPr>
      <w:r w:rsidRPr="00761987">
        <w:rPr>
          <w:rFonts w:cs="Arial"/>
        </w:rPr>
        <w:t>Forest Stand Improvement/Thinning</w:t>
      </w:r>
      <w:r w:rsidR="00922F38">
        <w:rPr>
          <w:rFonts w:cs="Arial"/>
        </w:rPr>
        <w:t xml:space="preserve"> </w:t>
      </w:r>
      <w:r w:rsidRPr="00761987">
        <w:rPr>
          <w:rFonts w:cs="Arial"/>
        </w:rPr>
        <w:t>- Capable of performing an additional 28,000 acres per year and sequestering an estimated 52 metric tons of carbon dioxide equivalent per acre by 2050</w:t>
      </w:r>
      <w:r w:rsidR="00102EC6">
        <w:rPr>
          <w:rStyle w:val="FootnoteReference"/>
          <w:rFonts w:cs="Arial"/>
        </w:rPr>
        <w:footnoteReference w:id="1"/>
      </w:r>
      <w:r w:rsidR="00102EC6" w:rsidRPr="00761987">
        <w:rPr>
          <w:rFonts w:cs="Arial"/>
        </w:rPr>
        <w:t xml:space="preserve">. </w:t>
      </w:r>
    </w:p>
    <w:p w:rsidR="00102EC6" w:rsidRPr="00CB5DE8" w:rsidRDefault="00102EC6" w:rsidP="00DC1A2E">
      <w:pPr>
        <w:pStyle w:val="ListParagraph"/>
        <w:ind w:left="1440"/>
        <w:rPr>
          <w:rFonts w:cs="Arial"/>
        </w:rPr>
      </w:pPr>
      <w:r w:rsidRPr="00761987">
        <w:rPr>
          <w:rFonts w:cs="Arial"/>
        </w:rPr>
        <w:t>Costs would range from $175 to 300 per acre</w:t>
      </w:r>
      <w:r>
        <w:rPr>
          <w:rFonts w:cs="Arial"/>
        </w:rPr>
        <w:t>.</w:t>
      </w:r>
    </w:p>
    <w:p w:rsidR="00102EC6" w:rsidRPr="00CB5DE8" w:rsidRDefault="00102EC6" w:rsidP="00DC1A2E">
      <w:pPr>
        <w:pStyle w:val="ListParagraph"/>
        <w:numPr>
          <w:ilvl w:val="1"/>
          <w:numId w:val="1"/>
        </w:numPr>
        <w:rPr>
          <w:rFonts w:cs="Arial"/>
        </w:rPr>
      </w:pPr>
      <w:r w:rsidRPr="00761987">
        <w:rPr>
          <w:rFonts w:cs="Arial"/>
        </w:rPr>
        <w:t>Reforestation</w:t>
      </w:r>
      <w:r>
        <w:rPr>
          <w:rFonts w:cs="Arial"/>
        </w:rPr>
        <w:t xml:space="preserve"> </w:t>
      </w:r>
      <w:r w:rsidRPr="00761987">
        <w:rPr>
          <w:rFonts w:cs="Arial"/>
        </w:rPr>
        <w:t>-</w:t>
      </w:r>
      <w:r>
        <w:rPr>
          <w:rFonts w:cs="Arial"/>
        </w:rPr>
        <w:t xml:space="preserve"> </w:t>
      </w:r>
      <w:r w:rsidRPr="00761987">
        <w:rPr>
          <w:rFonts w:cs="Arial"/>
        </w:rPr>
        <w:t>Capable of performing an additional 13,000 acres per year and sequestering an additional 61 metric tons of carbon dioxide equivalent per acre by 2050</w:t>
      </w:r>
      <w:r>
        <w:rPr>
          <w:rStyle w:val="FootnoteReference"/>
          <w:rFonts w:cs="Arial"/>
        </w:rPr>
        <w:footnoteReference w:id="2"/>
      </w:r>
      <w:r w:rsidRPr="00761987">
        <w:rPr>
          <w:rFonts w:cs="Arial"/>
        </w:rPr>
        <w:t xml:space="preserve">. </w:t>
      </w:r>
    </w:p>
    <w:p w:rsidR="00102EC6" w:rsidRPr="00CB5DE8" w:rsidRDefault="00102EC6" w:rsidP="00DC1A2E">
      <w:pPr>
        <w:pStyle w:val="ListParagraph"/>
        <w:ind w:left="1440"/>
        <w:rPr>
          <w:rFonts w:cs="Arial"/>
        </w:rPr>
      </w:pPr>
      <w:r w:rsidRPr="00761987">
        <w:rPr>
          <w:rFonts w:cs="Arial"/>
        </w:rPr>
        <w:t>Costs would range from $700-$850 per acre</w:t>
      </w:r>
      <w:r>
        <w:rPr>
          <w:rFonts w:cs="Arial"/>
        </w:rPr>
        <w:t>.</w:t>
      </w:r>
    </w:p>
    <w:p w:rsidR="00102EC6" w:rsidRPr="00CB5DE8" w:rsidRDefault="00102EC6" w:rsidP="00DC1A2E">
      <w:pPr>
        <w:pStyle w:val="ListParagraph"/>
        <w:numPr>
          <w:ilvl w:val="1"/>
          <w:numId w:val="1"/>
        </w:numPr>
        <w:rPr>
          <w:rFonts w:cs="Arial"/>
        </w:rPr>
      </w:pPr>
      <w:r w:rsidRPr="00761987">
        <w:rPr>
          <w:rFonts w:cs="Arial"/>
        </w:rPr>
        <w:t>Wildfire reduction</w:t>
      </w:r>
      <w:r>
        <w:rPr>
          <w:rFonts w:cs="Arial"/>
        </w:rPr>
        <w:t xml:space="preserve"> </w:t>
      </w:r>
      <w:r w:rsidRPr="00761987">
        <w:rPr>
          <w:rFonts w:cs="Arial"/>
        </w:rPr>
        <w:t>- Capable of performing an additional 300,000 acres per year sequestering an additional 10 metric tons of carbon dioxide equivalent per acre</w:t>
      </w:r>
      <w:r>
        <w:rPr>
          <w:rFonts w:cs="Arial"/>
        </w:rPr>
        <w:t>.</w:t>
      </w:r>
      <w:r>
        <w:rPr>
          <w:rStyle w:val="FootnoteReference"/>
          <w:rFonts w:cs="Arial"/>
        </w:rPr>
        <w:footnoteReference w:id="3"/>
      </w:r>
    </w:p>
    <w:p w:rsidR="00DC1A2E" w:rsidRPr="00CB5DE8" w:rsidRDefault="00DC1A2E" w:rsidP="00DC1A2E">
      <w:pPr>
        <w:pStyle w:val="ListParagraph"/>
        <w:ind w:left="1440"/>
        <w:rPr>
          <w:rFonts w:cs="Arial"/>
        </w:rPr>
      </w:pPr>
      <w:r w:rsidRPr="00761987">
        <w:rPr>
          <w:rFonts w:cs="Arial"/>
        </w:rPr>
        <w:t>Costs would be $400-500/acre</w:t>
      </w:r>
      <w:r w:rsidR="005D635C">
        <w:rPr>
          <w:rFonts w:cs="Arial"/>
        </w:rPr>
        <w:t>.</w:t>
      </w:r>
    </w:p>
    <w:p w:rsidR="00DC1A2E" w:rsidRPr="00CB5DE8" w:rsidRDefault="00DC1A2E" w:rsidP="00DC1A2E">
      <w:pPr>
        <w:pStyle w:val="ListParagraph"/>
        <w:numPr>
          <w:ilvl w:val="1"/>
          <w:numId w:val="1"/>
        </w:numPr>
        <w:rPr>
          <w:rFonts w:cs="Arial"/>
        </w:rPr>
      </w:pPr>
      <w:r w:rsidRPr="00761987">
        <w:rPr>
          <w:rFonts w:cs="Arial"/>
        </w:rPr>
        <w:t xml:space="preserve">Programs could be scaled up to achieve these acreages </w:t>
      </w:r>
      <w:r w:rsidR="00F152B9" w:rsidRPr="00761987">
        <w:rPr>
          <w:rFonts w:cs="Arial"/>
        </w:rPr>
        <w:t>over</w:t>
      </w:r>
      <w:r w:rsidRPr="00761987">
        <w:rPr>
          <w:rFonts w:cs="Arial"/>
        </w:rPr>
        <w:t xml:space="preserve"> the next few years</w:t>
      </w:r>
      <w:r w:rsidR="005D635C">
        <w:rPr>
          <w:rFonts w:cs="Arial"/>
        </w:rPr>
        <w:t>.</w:t>
      </w:r>
    </w:p>
    <w:p w:rsidR="00DC1A2E" w:rsidRPr="00CB5DE8" w:rsidRDefault="00DC1A2E" w:rsidP="00DC1A2E">
      <w:pPr>
        <w:pStyle w:val="ListParagraph"/>
        <w:ind w:left="1440"/>
        <w:rPr>
          <w:rFonts w:cs="Arial"/>
        </w:rPr>
      </w:pPr>
    </w:p>
    <w:p w:rsidR="00DC1A2E" w:rsidRDefault="00DC1A2E" w:rsidP="00DC1A2E">
      <w:pPr>
        <w:rPr>
          <w:rFonts w:cs="Arial"/>
          <w:b/>
        </w:rPr>
      </w:pPr>
      <w:r w:rsidRPr="00A74B10">
        <w:rPr>
          <w:rFonts w:cs="Arial"/>
          <w:b/>
        </w:rPr>
        <w:t>Co-Benefits</w:t>
      </w:r>
    </w:p>
    <w:p w:rsidR="002F737E" w:rsidRPr="00A74B10" w:rsidRDefault="002F737E" w:rsidP="00DC1A2E">
      <w:pPr>
        <w:rPr>
          <w:rFonts w:cs="Arial"/>
          <w:b/>
        </w:rPr>
      </w:pPr>
    </w:p>
    <w:p w:rsidR="00DC1A2E" w:rsidRPr="00E15857" w:rsidRDefault="00DC1A2E" w:rsidP="00DC1A2E">
      <w:pPr>
        <w:pStyle w:val="ListParagraph"/>
        <w:numPr>
          <w:ilvl w:val="0"/>
          <w:numId w:val="1"/>
        </w:numPr>
        <w:rPr>
          <w:rFonts w:cs="Arial"/>
        </w:rPr>
      </w:pPr>
      <w:r w:rsidRPr="00E15857">
        <w:rPr>
          <w:rFonts w:cs="Arial"/>
        </w:rPr>
        <w:t>Increased economic development and employment in disadvantaged rural communities and counties</w:t>
      </w:r>
      <w:r>
        <w:rPr>
          <w:rFonts w:cs="Arial"/>
        </w:rPr>
        <w:t>.</w:t>
      </w:r>
    </w:p>
    <w:p w:rsidR="00DC1A2E" w:rsidRPr="00E15857" w:rsidRDefault="00DC1A2E" w:rsidP="00DC1A2E">
      <w:pPr>
        <w:pStyle w:val="ListParagraph"/>
        <w:numPr>
          <w:ilvl w:val="0"/>
          <w:numId w:val="1"/>
        </w:numPr>
        <w:rPr>
          <w:rFonts w:cs="Arial"/>
        </w:rPr>
      </w:pPr>
      <w:r w:rsidRPr="00E15857">
        <w:rPr>
          <w:rFonts w:cs="Arial"/>
        </w:rPr>
        <w:t xml:space="preserve">Forests more resilient to the effects of climate change (drought, insects, disease, </w:t>
      </w:r>
      <w:r w:rsidR="00B76788" w:rsidRPr="00E15857">
        <w:rPr>
          <w:rFonts w:cs="Arial"/>
        </w:rPr>
        <w:t>and fire</w:t>
      </w:r>
      <w:r w:rsidRPr="00E15857">
        <w:rPr>
          <w:rFonts w:cs="Arial"/>
        </w:rPr>
        <w:t>)</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watersheds, including both water quality and water quantity</w:t>
      </w:r>
      <w:r>
        <w:rPr>
          <w:rFonts w:cs="Arial"/>
        </w:rPr>
        <w:t>.</w:t>
      </w:r>
    </w:p>
    <w:p w:rsidR="00DC1A2E" w:rsidRPr="00E15857" w:rsidRDefault="00DC1A2E" w:rsidP="00DC1A2E">
      <w:pPr>
        <w:pStyle w:val="ListParagraph"/>
        <w:numPr>
          <w:ilvl w:val="0"/>
          <w:numId w:val="1"/>
        </w:numPr>
        <w:rPr>
          <w:rFonts w:cs="Arial"/>
        </w:rPr>
      </w:pPr>
      <w:r w:rsidRPr="00E15857">
        <w:rPr>
          <w:rFonts w:cs="Arial"/>
        </w:rPr>
        <w:t>Reduction in the size, severity, and intensity of fires; reduction in fire suppression costs</w:t>
      </w:r>
      <w:r>
        <w:rPr>
          <w:rFonts w:cs="Arial"/>
        </w:rPr>
        <w:t>.</w:t>
      </w:r>
    </w:p>
    <w:p w:rsidR="00DC1A2E" w:rsidRPr="00E15857" w:rsidRDefault="00DC1A2E" w:rsidP="00DC1A2E">
      <w:pPr>
        <w:pStyle w:val="ListParagraph"/>
        <w:numPr>
          <w:ilvl w:val="0"/>
          <w:numId w:val="1"/>
        </w:numPr>
        <w:rPr>
          <w:rFonts w:cs="Arial"/>
        </w:rPr>
      </w:pPr>
      <w:r w:rsidRPr="00E15857">
        <w:rPr>
          <w:rFonts w:cs="Arial"/>
        </w:rPr>
        <w:t>Reduced air pollution, resulting in improved health conditions</w:t>
      </w:r>
      <w:r w:rsidR="00922F38">
        <w:rPr>
          <w:rFonts w:cs="Arial"/>
        </w:rPr>
        <w:t xml:space="preserve"> and reduced regional haze</w:t>
      </w:r>
      <w:r w:rsidRPr="00E15857">
        <w:rPr>
          <w:rFonts w:cs="Arial"/>
        </w:rPr>
        <w:t xml:space="preserve"> in both rural and urban communities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landscapes, communities, farms and ranches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critical utility infrastructure (dams, powerhouses, transmission</w:t>
      </w:r>
      <w:r w:rsidR="00922F38">
        <w:rPr>
          <w:rFonts w:cs="Arial"/>
        </w:rPr>
        <w:t xml:space="preserve"> and distribution</w:t>
      </w:r>
      <w:r w:rsidRPr="00E15857">
        <w:rPr>
          <w:rFonts w:cs="Arial"/>
        </w:rPr>
        <w:t xml:space="preserve"> lines)</w:t>
      </w:r>
      <w:r>
        <w:rPr>
          <w:rFonts w:cs="Arial"/>
        </w:rPr>
        <w:t>.</w:t>
      </w:r>
    </w:p>
    <w:p w:rsidR="00DC1A2E" w:rsidRPr="00E15857" w:rsidRDefault="00DC1A2E" w:rsidP="00DC1A2E">
      <w:pPr>
        <w:pStyle w:val="ListParagraph"/>
        <w:numPr>
          <w:ilvl w:val="0"/>
          <w:numId w:val="1"/>
        </w:numPr>
        <w:rPr>
          <w:rFonts w:cs="Arial"/>
        </w:rPr>
      </w:pPr>
      <w:r w:rsidRPr="00E15857">
        <w:rPr>
          <w:rFonts w:cs="Arial"/>
        </w:rPr>
        <w:t>Protection of quality habitat for fish and wildlife</w:t>
      </w:r>
      <w:r>
        <w:rPr>
          <w:rFonts w:cs="Arial"/>
        </w:rPr>
        <w:t>.</w:t>
      </w:r>
    </w:p>
    <w:p w:rsidR="00DC1A2E" w:rsidRPr="00E15857" w:rsidRDefault="00DC1A2E" w:rsidP="00DC1A2E">
      <w:pPr>
        <w:pStyle w:val="ListParagraph"/>
        <w:numPr>
          <w:ilvl w:val="0"/>
          <w:numId w:val="1"/>
        </w:numPr>
        <w:rPr>
          <w:rFonts w:cs="Arial"/>
        </w:rPr>
      </w:pPr>
      <w:r w:rsidRPr="00E15857">
        <w:rPr>
          <w:rFonts w:cs="Arial"/>
        </w:rPr>
        <w:lastRenderedPageBreak/>
        <w:t>Production of sustainable wood products that continue to sequester carbon while in use</w:t>
      </w:r>
      <w:r>
        <w:rPr>
          <w:rFonts w:cs="Arial"/>
        </w:rPr>
        <w:t>.</w:t>
      </w:r>
    </w:p>
    <w:p w:rsidR="00DC1A2E" w:rsidRPr="00E15857" w:rsidRDefault="00DC1A2E" w:rsidP="00DC1A2E">
      <w:pPr>
        <w:pStyle w:val="ListParagraph"/>
        <w:numPr>
          <w:ilvl w:val="0"/>
          <w:numId w:val="1"/>
        </w:numPr>
        <w:rPr>
          <w:rFonts w:cs="Arial"/>
        </w:rPr>
      </w:pPr>
      <w:r w:rsidRPr="00E15857">
        <w:rPr>
          <w:rFonts w:cs="Arial"/>
        </w:rPr>
        <w:t>Production of sustainable, renewable energy from biomass</w:t>
      </w:r>
      <w:r>
        <w:rPr>
          <w:rFonts w:cs="Arial"/>
        </w:rPr>
        <w:t>.</w:t>
      </w:r>
      <w:r w:rsidRPr="00E15857">
        <w:rPr>
          <w:rFonts w:cs="Arial"/>
        </w:rPr>
        <w:t xml:space="preserve"> </w:t>
      </w:r>
    </w:p>
    <w:p w:rsidR="00DC1A2E" w:rsidRDefault="00DC1A2E" w:rsidP="00DC1A2E">
      <w:pPr>
        <w:pStyle w:val="ListParagraph"/>
        <w:numPr>
          <w:ilvl w:val="0"/>
          <w:numId w:val="1"/>
        </w:numPr>
        <w:rPr>
          <w:rFonts w:cs="Arial"/>
        </w:rPr>
      </w:pPr>
      <w:r w:rsidRPr="00E15857">
        <w:rPr>
          <w:rFonts w:cs="Arial"/>
        </w:rPr>
        <w:t>Improved air quality and reduced emissions of GHG</w:t>
      </w:r>
      <w:r>
        <w:rPr>
          <w:rFonts w:cs="Arial"/>
        </w:rPr>
        <w:t>s</w:t>
      </w:r>
      <w:r w:rsidRPr="00E15857">
        <w:rPr>
          <w:rFonts w:cs="Arial"/>
        </w:rPr>
        <w:t xml:space="preserve"> from open-pile burning</w:t>
      </w:r>
      <w:r>
        <w:rPr>
          <w:rFonts w:cs="Arial"/>
        </w:rPr>
        <w:t xml:space="preserve"> or decomposition.</w:t>
      </w:r>
    </w:p>
    <w:p w:rsidR="00DC1A2E" w:rsidRPr="00E15857" w:rsidRDefault="00DC1A2E" w:rsidP="00DC1A2E">
      <w:pPr>
        <w:pStyle w:val="ListParagraph"/>
        <w:numPr>
          <w:ilvl w:val="0"/>
          <w:numId w:val="1"/>
        </w:numPr>
        <w:rPr>
          <w:rFonts w:cs="Arial"/>
        </w:rPr>
      </w:pPr>
      <w:r w:rsidRPr="00E15857">
        <w:rPr>
          <w:rFonts w:cs="Arial"/>
        </w:rPr>
        <w:t xml:space="preserve">Support and protection of recreational uses that also contribute to rural economic health. </w:t>
      </w:r>
    </w:p>
    <w:p w:rsidR="008724B7" w:rsidRPr="00AB2DB7" w:rsidRDefault="008724B7" w:rsidP="008724B7">
      <w:pPr>
        <w:rPr>
          <w:rFonts w:cs="Arial"/>
        </w:rPr>
      </w:pPr>
    </w:p>
    <w:p w:rsidR="00146DCD" w:rsidRDefault="00146DCD" w:rsidP="00146DCD">
      <w:pPr>
        <w:rPr>
          <w:rFonts w:cs="Arial"/>
          <w:b/>
        </w:rPr>
      </w:pPr>
      <w:r w:rsidRPr="00B76788">
        <w:rPr>
          <w:rFonts w:cs="Arial"/>
          <w:b/>
        </w:rPr>
        <w:t xml:space="preserve">Proposed Investment </w:t>
      </w:r>
    </w:p>
    <w:p w:rsidR="00B76788" w:rsidRDefault="00B76788" w:rsidP="00146DCD">
      <w:pPr>
        <w:rPr>
          <w:rFonts w:cs="Arial"/>
          <w:b/>
        </w:rPr>
      </w:pPr>
    </w:p>
    <w:p w:rsidR="00E870C3" w:rsidRDefault="00D267B2" w:rsidP="00146DCD">
      <w:pPr>
        <w:rPr>
          <w:rFonts w:cs="Arial"/>
        </w:rPr>
      </w:pPr>
      <w:r>
        <w:rPr>
          <w:rFonts w:cs="Arial"/>
        </w:rPr>
        <w:t xml:space="preserve">As outlined above, the opportunities for investing in forest treatments </w:t>
      </w:r>
      <w:r w:rsidR="00E870C3">
        <w:rPr>
          <w:rFonts w:cs="Arial"/>
        </w:rPr>
        <w:t>are</w:t>
      </w:r>
      <w:r>
        <w:rPr>
          <w:rFonts w:cs="Arial"/>
        </w:rPr>
        <w:t xml:space="preserve"> </w:t>
      </w:r>
      <w:r w:rsidR="00922F38">
        <w:rPr>
          <w:rFonts w:cs="Arial"/>
        </w:rPr>
        <w:t>significant</w:t>
      </w:r>
      <w:r>
        <w:rPr>
          <w:rFonts w:cs="Arial"/>
        </w:rPr>
        <w:t xml:space="preserve">.  </w:t>
      </w:r>
      <w:r w:rsidR="00E870C3">
        <w:rPr>
          <w:rFonts w:cs="Arial"/>
        </w:rPr>
        <w:t xml:space="preserve">Treating the 5,000 acres of fuels reduction projects identified in the Shasta-Trinity Unit Fire Plan alone could cost over $5 million, assuming an average treatment cost of $1,000/acre.  </w:t>
      </w:r>
      <w:r w:rsidR="00F71495">
        <w:rPr>
          <w:rFonts w:cs="Arial"/>
        </w:rPr>
        <w:t>The Forest Service indicates that</w:t>
      </w:r>
      <w:r w:rsidR="00F152B9">
        <w:rPr>
          <w:rFonts w:cs="Arial"/>
        </w:rPr>
        <w:t xml:space="preserve">, given the funding, </w:t>
      </w:r>
      <w:r w:rsidR="00F71495">
        <w:rPr>
          <w:rFonts w:cs="Arial"/>
        </w:rPr>
        <w:t xml:space="preserve">they </w:t>
      </w:r>
      <w:r w:rsidR="00F152B9">
        <w:rPr>
          <w:rFonts w:cs="Arial"/>
        </w:rPr>
        <w:t>have the capacity to</w:t>
      </w:r>
      <w:r w:rsidR="00F71495">
        <w:rPr>
          <w:rFonts w:cs="Arial"/>
        </w:rPr>
        <w:t xml:space="preserve"> treat </w:t>
      </w:r>
      <w:r w:rsidR="00F152B9">
        <w:rPr>
          <w:rFonts w:cs="Arial"/>
        </w:rPr>
        <w:t>about 42,500 acres of fuels this year</w:t>
      </w:r>
      <w:r w:rsidR="00E870C3">
        <w:rPr>
          <w:rFonts w:cs="Arial"/>
        </w:rPr>
        <w:t xml:space="preserve"> on the National Forests</w:t>
      </w:r>
      <w:r w:rsidR="00F152B9">
        <w:rPr>
          <w:rFonts w:cs="Arial"/>
        </w:rPr>
        <w:t>.  At a midpoint cost of $450/acre, this would total over $19</w:t>
      </w:r>
      <w:r w:rsidR="00E870C3">
        <w:rPr>
          <w:rFonts w:cs="Arial"/>
        </w:rPr>
        <w:t xml:space="preserve"> million.  </w:t>
      </w:r>
      <w:r w:rsidR="00F152B9">
        <w:rPr>
          <w:rFonts w:cs="Arial"/>
        </w:rPr>
        <w:t>Considering these co</w:t>
      </w:r>
      <w:r w:rsidR="00922F38">
        <w:rPr>
          <w:rFonts w:cs="Arial"/>
        </w:rPr>
        <w:t>s</w:t>
      </w:r>
      <w:r w:rsidR="00F152B9">
        <w:rPr>
          <w:rFonts w:cs="Arial"/>
        </w:rPr>
        <w:t>ts and g</w:t>
      </w:r>
      <w:r w:rsidR="00E870C3">
        <w:rPr>
          <w:rFonts w:cs="Arial"/>
        </w:rPr>
        <w:t>iven the scale of the potential treatment areas in general, there is an opportunity (and need) to be highly selective of the projects that will provide the greatest GHG reduction benefits, co-benefits, and benefits to disadvantaged communities.  A competitive project selection process that looks at both the full range of these benefits and the costs (e.g., on a cost per ton of CO</w:t>
      </w:r>
      <w:r w:rsidR="00E870C3" w:rsidRPr="00E870C3">
        <w:rPr>
          <w:rFonts w:cs="Arial"/>
          <w:vertAlign w:val="subscript"/>
        </w:rPr>
        <w:t>2</w:t>
      </w:r>
      <w:r w:rsidR="00E870C3">
        <w:rPr>
          <w:rFonts w:cs="Arial"/>
        </w:rPr>
        <w:t xml:space="preserve"> equivalent emissions reduced) will be essential.</w:t>
      </w:r>
    </w:p>
    <w:p w:rsidR="00E870C3" w:rsidRDefault="00E870C3" w:rsidP="00146DCD">
      <w:pPr>
        <w:rPr>
          <w:rFonts w:cs="Arial"/>
        </w:rPr>
      </w:pPr>
    </w:p>
    <w:p w:rsidR="00B76788" w:rsidRDefault="00380DC8" w:rsidP="00146DCD">
      <w:pPr>
        <w:rPr>
          <w:rFonts w:cs="Arial"/>
        </w:rPr>
      </w:pPr>
      <w:r>
        <w:rPr>
          <w:rFonts w:cs="Arial"/>
        </w:rPr>
        <w:t xml:space="preserve">Based on the likely level of cap and trade allowance revenue available for this sector, near-term capacities of relevant agencies and landowners to implement programs and projects, and other factors, this Investment Plan proposal requests </w:t>
      </w:r>
      <w:r w:rsidR="00B76788">
        <w:rPr>
          <w:rFonts w:cs="Arial"/>
        </w:rPr>
        <w:t>$</w:t>
      </w:r>
      <w:r w:rsidR="00957B20">
        <w:rPr>
          <w:rFonts w:cs="Arial"/>
        </w:rPr>
        <w:t>6</w:t>
      </w:r>
      <w:r w:rsidR="0017768B">
        <w:rPr>
          <w:rFonts w:cs="Arial"/>
        </w:rPr>
        <w:t>4</w:t>
      </w:r>
      <w:r w:rsidR="00B76788">
        <w:rPr>
          <w:rFonts w:cs="Arial"/>
        </w:rPr>
        <w:t>.</w:t>
      </w:r>
      <w:r w:rsidR="00D267B2">
        <w:rPr>
          <w:rFonts w:cs="Arial"/>
        </w:rPr>
        <w:t>75</w:t>
      </w:r>
      <w:r w:rsidR="00B76788">
        <w:rPr>
          <w:rFonts w:cs="Arial"/>
        </w:rPr>
        <w:t xml:space="preserve"> million over </w:t>
      </w:r>
      <w:r w:rsidR="00133796">
        <w:rPr>
          <w:rFonts w:cs="Arial"/>
        </w:rPr>
        <w:t xml:space="preserve">a </w:t>
      </w:r>
      <w:r>
        <w:rPr>
          <w:rFonts w:cs="Arial"/>
        </w:rPr>
        <w:t xml:space="preserve">three-year </w:t>
      </w:r>
      <w:r w:rsidR="00922F38">
        <w:rPr>
          <w:rFonts w:cs="Arial"/>
        </w:rPr>
        <w:t>period</w:t>
      </w:r>
      <w:r w:rsidR="00B76788">
        <w:rPr>
          <w:rFonts w:cs="Arial"/>
        </w:rPr>
        <w:t xml:space="preserve">.  </w:t>
      </w:r>
      <w:r>
        <w:rPr>
          <w:rFonts w:cs="Arial"/>
        </w:rPr>
        <w:t>The amount of funds requested each year increases to reflect growing capacities to implement projects and anticipated increases in revenues available.</w:t>
      </w:r>
      <w:r w:rsidR="0017768B">
        <w:rPr>
          <w:rFonts w:cs="Arial"/>
        </w:rPr>
        <w:t xml:space="preserve">  Based on an average cost of $450/acre, this investment would equate to nearly 144,000 acres.  GHG benefits</w:t>
      </w:r>
      <w:r w:rsidR="00CF4B8D">
        <w:rPr>
          <w:rFonts w:cs="Arial"/>
        </w:rPr>
        <w:t xml:space="preserve"> realized in 2050</w:t>
      </w:r>
      <w:r w:rsidR="0017768B">
        <w:rPr>
          <w:rFonts w:cs="Arial"/>
        </w:rPr>
        <w:t xml:space="preserve"> are calculated from treatments occurring proportionally to need (e.g., the USFS recognizes a need of 28,000 ac/yr for thinning</w:t>
      </w:r>
      <w:r w:rsidR="00CD644E">
        <w:rPr>
          <w:rFonts w:cs="Arial"/>
        </w:rPr>
        <w:t xml:space="preserve"> (4% of acreage in additional capability analysis)</w:t>
      </w:r>
      <w:r w:rsidR="0017768B">
        <w:rPr>
          <w:rFonts w:cs="Arial"/>
        </w:rPr>
        <w:t>, 13,000 ac/yr in reforestation</w:t>
      </w:r>
      <w:r w:rsidR="00CD644E">
        <w:rPr>
          <w:rFonts w:cs="Arial"/>
        </w:rPr>
        <w:t xml:space="preserve"> (8% of acreage)</w:t>
      </w:r>
      <w:r w:rsidR="00CF4B8D">
        <w:rPr>
          <w:rFonts w:cs="Arial"/>
        </w:rPr>
        <w:t>, and</w:t>
      </w:r>
      <w:r w:rsidR="0017768B">
        <w:rPr>
          <w:rFonts w:cs="Arial"/>
        </w:rPr>
        <w:t xml:space="preserve"> 300,000 ac/yr </w:t>
      </w:r>
      <w:r w:rsidR="00CD644E">
        <w:rPr>
          <w:rFonts w:cs="Arial"/>
        </w:rPr>
        <w:t xml:space="preserve">(88% of acreage), </w:t>
      </w:r>
      <w:r w:rsidR="0017768B">
        <w:rPr>
          <w:rFonts w:cs="Arial"/>
        </w:rPr>
        <w:t xml:space="preserve">with accompanying 2050 benefits </w:t>
      </w:r>
      <w:r w:rsidR="00CF4B8D">
        <w:rPr>
          <w:rFonts w:cs="Arial"/>
        </w:rPr>
        <w:t>of 52</w:t>
      </w:r>
      <w:r w:rsidR="0017768B">
        <w:rPr>
          <w:rFonts w:cs="Arial"/>
        </w:rPr>
        <w:t>, 61, and 10 metric tons</w:t>
      </w:r>
      <w:r w:rsidR="00CD644E">
        <w:rPr>
          <w:rFonts w:cs="Arial"/>
        </w:rPr>
        <w:t xml:space="preserve"> per acre</w:t>
      </w:r>
      <w:r w:rsidR="0017768B">
        <w:rPr>
          <w:rFonts w:cs="Arial"/>
        </w:rPr>
        <w:t>, respectively</w:t>
      </w:r>
      <w:r w:rsidR="00CD644E">
        <w:rPr>
          <w:rFonts w:cs="Arial"/>
        </w:rPr>
        <w:t xml:space="preserve"> by treatment type</w:t>
      </w:r>
      <w:r w:rsidR="0017768B">
        <w:rPr>
          <w:rFonts w:cs="Arial"/>
        </w:rPr>
        <w:t>.</w:t>
      </w:r>
    </w:p>
    <w:p w:rsidR="00380DC8" w:rsidRPr="00B76788" w:rsidRDefault="00380DC8" w:rsidP="00146DCD">
      <w:pPr>
        <w:rPr>
          <w:rFonts w:cs="Arial"/>
        </w:rPr>
      </w:pPr>
    </w:p>
    <w:tbl>
      <w:tblPr>
        <w:tblStyle w:val="TableGrid"/>
        <w:tblW w:w="0" w:type="auto"/>
        <w:tblLook w:val="04A0" w:firstRow="1" w:lastRow="0" w:firstColumn="1" w:lastColumn="0" w:noHBand="0" w:noVBand="1"/>
      </w:tblPr>
      <w:tblGrid>
        <w:gridCol w:w="2538"/>
        <w:gridCol w:w="1890"/>
        <w:gridCol w:w="1800"/>
        <w:gridCol w:w="2520"/>
      </w:tblGrid>
      <w:tr w:rsidR="00067198" w:rsidTr="007B00A7">
        <w:trPr>
          <w:trHeight w:val="593"/>
        </w:trPr>
        <w:tc>
          <w:tcPr>
            <w:tcW w:w="2538" w:type="dxa"/>
            <w:vAlign w:val="bottom"/>
          </w:tcPr>
          <w:p w:rsidR="00067198" w:rsidRDefault="00067198" w:rsidP="0027720C">
            <w:pPr>
              <w:jc w:val="center"/>
              <w:rPr>
                <w:rFonts w:cs="Arial"/>
              </w:rPr>
            </w:pPr>
            <w:r>
              <w:rPr>
                <w:rFonts w:cs="Arial"/>
              </w:rPr>
              <w:t>Fiscal Year</w:t>
            </w:r>
          </w:p>
        </w:tc>
        <w:tc>
          <w:tcPr>
            <w:tcW w:w="1890" w:type="dxa"/>
            <w:vAlign w:val="bottom"/>
          </w:tcPr>
          <w:p w:rsidR="00067198" w:rsidRDefault="00067198" w:rsidP="0027720C">
            <w:pPr>
              <w:jc w:val="center"/>
              <w:rPr>
                <w:rFonts w:cs="Arial"/>
              </w:rPr>
            </w:pPr>
            <w:r>
              <w:rPr>
                <w:rFonts w:cs="Arial"/>
              </w:rPr>
              <w:t>Forest Treatments</w:t>
            </w:r>
          </w:p>
        </w:tc>
        <w:tc>
          <w:tcPr>
            <w:tcW w:w="1800" w:type="dxa"/>
          </w:tcPr>
          <w:p w:rsidR="00067198" w:rsidRDefault="00067198" w:rsidP="0027720C">
            <w:pPr>
              <w:jc w:val="center"/>
              <w:rPr>
                <w:rFonts w:cs="Arial"/>
              </w:rPr>
            </w:pPr>
            <w:r>
              <w:rPr>
                <w:rFonts w:cs="Arial"/>
              </w:rPr>
              <w:t>Acres Treated**</w:t>
            </w:r>
          </w:p>
        </w:tc>
        <w:tc>
          <w:tcPr>
            <w:tcW w:w="2520" w:type="dxa"/>
          </w:tcPr>
          <w:p w:rsidR="00067198" w:rsidRDefault="00CF4B8D" w:rsidP="0027720C">
            <w:pPr>
              <w:jc w:val="center"/>
              <w:rPr>
                <w:rFonts w:cs="Arial"/>
              </w:rPr>
            </w:pPr>
            <w:r>
              <w:rPr>
                <w:rFonts w:cs="Arial"/>
              </w:rPr>
              <w:t xml:space="preserve">2050 </w:t>
            </w:r>
            <w:r w:rsidR="0017768B">
              <w:rPr>
                <w:rFonts w:cs="Arial"/>
              </w:rPr>
              <w:t>GHG Benefits</w:t>
            </w:r>
          </w:p>
          <w:p w:rsidR="0017768B" w:rsidRPr="0017768B" w:rsidRDefault="0017768B" w:rsidP="0027720C">
            <w:pPr>
              <w:jc w:val="center"/>
              <w:rPr>
                <w:rFonts w:cs="Arial"/>
              </w:rPr>
            </w:pPr>
            <w:r>
              <w:rPr>
                <w:rFonts w:cs="Arial"/>
              </w:rPr>
              <w:t>(tons, CO</w:t>
            </w:r>
            <w:r>
              <w:rPr>
                <w:rFonts w:cs="Arial"/>
                <w:vertAlign w:val="subscript"/>
              </w:rPr>
              <w:t>2</w:t>
            </w:r>
            <w:r>
              <w:rPr>
                <w:rFonts w:cs="Arial"/>
              </w:rPr>
              <w:t>e)***</w:t>
            </w:r>
          </w:p>
        </w:tc>
      </w:tr>
      <w:tr w:rsidR="00067198" w:rsidTr="007B00A7">
        <w:trPr>
          <w:trHeight w:val="323"/>
        </w:trPr>
        <w:tc>
          <w:tcPr>
            <w:tcW w:w="2538" w:type="dxa"/>
          </w:tcPr>
          <w:p w:rsidR="00067198" w:rsidRDefault="00067198" w:rsidP="0027720C">
            <w:pPr>
              <w:rPr>
                <w:rFonts w:cs="Arial"/>
              </w:rPr>
            </w:pPr>
            <w:r>
              <w:rPr>
                <w:rFonts w:cs="Arial"/>
              </w:rPr>
              <w:t>Year 1 (FY 2013-14)</w:t>
            </w:r>
          </w:p>
        </w:tc>
        <w:tc>
          <w:tcPr>
            <w:tcW w:w="1890" w:type="dxa"/>
          </w:tcPr>
          <w:p w:rsidR="00067198" w:rsidRDefault="00067198" w:rsidP="0027720C">
            <w:pPr>
              <w:jc w:val="right"/>
              <w:rPr>
                <w:rFonts w:cs="Arial"/>
              </w:rPr>
            </w:pPr>
            <w:r>
              <w:rPr>
                <w:rFonts w:cs="Arial"/>
              </w:rPr>
              <w:t>$5.75 million</w:t>
            </w:r>
          </w:p>
        </w:tc>
        <w:tc>
          <w:tcPr>
            <w:tcW w:w="1800" w:type="dxa"/>
          </w:tcPr>
          <w:p w:rsidR="00067198" w:rsidRDefault="00067198" w:rsidP="0027720C">
            <w:pPr>
              <w:jc w:val="right"/>
              <w:rPr>
                <w:rFonts w:cs="Arial"/>
              </w:rPr>
            </w:pPr>
            <w:r>
              <w:rPr>
                <w:rFonts w:cs="Arial"/>
              </w:rPr>
              <w:t>12,777</w:t>
            </w:r>
          </w:p>
        </w:tc>
        <w:tc>
          <w:tcPr>
            <w:tcW w:w="2520" w:type="dxa"/>
          </w:tcPr>
          <w:p w:rsidR="00CF4B8D" w:rsidRDefault="00CF4B8D">
            <w:pPr>
              <w:jc w:val="right"/>
              <w:rPr>
                <w:rFonts w:cs="Arial"/>
              </w:rPr>
            </w:pPr>
            <w:r>
              <w:rPr>
                <w:rFonts w:cs="Arial"/>
              </w:rPr>
              <w:t>197,000</w:t>
            </w:r>
          </w:p>
        </w:tc>
      </w:tr>
      <w:tr w:rsidR="00067198" w:rsidTr="007B00A7">
        <w:trPr>
          <w:trHeight w:val="332"/>
        </w:trPr>
        <w:tc>
          <w:tcPr>
            <w:tcW w:w="2538" w:type="dxa"/>
          </w:tcPr>
          <w:p w:rsidR="00067198" w:rsidRDefault="00067198" w:rsidP="0027720C">
            <w:pPr>
              <w:rPr>
                <w:rFonts w:cs="Arial"/>
              </w:rPr>
            </w:pPr>
            <w:r>
              <w:rPr>
                <w:rFonts w:cs="Arial"/>
              </w:rPr>
              <w:t>Year 2 (FY 2014-15)</w:t>
            </w:r>
          </w:p>
        </w:tc>
        <w:tc>
          <w:tcPr>
            <w:tcW w:w="1890" w:type="dxa"/>
          </w:tcPr>
          <w:p w:rsidR="00067198" w:rsidRDefault="00067198" w:rsidP="00141B5A">
            <w:pPr>
              <w:jc w:val="right"/>
              <w:rPr>
                <w:rFonts w:cs="Arial"/>
              </w:rPr>
            </w:pPr>
            <w:r>
              <w:rPr>
                <w:rFonts w:cs="Arial"/>
              </w:rPr>
              <w:t>$22.2 million</w:t>
            </w:r>
          </w:p>
        </w:tc>
        <w:tc>
          <w:tcPr>
            <w:tcW w:w="1800" w:type="dxa"/>
          </w:tcPr>
          <w:p w:rsidR="00067198" w:rsidRDefault="00067198">
            <w:pPr>
              <w:jc w:val="right"/>
              <w:rPr>
                <w:rFonts w:cs="Arial"/>
              </w:rPr>
            </w:pPr>
            <w:r>
              <w:rPr>
                <w:rFonts w:cs="Arial"/>
              </w:rPr>
              <w:t>49,333</w:t>
            </w:r>
          </w:p>
        </w:tc>
        <w:tc>
          <w:tcPr>
            <w:tcW w:w="2520" w:type="dxa"/>
          </w:tcPr>
          <w:p w:rsidR="00067198" w:rsidRDefault="00CF4B8D" w:rsidP="00141B5A">
            <w:pPr>
              <w:jc w:val="right"/>
              <w:rPr>
                <w:rFonts w:cs="Arial"/>
              </w:rPr>
            </w:pPr>
            <w:r>
              <w:rPr>
                <w:rFonts w:cs="Arial"/>
              </w:rPr>
              <w:t>760,000</w:t>
            </w:r>
          </w:p>
        </w:tc>
      </w:tr>
      <w:tr w:rsidR="00067198" w:rsidTr="007B00A7">
        <w:trPr>
          <w:trHeight w:val="278"/>
        </w:trPr>
        <w:tc>
          <w:tcPr>
            <w:tcW w:w="2538" w:type="dxa"/>
          </w:tcPr>
          <w:p w:rsidR="00067198" w:rsidRDefault="00067198" w:rsidP="0027720C">
            <w:pPr>
              <w:rPr>
                <w:rFonts w:cs="Arial"/>
              </w:rPr>
            </w:pPr>
            <w:r>
              <w:rPr>
                <w:rFonts w:cs="Arial"/>
              </w:rPr>
              <w:t>Year 3 (FY 2015-16)</w:t>
            </w:r>
          </w:p>
        </w:tc>
        <w:tc>
          <w:tcPr>
            <w:tcW w:w="1890" w:type="dxa"/>
          </w:tcPr>
          <w:p w:rsidR="00067198" w:rsidRDefault="00067198" w:rsidP="00141B5A">
            <w:pPr>
              <w:jc w:val="right"/>
              <w:rPr>
                <w:rFonts w:cs="Arial"/>
              </w:rPr>
            </w:pPr>
            <w:r>
              <w:rPr>
                <w:rFonts w:cs="Arial"/>
              </w:rPr>
              <w:t>$36.8 million</w:t>
            </w:r>
          </w:p>
        </w:tc>
        <w:tc>
          <w:tcPr>
            <w:tcW w:w="1800" w:type="dxa"/>
          </w:tcPr>
          <w:p w:rsidR="00067198" w:rsidRDefault="00067198" w:rsidP="00141B5A">
            <w:pPr>
              <w:jc w:val="right"/>
              <w:rPr>
                <w:rFonts w:cs="Arial"/>
              </w:rPr>
            </w:pPr>
            <w:r>
              <w:rPr>
                <w:rFonts w:cs="Arial"/>
              </w:rPr>
              <w:t>81,777</w:t>
            </w:r>
          </w:p>
        </w:tc>
        <w:tc>
          <w:tcPr>
            <w:tcW w:w="2520" w:type="dxa"/>
          </w:tcPr>
          <w:p w:rsidR="00067198" w:rsidRDefault="00CF4B8D" w:rsidP="00141B5A">
            <w:pPr>
              <w:jc w:val="right"/>
              <w:rPr>
                <w:rFonts w:cs="Arial"/>
              </w:rPr>
            </w:pPr>
            <w:r>
              <w:rPr>
                <w:rFonts w:cs="Arial"/>
              </w:rPr>
              <w:t>1,259,000</w:t>
            </w:r>
          </w:p>
        </w:tc>
      </w:tr>
      <w:tr w:rsidR="00067198" w:rsidTr="007B00A7">
        <w:trPr>
          <w:trHeight w:val="280"/>
        </w:trPr>
        <w:tc>
          <w:tcPr>
            <w:tcW w:w="2538" w:type="dxa"/>
          </w:tcPr>
          <w:p w:rsidR="00067198" w:rsidRDefault="00067198" w:rsidP="0027720C">
            <w:pPr>
              <w:rPr>
                <w:rFonts w:cs="Arial"/>
              </w:rPr>
            </w:pPr>
            <w:r>
              <w:rPr>
                <w:rFonts w:cs="Arial"/>
              </w:rPr>
              <w:t>TOTAL</w:t>
            </w:r>
          </w:p>
        </w:tc>
        <w:tc>
          <w:tcPr>
            <w:tcW w:w="1890" w:type="dxa"/>
          </w:tcPr>
          <w:p w:rsidR="00067198" w:rsidRDefault="00067198" w:rsidP="00141B5A">
            <w:pPr>
              <w:jc w:val="right"/>
              <w:rPr>
                <w:rFonts w:cs="Arial"/>
              </w:rPr>
            </w:pPr>
            <w:r>
              <w:rPr>
                <w:rFonts w:cs="Arial"/>
              </w:rPr>
              <w:t>$64.75 million</w:t>
            </w:r>
          </w:p>
        </w:tc>
        <w:tc>
          <w:tcPr>
            <w:tcW w:w="1800" w:type="dxa"/>
          </w:tcPr>
          <w:p w:rsidR="00067198" w:rsidRDefault="00067198">
            <w:pPr>
              <w:jc w:val="right"/>
              <w:rPr>
                <w:rFonts w:cs="Arial"/>
              </w:rPr>
            </w:pPr>
            <w:r>
              <w:rPr>
                <w:rFonts w:cs="Arial"/>
              </w:rPr>
              <w:t>143,887</w:t>
            </w:r>
          </w:p>
        </w:tc>
        <w:tc>
          <w:tcPr>
            <w:tcW w:w="2520" w:type="dxa"/>
          </w:tcPr>
          <w:p w:rsidR="00067198" w:rsidRDefault="00067198" w:rsidP="00141B5A">
            <w:pPr>
              <w:jc w:val="right"/>
              <w:rPr>
                <w:rFonts w:cs="Arial"/>
              </w:rPr>
            </w:pPr>
          </w:p>
        </w:tc>
      </w:tr>
    </w:tbl>
    <w:p w:rsidR="008724B7" w:rsidRPr="007B00A7" w:rsidRDefault="00067198" w:rsidP="008724B7">
      <w:pPr>
        <w:rPr>
          <w:rFonts w:cs="Arial"/>
          <w:sz w:val="20"/>
          <w:szCs w:val="20"/>
        </w:rPr>
      </w:pPr>
      <w:r>
        <w:rPr>
          <w:rFonts w:cs="Arial"/>
        </w:rPr>
        <w:t xml:space="preserve">** </w:t>
      </w:r>
      <w:r w:rsidRPr="007B00A7">
        <w:rPr>
          <w:rFonts w:cs="Arial"/>
          <w:sz w:val="20"/>
          <w:szCs w:val="20"/>
        </w:rPr>
        <w:t>Assumes average cost of $450/acre across treatment types.</w:t>
      </w:r>
    </w:p>
    <w:p w:rsidR="0017768B" w:rsidRPr="007B00A7" w:rsidRDefault="0017768B" w:rsidP="008724B7">
      <w:pPr>
        <w:rPr>
          <w:rFonts w:cs="Arial"/>
          <w:sz w:val="20"/>
          <w:szCs w:val="20"/>
        </w:rPr>
      </w:pPr>
      <w:r w:rsidRPr="007B00A7">
        <w:rPr>
          <w:rFonts w:cs="Arial"/>
          <w:sz w:val="20"/>
          <w:szCs w:val="20"/>
        </w:rPr>
        <w:t xml:space="preserve">*** Assumes </w:t>
      </w:r>
      <w:r w:rsidRPr="007B00A7">
        <w:rPr>
          <w:rFonts w:cs="Arial"/>
          <w:b/>
          <w:sz w:val="20"/>
          <w:szCs w:val="20"/>
          <w:u w:val="single"/>
        </w:rPr>
        <w:t>only</w:t>
      </w:r>
      <w:r w:rsidR="00F13D71" w:rsidRPr="007B00A7">
        <w:rPr>
          <w:rFonts w:cs="Arial"/>
          <w:b/>
          <w:sz w:val="20"/>
          <w:szCs w:val="20"/>
          <w:u w:val="single"/>
        </w:rPr>
        <w:t xml:space="preserve"> </w:t>
      </w:r>
      <w:r w:rsidRPr="007B00A7">
        <w:rPr>
          <w:rFonts w:cs="Arial"/>
          <w:sz w:val="20"/>
          <w:szCs w:val="20"/>
        </w:rPr>
        <w:t>NFS lands treated based on capability acres reported above</w:t>
      </w:r>
      <w:r w:rsidR="00D36447" w:rsidRPr="007B00A7">
        <w:rPr>
          <w:rFonts w:cs="Arial"/>
          <w:sz w:val="20"/>
          <w:szCs w:val="20"/>
        </w:rPr>
        <w:t xml:space="preserve"> and shows relative benefits of accelerated treatments</w:t>
      </w:r>
      <w:r w:rsidRPr="007B00A7">
        <w:rPr>
          <w:rFonts w:cs="Arial"/>
          <w:sz w:val="20"/>
          <w:szCs w:val="20"/>
        </w:rPr>
        <w:t xml:space="preserve"> (and </w:t>
      </w:r>
      <w:r w:rsidR="00CF4B8D" w:rsidRPr="007B00A7">
        <w:rPr>
          <w:rFonts w:cs="Arial"/>
          <w:sz w:val="20"/>
          <w:szCs w:val="20"/>
        </w:rPr>
        <w:t>that treatments occur at rates and proportions described above)</w:t>
      </w:r>
      <w:r w:rsidRPr="007B00A7">
        <w:rPr>
          <w:rFonts w:cs="Arial"/>
          <w:sz w:val="20"/>
          <w:szCs w:val="20"/>
        </w:rPr>
        <w:t>.</w:t>
      </w:r>
    </w:p>
    <w:p w:rsidR="000D17DA" w:rsidRPr="00B76788" w:rsidRDefault="00BC7F11" w:rsidP="000D17DA">
      <w:pPr>
        <w:rPr>
          <w:rFonts w:cs="Arial"/>
          <w:b/>
          <w:u w:val="single"/>
        </w:rPr>
      </w:pPr>
      <w:r w:rsidRPr="00B76788">
        <w:rPr>
          <w:rFonts w:cs="Arial"/>
          <w:b/>
          <w:u w:val="single"/>
        </w:rPr>
        <w:lastRenderedPageBreak/>
        <w:t>Conclusion</w:t>
      </w:r>
    </w:p>
    <w:p w:rsidR="003C34B3" w:rsidRPr="00AB2DB7" w:rsidRDefault="003C34B3" w:rsidP="000D17DA">
      <w:pPr>
        <w:rPr>
          <w:rFonts w:cs="Arial"/>
        </w:rPr>
      </w:pPr>
    </w:p>
    <w:p w:rsidR="00885D79" w:rsidRDefault="00DC1A2E" w:rsidP="000D17DA">
      <w:pPr>
        <w:rPr>
          <w:rFonts w:cs="Arial"/>
        </w:rPr>
      </w:pPr>
      <w:r w:rsidRPr="00DC1A2E">
        <w:rPr>
          <w:rFonts w:cs="Arial"/>
        </w:rPr>
        <w:t xml:space="preserve">This </w:t>
      </w:r>
      <w:r w:rsidR="00410328">
        <w:rPr>
          <w:rFonts w:cs="Arial"/>
        </w:rPr>
        <w:t xml:space="preserve">investment </w:t>
      </w:r>
      <w:r w:rsidRPr="00DC1A2E">
        <w:rPr>
          <w:rFonts w:cs="Arial"/>
        </w:rPr>
        <w:t xml:space="preserve">proposal requests $15 million </w:t>
      </w:r>
      <w:r w:rsidR="00F152B9">
        <w:rPr>
          <w:rFonts w:cs="Arial"/>
        </w:rPr>
        <w:t>in the first</w:t>
      </w:r>
      <w:r w:rsidRPr="00DC1A2E">
        <w:rPr>
          <w:rFonts w:cs="Arial"/>
        </w:rPr>
        <w:t xml:space="preserve"> year</w:t>
      </w:r>
      <w:r w:rsidR="00F152B9">
        <w:rPr>
          <w:rFonts w:cs="Arial"/>
        </w:rPr>
        <w:t xml:space="preserve"> and</w:t>
      </w:r>
      <w:r>
        <w:rPr>
          <w:rFonts w:cs="Arial"/>
        </w:rPr>
        <w:t xml:space="preserve"> a total of $</w:t>
      </w:r>
      <w:r w:rsidR="00957B20">
        <w:rPr>
          <w:rFonts w:cs="Arial"/>
        </w:rPr>
        <w:t>9</w:t>
      </w:r>
      <w:r w:rsidR="00667B7A">
        <w:rPr>
          <w:rFonts w:cs="Arial"/>
        </w:rPr>
        <w:t>0</w:t>
      </w:r>
      <w:r>
        <w:rPr>
          <w:rFonts w:cs="Arial"/>
        </w:rPr>
        <w:t xml:space="preserve"> million over the three-year life of the investment plan.  The prop</w:t>
      </w:r>
      <w:r w:rsidR="00B76788">
        <w:rPr>
          <w:rFonts w:cs="Arial"/>
        </w:rPr>
        <w:t>o</w:t>
      </w:r>
      <w:r>
        <w:rPr>
          <w:rFonts w:cs="Arial"/>
        </w:rPr>
        <w:t xml:space="preserve">sed activities would </w:t>
      </w:r>
      <w:r w:rsidR="00B76788">
        <w:rPr>
          <w:rFonts w:cs="Arial"/>
        </w:rPr>
        <w:t xml:space="preserve">generate substantial reductions in GHG emissions, would provide benefits to disadvantaged rural communities, and would generate significant environmental, economic, and social co-benefits. </w:t>
      </w:r>
    </w:p>
    <w:p w:rsidR="00410328" w:rsidRDefault="00410328" w:rsidP="000D17DA">
      <w:pPr>
        <w:rPr>
          <w:rFonts w:cs="Arial"/>
        </w:rPr>
      </w:pPr>
    </w:p>
    <w:p w:rsidR="005E3CA9" w:rsidRDefault="00410328" w:rsidP="000D17DA">
      <w:pPr>
        <w:rPr>
          <w:rFonts w:cs="Arial"/>
        </w:rPr>
      </w:pPr>
      <w:r w:rsidRPr="005E3CA9">
        <w:rPr>
          <w:rFonts w:cs="Arial"/>
        </w:rPr>
        <w:t xml:space="preserve">Our proposal consists of three </w:t>
      </w:r>
      <w:r w:rsidR="001F7A36" w:rsidRPr="005E3CA9">
        <w:rPr>
          <w:rFonts w:cs="Arial"/>
        </w:rPr>
        <w:t xml:space="preserve">complementary </w:t>
      </w:r>
      <w:r w:rsidRPr="005E3CA9">
        <w:rPr>
          <w:rFonts w:cs="Arial"/>
        </w:rPr>
        <w:t xml:space="preserve">components that provide </w:t>
      </w:r>
      <w:r w:rsidRPr="006C7D67">
        <w:rPr>
          <w:rFonts w:cs="Arial"/>
        </w:rPr>
        <w:t xml:space="preserve">immediate </w:t>
      </w:r>
      <w:r w:rsidR="006C7D67">
        <w:rPr>
          <w:rFonts w:cs="Arial"/>
        </w:rPr>
        <w:t xml:space="preserve">GHG emissions reduction </w:t>
      </w:r>
      <w:r w:rsidRPr="006C7D67">
        <w:rPr>
          <w:rFonts w:cs="Arial"/>
        </w:rPr>
        <w:t>benefits beginning with the first year of implementation, and substantial cumulative benefits by 2050.  Once all of the small bioenergy facilities are operational (50 MW capacity), Component 1 (Communit</w:t>
      </w:r>
      <w:r w:rsidR="006C7D67" w:rsidRPr="009005E1">
        <w:rPr>
          <w:rFonts w:cs="Arial"/>
        </w:rPr>
        <w:t>y-Scale Forest Bioenergy, Start</w:t>
      </w:r>
      <w:r w:rsidR="006C7D67">
        <w:rPr>
          <w:rFonts w:cs="Arial"/>
        </w:rPr>
        <w:t>-</w:t>
      </w:r>
      <w:r w:rsidRPr="006C7D67">
        <w:rPr>
          <w:rFonts w:cs="Arial"/>
        </w:rPr>
        <w:t xml:space="preserve">up Funding) provides a steady source of GHG </w:t>
      </w:r>
      <w:r w:rsidR="001F7A36" w:rsidRPr="006C7D67">
        <w:rPr>
          <w:rFonts w:cs="Arial"/>
        </w:rPr>
        <w:t xml:space="preserve">emission </w:t>
      </w:r>
      <w:r w:rsidRPr="006C7D67">
        <w:rPr>
          <w:rFonts w:cs="Arial"/>
        </w:rPr>
        <w:t xml:space="preserve">reductions of about </w:t>
      </w:r>
      <w:r w:rsidRPr="009005E1">
        <w:rPr>
          <w:rFonts w:cs="Arial"/>
        </w:rPr>
        <w:t>152,000 tons/year CO</w:t>
      </w:r>
      <w:r w:rsidRPr="009005E1">
        <w:rPr>
          <w:rFonts w:cs="Arial"/>
          <w:vertAlign w:val="subscript"/>
        </w:rPr>
        <w:t>2</w:t>
      </w:r>
      <w:r w:rsidRPr="009005E1">
        <w:rPr>
          <w:rFonts w:cs="Arial"/>
        </w:rPr>
        <w:t xml:space="preserve">e </w:t>
      </w:r>
      <w:r w:rsidR="001F7A36" w:rsidRPr="009005E1">
        <w:rPr>
          <w:rFonts w:cs="Arial"/>
        </w:rPr>
        <w:t>that will last for</w:t>
      </w:r>
      <w:r w:rsidRPr="009005E1">
        <w:rPr>
          <w:rFonts w:cs="Arial"/>
        </w:rPr>
        <w:t xml:space="preserve"> the life of the facilities.</w:t>
      </w:r>
      <w:r w:rsidR="001F7A36" w:rsidRPr="009005E1">
        <w:rPr>
          <w:rFonts w:cs="Arial"/>
        </w:rPr>
        <w:t xml:space="preserve">  </w:t>
      </w:r>
      <w:r w:rsidR="001F7A36" w:rsidRPr="006C7D67">
        <w:rPr>
          <w:rFonts w:cs="Arial"/>
        </w:rPr>
        <w:t>Cumulatively, this represents over 4.3 million metric tons in GHG reductions by 2050.</w:t>
      </w:r>
      <w:r w:rsidRPr="006C7D67">
        <w:rPr>
          <w:rFonts w:cs="Arial"/>
        </w:rPr>
        <w:t xml:space="preserve">  Component</w:t>
      </w:r>
      <w:r w:rsidR="001F7A36" w:rsidRPr="006C7D67">
        <w:rPr>
          <w:rFonts w:cs="Arial"/>
        </w:rPr>
        <w:t xml:space="preserve"> 2 (</w:t>
      </w:r>
      <w:r w:rsidRPr="006C7D67">
        <w:rPr>
          <w:rFonts w:cs="Arial"/>
        </w:rPr>
        <w:t>Fuels Delivery Transportation Incentive</w:t>
      </w:r>
      <w:r w:rsidR="001F7A36" w:rsidRPr="006C7D67">
        <w:rPr>
          <w:rFonts w:cs="Arial"/>
        </w:rPr>
        <w:t>)</w:t>
      </w:r>
      <w:r w:rsidRPr="006C7D67">
        <w:rPr>
          <w:rFonts w:cs="Arial"/>
        </w:rPr>
        <w:t>, provides immediate up-front benefits</w:t>
      </w:r>
      <w:r w:rsidR="001F7A36" w:rsidRPr="006C7D67">
        <w:rPr>
          <w:rFonts w:cs="Arial"/>
        </w:rPr>
        <w:t xml:space="preserve"> by replacing pile burning with energy production, resulting in reductions in GHG emissions of over 1.5 million metric tons in the first three years. </w:t>
      </w:r>
      <w:r w:rsidR="0009560D" w:rsidRPr="006C7D67">
        <w:rPr>
          <w:rFonts w:cs="Arial"/>
        </w:rPr>
        <w:t xml:space="preserve">Continuation of </w:t>
      </w:r>
      <w:r w:rsidR="006C7D67">
        <w:rPr>
          <w:rFonts w:cs="Arial"/>
        </w:rPr>
        <w:t>a modest</w:t>
      </w:r>
      <w:r w:rsidR="0009560D" w:rsidRPr="006C7D67">
        <w:rPr>
          <w:rFonts w:cs="Arial"/>
        </w:rPr>
        <w:t xml:space="preserve"> </w:t>
      </w:r>
      <w:r w:rsidR="009005E1" w:rsidRPr="006C7D67">
        <w:rPr>
          <w:rFonts w:cs="Arial"/>
        </w:rPr>
        <w:t>transportation</w:t>
      </w:r>
      <w:r w:rsidR="0009560D" w:rsidRPr="006C7D67">
        <w:rPr>
          <w:rFonts w:cs="Arial"/>
        </w:rPr>
        <w:t xml:space="preserve"> incentive would result in </w:t>
      </w:r>
      <w:r w:rsidR="005E3CA9">
        <w:rPr>
          <w:rFonts w:cs="Arial"/>
        </w:rPr>
        <w:t xml:space="preserve">long-term </w:t>
      </w:r>
      <w:r w:rsidR="0009560D" w:rsidRPr="005E3CA9">
        <w:rPr>
          <w:rFonts w:cs="Arial"/>
        </w:rPr>
        <w:t xml:space="preserve">annual </w:t>
      </w:r>
      <w:r w:rsidR="005E3CA9" w:rsidRPr="005E3CA9">
        <w:rPr>
          <w:rFonts w:cs="Arial"/>
        </w:rPr>
        <w:t xml:space="preserve">and cumulative </w:t>
      </w:r>
      <w:r w:rsidR="0009560D" w:rsidRPr="005E3CA9">
        <w:rPr>
          <w:rFonts w:cs="Arial"/>
        </w:rPr>
        <w:t>benefits simi</w:t>
      </w:r>
      <w:r w:rsidR="006C7D67">
        <w:rPr>
          <w:rFonts w:cs="Arial"/>
        </w:rPr>
        <w:t>lar to Component 1</w:t>
      </w:r>
      <w:r w:rsidR="0009560D" w:rsidRPr="005E3CA9">
        <w:rPr>
          <w:rFonts w:cs="Arial"/>
        </w:rPr>
        <w:t xml:space="preserve">. </w:t>
      </w:r>
    </w:p>
    <w:p w:rsidR="005E3CA9" w:rsidRDefault="005E3CA9" w:rsidP="000D17DA">
      <w:pPr>
        <w:rPr>
          <w:rFonts w:cs="Arial"/>
        </w:rPr>
      </w:pPr>
    </w:p>
    <w:p w:rsidR="00410328" w:rsidRPr="005E3CA9" w:rsidRDefault="001F7A36" w:rsidP="000D17DA">
      <w:pPr>
        <w:rPr>
          <w:rFonts w:cs="Arial"/>
        </w:rPr>
      </w:pPr>
      <w:r w:rsidRPr="005E3CA9">
        <w:rPr>
          <w:rFonts w:cs="Arial"/>
        </w:rPr>
        <w:t xml:space="preserve">Components 1 and 2 provide substantial </w:t>
      </w:r>
      <w:r w:rsidR="005E3CA9">
        <w:rPr>
          <w:rFonts w:cs="Arial"/>
        </w:rPr>
        <w:t xml:space="preserve">measurable </w:t>
      </w:r>
      <w:r w:rsidRPr="005E3CA9">
        <w:rPr>
          <w:rFonts w:cs="Arial"/>
        </w:rPr>
        <w:t xml:space="preserve">benefits in GHG </w:t>
      </w:r>
      <w:r w:rsidR="0009560D" w:rsidRPr="005E3CA9">
        <w:rPr>
          <w:rFonts w:cs="Arial"/>
        </w:rPr>
        <w:t xml:space="preserve">emission </w:t>
      </w:r>
      <w:r w:rsidRPr="005E3CA9">
        <w:rPr>
          <w:rFonts w:cs="Arial"/>
        </w:rPr>
        <w:t xml:space="preserve">reductions and they </w:t>
      </w:r>
      <w:r w:rsidR="006C7D67">
        <w:rPr>
          <w:rFonts w:cs="Arial"/>
        </w:rPr>
        <w:t xml:space="preserve">also </w:t>
      </w:r>
      <w:r w:rsidRPr="005E3CA9">
        <w:rPr>
          <w:rFonts w:cs="Arial"/>
        </w:rPr>
        <w:t>provide some of the infrastructure needed to increase the pace and s</w:t>
      </w:r>
      <w:r w:rsidRPr="006C7D67">
        <w:rPr>
          <w:rFonts w:cs="Arial"/>
        </w:rPr>
        <w:t xml:space="preserve">cale of forest restoration </w:t>
      </w:r>
      <w:r w:rsidR="006C7D67" w:rsidRPr="006C7D67">
        <w:rPr>
          <w:rFonts w:cs="Arial"/>
        </w:rPr>
        <w:t>(Component 3)</w:t>
      </w:r>
      <w:r w:rsidR="006C7D67">
        <w:rPr>
          <w:rFonts w:cs="Arial"/>
        </w:rPr>
        <w:t>.  Forest restoration treatments have</w:t>
      </w:r>
      <w:r w:rsidRPr="006C7D67">
        <w:rPr>
          <w:rFonts w:cs="Arial"/>
        </w:rPr>
        <w:t xml:space="preserve"> </w:t>
      </w:r>
      <w:r w:rsidR="0009560D" w:rsidRPr="006C7D67">
        <w:rPr>
          <w:rFonts w:cs="Arial"/>
        </w:rPr>
        <w:t>the greatest potential for long-</w:t>
      </w:r>
      <w:r w:rsidRPr="006C7D67">
        <w:rPr>
          <w:rFonts w:cs="Arial"/>
        </w:rPr>
        <w:t>term</w:t>
      </w:r>
      <w:r w:rsidR="006C7D67">
        <w:rPr>
          <w:rFonts w:cs="Arial"/>
        </w:rPr>
        <w:t>, sustainable</w:t>
      </w:r>
      <w:r w:rsidR="0009560D" w:rsidRPr="006C7D67">
        <w:rPr>
          <w:rFonts w:cs="Arial"/>
        </w:rPr>
        <w:t xml:space="preserve"> GHG emission reduction.  </w:t>
      </w:r>
      <w:r w:rsidR="0009560D" w:rsidRPr="006C7D67">
        <w:rPr>
          <w:rFonts w:cs="Arial"/>
          <w:i/>
        </w:rPr>
        <w:t>Annual</w:t>
      </w:r>
      <w:r w:rsidR="0009560D" w:rsidRPr="005E3CA9">
        <w:rPr>
          <w:rFonts w:cs="Arial"/>
        </w:rPr>
        <w:t xml:space="preserve"> </w:t>
      </w:r>
      <w:r w:rsidR="0009560D" w:rsidRPr="006C7D67">
        <w:rPr>
          <w:rFonts w:cs="Arial"/>
          <w:i/>
        </w:rPr>
        <w:t xml:space="preserve">benefits </w:t>
      </w:r>
      <w:r w:rsidR="0009560D" w:rsidRPr="005E3CA9">
        <w:rPr>
          <w:rFonts w:cs="Arial"/>
        </w:rPr>
        <w:t>resulting from accelerated forest treatments would exceed 1.26 million metric tons</w:t>
      </w:r>
      <w:r w:rsidR="0009560D" w:rsidRPr="006C7D67">
        <w:rPr>
          <w:rFonts w:cs="Arial"/>
        </w:rPr>
        <w:t>/year</w:t>
      </w:r>
      <w:r w:rsidR="0009560D" w:rsidRPr="005E3CA9">
        <w:rPr>
          <w:rFonts w:cs="Arial"/>
        </w:rPr>
        <w:t xml:space="preserve"> by 2050. </w:t>
      </w:r>
    </w:p>
    <w:p w:rsidR="00410328" w:rsidRPr="006C7D67" w:rsidRDefault="00410328" w:rsidP="000D17DA">
      <w:pPr>
        <w:rPr>
          <w:rFonts w:cs="Arial"/>
        </w:rPr>
      </w:pPr>
    </w:p>
    <w:p w:rsidR="00410328" w:rsidRPr="00410328" w:rsidRDefault="00410328" w:rsidP="000D17DA">
      <w:pPr>
        <w:rPr>
          <w:rFonts w:cs="Arial"/>
        </w:rPr>
      </w:pPr>
      <w:r w:rsidRPr="005E3CA9">
        <w:rPr>
          <w:rFonts w:cs="Arial"/>
        </w:rPr>
        <w:t>T</w:t>
      </w:r>
      <w:r w:rsidR="005E3CA9">
        <w:rPr>
          <w:rFonts w:cs="Arial"/>
        </w:rPr>
        <w:t>he</w:t>
      </w:r>
      <w:r w:rsidRPr="005E3CA9">
        <w:rPr>
          <w:rFonts w:cs="Arial"/>
        </w:rPr>
        <w:t xml:space="preserve"> benefits</w:t>
      </w:r>
      <w:r w:rsidR="005E3CA9">
        <w:rPr>
          <w:rFonts w:cs="Arial"/>
        </w:rPr>
        <w:t xml:space="preserve"> from implementation of all three components</w:t>
      </w:r>
      <w:r w:rsidRPr="005E3CA9">
        <w:rPr>
          <w:rFonts w:cs="Arial"/>
        </w:rPr>
        <w:t xml:space="preserve"> include a cumulative reduction in GHG emissions of greater than 8.0 million metric tons of CO</w:t>
      </w:r>
      <w:r w:rsidRPr="005E3CA9">
        <w:rPr>
          <w:rFonts w:cs="Arial"/>
          <w:vertAlign w:val="subscript"/>
        </w:rPr>
        <w:t>2</w:t>
      </w:r>
      <w:r w:rsidRPr="005E3CA9">
        <w:rPr>
          <w:rFonts w:cs="Arial"/>
        </w:rPr>
        <w:t xml:space="preserve">e by 2050, with potential </w:t>
      </w:r>
      <w:r w:rsidRPr="005E3CA9">
        <w:rPr>
          <w:rFonts w:cs="Arial"/>
          <w:i/>
        </w:rPr>
        <w:t>annual</w:t>
      </w:r>
      <w:r w:rsidRPr="005E3CA9">
        <w:rPr>
          <w:rFonts w:cs="Arial"/>
        </w:rPr>
        <w:t xml:space="preserve"> </w:t>
      </w:r>
      <w:r w:rsidRPr="006C7D67">
        <w:rPr>
          <w:rFonts w:cs="Arial"/>
          <w:i/>
        </w:rPr>
        <w:t>benefits</w:t>
      </w:r>
      <w:r w:rsidRPr="005E3CA9">
        <w:rPr>
          <w:rFonts w:cs="Arial"/>
        </w:rPr>
        <w:t xml:space="preserve"> of greater than 1.4 million metric tons per year thereafter.  </w:t>
      </w:r>
    </w:p>
    <w:p w:rsidR="00DC1A2E" w:rsidRPr="00AB2DB7" w:rsidRDefault="00DC1A2E" w:rsidP="000D17DA">
      <w:pPr>
        <w:rPr>
          <w:rFonts w:cs="Arial"/>
        </w:rPr>
      </w:pPr>
    </w:p>
    <w:p w:rsidR="00885D79" w:rsidRDefault="00885D79">
      <w:pPr>
        <w:rPr>
          <w:rFonts w:cs="Arial"/>
          <w:b/>
          <w:u w:val="single"/>
        </w:rPr>
      </w:pPr>
      <w:r>
        <w:rPr>
          <w:rFonts w:cs="Arial"/>
          <w:b/>
          <w:u w:val="single"/>
        </w:rPr>
        <w:br w:type="page"/>
      </w:r>
    </w:p>
    <w:p w:rsidR="00930A8F" w:rsidRDefault="008D7323" w:rsidP="007B00A7">
      <w:pPr>
        <w:rPr>
          <w:rFonts w:cs="Arial"/>
          <w:b/>
          <w:u w:val="single"/>
        </w:rPr>
      </w:pPr>
      <w:r w:rsidRPr="008D7323">
        <w:rPr>
          <w:rFonts w:cs="Arial"/>
          <w:b/>
          <w:u w:val="single"/>
        </w:rPr>
        <w:lastRenderedPageBreak/>
        <w:t>References</w:t>
      </w:r>
    </w:p>
    <w:p w:rsidR="00930A8F" w:rsidRDefault="00930A8F">
      <w:pPr>
        <w:keepNext/>
        <w:rPr>
          <w:rFonts w:cs="Arial"/>
        </w:rPr>
      </w:pPr>
    </w:p>
    <w:p w:rsidR="002D1580" w:rsidRDefault="002D1580" w:rsidP="008E1A8A">
      <w:pPr>
        <w:ind w:left="720" w:hanging="720"/>
        <w:rPr>
          <w:rFonts w:cs="Arial"/>
        </w:rPr>
      </w:pPr>
      <w:r>
        <w:rPr>
          <w:rFonts w:cs="Arial"/>
        </w:rPr>
        <w:t xml:space="preserve">CAL FIRE.  California’s Forests and Rangelands: </w:t>
      </w:r>
      <w:r w:rsidR="008D7323" w:rsidRPr="007B00A7">
        <w:rPr>
          <w:rFonts w:cs="Arial"/>
        </w:rPr>
        <w:t>2010</w:t>
      </w:r>
      <w:r>
        <w:rPr>
          <w:rFonts w:cs="Arial"/>
        </w:rPr>
        <w:t xml:space="preserve"> Assessment.  California Department of Forestry and Fire Protection.  Sacramento.  </w:t>
      </w:r>
    </w:p>
    <w:p w:rsidR="002D1580" w:rsidRDefault="002D1580" w:rsidP="008E1A8A">
      <w:pPr>
        <w:ind w:left="720" w:hanging="720"/>
        <w:rPr>
          <w:rFonts w:cs="Arial"/>
        </w:rPr>
      </w:pPr>
    </w:p>
    <w:p w:rsidR="00DD2BC5" w:rsidRPr="007B00A7" w:rsidRDefault="00102EC6" w:rsidP="007B00A7">
      <w:pPr>
        <w:autoSpaceDE w:val="0"/>
        <w:autoSpaceDN w:val="0"/>
        <w:adjustRightInd w:val="0"/>
        <w:ind w:left="720" w:hanging="720"/>
        <w:rPr>
          <w:rFonts w:cs="Arial"/>
          <w:highlight w:val="yellow"/>
        </w:rPr>
      </w:pPr>
      <w:r w:rsidRPr="007B00A7">
        <w:rPr>
          <w:rFonts w:cs="Arial"/>
          <w:lang w:eastAsia="en-US"/>
        </w:rPr>
        <w:t>Hurteau, M.D., Koch, G.W., Hungate, B.A., 2008. Carbon protection and fire risk reduction:</w:t>
      </w:r>
      <w:r>
        <w:rPr>
          <w:rFonts w:cs="Arial"/>
          <w:lang w:eastAsia="en-US"/>
        </w:rPr>
        <w:t xml:space="preserve"> </w:t>
      </w:r>
      <w:r w:rsidRPr="007B00A7">
        <w:rPr>
          <w:rFonts w:cs="Arial"/>
          <w:lang w:eastAsia="en-US"/>
        </w:rPr>
        <w:t>toward a full accounting of forest carbon offsets. Frontiers in Ecology and</w:t>
      </w:r>
      <w:r>
        <w:rPr>
          <w:rFonts w:cs="Arial"/>
          <w:lang w:eastAsia="en-US"/>
        </w:rPr>
        <w:t xml:space="preserve"> </w:t>
      </w:r>
      <w:r w:rsidRPr="007B00A7">
        <w:rPr>
          <w:rFonts w:cs="Arial"/>
          <w:lang w:eastAsia="en-US"/>
        </w:rPr>
        <w:t>the Environment 6, 493–498.</w:t>
      </w:r>
    </w:p>
    <w:p w:rsidR="00E04F4B" w:rsidRDefault="00E04F4B" w:rsidP="007B00A7">
      <w:pPr>
        <w:ind w:left="720" w:hanging="720"/>
        <w:rPr>
          <w:rFonts w:cs="Arial"/>
          <w:highlight w:val="yellow"/>
        </w:rPr>
      </w:pPr>
    </w:p>
    <w:p w:rsidR="00E04F4B" w:rsidRPr="005F6E1E" w:rsidRDefault="005D1456" w:rsidP="00E04F4B">
      <w:pPr>
        <w:autoSpaceDE w:val="0"/>
        <w:autoSpaceDN w:val="0"/>
        <w:adjustRightInd w:val="0"/>
        <w:ind w:left="450" w:hanging="450"/>
        <w:rPr>
          <w:rFonts w:cs="AdvGulliv-R"/>
        </w:rPr>
      </w:pPr>
      <w:r>
        <w:rPr>
          <w:rFonts w:cs="AdvGulliv-R"/>
        </w:rPr>
        <w:t>Hurteau, M. and</w:t>
      </w:r>
      <w:r w:rsidR="00E04F4B" w:rsidRPr="005F6E1E">
        <w:rPr>
          <w:rFonts w:cs="AdvGulliv-R"/>
        </w:rPr>
        <w:t xml:space="preserve"> North, M., 2010. Carbon recovery rat</w:t>
      </w:r>
      <w:r w:rsidR="00E04F4B">
        <w:rPr>
          <w:rFonts w:cs="AdvGulliv-R"/>
        </w:rPr>
        <w:t xml:space="preserve">es following different wildfire </w:t>
      </w:r>
      <w:r w:rsidR="00E04F4B" w:rsidRPr="005F6E1E">
        <w:rPr>
          <w:rFonts w:cs="AdvGulliv-R"/>
        </w:rPr>
        <w:t>risk mitigation treatments. Forest Ecology and Management 260, 930–937.</w:t>
      </w:r>
    </w:p>
    <w:p w:rsidR="00E04F4B" w:rsidRPr="00D512A3" w:rsidRDefault="00E04F4B" w:rsidP="00E04F4B">
      <w:pPr>
        <w:ind w:left="450" w:hanging="450"/>
      </w:pPr>
    </w:p>
    <w:p w:rsidR="00E04F4B" w:rsidRDefault="00E04F4B" w:rsidP="00E04F4B">
      <w:pPr>
        <w:autoSpaceDE w:val="0"/>
        <w:autoSpaceDN w:val="0"/>
        <w:adjustRightInd w:val="0"/>
        <w:ind w:left="450" w:hanging="450"/>
      </w:pPr>
      <w:r w:rsidRPr="00D512A3">
        <w:t>Hurteau</w:t>
      </w:r>
      <w:r w:rsidR="005D1456">
        <w:t>, M.</w:t>
      </w:r>
      <w:r w:rsidRPr="00D512A3">
        <w:t xml:space="preserve"> </w:t>
      </w:r>
      <w:r w:rsidR="005D1456">
        <w:t>and North, M</w:t>
      </w:r>
      <w:r>
        <w:t>.</w:t>
      </w:r>
      <w:r w:rsidR="005D1456">
        <w:t>,</w:t>
      </w:r>
      <w:r>
        <w:t xml:space="preserve"> 2009.  </w:t>
      </w:r>
      <w:r w:rsidRPr="00D512A3">
        <w:t xml:space="preserve"> Fuel treatment effects on tree</w:t>
      </w:r>
      <w:r w:rsidRPr="00D512A3">
        <w:rPr>
          <w:rFonts w:ascii="Menlo Bold" w:hAnsi="Menlo Bold" w:cs="Menlo Bold"/>
        </w:rPr>
        <w:t>‐</w:t>
      </w:r>
      <w:r w:rsidRPr="00D512A3">
        <w:t xml:space="preserve">based forest carbon storage and emissions under modeled wildfire scenarios. </w:t>
      </w:r>
      <w:r>
        <w:t xml:space="preserve"> </w:t>
      </w:r>
      <w:r w:rsidRPr="00D512A3">
        <w:t>Frontiers in Ec</w:t>
      </w:r>
      <w:r>
        <w:t>ology and the Environment</w:t>
      </w:r>
      <w:r w:rsidRPr="00D512A3">
        <w:t xml:space="preserve"> 7:409</w:t>
      </w:r>
      <w:r w:rsidRPr="00D512A3">
        <w:rPr>
          <w:rFonts w:ascii="Menlo Bold" w:hAnsi="Menlo Bold" w:cs="Menlo Bold"/>
        </w:rPr>
        <w:t>‐</w:t>
      </w:r>
      <w:r w:rsidRPr="00D512A3">
        <w:t>414.</w:t>
      </w:r>
    </w:p>
    <w:p w:rsidR="00E04F4B" w:rsidRPr="00DD2BC5" w:rsidRDefault="00E04F4B" w:rsidP="007B00A7">
      <w:pPr>
        <w:ind w:left="720" w:hanging="720"/>
        <w:rPr>
          <w:rFonts w:cs="Arial"/>
          <w:highlight w:val="yellow"/>
        </w:rPr>
      </w:pPr>
    </w:p>
    <w:p w:rsidR="00DD2BC5" w:rsidRDefault="00E072D0" w:rsidP="007B00A7">
      <w:pPr>
        <w:ind w:left="720" w:hanging="720"/>
        <w:rPr>
          <w:rFonts w:cs="Arial"/>
        </w:rPr>
      </w:pPr>
      <w:r w:rsidRPr="007B00A7">
        <w:rPr>
          <w:rFonts w:cs="Arial"/>
          <w:color w:val="272525"/>
          <w:lang w:eastAsia="en-US"/>
        </w:rPr>
        <w:t>Hurtt,</w:t>
      </w:r>
      <w:r w:rsidR="0074285B">
        <w:rPr>
          <w:rFonts w:cs="Arial"/>
          <w:color w:val="272525"/>
          <w:lang w:eastAsia="en-US"/>
        </w:rPr>
        <w:t xml:space="preserve"> G.C.;</w:t>
      </w:r>
      <w:r w:rsidRPr="007B00A7">
        <w:rPr>
          <w:rFonts w:cs="Arial"/>
          <w:color w:val="272525"/>
          <w:lang w:eastAsia="en-US"/>
        </w:rPr>
        <w:t xml:space="preserve"> Pacala,</w:t>
      </w:r>
      <w:r>
        <w:rPr>
          <w:rFonts w:cs="Arial"/>
          <w:color w:val="272525"/>
          <w:lang w:eastAsia="en-US"/>
        </w:rPr>
        <w:t xml:space="preserve"> S.W.; </w:t>
      </w:r>
      <w:r w:rsidRPr="007B00A7">
        <w:rPr>
          <w:rFonts w:cs="Arial"/>
          <w:color w:val="272525"/>
          <w:lang w:eastAsia="en-US"/>
        </w:rPr>
        <w:t>Moorcroft,</w:t>
      </w:r>
      <w:r>
        <w:rPr>
          <w:rFonts w:cs="Arial"/>
          <w:color w:val="272525"/>
          <w:lang w:eastAsia="en-US"/>
        </w:rPr>
        <w:t xml:space="preserve"> P.R.; </w:t>
      </w:r>
      <w:r w:rsidRPr="007B00A7">
        <w:rPr>
          <w:rFonts w:cs="Arial"/>
          <w:color w:val="272525"/>
          <w:lang w:eastAsia="en-US"/>
        </w:rPr>
        <w:t>Caspersen,</w:t>
      </w:r>
      <w:r>
        <w:rPr>
          <w:rFonts w:cs="Arial"/>
          <w:color w:val="272525"/>
          <w:lang w:eastAsia="en-US"/>
        </w:rPr>
        <w:t xml:space="preserve"> J.;</w:t>
      </w:r>
      <w:r w:rsidRPr="007B00A7">
        <w:rPr>
          <w:rFonts w:cs="Arial"/>
          <w:color w:val="272525"/>
          <w:lang w:eastAsia="en-US"/>
        </w:rPr>
        <w:t>Shevliakova,</w:t>
      </w:r>
      <w:r>
        <w:rPr>
          <w:rFonts w:cs="Arial"/>
          <w:color w:val="272525"/>
          <w:lang w:eastAsia="en-US"/>
        </w:rPr>
        <w:t xml:space="preserve"> E.; </w:t>
      </w:r>
      <w:r w:rsidRPr="007B00A7">
        <w:rPr>
          <w:rFonts w:cs="Arial"/>
          <w:color w:val="272525"/>
          <w:lang w:eastAsia="en-US"/>
        </w:rPr>
        <w:t xml:space="preserve">Houghton, </w:t>
      </w:r>
      <w:r>
        <w:rPr>
          <w:rFonts w:cs="Arial"/>
          <w:color w:val="272525"/>
          <w:lang w:eastAsia="en-US"/>
        </w:rPr>
        <w:t xml:space="preserve">R.A.; </w:t>
      </w:r>
      <w:r w:rsidRPr="007B00A7">
        <w:rPr>
          <w:rFonts w:cs="Arial"/>
          <w:color w:val="272525"/>
          <w:lang w:eastAsia="en-US"/>
        </w:rPr>
        <w:t>and Moore</w:t>
      </w:r>
      <w:r>
        <w:rPr>
          <w:rFonts w:cs="Arial"/>
          <w:color w:val="272525"/>
          <w:lang w:eastAsia="en-US"/>
        </w:rPr>
        <w:t xml:space="preserve"> III, B.</w:t>
      </w:r>
      <w:r w:rsidRPr="007B00A7">
        <w:rPr>
          <w:rFonts w:cs="Arial"/>
          <w:color w:val="272525"/>
          <w:lang w:eastAsia="en-US"/>
        </w:rPr>
        <w:t>, 2002</w:t>
      </w:r>
      <w:r>
        <w:rPr>
          <w:rFonts w:cs="Arial"/>
          <w:color w:val="272525"/>
          <w:lang w:eastAsia="en-US"/>
        </w:rPr>
        <w:t>.</w:t>
      </w:r>
      <w:r w:rsidRPr="007B00A7">
        <w:rPr>
          <w:rFonts w:cs="Arial"/>
          <w:color w:val="272525"/>
          <w:lang w:eastAsia="en-US"/>
        </w:rPr>
        <w:t xml:space="preserve"> Projecting the future of the U.S. carbon sink. </w:t>
      </w:r>
      <w:r w:rsidRPr="007B00A7">
        <w:rPr>
          <w:rFonts w:cs="Arial"/>
          <w:i/>
          <w:iCs/>
          <w:color w:val="272525"/>
          <w:lang w:eastAsia="en-US"/>
        </w:rPr>
        <w:t xml:space="preserve">Proc. Natl. Acad. Sci. USA, </w:t>
      </w:r>
      <w:r w:rsidRPr="007B00A7">
        <w:rPr>
          <w:rFonts w:cs="Arial"/>
          <w:bCs/>
          <w:color w:val="272525"/>
          <w:lang w:eastAsia="en-US"/>
        </w:rPr>
        <w:t>99:</w:t>
      </w:r>
      <w:r w:rsidRPr="007B00A7">
        <w:rPr>
          <w:rFonts w:cs="Arial"/>
          <w:color w:val="272525"/>
          <w:lang w:eastAsia="en-US"/>
        </w:rPr>
        <w:t>1389–1394.</w:t>
      </w:r>
      <w:r w:rsidR="00DD2BC5" w:rsidRPr="007B00A7">
        <w:rPr>
          <w:rFonts w:cs="Arial"/>
        </w:rPr>
        <w:t xml:space="preserve"> </w:t>
      </w:r>
    </w:p>
    <w:p w:rsidR="00E072D0" w:rsidRPr="007B00A7" w:rsidRDefault="00E072D0" w:rsidP="007B00A7">
      <w:pPr>
        <w:ind w:left="720" w:hanging="720"/>
        <w:rPr>
          <w:rFonts w:cs="Arial"/>
        </w:rPr>
      </w:pPr>
    </w:p>
    <w:p w:rsidR="00603253" w:rsidRPr="00AB2DB7" w:rsidRDefault="00BC7F11" w:rsidP="008E1A8A">
      <w:pPr>
        <w:ind w:left="720" w:hanging="720"/>
        <w:rPr>
          <w:rFonts w:cs="Arial"/>
        </w:rPr>
      </w:pPr>
      <w:r w:rsidRPr="007B00A7">
        <w:rPr>
          <w:rFonts w:cs="Arial"/>
        </w:rPr>
        <w:t>Jones, G.;</w:t>
      </w:r>
      <w:r>
        <w:rPr>
          <w:rFonts w:cs="Arial"/>
        </w:rPr>
        <w:t xml:space="preserve"> Loeffler, D.; Calkin, D.; </w:t>
      </w:r>
      <w:r w:rsidR="00DD262B">
        <w:rPr>
          <w:rFonts w:cs="Arial"/>
        </w:rPr>
        <w:t xml:space="preserve">and </w:t>
      </w:r>
      <w:r>
        <w:rPr>
          <w:rFonts w:cs="Arial"/>
        </w:rPr>
        <w:t>Chung, W.</w:t>
      </w:r>
      <w:r w:rsidR="00102EC6">
        <w:rPr>
          <w:rFonts w:cs="Arial"/>
        </w:rPr>
        <w:t>, 2010.</w:t>
      </w:r>
      <w:r>
        <w:rPr>
          <w:rFonts w:cs="Arial"/>
        </w:rPr>
        <w:t xml:space="preserve"> Fores</w:t>
      </w:r>
      <w:r w:rsidR="00DD262B">
        <w:rPr>
          <w:rFonts w:cs="Arial"/>
        </w:rPr>
        <w:t>t</w:t>
      </w:r>
      <w:r>
        <w:rPr>
          <w:rFonts w:cs="Arial"/>
        </w:rPr>
        <w:t xml:space="preserve"> Treatment Residues for Thermal Energy Compared with Disposal by Onsite </w:t>
      </w:r>
      <w:r w:rsidR="003837EC">
        <w:rPr>
          <w:rFonts w:cs="Arial"/>
        </w:rPr>
        <w:t>Burning</w:t>
      </w:r>
      <w:r>
        <w:rPr>
          <w:rFonts w:cs="Arial"/>
        </w:rPr>
        <w:t xml:space="preserve">: </w:t>
      </w:r>
      <w:r w:rsidR="003837EC">
        <w:rPr>
          <w:rFonts w:cs="Arial"/>
        </w:rPr>
        <w:t>Emissions</w:t>
      </w:r>
      <w:r>
        <w:rPr>
          <w:rFonts w:cs="Arial"/>
        </w:rPr>
        <w:t xml:space="preserve"> and Energy Return; </w:t>
      </w:r>
      <w:r>
        <w:rPr>
          <w:rFonts w:cs="Arial"/>
          <w:i/>
        </w:rPr>
        <w:t>Biomass and Bioenergy</w:t>
      </w:r>
      <w:r>
        <w:rPr>
          <w:rFonts w:cs="Arial"/>
        </w:rPr>
        <w:t>, 34:737-746.</w:t>
      </w:r>
    </w:p>
    <w:p w:rsidR="003C708F" w:rsidRDefault="003C708F" w:rsidP="008E1A8A">
      <w:pPr>
        <w:ind w:left="720" w:hanging="720"/>
        <w:rPr>
          <w:rFonts w:cs="Arial"/>
        </w:rPr>
      </w:pPr>
    </w:p>
    <w:p w:rsidR="00DD262B" w:rsidRDefault="00DD262B" w:rsidP="008E1A8A">
      <w:pPr>
        <w:ind w:left="720" w:hanging="720"/>
        <w:rPr>
          <w:rFonts w:cs="Arial"/>
        </w:rPr>
      </w:pPr>
      <w:r>
        <w:rPr>
          <w:rFonts w:cs="Arial"/>
        </w:rPr>
        <w:t>Garrett-Peltier, H. and Pollin, R.</w:t>
      </w:r>
      <w:r w:rsidR="00102EC6">
        <w:rPr>
          <w:rFonts w:cs="Arial"/>
        </w:rPr>
        <w:t>, 2009.</w:t>
      </w:r>
      <w:r>
        <w:rPr>
          <w:rFonts w:cs="Arial"/>
        </w:rPr>
        <w:t xml:space="preserve"> How Infrastructure Investments </w:t>
      </w:r>
      <w:r w:rsidR="00C5533C">
        <w:rPr>
          <w:rFonts w:cs="Arial"/>
        </w:rPr>
        <w:t>Support</w:t>
      </w:r>
      <w:r>
        <w:rPr>
          <w:rFonts w:cs="Arial"/>
        </w:rPr>
        <w:t xml:space="preserve"> the U.S. Economy: Employment, </w:t>
      </w:r>
      <w:r w:rsidR="00C5533C">
        <w:rPr>
          <w:rFonts w:cs="Arial"/>
        </w:rPr>
        <w:t>Productivity</w:t>
      </w:r>
      <w:r>
        <w:rPr>
          <w:rFonts w:cs="Arial"/>
        </w:rPr>
        <w:t xml:space="preserve">, and Growth. Political Economy Research Institute, University of Massachusetts, January </w:t>
      </w:r>
      <w:r w:rsidR="008D7323" w:rsidRPr="007B00A7">
        <w:rPr>
          <w:rFonts w:cs="Arial"/>
        </w:rPr>
        <w:t>2009</w:t>
      </w:r>
    </w:p>
    <w:p w:rsidR="00DD2BC5" w:rsidRDefault="00DD2BC5" w:rsidP="008E1A8A">
      <w:pPr>
        <w:ind w:left="720" w:hanging="720"/>
        <w:rPr>
          <w:rFonts w:cs="Arial"/>
        </w:rPr>
      </w:pPr>
    </w:p>
    <w:p w:rsidR="005D1456" w:rsidRPr="005F7745" w:rsidRDefault="005D1456" w:rsidP="005D1456">
      <w:pPr>
        <w:autoSpaceDE w:val="0"/>
        <w:autoSpaceDN w:val="0"/>
        <w:adjustRightInd w:val="0"/>
        <w:ind w:left="450" w:hanging="450"/>
        <w:rPr>
          <w:rFonts w:cs="AdvGulliv-R"/>
        </w:rPr>
      </w:pPr>
      <w:r w:rsidRPr="005F7745">
        <w:rPr>
          <w:rFonts w:cs="AdvGulliv-R"/>
        </w:rPr>
        <w:t>North, M., Hurteau, M., Innes, J., 2009. Fire suppress</w:t>
      </w:r>
      <w:r>
        <w:rPr>
          <w:rFonts w:cs="AdvGulliv-R"/>
        </w:rPr>
        <w:t xml:space="preserve">ion and fuels treatment effects </w:t>
      </w:r>
      <w:r w:rsidRPr="005F7745">
        <w:rPr>
          <w:rFonts w:cs="AdvGulliv-R"/>
        </w:rPr>
        <w:t>on mixed-conifer carbon stocks and emissio</w:t>
      </w:r>
      <w:r>
        <w:rPr>
          <w:rFonts w:cs="AdvGulliv-R"/>
        </w:rPr>
        <w:t xml:space="preserve">ns. Ecological Applications 19: </w:t>
      </w:r>
      <w:r w:rsidRPr="005F7745">
        <w:rPr>
          <w:rFonts w:cs="AdvGulliv-R"/>
        </w:rPr>
        <w:t>1385–1396.</w:t>
      </w:r>
    </w:p>
    <w:p w:rsidR="005D1456" w:rsidRDefault="005D1456" w:rsidP="008E1A8A">
      <w:pPr>
        <w:ind w:left="720" w:hanging="720"/>
        <w:rPr>
          <w:rFonts w:cs="Arial"/>
        </w:rPr>
      </w:pPr>
    </w:p>
    <w:p w:rsidR="00B270DD" w:rsidRPr="004D280F" w:rsidRDefault="00BC7F11" w:rsidP="007B00A7">
      <w:pPr>
        <w:autoSpaceDE w:val="0"/>
        <w:autoSpaceDN w:val="0"/>
        <w:adjustRightInd w:val="0"/>
        <w:ind w:left="450" w:hanging="450"/>
        <w:rPr>
          <w:rFonts w:cs="AdvGulliv-R"/>
        </w:rPr>
      </w:pPr>
      <w:r w:rsidRPr="004D280F">
        <w:rPr>
          <w:rFonts w:cs="AdvGulliv-R"/>
        </w:rPr>
        <w:t>Springsteen, B.; Christofk, T.; Eubanks, S.; Mason, T.; Clavin, C.; and Storey, B.</w:t>
      </w:r>
      <w:r w:rsidR="00102EC6" w:rsidRPr="004D280F">
        <w:rPr>
          <w:rFonts w:cs="AdvGulliv-R"/>
        </w:rPr>
        <w:t>, 2011.</w:t>
      </w:r>
      <w:r w:rsidRPr="004D280F">
        <w:rPr>
          <w:rFonts w:cs="AdvGulliv-R"/>
        </w:rPr>
        <w:t xml:space="preserve"> Emission Reductions from Woody Biomass Waste for Energy as an Alternative to Open Burning; J. Air &amp; Waste Manage. Assoc. 61:63-68.</w:t>
      </w:r>
    </w:p>
    <w:p w:rsidR="00CA5CAE" w:rsidRPr="004D280F" w:rsidRDefault="00CA5CAE" w:rsidP="007B00A7">
      <w:pPr>
        <w:autoSpaceDE w:val="0"/>
        <w:autoSpaceDN w:val="0"/>
        <w:adjustRightInd w:val="0"/>
        <w:ind w:left="450" w:hanging="450"/>
        <w:rPr>
          <w:rFonts w:cs="AdvGulliv-R"/>
        </w:rPr>
      </w:pPr>
    </w:p>
    <w:p w:rsidR="000F128E" w:rsidRPr="00E351B5" w:rsidRDefault="000F128E" w:rsidP="00E351B5">
      <w:pPr>
        <w:ind w:left="720" w:hanging="720"/>
        <w:rPr>
          <w:rFonts w:eastAsia="Times New Roman" w:cs="Arial"/>
          <w:color w:val="222222"/>
          <w:lang w:eastAsia="en-US"/>
        </w:rPr>
      </w:pPr>
      <w:r w:rsidRPr="00E351B5">
        <w:rPr>
          <w:rFonts w:eastAsia="Times New Roman" w:cs="Arial"/>
          <w:color w:val="222222"/>
          <w:lang w:eastAsia="en-US"/>
        </w:rPr>
        <w:t xml:space="preserve">Stewart, William, et al. </w:t>
      </w:r>
      <w:r w:rsidR="004D280F">
        <w:rPr>
          <w:rFonts w:eastAsia="Times New Roman" w:cs="Arial"/>
          <w:color w:val="222222"/>
          <w:lang w:eastAsia="en-US"/>
        </w:rPr>
        <w:t xml:space="preserve">2010. </w:t>
      </w:r>
      <w:r w:rsidRPr="00E351B5">
        <w:rPr>
          <w:rFonts w:eastAsia="Times New Roman" w:cs="Arial"/>
          <w:color w:val="222222"/>
          <w:lang w:eastAsia="en-US"/>
        </w:rPr>
        <w:t>Potential positive and negative environmental impacts of increased woo</w:t>
      </w:r>
      <w:r w:rsidR="004D280F">
        <w:rPr>
          <w:rFonts w:eastAsia="Times New Roman" w:cs="Arial"/>
          <w:color w:val="222222"/>
          <w:lang w:eastAsia="en-US"/>
        </w:rPr>
        <w:t xml:space="preserve">dy biomass use for California. </w:t>
      </w:r>
      <w:r w:rsidRPr="00E351B5">
        <w:rPr>
          <w:rFonts w:eastAsia="Times New Roman" w:cs="Arial"/>
          <w:iCs/>
          <w:color w:val="222222"/>
          <w:lang w:eastAsia="en-US"/>
        </w:rPr>
        <w:t>Berkeley, CA, USA: Center for Forestry, College of Natural Resources, University of California</w:t>
      </w:r>
      <w:r w:rsidR="004D280F">
        <w:rPr>
          <w:rFonts w:eastAsia="Times New Roman" w:cs="Arial"/>
          <w:color w:val="222222"/>
          <w:lang w:eastAsia="en-US"/>
        </w:rPr>
        <w:t>.</w:t>
      </w:r>
    </w:p>
    <w:p w:rsidR="00CA5CAE" w:rsidRPr="004D280F" w:rsidRDefault="00CA5CAE" w:rsidP="007B00A7">
      <w:pPr>
        <w:autoSpaceDE w:val="0"/>
        <w:autoSpaceDN w:val="0"/>
        <w:adjustRightInd w:val="0"/>
        <w:ind w:left="450" w:hanging="450"/>
        <w:rPr>
          <w:rFonts w:cs="AdvGulliv-R"/>
        </w:rPr>
      </w:pPr>
    </w:p>
    <w:p w:rsidR="00B270DD" w:rsidRPr="007B00A7" w:rsidRDefault="008D7323" w:rsidP="007B00A7">
      <w:pPr>
        <w:autoSpaceDE w:val="0"/>
        <w:autoSpaceDN w:val="0"/>
        <w:adjustRightInd w:val="0"/>
        <w:ind w:left="450" w:hanging="450"/>
        <w:rPr>
          <w:rFonts w:cs="AdvGulliv-R"/>
        </w:rPr>
      </w:pPr>
      <w:r w:rsidRPr="004D280F">
        <w:rPr>
          <w:rFonts w:cs="AdvGulliv-R"/>
        </w:rPr>
        <w:t>Stockholm Institute</w:t>
      </w:r>
      <w:r w:rsidR="00922F38" w:rsidRPr="004D280F">
        <w:rPr>
          <w:rFonts w:cs="AdvGulliv-R"/>
        </w:rPr>
        <w:t xml:space="preserve">; Lee, C; Erickson, P; Lazarus, M; </w:t>
      </w:r>
      <w:r w:rsidR="00102EC6" w:rsidRPr="004D280F">
        <w:rPr>
          <w:rFonts w:cs="AdvGulliv-R"/>
        </w:rPr>
        <w:t xml:space="preserve">and </w:t>
      </w:r>
      <w:r w:rsidR="00922F38" w:rsidRPr="004D280F">
        <w:rPr>
          <w:rFonts w:cs="AdvGulliv-R"/>
        </w:rPr>
        <w:t>Smith, G</w:t>
      </w:r>
      <w:r w:rsidR="00102EC6" w:rsidRPr="004D280F">
        <w:rPr>
          <w:rFonts w:cs="AdvGulliv-R"/>
        </w:rPr>
        <w:t>, 2010.</w:t>
      </w:r>
      <w:r w:rsidR="00922F38" w:rsidRPr="004D280F">
        <w:rPr>
          <w:rFonts w:cs="AdvGulliv-R"/>
        </w:rPr>
        <w:t xml:space="preserve"> Olympic Region Clean Air Agency; Greenhouse Gas and Air Pollutant Emissions of Alternatives for </w:t>
      </w:r>
      <w:r w:rsidR="00922F38" w:rsidRPr="007B00A7">
        <w:rPr>
          <w:rFonts w:cs="AdvGulliv-R"/>
        </w:rPr>
        <w:t>Woody Biomass Residues</w:t>
      </w:r>
      <w:r w:rsidR="00C5533C" w:rsidRPr="007B00A7">
        <w:rPr>
          <w:rFonts w:cs="AdvGulliv-R"/>
        </w:rPr>
        <w:t xml:space="preserve">. </w:t>
      </w:r>
    </w:p>
    <w:sectPr w:rsidR="00B270DD" w:rsidRPr="007B00A7" w:rsidSect="00E6353C">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115" w:rsidRDefault="00806115" w:rsidP="00AE589A">
      <w:r>
        <w:separator/>
      </w:r>
    </w:p>
  </w:endnote>
  <w:endnote w:type="continuationSeparator" w:id="0">
    <w:p w:rsidR="00806115" w:rsidRDefault="00806115" w:rsidP="00AE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dvGulliv-R">
    <w:panose1 w:val="00000000000000000000"/>
    <w:charset w:val="00"/>
    <w:family w:val="auto"/>
    <w:notTrueType/>
    <w:pitch w:val="default"/>
    <w:sig w:usb0="00000003" w:usb1="00000000" w:usb2="00000000" w:usb3="00000000" w:csb0="00000001" w:csb1="00000000"/>
  </w:font>
  <w:font w:name="Menlo Bold">
    <w:altName w:val="Arial"/>
    <w:charset w:val="00"/>
    <w:family w:val="auto"/>
    <w:pitch w:val="variable"/>
    <w:sig w:usb0="00000000" w:usb1="D000F1FB" w:usb2="00000028" w:usb3="00000000" w:csb0="000001D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943904"/>
      <w:docPartObj>
        <w:docPartGallery w:val="Page Numbers (Bottom of Page)"/>
        <w:docPartUnique/>
      </w:docPartObj>
    </w:sdtPr>
    <w:sdtEndPr>
      <w:rPr>
        <w:noProof/>
      </w:rPr>
    </w:sdtEndPr>
    <w:sdtContent>
      <w:p w:rsidR="00E04F4B" w:rsidRDefault="00E04F4B">
        <w:pPr>
          <w:pStyle w:val="Footer"/>
          <w:jc w:val="center"/>
        </w:pPr>
        <w:r>
          <w:fldChar w:fldCharType="begin"/>
        </w:r>
        <w:r>
          <w:instrText xml:space="preserve"> PAGE   \* MERGEFORMAT </w:instrText>
        </w:r>
        <w:r>
          <w:fldChar w:fldCharType="separate"/>
        </w:r>
        <w:r w:rsidR="006123EA">
          <w:rPr>
            <w:noProof/>
          </w:rPr>
          <w:t>1</w:t>
        </w:r>
        <w:r>
          <w:rPr>
            <w:noProof/>
          </w:rPr>
          <w:fldChar w:fldCharType="end"/>
        </w:r>
      </w:p>
    </w:sdtContent>
  </w:sdt>
  <w:p w:rsidR="00E04F4B" w:rsidRDefault="00E04F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115" w:rsidRDefault="00806115" w:rsidP="00AE589A">
      <w:r>
        <w:separator/>
      </w:r>
    </w:p>
  </w:footnote>
  <w:footnote w:type="continuationSeparator" w:id="0">
    <w:p w:rsidR="00806115" w:rsidRDefault="00806115" w:rsidP="00AE589A">
      <w:r>
        <w:continuationSeparator/>
      </w:r>
    </w:p>
  </w:footnote>
  <w:footnote w:id="1">
    <w:p w:rsidR="00102EC6" w:rsidRDefault="00102EC6" w:rsidP="00DC1A2E">
      <w:pPr>
        <w:pStyle w:val="FootnoteText"/>
      </w:pPr>
      <w:r>
        <w:rPr>
          <w:rStyle w:val="FootnoteReference"/>
        </w:rPr>
        <w:footnoteRef/>
      </w:r>
      <w:r>
        <w:t xml:space="preserve"> </w:t>
      </w:r>
      <w:r w:rsidRPr="00375909">
        <w:t>Carbon benefits based on Forest Vegetation Simulator runs conducted the USFS Regional Silviculturist comparing forest stand carbon values of thinning, fuel removal and subsequent growth to 2050 compared to not thinning and a moderate fire event reducing stand stocking levels through fire caused mortality</w:t>
      </w:r>
      <w:r>
        <w:t>.</w:t>
      </w:r>
    </w:p>
  </w:footnote>
  <w:footnote w:id="2">
    <w:p w:rsidR="00102EC6" w:rsidRDefault="00102EC6" w:rsidP="00DC1A2E">
      <w:pPr>
        <w:pStyle w:val="FootnoteText"/>
      </w:pPr>
      <w:r>
        <w:rPr>
          <w:rStyle w:val="FootnoteReference"/>
        </w:rPr>
        <w:footnoteRef/>
      </w:r>
      <w:r>
        <w:t xml:space="preserve"> </w:t>
      </w:r>
      <w:r w:rsidRPr="00375909">
        <w:t>Carbon benefits based on Forest Vegetation Simulator runs conducted the USFS Regional Silviculturist comparing forest stand carbon values of planting an acre deforested by fire to an acre of natural regeneration following fire and the subsequent growth to 2050.</w:t>
      </w:r>
    </w:p>
  </w:footnote>
  <w:footnote w:id="3">
    <w:p w:rsidR="00102EC6" w:rsidRDefault="00102EC6" w:rsidP="00DC1A2E">
      <w:pPr>
        <w:pStyle w:val="FootnoteText"/>
      </w:pPr>
      <w:r>
        <w:rPr>
          <w:rStyle w:val="FootnoteReference"/>
        </w:rPr>
        <w:footnoteRef/>
      </w:r>
      <w:r>
        <w:t xml:space="preserve"> </w:t>
      </w:r>
      <w:r w:rsidRPr="00375909">
        <w:t>Carbon benefits based considered the net difference of stand carbon values from fuels treatment and subsequent wildfire and carbon values from no fuels treatment and subsequent wildfire. Calculations were based on carbon values for Sierran west side conifer stands provided in Forest Ecology and Management 261 (2011) 1115-1120 “High severity wildfire effects on carbon stocks and emissions in fuels treated and untreated forest” by Malcolm P. North and Matthew D. Hu</w:t>
      </w:r>
      <w:r>
        <w:t>r</w:t>
      </w:r>
      <w:r w:rsidRPr="00375909">
        <w:t>teau.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1F1"/>
    <w:multiLevelType w:val="hybridMultilevel"/>
    <w:tmpl w:val="1E38C24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A6030B6"/>
    <w:multiLevelType w:val="hybridMultilevel"/>
    <w:tmpl w:val="2CDC7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5324A"/>
    <w:multiLevelType w:val="hybridMultilevel"/>
    <w:tmpl w:val="76DE80E0"/>
    <w:lvl w:ilvl="0" w:tplc="6B82D1D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370996"/>
    <w:multiLevelType w:val="hybridMultilevel"/>
    <w:tmpl w:val="DCBA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62121B"/>
    <w:multiLevelType w:val="hybridMultilevel"/>
    <w:tmpl w:val="E842A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604307"/>
    <w:multiLevelType w:val="hybridMultilevel"/>
    <w:tmpl w:val="1B7C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F40D9"/>
    <w:multiLevelType w:val="hybridMultilevel"/>
    <w:tmpl w:val="25BA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2A058F"/>
    <w:multiLevelType w:val="hybridMultilevel"/>
    <w:tmpl w:val="8700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0D2EB2"/>
    <w:multiLevelType w:val="hybridMultilevel"/>
    <w:tmpl w:val="5F5CA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340419"/>
    <w:multiLevelType w:val="hybridMultilevel"/>
    <w:tmpl w:val="D744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D640A"/>
    <w:multiLevelType w:val="hybridMultilevel"/>
    <w:tmpl w:val="488A2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D30106"/>
    <w:multiLevelType w:val="hybridMultilevel"/>
    <w:tmpl w:val="A6D60A8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FF938FA"/>
    <w:multiLevelType w:val="hybridMultilevel"/>
    <w:tmpl w:val="C4800110"/>
    <w:lvl w:ilvl="0" w:tplc="A54E40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4"/>
  </w:num>
  <w:num w:numId="5">
    <w:abstractNumId w:val="3"/>
  </w:num>
  <w:num w:numId="6">
    <w:abstractNumId w:val="2"/>
  </w:num>
  <w:num w:numId="7">
    <w:abstractNumId w:val="6"/>
  </w:num>
  <w:num w:numId="8">
    <w:abstractNumId w:val="9"/>
  </w:num>
  <w:num w:numId="9">
    <w:abstractNumId w:va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DA"/>
    <w:rsid w:val="00042D0F"/>
    <w:rsid w:val="00047F6E"/>
    <w:rsid w:val="00051339"/>
    <w:rsid w:val="00054DA4"/>
    <w:rsid w:val="000645A2"/>
    <w:rsid w:val="00067198"/>
    <w:rsid w:val="0007005F"/>
    <w:rsid w:val="000831E9"/>
    <w:rsid w:val="00084E6E"/>
    <w:rsid w:val="0009560D"/>
    <w:rsid w:val="000967F5"/>
    <w:rsid w:val="000B15F5"/>
    <w:rsid w:val="000D17DA"/>
    <w:rsid w:val="000D6D11"/>
    <w:rsid w:val="000F128E"/>
    <w:rsid w:val="000F15B6"/>
    <w:rsid w:val="000F2061"/>
    <w:rsid w:val="000F7B90"/>
    <w:rsid w:val="00102EC6"/>
    <w:rsid w:val="00104E51"/>
    <w:rsid w:val="00133796"/>
    <w:rsid w:val="00141B5A"/>
    <w:rsid w:val="00146DCD"/>
    <w:rsid w:val="0016479F"/>
    <w:rsid w:val="00170168"/>
    <w:rsid w:val="00176343"/>
    <w:rsid w:val="0017768B"/>
    <w:rsid w:val="00177A1F"/>
    <w:rsid w:val="001811B7"/>
    <w:rsid w:val="001954E4"/>
    <w:rsid w:val="001A1252"/>
    <w:rsid w:val="001B2066"/>
    <w:rsid w:val="001B2245"/>
    <w:rsid w:val="001B2E81"/>
    <w:rsid w:val="001D1971"/>
    <w:rsid w:val="001F47BB"/>
    <w:rsid w:val="001F7A36"/>
    <w:rsid w:val="002138B3"/>
    <w:rsid w:val="00213E23"/>
    <w:rsid w:val="002224B7"/>
    <w:rsid w:val="002314BD"/>
    <w:rsid w:val="002404C2"/>
    <w:rsid w:val="0024541B"/>
    <w:rsid w:val="0026465D"/>
    <w:rsid w:val="0027720C"/>
    <w:rsid w:val="00282C9B"/>
    <w:rsid w:val="00287EBC"/>
    <w:rsid w:val="002B70FB"/>
    <w:rsid w:val="002D1580"/>
    <w:rsid w:val="002E69E0"/>
    <w:rsid w:val="002E758B"/>
    <w:rsid w:val="002F65D4"/>
    <w:rsid w:val="002F737E"/>
    <w:rsid w:val="00316610"/>
    <w:rsid w:val="0031734F"/>
    <w:rsid w:val="003573D0"/>
    <w:rsid w:val="00357ACB"/>
    <w:rsid w:val="00364FBF"/>
    <w:rsid w:val="00367B10"/>
    <w:rsid w:val="00375AA7"/>
    <w:rsid w:val="003806B3"/>
    <w:rsid w:val="00380DC8"/>
    <w:rsid w:val="003837EC"/>
    <w:rsid w:val="00395F63"/>
    <w:rsid w:val="003C34B3"/>
    <w:rsid w:val="003C4C90"/>
    <w:rsid w:val="003C708F"/>
    <w:rsid w:val="003E1BAE"/>
    <w:rsid w:val="00410328"/>
    <w:rsid w:val="00410BA2"/>
    <w:rsid w:val="00415D21"/>
    <w:rsid w:val="004316F1"/>
    <w:rsid w:val="00443878"/>
    <w:rsid w:val="00462D3C"/>
    <w:rsid w:val="004650A7"/>
    <w:rsid w:val="00490219"/>
    <w:rsid w:val="004975E6"/>
    <w:rsid w:val="00497A34"/>
    <w:rsid w:val="004D0802"/>
    <w:rsid w:val="004D21F8"/>
    <w:rsid w:val="004D280F"/>
    <w:rsid w:val="004E42CE"/>
    <w:rsid w:val="00505503"/>
    <w:rsid w:val="005233AE"/>
    <w:rsid w:val="00533710"/>
    <w:rsid w:val="00537E78"/>
    <w:rsid w:val="005453CD"/>
    <w:rsid w:val="00555297"/>
    <w:rsid w:val="00557EB0"/>
    <w:rsid w:val="00570D50"/>
    <w:rsid w:val="0057426A"/>
    <w:rsid w:val="0058073D"/>
    <w:rsid w:val="00586CB5"/>
    <w:rsid w:val="00590512"/>
    <w:rsid w:val="00592B36"/>
    <w:rsid w:val="005A026E"/>
    <w:rsid w:val="005B73C6"/>
    <w:rsid w:val="005D1456"/>
    <w:rsid w:val="005D635C"/>
    <w:rsid w:val="005E18E4"/>
    <w:rsid w:val="005E3CA9"/>
    <w:rsid w:val="00603253"/>
    <w:rsid w:val="006058BF"/>
    <w:rsid w:val="006123EA"/>
    <w:rsid w:val="006225B7"/>
    <w:rsid w:val="00650FAF"/>
    <w:rsid w:val="0066596B"/>
    <w:rsid w:val="00667B7A"/>
    <w:rsid w:val="0069762A"/>
    <w:rsid w:val="006B37B5"/>
    <w:rsid w:val="006C15B4"/>
    <w:rsid w:val="006C7D67"/>
    <w:rsid w:val="006C7DC9"/>
    <w:rsid w:val="006D6CD9"/>
    <w:rsid w:val="006E35E5"/>
    <w:rsid w:val="006E4B38"/>
    <w:rsid w:val="006E5005"/>
    <w:rsid w:val="006F19D4"/>
    <w:rsid w:val="0071272E"/>
    <w:rsid w:val="00727A8E"/>
    <w:rsid w:val="00732AB4"/>
    <w:rsid w:val="0074285B"/>
    <w:rsid w:val="007537F6"/>
    <w:rsid w:val="007547A1"/>
    <w:rsid w:val="00757C72"/>
    <w:rsid w:val="00761987"/>
    <w:rsid w:val="0077194F"/>
    <w:rsid w:val="007840B0"/>
    <w:rsid w:val="0079117F"/>
    <w:rsid w:val="007963EE"/>
    <w:rsid w:val="007B00A7"/>
    <w:rsid w:val="007F0F21"/>
    <w:rsid w:val="007F414E"/>
    <w:rsid w:val="007F6404"/>
    <w:rsid w:val="008032E1"/>
    <w:rsid w:val="00806115"/>
    <w:rsid w:val="00821452"/>
    <w:rsid w:val="008362EA"/>
    <w:rsid w:val="00836E57"/>
    <w:rsid w:val="00837B61"/>
    <w:rsid w:val="0086152D"/>
    <w:rsid w:val="008724B7"/>
    <w:rsid w:val="00885D79"/>
    <w:rsid w:val="00893328"/>
    <w:rsid w:val="008962DA"/>
    <w:rsid w:val="008A3234"/>
    <w:rsid w:val="008C76F1"/>
    <w:rsid w:val="008C781F"/>
    <w:rsid w:val="008D4654"/>
    <w:rsid w:val="008D7323"/>
    <w:rsid w:val="008E1A8A"/>
    <w:rsid w:val="008F265A"/>
    <w:rsid w:val="009005E1"/>
    <w:rsid w:val="00912B69"/>
    <w:rsid w:val="00922F38"/>
    <w:rsid w:val="0092452B"/>
    <w:rsid w:val="00930A8F"/>
    <w:rsid w:val="00936845"/>
    <w:rsid w:val="00945226"/>
    <w:rsid w:val="0094664B"/>
    <w:rsid w:val="00957B20"/>
    <w:rsid w:val="0097201E"/>
    <w:rsid w:val="00985587"/>
    <w:rsid w:val="009A30EF"/>
    <w:rsid w:val="009C7A3E"/>
    <w:rsid w:val="009E77D6"/>
    <w:rsid w:val="009F62C4"/>
    <w:rsid w:val="00A04A00"/>
    <w:rsid w:val="00A120B3"/>
    <w:rsid w:val="00A14CC8"/>
    <w:rsid w:val="00A24142"/>
    <w:rsid w:val="00A247D9"/>
    <w:rsid w:val="00A27916"/>
    <w:rsid w:val="00A32B9D"/>
    <w:rsid w:val="00A47154"/>
    <w:rsid w:val="00A53F55"/>
    <w:rsid w:val="00A55604"/>
    <w:rsid w:val="00A74889"/>
    <w:rsid w:val="00A74B10"/>
    <w:rsid w:val="00A873CD"/>
    <w:rsid w:val="00AA1652"/>
    <w:rsid w:val="00AA455F"/>
    <w:rsid w:val="00AA7DA8"/>
    <w:rsid w:val="00AB2DB7"/>
    <w:rsid w:val="00AC1F34"/>
    <w:rsid w:val="00AD7F03"/>
    <w:rsid w:val="00AE589A"/>
    <w:rsid w:val="00AF03ED"/>
    <w:rsid w:val="00AF7FE9"/>
    <w:rsid w:val="00B15B80"/>
    <w:rsid w:val="00B270DD"/>
    <w:rsid w:val="00B34D69"/>
    <w:rsid w:val="00B579A3"/>
    <w:rsid w:val="00B61B72"/>
    <w:rsid w:val="00B76788"/>
    <w:rsid w:val="00B9175D"/>
    <w:rsid w:val="00BA0BBF"/>
    <w:rsid w:val="00BB2694"/>
    <w:rsid w:val="00BB75A9"/>
    <w:rsid w:val="00BC3BF8"/>
    <w:rsid w:val="00BC7F11"/>
    <w:rsid w:val="00C0240F"/>
    <w:rsid w:val="00C078F8"/>
    <w:rsid w:val="00C4054E"/>
    <w:rsid w:val="00C406A7"/>
    <w:rsid w:val="00C47DE8"/>
    <w:rsid w:val="00C52C18"/>
    <w:rsid w:val="00C5533C"/>
    <w:rsid w:val="00C60D7D"/>
    <w:rsid w:val="00C640CC"/>
    <w:rsid w:val="00CA5CAE"/>
    <w:rsid w:val="00CB5DE8"/>
    <w:rsid w:val="00CB78E5"/>
    <w:rsid w:val="00CC414C"/>
    <w:rsid w:val="00CD1CEB"/>
    <w:rsid w:val="00CD2BAE"/>
    <w:rsid w:val="00CD644E"/>
    <w:rsid w:val="00CF3AC1"/>
    <w:rsid w:val="00CF46DA"/>
    <w:rsid w:val="00CF4B8D"/>
    <w:rsid w:val="00CF77CB"/>
    <w:rsid w:val="00D0640E"/>
    <w:rsid w:val="00D06DDB"/>
    <w:rsid w:val="00D07D57"/>
    <w:rsid w:val="00D17CEF"/>
    <w:rsid w:val="00D267B2"/>
    <w:rsid w:val="00D36447"/>
    <w:rsid w:val="00D47B2C"/>
    <w:rsid w:val="00D53376"/>
    <w:rsid w:val="00D6629C"/>
    <w:rsid w:val="00D7128B"/>
    <w:rsid w:val="00D81003"/>
    <w:rsid w:val="00D81872"/>
    <w:rsid w:val="00D833E3"/>
    <w:rsid w:val="00DA4269"/>
    <w:rsid w:val="00DA42DD"/>
    <w:rsid w:val="00DC1A2E"/>
    <w:rsid w:val="00DC607E"/>
    <w:rsid w:val="00DD262B"/>
    <w:rsid w:val="00DD2BC5"/>
    <w:rsid w:val="00DE57BF"/>
    <w:rsid w:val="00DF0CD3"/>
    <w:rsid w:val="00E04F4B"/>
    <w:rsid w:val="00E072D0"/>
    <w:rsid w:val="00E07664"/>
    <w:rsid w:val="00E14FBA"/>
    <w:rsid w:val="00E20311"/>
    <w:rsid w:val="00E351B5"/>
    <w:rsid w:val="00E36C74"/>
    <w:rsid w:val="00E62E4F"/>
    <w:rsid w:val="00E6353C"/>
    <w:rsid w:val="00E66FDE"/>
    <w:rsid w:val="00E73F6F"/>
    <w:rsid w:val="00E75171"/>
    <w:rsid w:val="00E870C3"/>
    <w:rsid w:val="00E91791"/>
    <w:rsid w:val="00E9745E"/>
    <w:rsid w:val="00EB0F5A"/>
    <w:rsid w:val="00EB587B"/>
    <w:rsid w:val="00EC5520"/>
    <w:rsid w:val="00EE2F65"/>
    <w:rsid w:val="00EE608B"/>
    <w:rsid w:val="00F13D71"/>
    <w:rsid w:val="00F152B9"/>
    <w:rsid w:val="00F1544F"/>
    <w:rsid w:val="00F20FAE"/>
    <w:rsid w:val="00F31F21"/>
    <w:rsid w:val="00F71495"/>
    <w:rsid w:val="00F75AA3"/>
    <w:rsid w:val="00F77625"/>
    <w:rsid w:val="00F91250"/>
    <w:rsid w:val="00F9310B"/>
    <w:rsid w:val="00FB34D0"/>
    <w:rsid w:val="00FB6343"/>
    <w:rsid w:val="00FC3D11"/>
    <w:rsid w:val="00FD1BA6"/>
    <w:rsid w:val="00FE0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1A2E"/>
    <w:rPr>
      <w:rFonts w:ascii="Arial" w:hAnsi="Arial"/>
      <w:sz w:val="24"/>
      <w:szCs w:val="24"/>
      <w:lang w:eastAsia="ko-KR"/>
    </w:rPr>
  </w:style>
  <w:style w:type="paragraph" w:styleId="Heading2">
    <w:name w:val="heading 2"/>
    <w:basedOn w:val="Normal"/>
    <w:link w:val="Heading2Char"/>
    <w:uiPriority w:val="9"/>
    <w:qFormat/>
    <w:rsid w:val="00922F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7DA"/>
    <w:pPr>
      <w:ind w:left="720"/>
      <w:contextualSpacing/>
    </w:pPr>
  </w:style>
  <w:style w:type="paragraph" w:styleId="BalloonText">
    <w:name w:val="Balloon Text"/>
    <w:basedOn w:val="Normal"/>
    <w:link w:val="BalloonTextChar"/>
    <w:rsid w:val="00DA4269"/>
    <w:rPr>
      <w:rFonts w:ascii="Lucida Grande" w:hAnsi="Lucida Grande" w:cs="Lucida Grande"/>
      <w:sz w:val="18"/>
      <w:szCs w:val="18"/>
    </w:rPr>
  </w:style>
  <w:style w:type="character" w:customStyle="1" w:styleId="BalloonTextChar">
    <w:name w:val="Balloon Text Char"/>
    <w:basedOn w:val="DefaultParagraphFont"/>
    <w:link w:val="BalloonText"/>
    <w:rsid w:val="00DA4269"/>
    <w:rPr>
      <w:rFonts w:ascii="Lucida Grande" w:hAnsi="Lucida Grande" w:cs="Lucida Grande"/>
      <w:sz w:val="18"/>
      <w:szCs w:val="18"/>
      <w:lang w:eastAsia="ko-KR"/>
    </w:rPr>
  </w:style>
  <w:style w:type="character" w:styleId="CommentReference">
    <w:name w:val="annotation reference"/>
    <w:basedOn w:val="DefaultParagraphFont"/>
    <w:rsid w:val="00213E23"/>
    <w:rPr>
      <w:sz w:val="16"/>
      <w:szCs w:val="16"/>
    </w:rPr>
  </w:style>
  <w:style w:type="paragraph" w:styleId="CommentText">
    <w:name w:val="annotation text"/>
    <w:basedOn w:val="Normal"/>
    <w:link w:val="CommentTextChar"/>
    <w:rsid w:val="00213E23"/>
    <w:rPr>
      <w:sz w:val="20"/>
      <w:szCs w:val="20"/>
    </w:rPr>
  </w:style>
  <w:style w:type="character" w:customStyle="1" w:styleId="CommentTextChar">
    <w:name w:val="Comment Text Char"/>
    <w:basedOn w:val="DefaultParagraphFont"/>
    <w:link w:val="CommentText"/>
    <w:rsid w:val="00213E23"/>
    <w:rPr>
      <w:rFonts w:ascii="Arial" w:hAnsi="Arial"/>
      <w:lang w:eastAsia="ko-KR"/>
    </w:rPr>
  </w:style>
  <w:style w:type="paragraph" w:styleId="CommentSubject">
    <w:name w:val="annotation subject"/>
    <w:basedOn w:val="CommentText"/>
    <w:next w:val="CommentText"/>
    <w:link w:val="CommentSubjectChar"/>
    <w:rsid w:val="00213E23"/>
    <w:rPr>
      <w:b/>
      <w:bCs/>
    </w:rPr>
  </w:style>
  <w:style w:type="character" w:customStyle="1" w:styleId="CommentSubjectChar">
    <w:name w:val="Comment Subject Char"/>
    <w:basedOn w:val="CommentTextChar"/>
    <w:link w:val="CommentSubject"/>
    <w:rsid w:val="00213E23"/>
    <w:rPr>
      <w:rFonts w:ascii="Arial" w:hAnsi="Arial"/>
      <w:b/>
      <w:bCs/>
      <w:lang w:eastAsia="ko-KR"/>
    </w:rPr>
  </w:style>
  <w:style w:type="character" w:styleId="Hyperlink">
    <w:name w:val="Hyperlink"/>
    <w:basedOn w:val="DefaultParagraphFont"/>
    <w:uiPriority w:val="99"/>
    <w:unhideWhenUsed/>
    <w:rsid w:val="008724B7"/>
    <w:rPr>
      <w:color w:val="0000FF"/>
      <w:u w:val="single"/>
    </w:rPr>
  </w:style>
  <w:style w:type="table" w:styleId="TableGrid">
    <w:name w:val="Table Grid"/>
    <w:basedOn w:val="TableNormal"/>
    <w:rsid w:val="00946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E589A"/>
    <w:pPr>
      <w:tabs>
        <w:tab w:val="center" w:pos="4680"/>
        <w:tab w:val="right" w:pos="9360"/>
      </w:tabs>
    </w:pPr>
  </w:style>
  <w:style w:type="character" w:customStyle="1" w:styleId="HeaderChar">
    <w:name w:val="Header Char"/>
    <w:basedOn w:val="DefaultParagraphFont"/>
    <w:link w:val="Header"/>
    <w:rsid w:val="00AE589A"/>
    <w:rPr>
      <w:rFonts w:ascii="Arial" w:hAnsi="Arial"/>
      <w:sz w:val="24"/>
      <w:szCs w:val="24"/>
      <w:lang w:eastAsia="ko-KR"/>
    </w:rPr>
  </w:style>
  <w:style w:type="paragraph" w:styleId="Footer">
    <w:name w:val="footer"/>
    <w:basedOn w:val="Normal"/>
    <w:link w:val="FooterChar"/>
    <w:uiPriority w:val="99"/>
    <w:rsid w:val="00AE589A"/>
    <w:pPr>
      <w:tabs>
        <w:tab w:val="center" w:pos="4680"/>
        <w:tab w:val="right" w:pos="9360"/>
      </w:tabs>
    </w:pPr>
  </w:style>
  <w:style w:type="character" w:customStyle="1" w:styleId="FooterChar">
    <w:name w:val="Footer Char"/>
    <w:basedOn w:val="DefaultParagraphFont"/>
    <w:link w:val="Footer"/>
    <w:uiPriority w:val="99"/>
    <w:rsid w:val="00AE589A"/>
    <w:rPr>
      <w:rFonts w:ascii="Arial" w:hAnsi="Arial"/>
      <w:sz w:val="24"/>
      <w:szCs w:val="24"/>
      <w:lang w:eastAsia="ko-KR"/>
    </w:rPr>
  </w:style>
  <w:style w:type="character" w:styleId="Emphasis">
    <w:name w:val="Emphasis"/>
    <w:basedOn w:val="DefaultParagraphFont"/>
    <w:qFormat/>
    <w:rsid w:val="006E5005"/>
    <w:rPr>
      <w:i/>
      <w:iCs/>
    </w:rPr>
  </w:style>
  <w:style w:type="paragraph" w:styleId="EndnoteText">
    <w:name w:val="endnote text"/>
    <w:basedOn w:val="Normal"/>
    <w:link w:val="EndnoteTextChar"/>
    <w:rsid w:val="00DC1A2E"/>
    <w:rPr>
      <w:sz w:val="20"/>
      <w:szCs w:val="20"/>
    </w:rPr>
  </w:style>
  <w:style w:type="character" w:customStyle="1" w:styleId="EndnoteTextChar">
    <w:name w:val="Endnote Text Char"/>
    <w:basedOn w:val="DefaultParagraphFont"/>
    <w:link w:val="EndnoteText"/>
    <w:rsid w:val="00DC1A2E"/>
    <w:rPr>
      <w:rFonts w:ascii="Arial" w:hAnsi="Arial"/>
      <w:lang w:eastAsia="ko-KR"/>
    </w:rPr>
  </w:style>
  <w:style w:type="character" w:styleId="EndnoteReference">
    <w:name w:val="endnote reference"/>
    <w:basedOn w:val="DefaultParagraphFont"/>
    <w:rsid w:val="00DC1A2E"/>
    <w:rPr>
      <w:vertAlign w:val="superscript"/>
    </w:rPr>
  </w:style>
  <w:style w:type="character" w:customStyle="1" w:styleId="Heading2Char">
    <w:name w:val="Heading 2 Char"/>
    <w:basedOn w:val="DefaultParagraphFont"/>
    <w:link w:val="Heading2"/>
    <w:uiPriority w:val="9"/>
    <w:rsid w:val="00922F38"/>
    <w:rPr>
      <w:rFonts w:ascii="Times" w:hAnsi="Times"/>
      <w:b/>
      <w:bCs/>
      <w:sz w:val="36"/>
      <w:szCs w:val="36"/>
    </w:rPr>
  </w:style>
  <w:style w:type="paragraph" w:styleId="Revision">
    <w:name w:val="Revision"/>
    <w:hidden/>
    <w:uiPriority w:val="99"/>
    <w:semiHidden/>
    <w:rsid w:val="003C708F"/>
    <w:rPr>
      <w:rFonts w:ascii="Arial" w:hAnsi="Arial"/>
      <w:sz w:val="24"/>
      <w:szCs w:val="24"/>
      <w:lang w:eastAsia="ko-KR"/>
    </w:rPr>
  </w:style>
  <w:style w:type="paragraph" w:styleId="FootnoteText">
    <w:name w:val="footnote text"/>
    <w:basedOn w:val="Normal"/>
    <w:link w:val="FootnoteTextChar"/>
    <w:rsid w:val="00102EC6"/>
    <w:rPr>
      <w:sz w:val="20"/>
      <w:szCs w:val="20"/>
    </w:rPr>
  </w:style>
  <w:style w:type="character" w:customStyle="1" w:styleId="FootnoteTextChar">
    <w:name w:val="Footnote Text Char"/>
    <w:basedOn w:val="DefaultParagraphFont"/>
    <w:link w:val="FootnoteText"/>
    <w:rsid w:val="00102EC6"/>
    <w:rPr>
      <w:rFonts w:ascii="Arial" w:hAnsi="Arial"/>
      <w:lang w:eastAsia="ko-KR"/>
    </w:rPr>
  </w:style>
  <w:style w:type="character" w:styleId="FootnoteReference">
    <w:name w:val="footnote reference"/>
    <w:basedOn w:val="DefaultParagraphFont"/>
    <w:rsid w:val="00102EC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1A2E"/>
    <w:rPr>
      <w:rFonts w:ascii="Arial" w:hAnsi="Arial"/>
      <w:sz w:val="24"/>
      <w:szCs w:val="24"/>
      <w:lang w:eastAsia="ko-KR"/>
    </w:rPr>
  </w:style>
  <w:style w:type="paragraph" w:styleId="Heading2">
    <w:name w:val="heading 2"/>
    <w:basedOn w:val="Normal"/>
    <w:link w:val="Heading2Char"/>
    <w:uiPriority w:val="9"/>
    <w:qFormat/>
    <w:rsid w:val="00922F38"/>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7DA"/>
    <w:pPr>
      <w:ind w:left="720"/>
      <w:contextualSpacing/>
    </w:pPr>
  </w:style>
  <w:style w:type="paragraph" w:styleId="BalloonText">
    <w:name w:val="Balloon Text"/>
    <w:basedOn w:val="Normal"/>
    <w:link w:val="BalloonTextChar"/>
    <w:rsid w:val="00DA4269"/>
    <w:rPr>
      <w:rFonts w:ascii="Lucida Grande" w:hAnsi="Lucida Grande" w:cs="Lucida Grande"/>
      <w:sz w:val="18"/>
      <w:szCs w:val="18"/>
    </w:rPr>
  </w:style>
  <w:style w:type="character" w:customStyle="1" w:styleId="BalloonTextChar">
    <w:name w:val="Balloon Text Char"/>
    <w:basedOn w:val="DefaultParagraphFont"/>
    <w:link w:val="BalloonText"/>
    <w:rsid w:val="00DA4269"/>
    <w:rPr>
      <w:rFonts w:ascii="Lucida Grande" w:hAnsi="Lucida Grande" w:cs="Lucida Grande"/>
      <w:sz w:val="18"/>
      <w:szCs w:val="18"/>
      <w:lang w:eastAsia="ko-KR"/>
    </w:rPr>
  </w:style>
  <w:style w:type="character" w:styleId="CommentReference">
    <w:name w:val="annotation reference"/>
    <w:basedOn w:val="DefaultParagraphFont"/>
    <w:rsid w:val="00213E23"/>
    <w:rPr>
      <w:sz w:val="16"/>
      <w:szCs w:val="16"/>
    </w:rPr>
  </w:style>
  <w:style w:type="paragraph" w:styleId="CommentText">
    <w:name w:val="annotation text"/>
    <w:basedOn w:val="Normal"/>
    <w:link w:val="CommentTextChar"/>
    <w:rsid w:val="00213E23"/>
    <w:rPr>
      <w:sz w:val="20"/>
      <w:szCs w:val="20"/>
    </w:rPr>
  </w:style>
  <w:style w:type="character" w:customStyle="1" w:styleId="CommentTextChar">
    <w:name w:val="Comment Text Char"/>
    <w:basedOn w:val="DefaultParagraphFont"/>
    <w:link w:val="CommentText"/>
    <w:rsid w:val="00213E23"/>
    <w:rPr>
      <w:rFonts w:ascii="Arial" w:hAnsi="Arial"/>
      <w:lang w:eastAsia="ko-KR"/>
    </w:rPr>
  </w:style>
  <w:style w:type="paragraph" w:styleId="CommentSubject">
    <w:name w:val="annotation subject"/>
    <w:basedOn w:val="CommentText"/>
    <w:next w:val="CommentText"/>
    <w:link w:val="CommentSubjectChar"/>
    <w:rsid w:val="00213E23"/>
    <w:rPr>
      <w:b/>
      <w:bCs/>
    </w:rPr>
  </w:style>
  <w:style w:type="character" w:customStyle="1" w:styleId="CommentSubjectChar">
    <w:name w:val="Comment Subject Char"/>
    <w:basedOn w:val="CommentTextChar"/>
    <w:link w:val="CommentSubject"/>
    <w:rsid w:val="00213E23"/>
    <w:rPr>
      <w:rFonts w:ascii="Arial" w:hAnsi="Arial"/>
      <w:b/>
      <w:bCs/>
      <w:lang w:eastAsia="ko-KR"/>
    </w:rPr>
  </w:style>
  <w:style w:type="character" w:styleId="Hyperlink">
    <w:name w:val="Hyperlink"/>
    <w:basedOn w:val="DefaultParagraphFont"/>
    <w:uiPriority w:val="99"/>
    <w:unhideWhenUsed/>
    <w:rsid w:val="008724B7"/>
    <w:rPr>
      <w:color w:val="0000FF"/>
      <w:u w:val="single"/>
    </w:rPr>
  </w:style>
  <w:style w:type="table" w:styleId="TableGrid">
    <w:name w:val="Table Grid"/>
    <w:basedOn w:val="TableNormal"/>
    <w:rsid w:val="009466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E589A"/>
    <w:pPr>
      <w:tabs>
        <w:tab w:val="center" w:pos="4680"/>
        <w:tab w:val="right" w:pos="9360"/>
      </w:tabs>
    </w:pPr>
  </w:style>
  <w:style w:type="character" w:customStyle="1" w:styleId="HeaderChar">
    <w:name w:val="Header Char"/>
    <w:basedOn w:val="DefaultParagraphFont"/>
    <w:link w:val="Header"/>
    <w:rsid w:val="00AE589A"/>
    <w:rPr>
      <w:rFonts w:ascii="Arial" w:hAnsi="Arial"/>
      <w:sz w:val="24"/>
      <w:szCs w:val="24"/>
      <w:lang w:eastAsia="ko-KR"/>
    </w:rPr>
  </w:style>
  <w:style w:type="paragraph" w:styleId="Footer">
    <w:name w:val="footer"/>
    <w:basedOn w:val="Normal"/>
    <w:link w:val="FooterChar"/>
    <w:uiPriority w:val="99"/>
    <w:rsid w:val="00AE589A"/>
    <w:pPr>
      <w:tabs>
        <w:tab w:val="center" w:pos="4680"/>
        <w:tab w:val="right" w:pos="9360"/>
      </w:tabs>
    </w:pPr>
  </w:style>
  <w:style w:type="character" w:customStyle="1" w:styleId="FooterChar">
    <w:name w:val="Footer Char"/>
    <w:basedOn w:val="DefaultParagraphFont"/>
    <w:link w:val="Footer"/>
    <w:uiPriority w:val="99"/>
    <w:rsid w:val="00AE589A"/>
    <w:rPr>
      <w:rFonts w:ascii="Arial" w:hAnsi="Arial"/>
      <w:sz w:val="24"/>
      <w:szCs w:val="24"/>
      <w:lang w:eastAsia="ko-KR"/>
    </w:rPr>
  </w:style>
  <w:style w:type="character" w:styleId="Emphasis">
    <w:name w:val="Emphasis"/>
    <w:basedOn w:val="DefaultParagraphFont"/>
    <w:qFormat/>
    <w:rsid w:val="006E5005"/>
    <w:rPr>
      <w:i/>
      <w:iCs/>
    </w:rPr>
  </w:style>
  <w:style w:type="paragraph" w:styleId="EndnoteText">
    <w:name w:val="endnote text"/>
    <w:basedOn w:val="Normal"/>
    <w:link w:val="EndnoteTextChar"/>
    <w:rsid w:val="00DC1A2E"/>
    <w:rPr>
      <w:sz w:val="20"/>
      <w:szCs w:val="20"/>
    </w:rPr>
  </w:style>
  <w:style w:type="character" w:customStyle="1" w:styleId="EndnoteTextChar">
    <w:name w:val="Endnote Text Char"/>
    <w:basedOn w:val="DefaultParagraphFont"/>
    <w:link w:val="EndnoteText"/>
    <w:rsid w:val="00DC1A2E"/>
    <w:rPr>
      <w:rFonts w:ascii="Arial" w:hAnsi="Arial"/>
      <w:lang w:eastAsia="ko-KR"/>
    </w:rPr>
  </w:style>
  <w:style w:type="character" w:styleId="EndnoteReference">
    <w:name w:val="endnote reference"/>
    <w:basedOn w:val="DefaultParagraphFont"/>
    <w:rsid w:val="00DC1A2E"/>
    <w:rPr>
      <w:vertAlign w:val="superscript"/>
    </w:rPr>
  </w:style>
  <w:style w:type="character" w:customStyle="1" w:styleId="Heading2Char">
    <w:name w:val="Heading 2 Char"/>
    <w:basedOn w:val="DefaultParagraphFont"/>
    <w:link w:val="Heading2"/>
    <w:uiPriority w:val="9"/>
    <w:rsid w:val="00922F38"/>
    <w:rPr>
      <w:rFonts w:ascii="Times" w:hAnsi="Times"/>
      <w:b/>
      <w:bCs/>
      <w:sz w:val="36"/>
      <w:szCs w:val="36"/>
    </w:rPr>
  </w:style>
  <w:style w:type="paragraph" w:styleId="Revision">
    <w:name w:val="Revision"/>
    <w:hidden/>
    <w:uiPriority w:val="99"/>
    <w:semiHidden/>
    <w:rsid w:val="003C708F"/>
    <w:rPr>
      <w:rFonts w:ascii="Arial" w:hAnsi="Arial"/>
      <w:sz w:val="24"/>
      <w:szCs w:val="24"/>
      <w:lang w:eastAsia="ko-KR"/>
    </w:rPr>
  </w:style>
  <w:style w:type="paragraph" w:styleId="FootnoteText">
    <w:name w:val="footnote text"/>
    <w:basedOn w:val="Normal"/>
    <w:link w:val="FootnoteTextChar"/>
    <w:rsid w:val="00102EC6"/>
    <w:rPr>
      <w:sz w:val="20"/>
      <w:szCs w:val="20"/>
    </w:rPr>
  </w:style>
  <w:style w:type="character" w:customStyle="1" w:styleId="FootnoteTextChar">
    <w:name w:val="Footnote Text Char"/>
    <w:basedOn w:val="DefaultParagraphFont"/>
    <w:link w:val="FootnoteText"/>
    <w:rsid w:val="00102EC6"/>
    <w:rPr>
      <w:rFonts w:ascii="Arial" w:hAnsi="Arial"/>
      <w:lang w:eastAsia="ko-KR"/>
    </w:rPr>
  </w:style>
  <w:style w:type="character" w:styleId="FootnoteReference">
    <w:name w:val="footnote reference"/>
    <w:basedOn w:val="DefaultParagraphFont"/>
    <w:rsid w:val="00102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95852">
      <w:bodyDiv w:val="1"/>
      <w:marLeft w:val="0"/>
      <w:marRight w:val="0"/>
      <w:marTop w:val="0"/>
      <w:marBottom w:val="0"/>
      <w:divBdr>
        <w:top w:val="none" w:sz="0" w:space="0" w:color="auto"/>
        <w:left w:val="none" w:sz="0" w:space="0" w:color="auto"/>
        <w:bottom w:val="none" w:sz="0" w:space="0" w:color="auto"/>
        <w:right w:val="none" w:sz="0" w:space="0" w:color="auto"/>
      </w:divBdr>
    </w:div>
    <w:div w:id="295337123">
      <w:bodyDiv w:val="1"/>
      <w:marLeft w:val="0"/>
      <w:marRight w:val="0"/>
      <w:marTop w:val="0"/>
      <w:marBottom w:val="0"/>
      <w:divBdr>
        <w:top w:val="none" w:sz="0" w:space="0" w:color="auto"/>
        <w:left w:val="none" w:sz="0" w:space="0" w:color="auto"/>
        <w:bottom w:val="none" w:sz="0" w:space="0" w:color="auto"/>
        <w:right w:val="none" w:sz="0" w:space="0" w:color="auto"/>
      </w:divBdr>
      <w:divsChild>
        <w:div w:id="1955480287">
          <w:marLeft w:val="0"/>
          <w:marRight w:val="0"/>
          <w:marTop w:val="0"/>
          <w:marBottom w:val="0"/>
          <w:divBdr>
            <w:top w:val="none" w:sz="0" w:space="0" w:color="auto"/>
            <w:left w:val="none" w:sz="0" w:space="0" w:color="auto"/>
            <w:bottom w:val="none" w:sz="0" w:space="0" w:color="auto"/>
            <w:right w:val="none" w:sz="0" w:space="0" w:color="auto"/>
          </w:divBdr>
          <w:divsChild>
            <w:div w:id="28645561">
              <w:marLeft w:val="0"/>
              <w:marRight w:val="0"/>
              <w:marTop w:val="0"/>
              <w:marBottom w:val="0"/>
              <w:divBdr>
                <w:top w:val="none" w:sz="0" w:space="0" w:color="auto"/>
                <w:left w:val="none" w:sz="0" w:space="0" w:color="auto"/>
                <w:bottom w:val="none" w:sz="0" w:space="0" w:color="auto"/>
                <w:right w:val="none" w:sz="0" w:space="0" w:color="auto"/>
              </w:divBdr>
              <w:divsChild>
                <w:div w:id="10304706">
                  <w:marLeft w:val="0"/>
                  <w:marRight w:val="0"/>
                  <w:marTop w:val="0"/>
                  <w:marBottom w:val="0"/>
                  <w:divBdr>
                    <w:top w:val="none" w:sz="0" w:space="0" w:color="auto"/>
                    <w:left w:val="none" w:sz="0" w:space="0" w:color="auto"/>
                    <w:bottom w:val="none" w:sz="0" w:space="0" w:color="auto"/>
                    <w:right w:val="none" w:sz="0" w:space="0" w:color="auto"/>
                  </w:divBdr>
                  <w:divsChild>
                    <w:div w:id="1474519093">
                      <w:marLeft w:val="0"/>
                      <w:marRight w:val="0"/>
                      <w:marTop w:val="0"/>
                      <w:marBottom w:val="0"/>
                      <w:divBdr>
                        <w:top w:val="none" w:sz="0" w:space="0" w:color="auto"/>
                        <w:left w:val="none" w:sz="0" w:space="0" w:color="auto"/>
                        <w:bottom w:val="none" w:sz="0" w:space="0" w:color="auto"/>
                        <w:right w:val="none" w:sz="0" w:space="0" w:color="auto"/>
                      </w:divBdr>
                      <w:divsChild>
                        <w:div w:id="212934517">
                          <w:marLeft w:val="0"/>
                          <w:marRight w:val="0"/>
                          <w:marTop w:val="0"/>
                          <w:marBottom w:val="0"/>
                          <w:divBdr>
                            <w:top w:val="none" w:sz="0" w:space="0" w:color="auto"/>
                            <w:left w:val="none" w:sz="0" w:space="0" w:color="auto"/>
                            <w:bottom w:val="none" w:sz="0" w:space="0" w:color="auto"/>
                            <w:right w:val="none" w:sz="0" w:space="0" w:color="auto"/>
                          </w:divBdr>
                          <w:divsChild>
                            <w:div w:id="125482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30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cce.ucdavis.edu/files/repositoryfiles/ca6601p6-91748.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5467</Words>
  <Characters>31165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Henly, Russ</dc:creator>
  <cp:lastModifiedBy>Ekendra</cp:lastModifiedBy>
  <cp:revision>2</cp:revision>
  <cp:lastPrinted>2013-04-22T21:55:00Z</cp:lastPrinted>
  <dcterms:created xsi:type="dcterms:W3CDTF">2013-04-24T04:05:00Z</dcterms:created>
  <dcterms:modified xsi:type="dcterms:W3CDTF">2013-04-24T04:05:00Z</dcterms:modified>
</cp:coreProperties>
</file>