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211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627"/>
        <w:gridCol w:w="1784"/>
        <w:gridCol w:w="5002"/>
        <w:gridCol w:w="5491"/>
      </w:tblGrid>
      <w:tr w:rsidR="00925D75" w:rsidRPr="000307EF" w:rsidTr="00925D75">
        <w:trPr>
          <w:cantSplit/>
          <w:trHeight w:val="89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75" w:rsidRDefault="00925D75" w:rsidP="00925D7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Department of Defense </w:t>
            </w:r>
            <w:r w:rsidRPr="00DF4687">
              <w:rPr>
                <w:sz w:val="20"/>
              </w:rPr>
              <w:t>Comment Matrix</w:t>
            </w:r>
          </w:p>
          <w:p w:rsidR="00925D75" w:rsidRPr="00DF4687" w:rsidRDefault="00925D75" w:rsidP="00925D75">
            <w:pPr>
              <w:jc w:val="center"/>
            </w:pPr>
            <w:r>
              <w:t xml:space="preserve">Submitted: </w:t>
            </w:r>
            <w:r w:rsidR="0004062A">
              <w:t>17</w:t>
            </w:r>
            <w:r w:rsidRPr="00EE1927">
              <w:t xml:space="preserve"> </w:t>
            </w:r>
            <w:r>
              <w:t>October</w:t>
            </w:r>
            <w:r w:rsidRPr="00AE6190">
              <w:t xml:space="preserve"> </w:t>
            </w:r>
            <w:r w:rsidR="00C21E4B">
              <w:t>2022</w:t>
            </w:r>
          </w:p>
          <w:p w:rsidR="00925D75" w:rsidRDefault="00925D75" w:rsidP="00925D75">
            <w:pPr>
              <w:pStyle w:val="Heading1"/>
              <w:rPr>
                <w:sz w:val="20"/>
              </w:rPr>
            </w:pPr>
          </w:p>
          <w:p w:rsidR="00925D75" w:rsidRDefault="00925D75" w:rsidP="00925D7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California Air Resources Board </w:t>
            </w:r>
          </w:p>
          <w:p w:rsidR="00925D75" w:rsidRDefault="00C21E4B" w:rsidP="00925D75">
            <w:pPr>
              <w:jc w:val="center"/>
              <w:rPr>
                <w:b/>
              </w:rPr>
            </w:pPr>
            <w:r>
              <w:rPr>
                <w:b/>
              </w:rPr>
              <w:t>Advanced Clean Fleets</w:t>
            </w:r>
            <w:r w:rsidR="00BB30B4">
              <w:rPr>
                <w:b/>
              </w:rPr>
              <w:t xml:space="preserve"> Proposed Regulation</w:t>
            </w:r>
          </w:p>
          <w:p w:rsidR="00925D75" w:rsidRPr="00A52E83" w:rsidRDefault="00925D75" w:rsidP="00925D75">
            <w:pPr>
              <w:rPr>
                <w:b/>
              </w:rPr>
            </w:pPr>
          </w:p>
        </w:tc>
      </w:tr>
      <w:tr w:rsidR="00925D75" w:rsidRPr="000307EF" w:rsidTr="00925D75">
        <w:trPr>
          <w:cantSplit/>
          <w:tblHeader/>
        </w:trPr>
        <w:tc>
          <w:tcPr>
            <w:tcW w:w="380" w:type="pct"/>
            <w:vMerge w:val="restart"/>
            <w:tcBorders>
              <w:left w:val="single" w:sz="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Comment </w:t>
            </w:r>
            <w:r w:rsidRPr="000307EF">
              <w:rPr>
                <w:b/>
              </w:rPr>
              <w:t>#</w:t>
            </w:r>
          </w:p>
        </w:tc>
        <w:tc>
          <w:tcPr>
            <w:tcW w:w="863" w:type="pct"/>
            <w:gridSpan w:val="2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 w:rsidRPr="000307EF">
              <w:rPr>
                <w:b/>
              </w:rPr>
              <w:t>Location</w:t>
            </w:r>
          </w:p>
        </w:tc>
        <w:tc>
          <w:tcPr>
            <w:tcW w:w="1791" w:type="pct"/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Department of Defense </w:t>
            </w:r>
            <w:r w:rsidRPr="000307EF">
              <w:rPr>
                <w:b/>
              </w:rPr>
              <w:t>Comment</w:t>
            </w:r>
          </w:p>
        </w:tc>
        <w:tc>
          <w:tcPr>
            <w:tcW w:w="1966" w:type="pct"/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Specific Requested Revision </w:t>
            </w:r>
          </w:p>
        </w:tc>
      </w:tr>
      <w:tr w:rsidR="00925D75" w:rsidRPr="000307EF" w:rsidTr="00925D75">
        <w:trPr>
          <w:cantSplit/>
          <w:tblHeader/>
        </w:trPr>
        <w:tc>
          <w:tcPr>
            <w:tcW w:w="380" w:type="pct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4" w:type="pct"/>
            <w:tcBorders>
              <w:bottom w:val="thinThickSmallGap" w:sz="2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 w:rsidRPr="000307EF">
              <w:rPr>
                <w:b/>
              </w:rPr>
              <w:t>Page</w:t>
            </w:r>
          </w:p>
        </w:tc>
        <w:tc>
          <w:tcPr>
            <w:tcW w:w="639" w:type="pct"/>
            <w:tcBorders>
              <w:bottom w:val="thinThickSmallGap" w:sz="2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jc w:val="center"/>
              <w:rPr>
                <w:b/>
              </w:rPr>
            </w:pPr>
            <w:r w:rsidRPr="000307EF">
              <w:rPr>
                <w:b/>
              </w:rPr>
              <w:t>Section</w:t>
            </w:r>
          </w:p>
        </w:tc>
        <w:tc>
          <w:tcPr>
            <w:tcW w:w="1791" w:type="pct"/>
            <w:tcBorders>
              <w:bottom w:val="thinThickSmallGap" w:sz="2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rPr>
                <w:b/>
              </w:rPr>
            </w:pPr>
          </w:p>
        </w:tc>
        <w:tc>
          <w:tcPr>
            <w:tcW w:w="1966" w:type="pct"/>
            <w:tcBorders>
              <w:bottom w:val="thinThickSmallGap" w:sz="24" w:space="0" w:color="auto"/>
            </w:tcBorders>
            <w:vAlign w:val="center"/>
          </w:tcPr>
          <w:p w:rsidR="00925D75" w:rsidRPr="000307EF" w:rsidRDefault="00925D75" w:rsidP="00925D75">
            <w:pPr>
              <w:spacing w:before="60" w:after="60"/>
              <w:rPr>
                <w:b/>
              </w:rPr>
            </w:pPr>
          </w:p>
        </w:tc>
      </w:tr>
      <w:tr w:rsidR="00925D75" w:rsidRPr="000307EF" w:rsidTr="003D7926">
        <w:trPr>
          <w:cantSplit/>
          <w:trHeight w:val="1257"/>
        </w:trPr>
        <w:tc>
          <w:tcPr>
            <w:tcW w:w="380" w:type="pct"/>
            <w:tcBorders>
              <w:left w:val="single" w:sz="4" w:space="0" w:color="auto"/>
            </w:tcBorders>
          </w:tcPr>
          <w:p w:rsidR="00925D75" w:rsidRPr="000307EF" w:rsidRDefault="00BE5366" w:rsidP="00925D75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1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925D75" w:rsidRPr="000307EF" w:rsidRDefault="00BE5366" w:rsidP="00925D75">
            <w:pPr>
              <w:spacing w:before="60" w:after="60"/>
              <w:jc w:val="center"/>
            </w:pPr>
            <w:r>
              <w:t>A-2-9</w:t>
            </w:r>
          </w:p>
        </w:tc>
        <w:tc>
          <w:tcPr>
            <w:tcW w:w="639" w:type="pct"/>
          </w:tcPr>
          <w:p w:rsidR="00925D75" w:rsidRPr="000307EF" w:rsidRDefault="00BE5366" w:rsidP="00925D75">
            <w:pPr>
              <w:spacing w:before="60" w:after="60"/>
              <w:jc w:val="center"/>
            </w:pPr>
            <w:r>
              <w:t>2015 (b)</w:t>
            </w:r>
          </w:p>
        </w:tc>
        <w:tc>
          <w:tcPr>
            <w:tcW w:w="1791" w:type="pct"/>
          </w:tcPr>
          <w:p w:rsidR="00925D75" w:rsidRPr="00183825" w:rsidRDefault="00BE5366" w:rsidP="00BE5366">
            <w:pPr>
              <w:spacing w:before="60" w:after="60"/>
            </w:pPr>
            <w:r>
              <w:t>“Minimum Useful Life” definition, as read, can be misinterpreted to mean that the useful life is based on the model year standard the engine was certified to meet.</w:t>
            </w:r>
          </w:p>
        </w:tc>
        <w:tc>
          <w:tcPr>
            <w:tcW w:w="1966" w:type="pct"/>
          </w:tcPr>
          <w:p w:rsidR="00925D75" w:rsidRPr="000307EF" w:rsidRDefault="00BE5366" w:rsidP="00925D75">
            <w:r>
              <w:t>Recommend removing the text in the definition which states “…</w:t>
            </w:r>
            <w:r w:rsidRPr="00BE5366">
              <w:rPr>
                <w:i/>
              </w:rPr>
              <w:t>from the model year that the engine and emissions control system in a vehicle was first certified for use by CARB or U.S. EPA</w:t>
            </w:r>
            <w:r>
              <w:t>” and replacing with “</w:t>
            </w:r>
            <w:r w:rsidRPr="00BE5366">
              <w:rPr>
                <w:i/>
              </w:rPr>
              <w:t>from the model year that is listed on the emission control label of the engine</w:t>
            </w:r>
            <w:r>
              <w:t>”</w:t>
            </w:r>
          </w:p>
        </w:tc>
      </w:tr>
      <w:tr w:rsidR="00F76E7F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F76E7F" w:rsidRDefault="0004062A" w:rsidP="00925D75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2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F76E7F" w:rsidRDefault="00F76E7F" w:rsidP="00925D75">
            <w:pPr>
              <w:spacing w:before="60" w:after="60"/>
              <w:jc w:val="center"/>
            </w:pPr>
            <w:r>
              <w:t>A-2-15</w:t>
            </w:r>
          </w:p>
        </w:tc>
        <w:tc>
          <w:tcPr>
            <w:tcW w:w="639" w:type="pct"/>
          </w:tcPr>
          <w:p w:rsidR="00F76E7F" w:rsidRPr="001370DF" w:rsidRDefault="00F76E7F" w:rsidP="00925D75">
            <w:pPr>
              <w:spacing w:before="60" w:after="60"/>
              <w:jc w:val="center"/>
            </w:pPr>
            <w:r>
              <w:t>2015(g)(1)</w:t>
            </w:r>
          </w:p>
        </w:tc>
        <w:tc>
          <w:tcPr>
            <w:tcW w:w="1791" w:type="pct"/>
          </w:tcPr>
          <w:p w:rsidR="00F76E7F" w:rsidRPr="00183825" w:rsidRDefault="00F76E7F" w:rsidP="009D71E7">
            <w:pPr>
              <w:spacing w:before="60" w:after="60"/>
            </w:pPr>
            <w:r w:rsidRPr="003D20FC">
              <w:t>Requi</w:t>
            </w:r>
            <w:r w:rsidR="00BF6D08">
              <w:t xml:space="preserve">rement to Hire Compliant Fleets. </w:t>
            </w:r>
            <w:r>
              <w:t>The hiring entity should not be responsible for the rental agencies’ compliance verification</w:t>
            </w:r>
          </w:p>
        </w:tc>
        <w:tc>
          <w:tcPr>
            <w:tcW w:w="1966" w:type="pct"/>
          </w:tcPr>
          <w:p w:rsidR="00F76E7F" w:rsidRDefault="00F76E7F" w:rsidP="00F76E7F">
            <w:r>
              <w:t xml:space="preserve">Recommend putting the responsibility on the rental agency to provide compliance documentation or a signed statement that its fleet is not subject to this regulation. </w:t>
            </w:r>
          </w:p>
          <w:p w:rsidR="00F76E7F" w:rsidRPr="009D71E7" w:rsidRDefault="00F76E7F" w:rsidP="00925D75"/>
        </w:tc>
      </w:tr>
      <w:tr w:rsidR="00F76E7F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F76E7F" w:rsidRDefault="0004062A" w:rsidP="00925D75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3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F76E7F" w:rsidRDefault="00F76E7F" w:rsidP="00925D75">
            <w:pPr>
              <w:spacing w:before="60" w:after="60"/>
              <w:jc w:val="center"/>
            </w:pPr>
            <w:r>
              <w:t>A-2-16</w:t>
            </w:r>
          </w:p>
        </w:tc>
        <w:tc>
          <w:tcPr>
            <w:tcW w:w="639" w:type="pct"/>
          </w:tcPr>
          <w:p w:rsidR="00F76E7F" w:rsidRPr="001370DF" w:rsidRDefault="00F76E7F" w:rsidP="00925D75">
            <w:pPr>
              <w:spacing w:before="60" w:after="60"/>
              <w:jc w:val="center"/>
            </w:pPr>
            <w:r>
              <w:t>2015(i)</w:t>
            </w:r>
          </w:p>
        </w:tc>
        <w:tc>
          <w:tcPr>
            <w:tcW w:w="1791" w:type="pct"/>
          </w:tcPr>
          <w:p w:rsidR="00F76E7F" w:rsidRDefault="00F76E7F" w:rsidP="00237766">
            <w:r>
              <w:t>Large agencies will have trouble meeting a 30 day notification and reporting requirements because of larger fleet sizes.</w:t>
            </w:r>
          </w:p>
          <w:p w:rsidR="00237766" w:rsidRPr="00183825" w:rsidRDefault="00237766" w:rsidP="00237766"/>
        </w:tc>
        <w:tc>
          <w:tcPr>
            <w:tcW w:w="1966" w:type="pct"/>
          </w:tcPr>
          <w:p w:rsidR="00F76E7F" w:rsidRPr="009D71E7" w:rsidRDefault="00F76E7F" w:rsidP="00925D75">
            <w:r>
              <w:t xml:space="preserve">Recommend 60 days </w:t>
            </w:r>
            <w:r w:rsidR="00C33326">
              <w:t>for new fleets</w:t>
            </w:r>
            <w:r>
              <w:t xml:space="preserve"> to put in place processes to meet the recordkeeping and reporting requirements.</w:t>
            </w:r>
          </w:p>
        </w:tc>
      </w:tr>
      <w:tr w:rsidR="00F76E7F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F76E7F" w:rsidRDefault="0004062A" w:rsidP="00925D75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4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F76E7F" w:rsidRDefault="00B4427E" w:rsidP="00925D75">
            <w:pPr>
              <w:spacing w:before="60" w:after="60"/>
              <w:jc w:val="center"/>
            </w:pPr>
            <w:r>
              <w:t>A-2-18</w:t>
            </w:r>
          </w:p>
        </w:tc>
        <w:tc>
          <w:tcPr>
            <w:tcW w:w="639" w:type="pct"/>
          </w:tcPr>
          <w:p w:rsidR="00F76E7F" w:rsidRPr="001370DF" w:rsidRDefault="0056780D" w:rsidP="00925D75">
            <w:pPr>
              <w:spacing w:before="60" w:after="60"/>
              <w:jc w:val="center"/>
            </w:pPr>
            <w:r>
              <w:t>2015.1(c)(3)</w:t>
            </w:r>
          </w:p>
        </w:tc>
        <w:tc>
          <w:tcPr>
            <w:tcW w:w="1791" w:type="pct"/>
          </w:tcPr>
          <w:p w:rsidR="00F76E7F" w:rsidRDefault="00B4427E" w:rsidP="00BF6D08">
            <w:pPr>
              <w:spacing w:before="60" w:after="60"/>
            </w:pPr>
            <w:r w:rsidRPr="00E475DB">
              <w:t>Infrastructure Construction Delay Extension</w:t>
            </w:r>
            <w:r w:rsidR="00BF6D08">
              <w:t>. U</w:t>
            </w:r>
            <w:r>
              <w:t>nforeseen construction delays due to supply chain issues or other US/global issues affecting all agencies.</w:t>
            </w:r>
          </w:p>
          <w:p w:rsidR="00237766" w:rsidRPr="00183825" w:rsidRDefault="00237766" w:rsidP="00BF6D08">
            <w:pPr>
              <w:spacing w:before="60" w:after="60"/>
            </w:pPr>
          </w:p>
        </w:tc>
        <w:tc>
          <w:tcPr>
            <w:tcW w:w="1966" w:type="pct"/>
          </w:tcPr>
          <w:p w:rsidR="00F76E7F" w:rsidRPr="009D71E7" w:rsidRDefault="00B4427E" w:rsidP="00925D75">
            <w:r>
              <w:t xml:space="preserve">Recommend adding ability to renew extension for </w:t>
            </w:r>
            <w:r w:rsidR="00552238">
              <w:t xml:space="preserve">two additional one-year periods </w:t>
            </w:r>
            <w:r>
              <w:t>to allow for unforeseen construction delays due to supply chain issues or other US/global issues.</w:t>
            </w:r>
          </w:p>
        </w:tc>
      </w:tr>
      <w:tr w:rsidR="002410D2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2410D2" w:rsidRDefault="002410D2" w:rsidP="002410D2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5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2410D2" w:rsidRDefault="002410D2" w:rsidP="002410D2">
            <w:pPr>
              <w:spacing w:before="60" w:after="60"/>
              <w:jc w:val="center"/>
            </w:pPr>
            <w:r>
              <w:t>A-2-19</w:t>
            </w:r>
          </w:p>
        </w:tc>
        <w:tc>
          <w:tcPr>
            <w:tcW w:w="639" w:type="pct"/>
          </w:tcPr>
          <w:p w:rsidR="002410D2" w:rsidRPr="001370DF" w:rsidRDefault="002410D2" w:rsidP="002410D2">
            <w:pPr>
              <w:spacing w:before="60" w:after="60"/>
              <w:jc w:val="center"/>
            </w:pPr>
            <w:r>
              <w:t>2015.1(c)(4)</w:t>
            </w:r>
          </w:p>
        </w:tc>
        <w:tc>
          <w:tcPr>
            <w:tcW w:w="1791" w:type="pct"/>
          </w:tcPr>
          <w:p w:rsidR="002410D2" w:rsidRDefault="002410D2" w:rsidP="002410D2">
            <w:r w:rsidRPr="00C52089">
              <w:t xml:space="preserve">Vehicle Delivery Delay Extension. </w:t>
            </w:r>
            <w:r>
              <w:t>Even with advanced planning, the actual ordering of vehicles may occur within 6 months of the required ICE removal date.</w:t>
            </w:r>
          </w:p>
          <w:p w:rsidR="002410D2" w:rsidRPr="00183825" w:rsidRDefault="002410D2" w:rsidP="002410D2"/>
        </w:tc>
        <w:tc>
          <w:tcPr>
            <w:tcW w:w="1966" w:type="pct"/>
          </w:tcPr>
          <w:p w:rsidR="002410D2" w:rsidRPr="009D71E7" w:rsidRDefault="002410D2" w:rsidP="002410D2">
            <w:r>
              <w:t>Recommend changing the one-year pre-order requirement to six months due to procurement cycles.</w:t>
            </w:r>
          </w:p>
        </w:tc>
      </w:tr>
      <w:tr w:rsidR="002410D2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2410D2" w:rsidRDefault="002410D2" w:rsidP="002410D2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t>6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2410D2" w:rsidRDefault="002410D2" w:rsidP="002410D2">
            <w:pPr>
              <w:spacing w:before="60" w:after="60"/>
              <w:jc w:val="center"/>
            </w:pPr>
            <w:r>
              <w:t>A-2-26</w:t>
            </w:r>
          </w:p>
        </w:tc>
        <w:tc>
          <w:tcPr>
            <w:tcW w:w="639" w:type="pct"/>
          </w:tcPr>
          <w:p w:rsidR="002410D2" w:rsidRDefault="002410D2" w:rsidP="002410D2">
            <w:pPr>
              <w:spacing w:before="60" w:after="60"/>
              <w:jc w:val="center"/>
            </w:pPr>
            <w:r>
              <w:t>2015.3(d)(2)</w:t>
            </w:r>
          </w:p>
        </w:tc>
        <w:tc>
          <w:tcPr>
            <w:tcW w:w="1791" w:type="pct"/>
          </w:tcPr>
          <w:p w:rsidR="002410D2" w:rsidRDefault="002410D2" w:rsidP="002410D2">
            <w:r>
              <w:t>Manufacturer Cancellation. Fleet owners are unable to meet a 90-day schedule especially if they are bound by Federal Acquisition Regulation (FAR) or requirements that or requirements that specify competitive proposals for purchasing vehicles. A competitive process could easily take 180 days if not longer to complete.</w:t>
            </w:r>
          </w:p>
          <w:p w:rsidR="002410D2" w:rsidRPr="00C52089" w:rsidRDefault="002410D2" w:rsidP="002410D2"/>
        </w:tc>
        <w:tc>
          <w:tcPr>
            <w:tcW w:w="1966" w:type="pct"/>
          </w:tcPr>
          <w:p w:rsidR="002410D2" w:rsidRPr="00C52089" w:rsidRDefault="002410D2" w:rsidP="002410D2">
            <w:r>
              <w:t>Recommend changing the 90-calendar day requirement to 180 days.</w:t>
            </w:r>
            <w:bookmarkStart w:id="0" w:name="_GoBack"/>
            <w:bookmarkEnd w:id="0"/>
          </w:p>
        </w:tc>
      </w:tr>
      <w:tr w:rsidR="002410D2" w:rsidRPr="000307EF" w:rsidTr="00925D75">
        <w:trPr>
          <w:cantSplit/>
        </w:trPr>
        <w:tc>
          <w:tcPr>
            <w:tcW w:w="380" w:type="pct"/>
            <w:tcBorders>
              <w:left w:val="single" w:sz="4" w:space="0" w:color="auto"/>
            </w:tcBorders>
          </w:tcPr>
          <w:p w:rsidR="002410D2" w:rsidRDefault="002410D2" w:rsidP="002410D2">
            <w:pPr>
              <w:tabs>
                <w:tab w:val="left" w:pos="102"/>
              </w:tabs>
              <w:spacing w:before="60" w:after="60"/>
              <w:ind w:left="180"/>
              <w:jc w:val="center"/>
            </w:pPr>
            <w:r>
              <w:lastRenderedPageBreak/>
              <w:t>7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2410D2" w:rsidRDefault="002410D2" w:rsidP="002410D2">
            <w:pPr>
              <w:spacing w:before="60" w:after="60"/>
              <w:jc w:val="center"/>
            </w:pPr>
            <w:r>
              <w:t>A-2-29</w:t>
            </w:r>
          </w:p>
        </w:tc>
        <w:tc>
          <w:tcPr>
            <w:tcW w:w="639" w:type="pct"/>
          </w:tcPr>
          <w:p w:rsidR="002410D2" w:rsidRDefault="002410D2" w:rsidP="002410D2">
            <w:pPr>
              <w:spacing w:before="60" w:after="60"/>
              <w:jc w:val="center"/>
            </w:pPr>
            <w:r>
              <w:t>2015.4(b)</w:t>
            </w:r>
          </w:p>
        </w:tc>
        <w:tc>
          <w:tcPr>
            <w:tcW w:w="1791" w:type="pct"/>
          </w:tcPr>
          <w:p w:rsidR="002410D2" w:rsidRDefault="002410D2" w:rsidP="002410D2">
            <w:r w:rsidRPr="000F74DC">
              <w:t>Reporting Deadline and End Date. Many affected fleets have other reporting requirements such as Truck and Bus and Off</w:t>
            </w:r>
            <w:r>
              <w:t>-</w:t>
            </w:r>
            <w:r w:rsidRPr="000F74DC">
              <w:t>road Diesel reporting requirements on January 31 and March 1, respectively. An April 1 due date allows facilities time to complete all required reporting accurately</w:t>
            </w:r>
            <w:r>
              <w:t xml:space="preserve"> with the limited available resources.</w:t>
            </w:r>
          </w:p>
        </w:tc>
        <w:tc>
          <w:tcPr>
            <w:tcW w:w="1966" w:type="pct"/>
          </w:tcPr>
          <w:p w:rsidR="002410D2" w:rsidRDefault="002410D2" w:rsidP="002410D2">
            <w:r w:rsidRPr="000F74DC">
              <w:t>Recommend changing the compliance report due date to April 1 of each year.</w:t>
            </w:r>
          </w:p>
        </w:tc>
      </w:tr>
    </w:tbl>
    <w:p w:rsidR="00C66BB8" w:rsidRDefault="00C66BB8"/>
    <w:sectPr w:rsidR="00C66BB8" w:rsidSect="00661FD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C2" w:rsidRDefault="00AE5EC2" w:rsidP="00237766">
      <w:r>
        <w:separator/>
      </w:r>
    </w:p>
  </w:endnote>
  <w:endnote w:type="continuationSeparator" w:id="0">
    <w:p w:rsidR="00AE5EC2" w:rsidRDefault="00AE5EC2" w:rsidP="002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908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766" w:rsidRDefault="0023776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766" w:rsidRDefault="0023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C2" w:rsidRDefault="00AE5EC2" w:rsidP="00237766">
      <w:r>
        <w:separator/>
      </w:r>
    </w:p>
  </w:footnote>
  <w:footnote w:type="continuationSeparator" w:id="0">
    <w:p w:rsidR="00AE5EC2" w:rsidRDefault="00AE5EC2" w:rsidP="0023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07221"/>
    <w:multiLevelType w:val="hybridMultilevel"/>
    <w:tmpl w:val="4FC83DFE"/>
    <w:lvl w:ilvl="0" w:tplc="70F6E99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D8"/>
    <w:rsid w:val="00007FFB"/>
    <w:rsid w:val="00032245"/>
    <w:rsid w:val="0004062A"/>
    <w:rsid w:val="000511BE"/>
    <w:rsid w:val="00053180"/>
    <w:rsid w:val="00061FA3"/>
    <w:rsid w:val="00075C24"/>
    <w:rsid w:val="000A7520"/>
    <w:rsid w:val="000C6B8A"/>
    <w:rsid w:val="000E530C"/>
    <w:rsid w:val="00103F59"/>
    <w:rsid w:val="00133861"/>
    <w:rsid w:val="00151AF2"/>
    <w:rsid w:val="0019155D"/>
    <w:rsid w:val="001A1CEE"/>
    <w:rsid w:val="001E6094"/>
    <w:rsid w:val="00237766"/>
    <w:rsid w:val="002410D2"/>
    <w:rsid w:val="00246B8B"/>
    <w:rsid w:val="00275E46"/>
    <w:rsid w:val="0028054B"/>
    <w:rsid w:val="002A0A17"/>
    <w:rsid w:val="002A6566"/>
    <w:rsid w:val="002A7EB3"/>
    <w:rsid w:val="002D3BA6"/>
    <w:rsid w:val="002F67B1"/>
    <w:rsid w:val="00302A09"/>
    <w:rsid w:val="00305661"/>
    <w:rsid w:val="0031448E"/>
    <w:rsid w:val="00337A70"/>
    <w:rsid w:val="00356654"/>
    <w:rsid w:val="00365B00"/>
    <w:rsid w:val="00376B47"/>
    <w:rsid w:val="003A11C9"/>
    <w:rsid w:val="003C4B7E"/>
    <w:rsid w:val="003D7926"/>
    <w:rsid w:val="003E7649"/>
    <w:rsid w:val="003F4327"/>
    <w:rsid w:val="00422A85"/>
    <w:rsid w:val="004559AC"/>
    <w:rsid w:val="00463C1C"/>
    <w:rsid w:val="00467C08"/>
    <w:rsid w:val="0048375B"/>
    <w:rsid w:val="00487466"/>
    <w:rsid w:val="004A5E32"/>
    <w:rsid w:val="004B66D9"/>
    <w:rsid w:val="004F67E1"/>
    <w:rsid w:val="00522C0C"/>
    <w:rsid w:val="0052674C"/>
    <w:rsid w:val="00530CC1"/>
    <w:rsid w:val="00552238"/>
    <w:rsid w:val="0056780D"/>
    <w:rsid w:val="0058555B"/>
    <w:rsid w:val="005A034C"/>
    <w:rsid w:val="005B4729"/>
    <w:rsid w:val="005B698B"/>
    <w:rsid w:val="005C7CD2"/>
    <w:rsid w:val="005D62C0"/>
    <w:rsid w:val="005F088A"/>
    <w:rsid w:val="00617638"/>
    <w:rsid w:val="00627E8B"/>
    <w:rsid w:val="006339F3"/>
    <w:rsid w:val="00642F2B"/>
    <w:rsid w:val="00643889"/>
    <w:rsid w:val="00651B5C"/>
    <w:rsid w:val="00661FD8"/>
    <w:rsid w:val="00672BEB"/>
    <w:rsid w:val="006731E5"/>
    <w:rsid w:val="00683BE9"/>
    <w:rsid w:val="00690D06"/>
    <w:rsid w:val="0069405F"/>
    <w:rsid w:val="006B4163"/>
    <w:rsid w:val="006D5EEC"/>
    <w:rsid w:val="0071027C"/>
    <w:rsid w:val="00725C80"/>
    <w:rsid w:val="00767BFA"/>
    <w:rsid w:val="00781D6E"/>
    <w:rsid w:val="007A0251"/>
    <w:rsid w:val="007A1B91"/>
    <w:rsid w:val="007F10C6"/>
    <w:rsid w:val="008012D4"/>
    <w:rsid w:val="0080519C"/>
    <w:rsid w:val="00814B95"/>
    <w:rsid w:val="00842C9C"/>
    <w:rsid w:val="0084695E"/>
    <w:rsid w:val="00873C47"/>
    <w:rsid w:val="00876861"/>
    <w:rsid w:val="00890EBF"/>
    <w:rsid w:val="008A2EA8"/>
    <w:rsid w:val="008B0473"/>
    <w:rsid w:val="008B3D7C"/>
    <w:rsid w:val="008B5CE0"/>
    <w:rsid w:val="008C6E9E"/>
    <w:rsid w:val="008E6C90"/>
    <w:rsid w:val="00910162"/>
    <w:rsid w:val="00917FDC"/>
    <w:rsid w:val="009249B2"/>
    <w:rsid w:val="00925D75"/>
    <w:rsid w:val="00934C1C"/>
    <w:rsid w:val="0093580B"/>
    <w:rsid w:val="00960591"/>
    <w:rsid w:val="009637DC"/>
    <w:rsid w:val="00970A1D"/>
    <w:rsid w:val="009A5BD8"/>
    <w:rsid w:val="009C1BAA"/>
    <w:rsid w:val="009D3D92"/>
    <w:rsid w:val="009D71E7"/>
    <w:rsid w:val="009E30AA"/>
    <w:rsid w:val="009E5CBA"/>
    <w:rsid w:val="00A078E3"/>
    <w:rsid w:val="00A43470"/>
    <w:rsid w:val="00A553F3"/>
    <w:rsid w:val="00A61EEC"/>
    <w:rsid w:val="00A81644"/>
    <w:rsid w:val="00A846D3"/>
    <w:rsid w:val="00A85ED4"/>
    <w:rsid w:val="00AA2E06"/>
    <w:rsid w:val="00AB5D06"/>
    <w:rsid w:val="00AD1944"/>
    <w:rsid w:val="00AE5EC2"/>
    <w:rsid w:val="00B16474"/>
    <w:rsid w:val="00B22776"/>
    <w:rsid w:val="00B334DB"/>
    <w:rsid w:val="00B3683A"/>
    <w:rsid w:val="00B41124"/>
    <w:rsid w:val="00B4427E"/>
    <w:rsid w:val="00B45956"/>
    <w:rsid w:val="00B8073F"/>
    <w:rsid w:val="00B84EED"/>
    <w:rsid w:val="00B9643D"/>
    <w:rsid w:val="00BB30B4"/>
    <w:rsid w:val="00BC46CA"/>
    <w:rsid w:val="00BD2E9D"/>
    <w:rsid w:val="00BE5366"/>
    <w:rsid w:val="00BF303A"/>
    <w:rsid w:val="00BF6D08"/>
    <w:rsid w:val="00C0527A"/>
    <w:rsid w:val="00C110AC"/>
    <w:rsid w:val="00C16000"/>
    <w:rsid w:val="00C21E4B"/>
    <w:rsid w:val="00C33326"/>
    <w:rsid w:val="00C66BB8"/>
    <w:rsid w:val="00C76B9C"/>
    <w:rsid w:val="00C83401"/>
    <w:rsid w:val="00C86E1E"/>
    <w:rsid w:val="00C87765"/>
    <w:rsid w:val="00C87D41"/>
    <w:rsid w:val="00CB5143"/>
    <w:rsid w:val="00CC206A"/>
    <w:rsid w:val="00CC40D6"/>
    <w:rsid w:val="00CE28DC"/>
    <w:rsid w:val="00CE6804"/>
    <w:rsid w:val="00CF2786"/>
    <w:rsid w:val="00D076A9"/>
    <w:rsid w:val="00D31BA7"/>
    <w:rsid w:val="00D8697F"/>
    <w:rsid w:val="00E36569"/>
    <w:rsid w:val="00E3745A"/>
    <w:rsid w:val="00E37A4D"/>
    <w:rsid w:val="00E66BA4"/>
    <w:rsid w:val="00E7085B"/>
    <w:rsid w:val="00ED3969"/>
    <w:rsid w:val="00EE658D"/>
    <w:rsid w:val="00F222AC"/>
    <w:rsid w:val="00F436C6"/>
    <w:rsid w:val="00F500AE"/>
    <w:rsid w:val="00F6029F"/>
    <w:rsid w:val="00F65024"/>
    <w:rsid w:val="00F76E7F"/>
    <w:rsid w:val="00F93765"/>
    <w:rsid w:val="00FC405C"/>
    <w:rsid w:val="00FC58FC"/>
    <w:rsid w:val="00FE29A0"/>
    <w:rsid w:val="00FF34FC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76B"/>
  <w15:chartTrackingRefBased/>
  <w15:docId w15:val="{E4D17353-1F98-45AB-B3DA-DE5373B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1FD8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FD8"/>
    <w:rPr>
      <w:rFonts w:ascii="Times New Roman" w:eastAsia="Times New Roman" w:hAnsi="Times New Roman" w:cs="Times New Roman"/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51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7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7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7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7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Lanzl, Caylyn A CIV USN FLTREADCEN SW SAN CA (USA)</dc:creator>
  <cp:keywords/>
  <dc:description/>
  <cp:lastModifiedBy>Palmer, Jessica N CIV USN (USA)</cp:lastModifiedBy>
  <cp:revision>6</cp:revision>
  <dcterms:created xsi:type="dcterms:W3CDTF">2022-10-17T17:09:00Z</dcterms:created>
  <dcterms:modified xsi:type="dcterms:W3CDTF">2022-10-17T17:29:00Z</dcterms:modified>
</cp:coreProperties>
</file>