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0ED4" w14:textId="3B5A00B6" w:rsidR="00E4269F" w:rsidRDefault="00304051" w:rsidP="00304051">
      <w:pPr>
        <w:jc w:val="center"/>
      </w:pPr>
      <w:r>
        <w:t>COMMENTS OF THE INDUSTRIAL TRUCK ASSOCIATION</w:t>
      </w:r>
    </w:p>
    <w:p w14:paraId="63CADE70" w14:textId="5E27E935" w:rsidR="00304051" w:rsidRDefault="00304051" w:rsidP="00304051">
      <w:pPr>
        <w:jc w:val="center"/>
      </w:pPr>
      <w:r>
        <w:t>CALIFORNIA AIR RESOURCES BOARD</w:t>
      </w:r>
    </w:p>
    <w:p w14:paraId="299A59CE" w14:textId="24D82682" w:rsidR="00304051" w:rsidRDefault="00304051" w:rsidP="00304051">
      <w:pPr>
        <w:jc w:val="center"/>
      </w:pPr>
      <w:r>
        <w:t>PROPOSED ZERO-EMISSION FORKLIFT REGULATION</w:t>
      </w:r>
    </w:p>
    <w:p w14:paraId="1FD4EFF4" w14:textId="03A2B2F3" w:rsidR="00304051" w:rsidRDefault="00304051" w:rsidP="00304051">
      <w:pPr>
        <w:jc w:val="center"/>
      </w:pPr>
      <w:r>
        <w:t>45-DAY COMMENTS DUE DECEMBER 26, 2023</w:t>
      </w:r>
    </w:p>
    <w:p w14:paraId="468AB2D1" w14:textId="3A5559FF" w:rsidR="00304051" w:rsidRPr="00E15FD1" w:rsidRDefault="00304051" w:rsidP="00304051">
      <w:pPr>
        <w:spacing w:line="360" w:lineRule="auto"/>
        <w:jc w:val="center"/>
        <w:rPr>
          <w:u w:val="single"/>
        </w:rPr>
      </w:pPr>
      <w:r w:rsidRPr="00E15FD1">
        <w:rPr>
          <w:u w:val="single"/>
        </w:rPr>
        <w:t>INTRODUCTION</w:t>
      </w:r>
    </w:p>
    <w:p w14:paraId="7B0FD513" w14:textId="14B49175" w:rsidR="00DE31D9" w:rsidRDefault="00304051" w:rsidP="00304051">
      <w:pPr>
        <w:spacing w:line="360" w:lineRule="auto"/>
      </w:pPr>
      <w:r>
        <w:tab/>
        <w:t>The Industrial Truck Association (“ITA”</w:t>
      </w:r>
      <w:r w:rsidR="00601DCB">
        <w:t>)</w:t>
      </w:r>
      <w:r w:rsidR="00C71AC5">
        <w:t xml:space="preserve"> </w:t>
      </w:r>
      <w:r>
        <w:t>respectfully submits these comments on the above-referenced Zero-Emission Forklift</w:t>
      </w:r>
      <w:r w:rsidR="00642842">
        <w:t xml:space="preserve"> (“ZEF”)</w:t>
      </w:r>
      <w:r>
        <w:t xml:space="preserve"> Regulation</w:t>
      </w:r>
      <w:r w:rsidR="0044718C">
        <w:t xml:space="preserve"> (“Proposed </w:t>
      </w:r>
      <w:r w:rsidR="00941CBD">
        <w:t>Regulation”</w:t>
      </w:r>
      <w:r w:rsidR="00AD0952">
        <w:t>)</w:t>
      </w:r>
      <w:r>
        <w:t xml:space="preserve"> </w:t>
      </w:r>
      <w:r w:rsidR="00562F48">
        <w:t>developed</w:t>
      </w:r>
      <w:r>
        <w:t xml:space="preserve"> by the California Air Resources Board (“CARB”).  ITA is the national trade association representing the interests of manufacturers of powered industrial trucks, most of which are forklifts.  ITA Regular Members manufacture forklifts and ITA Associate Members manufacture components and accessories for forklifts.</w:t>
      </w:r>
      <w:r w:rsidR="00C71AC5">
        <w:t xml:space="preserve">  The forklifts manufactured by ITA members represent the great majority of the forklifts sold in North America, including in California.</w:t>
      </w:r>
    </w:p>
    <w:p w14:paraId="64A33873" w14:textId="33795C6B" w:rsidR="00A1299C" w:rsidRDefault="00E8502A" w:rsidP="00DE31D9">
      <w:pPr>
        <w:spacing w:line="360" w:lineRule="auto"/>
        <w:ind w:firstLine="720"/>
      </w:pPr>
      <w:r>
        <w:t>ITA</w:t>
      </w:r>
      <w:r w:rsidR="004C4F78">
        <w:t>’s</w:t>
      </w:r>
      <w:r>
        <w:t xml:space="preserve"> members</w:t>
      </w:r>
      <w:r w:rsidR="004C4F78">
        <w:t>hip,</w:t>
      </w:r>
      <w:r w:rsidR="009A6ED6" w:rsidRPr="009A6ED6">
        <w:t xml:space="preserve"> </w:t>
      </w:r>
      <w:r w:rsidR="009A6ED6">
        <w:t>taken as a group</w:t>
      </w:r>
      <w:r w:rsidR="004C4F78">
        <w:t>,</w:t>
      </w:r>
      <w:r w:rsidR="009A6ED6">
        <w:t xml:space="preserve"> </w:t>
      </w:r>
      <w:r w:rsidR="00C71AC5">
        <w:t>manufacture</w:t>
      </w:r>
      <w:r w:rsidR="004C4F78">
        <w:t>s</w:t>
      </w:r>
      <w:r w:rsidR="00C71AC5" w:rsidRPr="00C71AC5">
        <w:t xml:space="preserve"> </w:t>
      </w:r>
      <w:r w:rsidR="00C71AC5">
        <w:t>electric forklifts</w:t>
      </w:r>
      <w:r>
        <w:t xml:space="preserve"> as well as</w:t>
      </w:r>
      <w:r w:rsidRPr="00E8502A">
        <w:t xml:space="preserve"> </w:t>
      </w:r>
      <w:r>
        <w:t>spark-ignition and compression-ignition</w:t>
      </w:r>
      <w:r w:rsidR="00C71AC5">
        <w:t xml:space="preserve"> internal-combustion forklifts</w:t>
      </w:r>
      <w:r>
        <w:t>.</w:t>
      </w:r>
      <w:r w:rsidR="00686F95">
        <w:t xml:space="preserve">  Moreover, almost every ITA member or one of its </w:t>
      </w:r>
      <w:r w:rsidR="00FB4D64">
        <w:t xml:space="preserve">subsidiaries or </w:t>
      </w:r>
      <w:r w:rsidR="00686F95">
        <w:t>affiliat</w:t>
      </w:r>
      <w:r w:rsidR="00FB4D64">
        <w:t>es</w:t>
      </w:r>
      <w:r w:rsidR="004F3097">
        <w:t xml:space="preserve"> </w:t>
      </w:r>
      <w:r w:rsidR="002520FC">
        <w:t xml:space="preserve">manufactures both </w:t>
      </w:r>
      <w:r w:rsidR="00611C7D">
        <w:t>electric forklifts and internal-combustion forklifts.</w:t>
      </w:r>
      <w:r w:rsidR="00B36A0A">
        <w:t xml:space="preserve">  ITA does not favor one technology over </w:t>
      </w:r>
      <w:r w:rsidR="000B4B0E">
        <w:t>ano</w:t>
      </w:r>
      <w:r w:rsidR="00B36A0A">
        <w:t xml:space="preserve">ther, but rather </w:t>
      </w:r>
      <w:r w:rsidR="004D6B41">
        <w:t>supports the use of the appropriate forklift for the</w:t>
      </w:r>
      <w:r w:rsidR="00726C1C">
        <w:t xml:space="preserve"> </w:t>
      </w:r>
      <w:r w:rsidR="00B973B3">
        <w:t>end user’s</w:t>
      </w:r>
      <w:r w:rsidR="004D6B41">
        <w:t xml:space="preserve"> application </w:t>
      </w:r>
      <w:r w:rsidR="00374ABA">
        <w:t>considering</w:t>
      </w:r>
      <w:r w:rsidR="004D6B41">
        <w:t xml:space="preserve"> all relevant factors, including</w:t>
      </w:r>
      <w:r w:rsidR="00A616EE">
        <w:t xml:space="preserve"> </w:t>
      </w:r>
      <w:r w:rsidR="004D6B41">
        <w:t>the goal of reducing emissions.</w:t>
      </w:r>
      <w:r w:rsidR="00B63D67">
        <w:t xml:space="preserve">  </w:t>
      </w:r>
      <w:bookmarkStart w:id="0" w:name="_Hlk153544706"/>
    </w:p>
    <w:bookmarkEnd w:id="0"/>
    <w:p w14:paraId="2C9B42FD" w14:textId="4DF26CC1" w:rsidR="00BA1C02" w:rsidRDefault="00B23181" w:rsidP="00BA1C02">
      <w:pPr>
        <w:spacing w:line="360" w:lineRule="auto"/>
        <w:ind w:firstLine="720"/>
      </w:pPr>
      <w:r>
        <w:t xml:space="preserve">Forklifts are integral to the U.S. economy, enhancing productivity in material handling and logistics, manufacturing, retail sales, construction, </w:t>
      </w:r>
      <w:r w:rsidR="00806EEB">
        <w:t>agriculture,</w:t>
      </w:r>
      <w:r>
        <w:t xml:space="preserve"> and transportation.  At the outset of the pandemic, pursuant to Governor Newsome’s Executive Order N-33-20, the essential workforce was defined to include those workers “</w:t>
      </w:r>
      <w:r w:rsidRPr="00850BE0">
        <w:t>supporting or providing services that enable logistics operations for essential sectors, wholesale and retail sale, including warehousing, cooling, storing, packaging, and distributing products for wholesale or retail sale or use.</w:t>
      </w:r>
      <w:r>
        <w:t>”</w:t>
      </w:r>
      <w:r w:rsidR="003171FA">
        <w:t xml:space="preserve">  </w:t>
      </w:r>
      <w:r w:rsidR="00D01DB3">
        <w:t>Forklifts of all types are critical to these operation</w:t>
      </w:r>
      <w:r w:rsidR="00C551E5">
        <w:t>s</w:t>
      </w:r>
      <w:r w:rsidR="00D01DB3">
        <w:t xml:space="preserve"> and</w:t>
      </w:r>
      <w:r w:rsidR="003171FA">
        <w:t xml:space="preserve"> workers</w:t>
      </w:r>
      <w:r w:rsidR="00C9424D">
        <w:t xml:space="preserve"> need the appropriate </w:t>
      </w:r>
      <w:r w:rsidR="00105D84">
        <w:t>forklifts</w:t>
      </w:r>
      <w:r w:rsidR="00C9424D">
        <w:t xml:space="preserve"> to </w:t>
      </w:r>
      <w:r w:rsidR="00105D84">
        <w:t>perform the</w:t>
      </w:r>
      <w:r w:rsidR="00D01DB3">
        <w:t>m</w:t>
      </w:r>
      <w:r w:rsidR="00105D84">
        <w:t>.</w:t>
      </w:r>
      <w:r>
        <w:t xml:space="preserve">  Regulations </w:t>
      </w:r>
      <w:r w:rsidR="00EA13F4">
        <w:t>limiting</w:t>
      </w:r>
      <w:r>
        <w:t xml:space="preserve"> the availability of</w:t>
      </w:r>
      <w:r w:rsidR="000E47F6">
        <w:t xml:space="preserve"> </w:t>
      </w:r>
      <w:r w:rsidR="0053001B">
        <w:t>internal-combus</w:t>
      </w:r>
      <w:r w:rsidR="0062131F">
        <w:t>t</w:t>
      </w:r>
      <w:r w:rsidR="0053001B">
        <w:t>ion</w:t>
      </w:r>
      <w:r>
        <w:t xml:space="preserve"> forklifts</w:t>
      </w:r>
      <w:r w:rsidR="006F07DF">
        <w:t>, whose designs have evolved</w:t>
      </w:r>
      <w:r w:rsidR="00121535">
        <w:t xml:space="preserve"> to correspond to the space constraints and material-handling </w:t>
      </w:r>
      <w:r w:rsidR="00894C66">
        <w:t>demands</w:t>
      </w:r>
      <w:r w:rsidR="006864FC">
        <w:t xml:space="preserve"> of</w:t>
      </w:r>
      <w:r w:rsidR="00894C66">
        <w:t xml:space="preserve"> the </w:t>
      </w:r>
      <w:r w:rsidR="006864FC">
        <w:t>industry</w:t>
      </w:r>
      <w:r w:rsidR="00894C66">
        <w:t xml:space="preserve"> sectors that use them</w:t>
      </w:r>
      <w:r w:rsidR="006864FC">
        <w:t>,</w:t>
      </w:r>
      <w:r>
        <w:t xml:space="preserve"> </w:t>
      </w:r>
      <w:r w:rsidR="00163F05">
        <w:t xml:space="preserve">must </w:t>
      </w:r>
      <w:r w:rsidR="002B72D5">
        <w:t>leave</w:t>
      </w:r>
      <w:r w:rsidR="00802DD0">
        <w:t xml:space="preserve"> adequate lead time </w:t>
      </w:r>
      <w:r w:rsidR="0062131F">
        <w:t>to develop</w:t>
      </w:r>
      <w:r w:rsidR="00F9581F">
        <w:t xml:space="preserve"> electric</w:t>
      </w:r>
      <w:r w:rsidR="0062131F">
        <w:t xml:space="preserve"> replacements</w:t>
      </w:r>
      <w:r w:rsidR="006B02EF">
        <w:t>.</w:t>
      </w:r>
      <w:r w:rsidR="00806EEB">
        <w:t xml:space="preserve"> </w:t>
      </w:r>
      <w:r>
        <w:t xml:space="preserve"> </w:t>
      </w:r>
      <w:r w:rsidR="00BA1C02">
        <w:t xml:space="preserve">In these comments, ITA offers some suggestions to improve the Proposed Regulation to accomplish CARB’s air-quality aims in legally permissible ways without </w:t>
      </w:r>
      <w:r w:rsidR="008A48B5">
        <w:t xml:space="preserve">causing </w:t>
      </w:r>
      <w:r w:rsidR="00BA1C02">
        <w:t>unnecessary disruption or harm to California businesses.</w:t>
      </w:r>
    </w:p>
    <w:p w14:paraId="02A5656D" w14:textId="5B65B9C7" w:rsidR="00B23181" w:rsidRDefault="00B23181" w:rsidP="00B23181">
      <w:pPr>
        <w:spacing w:line="360" w:lineRule="auto"/>
        <w:ind w:firstLine="720"/>
      </w:pPr>
      <w:r>
        <w:t xml:space="preserve">   </w:t>
      </w:r>
    </w:p>
    <w:p w14:paraId="4878E2D8" w14:textId="3D0920F0" w:rsidR="00304051" w:rsidRPr="00E15FD1" w:rsidRDefault="00A1299C" w:rsidP="00A1299C">
      <w:pPr>
        <w:spacing w:line="360" w:lineRule="auto"/>
        <w:ind w:firstLine="720"/>
        <w:jc w:val="center"/>
        <w:rPr>
          <w:u w:val="single"/>
        </w:rPr>
      </w:pPr>
      <w:r w:rsidRPr="00E15FD1">
        <w:rPr>
          <w:u w:val="single"/>
        </w:rPr>
        <w:lastRenderedPageBreak/>
        <w:t>CARB HAS NOT ADEQUATELY CONSIDERED PERFORMANCE STANDARDS</w:t>
      </w:r>
    </w:p>
    <w:p w14:paraId="68D09F12" w14:textId="01B8105C" w:rsidR="000D7F6F" w:rsidRDefault="007B7A40" w:rsidP="00A1299C">
      <w:pPr>
        <w:spacing w:line="360" w:lineRule="auto"/>
      </w:pPr>
      <w:r>
        <w:tab/>
        <w:t>The Initial Statement of Reasons (“ISOR”)</w:t>
      </w:r>
      <w:r w:rsidR="00565DC5">
        <w:t xml:space="preserve"> states, “Government Code section 11346.2(b)(4)(A) requires that when CARB proposes a regulation that would mandate the use of specific technologies or equipment, or prescribe specific actions or procedures, it must consider performance standards as an alternative.”  ISOR, p. </w:t>
      </w:r>
      <w:r w:rsidR="00A858E0">
        <w:t>220.</w:t>
      </w:r>
      <w:r w:rsidR="00BA329E">
        <w:t xml:space="preserve">  </w:t>
      </w:r>
      <w:r w:rsidR="0061441D">
        <w:t xml:space="preserve">In maintaining that it complies with this requirement, CARB suggests that the </w:t>
      </w:r>
      <w:r w:rsidR="005510E6">
        <w:t>Proposed R</w:t>
      </w:r>
      <w:r w:rsidR="001363B8">
        <w:t>e</w:t>
      </w:r>
      <w:r w:rsidR="0061441D">
        <w:t>gulation is not prescriptive</w:t>
      </w:r>
      <w:r w:rsidR="00BA3E4B">
        <w:t xml:space="preserve"> </w:t>
      </w:r>
      <w:r w:rsidR="00EC0F7B">
        <w:t>but</w:t>
      </w:r>
      <w:r w:rsidR="00BA3E4B">
        <w:t xml:space="preserve"> that, even if it is prescriptive, it is </w:t>
      </w:r>
      <w:r w:rsidR="005B300C">
        <w:t>necessarily so.  ITA cannot agree on either count.</w:t>
      </w:r>
      <w:r w:rsidR="001F692F">
        <w:t xml:space="preserve"> </w:t>
      </w:r>
    </w:p>
    <w:p w14:paraId="5BD81F0F" w14:textId="37DB0409" w:rsidR="00854F0D" w:rsidRDefault="000D7F6F" w:rsidP="00A1299C">
      <w:pPr>
        <w:spacing w:line="360" w:lineRule="auto"/>
      </w:pPr>
      <w:r>
        <w:tab/>
        <w:t>First, the heart of the</w:t>
      </w:r>
      <w:r w:rsidR="00037D77">
        <w:t xml:space="preserve"> Proposed</w:t>
      </w:r>
      <w:r>
        <w:t xml:space="preserve"> </w:t>
      </w:r>
      <w:r w:rsidR="00037D77">
        <w:t>R</w:t>
      </w:r>
      <w:r>
        <w:t>egulation is a</w:t>
      </w:r>
      <w:r w:rsidR="00F43EB7">
        <w:t>n abrupt</w:t>
      </w:r>
      <w:r>
        <w:t xml:space="preserve"> prohibition on the acquisition of new Large Spark-</w:t>
      </w:r>
      <w:r w:rsidR="004D05EC">
        <w:t>Ignition (“LSI”)</w:t>
      </w:r>
      <w:r w:rsidR="00917158">
        <w:t xml:space="preserve"> forklifts having a lifting capacity of 12,000 pounds or less</w:t>
      </w:r>
      <w:r w:rsidR="004D05EC">
        <w:t xml:space="preserve"> </w:t>
      </w:r>
      <w:r w:rsidR="002360A6">
        <w:t>after January 1, 2026</w:t>
      </w:r>
      <w:r w:rsidR="00042663">
        <w:t xml:space="preserve"> (</w:t>
      </w:r>
      <w:r w:rsidR="00573D55">
        <w:t>with limited permission for rental agencies to acquire</w:t>
      </w:r>
      <w:r w:rsidR="00EF403E">
        <w:t xml:space="preserve"> Class 5</w:t>
      </w:r>
      <w:r w:rsidR="00A66F5D">
        <w:t xml:space="preserve"> LSI</w:t>
      </w:r>
      <w:r w:rsidR="00EF403E">
        <w:t xml:space="preserve"> forklifts</w:t>
      </w:r>
      <w:r w:rsidR="000B66A0">
        <w:rPr>
          <w:rStyle w:val="FootnoteReference"/>
        </w:rPr>
        <w:footnoteReference w:id="1"/>
      </w:r>
      <w:r w:rsidR="00EF403E">
        <w:t xml:space="preserve"> for another three years</w:t>
      </w:r>
      <w:r w:rsidR="00042663">
        <w:t>)</w:t>
      </w:r>
      <w:r w:rsidR="00EE352B">
        <w:t>,</w:t>
      </w:r>
      <w:r w:rsidR="004D05EC">
        <w:t xml:space="preserve"> </w:t>
      </w:r>
      <w:r w:rsidR="007A26AD">
        <w:t>combined with</w:t>
      </w:r>
      <w:r w:rsidR="004D05EC">
        <w:t xml:space="preserve"> the mandatory phase-out of</w:t>
      </w:r>
      <w:r w:rsidR="002049D3">
        <w:t xml:space="preserve"> almost all</w:t>
      </w:r>
      <w:r w:rsidR="004D05EC">
        <w:t xml:space="preserve"> LSI forklifts</w:t>
      </w:r>
      <w:r w:rsidR="007A26AD">
        <w:t xml:space="preserve"> on</w:t>
      </w:r>
      <w:r w:rsidR="00FD6566">
        <w:t xml:space="preserve"> a</w:t>
      </w:r>
      <w:r w:rsidR="007A26AD">
        <w:t xml:space="preserve"> prescribed </w:t>
      </w:r>
      <w:r w:rsidR="00FD6566">
        <w:t>timetable</w:t>
      </w:r>
      <w:r w:rsidR="004D05EC">
        <w:t>.</w:t>
      </w:r>
      <w:r w:rsidR="00DF7471">
        <w:t xml:space="preserve">  </w:t>
      </w:r>
      <w:r w:rsidR="007373FB">
        <w:t>A</w:t>
      </w:r>
      <w:r w:rsidR="002049D3">
        <w:t xml:space="preserve"> prohibition/phase-out </w:t>
      </w:r>
      <w:r w:rsidR="00BB47D6">
        <w:t>mandate</w:t>
      </w:r>
      <w:r w:rsidR="00DF7471">
        <w:t xml:space="preserve"> </w:t>
      </w:r>
      <w:r w:rsidR="007373FB">
        <w:t>is</w:t>
      </w:r>
      <w:r w:rsidR="00E25290">
        <w:t xml:space="preserve"> the </w:t>
      </w:r>
      <w:r w:rsidR="00F912F8">
        <w:t>epitome</w:t>
      </w:r>
      <w:r w:rsidR="00E25290">
        <w:t xml:space="preserve"> of </w:t>
      </w:r>
      <w:r w:rsidR="009B7154">
        <w:t xml:space="preserve">a </w:t>
      </w:r>
      <w:r w:rsidR="00E22588">
        <w:t>prescriptive</w:t>
      </w:r>
      <w:r w:rsidR="00E25290">
        <w:t xml:space="preserve"> </w:t>
      </w:r>
      <w:r w:rsidR="00581F9E">
        <w:t>regulation</w:t>
      </w:r>
      <w:r w:rsidR="00DF7471">
        <w:t>.</w:t>
      </w:r>
      <w:r w:rsidR="009649AB">
        <w:t xml:space="preserve">  While CARB</w:t>
      </w:r>
      <w:r w:rsidR="009E3B1C">
        <w:t xml:space="preserve"> states</w:t>
      </w:r>
      <w:r w:rsidR="009649AB">
        <w:t xml:space="preserve"> that </w:t>
      </w:r>
      <w:r w:rsidR="009E3B1C">
        <w:t>the</w:t>
      </w:r>
      <w:r w:rsidR="001363B8">
        <w:t xml:space="preserve"> Proposed</w:t>
      </w:r>
      <w:r w:rsidR="009E3B1C">
        <w:t xml:space="preserve"> </w:t>
      </w:r>
      <w:r w:rsidR="001363B8">
        <w:t>R</w:t>
      </w:r>
      <w:r w:rsidR="009E3B1C">
        <w:t xml:space="preserve">egulation would not preclude the use of any technology, </w:t>
      </w:r>
      <w:r w:rsidR="000A7EA1">
        <w:t xml:space="preserve">CARB acknowledges that </w:t>
      </w:r>
      <w:r w:rsidR="009E3B1C">
        <w:t>only two technologies</w:t>
      </w:r>
      <w:bookmarkStart w:id="1" w:name="_Hlk151113959"/>
      <w:r w:rsidR="00051C68">
        <w:t>—</w:t>
      </w:r>
      <w:bookmarkEnd w:id="1"/>
      <w:r w:rsidR="00051C68">
        <w:t>battery-electric and fuel-cell</w:t>
      </w:r>
      <w:r w:rsidR="00591DC2">
        <w:t xml:space="preserve"> </w:t>
      </w:r>
      <w:r w:rsidR="00051C68">
        <w:t>electric—</w:t>
      </w:r>
      <w:r w:rsidR="000A7EA1">
        <w:t>exist to replace LSI forklifts.</w:t>
      </w:r>
      <w:r w:rsidR="008377CA">
        <w:t xml:space="preserve">  And</w:t>
      </w:r>
      <w:r w:rsidR="009741D9">
        <w:t xml:space="preserve"> since fuel cells represent only 10% of the zero-emission forklift</w:t>
      </w:r>
      <w:r w:rsidR="00311502">
        <w:t xml:space="preserve"> population (ISOR, p. </w:t>
      </w:r>
      <w:r w:rsidR="00A2377C">
        <w:t>31)</w:t>
      </w:r>
      <w:r w:rsidR="00311502">
        <w:t>,</w:t>
      </w:r>
      <w:r w:rsidR="009741D9">
        <w:t xml:space="preserve"> </w:t>
      </w:r>
      <w:r w:rsidR="008377CA">
        <w:t>the</w:t>
      </w:r>
      <w:r w:rsidR="00327DFE">
        <w:t xml:space="preserve"> large</w:t>
      </w:r>
      <w:r w:rsidR="008377CA">
        <w:t xml:space="preserve"> majority of users</w:t>
      </w:r>
      <w:r w:rsidR="00A2377C">
        <w:t xml:space="preserve"> will have no option other than</w:t>
      </w:r>
      <w:r w:rsidR="00467BDC">
        <w:t xml:space="preserve"> to </w:t>
      </w:r>
      <w:r w:rsidR="005F4302">
        <w:t>replace</w:t>
      </w:r>
      <w:r w:rsidR="00467BDC">
        <w:t xml:space="preserve"> their</w:t>
      </w:r>
      <w:r w:rsidR="00234091">
        <w:t xml:space="preserve"> phased-out</w:t>
      </w:r>
      <w:r w:rsidR="00467BDC">
        <w:t xml:space="preserve"> LSI forklift</w:t>
      </w:r>
      <w:r w:rsidR="00C22004">
        <w:t>s</w:t>
      </w:r>
      <w:r w:rsidR="00467BDC">
        <w:t xml:space="preserve"> </w:t>
      </w:r>
      <w:r w:rsidR="007C7439">
        <w:t>with</w:t>
      </w:r>
      <w:r w:rsidR="007D5B61">
        <w:t xml:space="preserve"> battery-electric</w:t>
      </w:r>
      <w:r w:rsidR="00467BDC">
        <w:t xml:space="preserve"> forklifts</w:t>
      </w:r>
      <w:r w:rsidR="00795BD8">
        <w:t xml:space="preserve">.  CARB’s </w:t>
      </w:r>
      <w:r w:rsidR="00BD16E8">
        <w:t>suggestion</w:t>
      </w:r>
      <w:r w:rsidR="00257E7C">
        <w:t xml:space="preserve"> (ISOR, p. 220)</w:t>
      </w:r>
      <w:r w:rsidR="00795BD8">
        <w:t xml:space="preserve"> that </w:t>
      </w:r>
      <w:r w:rsidR="0082349A">
        <w:t xml:space="preserve">regulated entities could </w:t>
      </w:r>
      <w:r w:rsidR="00181376">
        <w:t>“</w:t>
      </w:r>
      <w:r w:rsidR="0082349A">
        <w:t xml:space="preserve">choose not to replace </w:t>
      </w:r>
      <w:r w:rsidR="003904CD">
        <w:t>[</w:t>
      </w:r>
      <w:r w:rsidR="0082349A">
        <w:t>their forklifts</w:t>
      </w:r>
      <w:r w:rsidR="003904CD">
        <w:t>]</w:t>
      </w:r>
      <w:r w:rsidR="0082349A">
        <w:t xml:space="preserve"> at </w:t>
      </w:r>
      <w:r w:rsidR="000C71A9">
        <w:t>all”</w:t>
      </w:r>
      <w:r w:rsidR="004239FF">
        <w:t>—</w:t>
      </w:r>
      <w:r w:rsidR="00945227">
        <w:t xml:space="preserve">simply </w:t>
      </w:r>
      <w:r w:rsidR="0011245F">
        <w:t>stop using forklifts</w:t>
      </w:r>
      <w:r w:rsidR="00945227">
        <w:t xml:space="preserve"> in their businesses</w:t>
      </w:r>
      <w:r w:rsidR="00781DD6">
        <w:t>—only highlights just</w:t>
      </w:r>
      <w:r w:rsidR="00674087">
        <w:t xml:space="preserve"> how</w:t>
      </w:r>
      <w:r w:rsidR="00781DD6">
        <w:t xml:space="preserve"> prescriptive</w:t>
      </w:r>
      <w:r w:rsidR="00827BD7">
        <w:t xml:space="preserve"> the</w:t>
      </w:r>
      <w:r w:rsidR="00092FCB">
        <w:t xml:space="preserve"> Proposed</w:t>
      </w:r>
      <w:r w:rsidR="00B32509">
        <w:t xml:space="preserve"> </w:t>
      </w:r>
      <w:r w:rsidR="00092FCB">
        <w:t>R</w:t>
      </w:r>
      <w:r w:rsidR="00B32509">
        <w:t>egulation is</w:t>
      </w:r>
      <w:r w:rsidR="00827BD7">
        <w:t>.</w:t>
      </w:r>
      <w:r w:rsidR="009A4311">
        <w:t xml:space="preserve">  The ISOR should have acknowledged this fact.</w:t>
      </w:r>
      <w:r w:rsidR="00B32509">
        <w:t xml:space="preserve"> </w:t>
      </w:r>
      <w:r w:rsidR="00827BD7">
        <w:t xml:space="preserve"> </w:t>
      </w:r>
    </w:p>
    <w:p w14:paraId="422FBB83" w14:textId="11498DD0" w:rsidR="00A1299C" w:rsidRDefault="00854F0D" w:rsidP="00A1299C">
      <w:pPr>
        <w:spacing w:line="360" w:lineRule="auto"/>
      </w:pPr>
      <w:r>
        <w:tab/>
      </w:r>
      <w:r w:rsidR="00840A5D">
        <w:rPr>
          <w:rFonts w:cstheme="minorHAnsi"/>
        </w:rPr>
        <w:t>Because</w:t>
      </w:r>
      <w:r w:rsidRPr="001B44F3">
        <w:rPr>
          <w:rFonts w:cstheme="minorHAnsi"/>
        </w:rPr>
        <w:t xml:space="preserve"> </w:t>
      </w:r>
      <w:r w:rsidR="00845A4A">
        <w:rPr>
          <w:rFonts w:cstheme="minorHAnsi"/>
        </w:rPr>
        <w:t>the</w:t>
      </w:r>
      <w:r w:rsidR="00850583">
        <w:rPr>
          <w:rFonts w:cstheme="minorHAnsi"/>
        </w:rPr>
        <w:t xml:space="preserve"> Proposed</w:t>
      </w:r>
      <w:r w:rsidR="00845A4A">
        <w:rPr>
          <w:rFonts w:cstheme="minorHAnsi"/>
        </w:rPr>
        <w:t xml:space="preserve"> </w:t>
      </w:r>
      <w:r w:rsidR="00850583">
        <w:rPr>
          <w:rFonts w:cstheme="minorHAnsi"/>
        </w:rPr>
        <w:t>R</w:t>
      </w:r>
      <w:r w:rsidR="00845A4A">
        <w:rPr>
          <w:rFonts w:cstheme="minorHAnsi"/>
        </w:rPr>
        <w:t xml:space="preserve">egulation </w:t>
      </w:r>
      <w:r w:rsidRPr="001B44F3">
        <w:rPr>
          <w:rFonts w:cstheme="minorHAnsi"/>
        </w:rPr>
        <w:t>“</w:t>
      </w:r>
      <w:r w:rsidRPr="001B44F3">
        <w:rPr>
          <w:rFonts w:cstheme="minorHAnsi"/>
          <w:color w:val="333333"/>
          <w:shd w:val="clear" w:color="auto" w:fill="FFFFFF"/>
        </w:rPr>
        <w:t>would mandate the use of specific technologies or equipment or prescribe specific actions or procedures</w:t>
      </w:r>
      <w:r w:rsidR="0013579B">
        <w:rPr>
          <w:rFonts w:cstheme="minorHAnsi"/>
          <w:color w:val="333333"/>
          <w:shd w:val="clear" w:color="auto" w:fill="FFFFFF"/>
        </w:rPr>
        <w:t>,</w:t>
      </w:r>
      <w:r w:rsidR="005E4B8D">
        <w:rPr>
          <w:rFonts w:cstheme="minorHAnsi"/>
          <w:color w:val="333333"/>
          <w:shd w:val="clear" w:color="auto" w:fill="FFFFFF"/>
        </w:rPr>
        <w:t xml:space="preserve">” </w:t>
      </w:r>
      <w:r w:rsidR="00860F45">
        <w:rPr>
          <w:rFonts w:cstheme="minorHAnsi"/>
          <w:color w:val="333333"/>
          <w:shd w:val="clear" w:color="auto" w:fill="FFFFFF"/>
        </w:rPr>
        <w:t>CARB must consider</w:t>
      </w:r>
      <w:r w:rsidR="0087110C">
        <w:rPr>
          <w:rFonts w:cstheme="minorHAnsi"/>
          <w:color w:val="333333"/>
          <w:shd w:val="clear" w:color="auto" w:fill="FFFFFF"/>
        </w:rPr>
        <w:t xml:space="preserve"> “</w:t>
      </w:r>
      <w:r w:rsidRPr="001B44F3">
        <w:rPr>
          <w:rFonts w:cstheme="minorHAnsi"/>
          <w:color w:val="333333"/>
          <w:shd w:val="clear" w:color="auto" w:fill="FFFFFF"/>
        </w:rPr>
        <w:t xml:space="preserve">the imposition of performance standards </w:t>
      </w:r>
      <w:r w:rsidR="002C0638">
        <w:rPr>
          <w:rFonts w:cstheme="minorHAnsi"/>
          <w:color w:val="333333"/>
          <w:shd w:val="clear" w:color="auto" w:fill="FFFFFF"/>
        </w:rPr>
        <w:t>. . .</w:t>
      </w:r>
      <w:r w:rsidRPr="001B44F3">
        <w:rPr>
          <w:rFonts w:cstheme="minorHAnsi"/>
          <w:color w:val="333333"/>
          <w:shd w:val="clear" w:color="auto" w:fill="FFFFFF"/>
        </w:rPr>
        <w:t xml:space="preserve"> as an alternative</w:t>
      </w:r>
      <w:r w:rsidR="001B44F3" w:rsidRPr="001B44F3">
        <w:rPr>
          <w:rFonts w:cstheme="minorHAnsi"/>
          <w:color w:val="333333"/>
          <w:shd w:val="clear" w:color="auto" w:fill="FFFFFF"/>
        </w:rPr>
        <w:t>.”</w:t>
      </w:r>
      <w:r w:rsidR="00BE394E">
        <w:rPr>
          <w:rFonts w:cstheme="minorHAnsi"/>
          <w:color w:val="333333"/>
          <w:shd w:val="clear" w:color="auto" w:fill="FFFFFF"/>
        </w:rPr>
        <w:t xml:space="preserve"> </w:t>
      </w:r>
      <w:r w:rsidR="0013579B" w:rsidRPr="0013579B">
        <w:t xml:space="preserve"> </w:t>
      </w:r>
      <w:bookmarkStart w:id="2" w:name="_Hlk151310011"/>
      <w:r w:rsidR="0013579B">
        <w:t>Government Code section 11346.2(b)(4)(A)</w:t>
      </w:r>
      <w:bookmarkEnd w:id="2"/>
      <w:r w:rsidR="0013579B">
        <w:rPr>
          <w:rFonts w:cstheme="minorHAnsi"/>
          <w:color w:val="333333"/>
          <w:shd w:val="clear" w:color="auto" w:fill="FFFFFF"/>
        </w:rPr>
        <w:t>.</w:t>
      </w:r>
      <w:r w:rsidR="00212950">
        <w:rPr>
          <w:rFonts w:cstheme="minorHAnsi"/>
          <w:color w:val="333333"/>
          <w:shd w:val="clear" w:color="auto" w:fill="FFFFFF"/>
        </w:rPr>
        <w:t xml:space="preserve">  </w:t>
      </w:r>
      <w:r w:rsidR="0015662F">
        <w:rPr>
          <w:rFonts w:cstheme="minorHAnsi"/>
          <w:color w:val="333333"/>
          <w:shd w:val="clear" w:color="auto" w:fill="FFFFFF"/>
        </w:rPr>
        <w:t xml:space="preserve">But while </w:t>
      </w:r>
      <w:r w:rsidR="00212950">
        <w:rPr>
          <w:rFonts w:cstheme="minorHAnsi"/>
          <w:color w:val="333333"/>
          <w:shd w:val="clear" w:color="auto" w:fill="FFFFFF"/>
        </w:rPr>
        <w:t xml:space="preserve">CARB </w:t>
      </w:r>
      <w:r w:rsidR="0015662F">
        <w:rPr>
          <w:rFonts w:cstheme="minorHAnsi"/>
          <w:color w:val="333333"/>
          <w:shd w:val="clear" w:color="auto" w:fill="FFFFFF"/>
        </w:rPr>
        <w:t xml:space="preserve">concludes </w:t>
      </w:r>
      <w:r w:rsidR="00206BA1">
        <w:rPr>
          <w:rFonts w:cstheme="minorHAnsi"/>
          <w:color w:val="333333"/>
          <w:shd w:val="clear" w:color="auto" w:fill="FFFFFF"/>
        </w:rPr>
        <w:t>that a performance approach would be less effective</w:t>
      </w:r>
      <w:r w:rsidR="00CC5349">
        <w:rPr>
          <w:rFonts w:cstheme="minorHAnsi"/>
          <w:color w:val="333333"/>
          <w:shd w:val="clear" w:color="auto" w:fill="FFFFFF"/>
        </w:rPr>
        <w:t xml:space="preserve">, </w:t>
      </w:r>
      <w:r w:rsidR="00D31BE4">
        <w:rPr>
          <w:rFonts w:cstheme="minorHAnsi"/>
          <w:color w:val="333333"/>
          <w:shd w:val="clear" w:color="auto" w:fill="FFFFFF"/>
        </w:rPr>
        <w:t>it has not identified, much less analyzed, an actual</w:t>
      </w:r>
      <w:r w:rsidR="00CC5349">
        <w:rPr>
          <w:rFonts w:cstheme="minorHAnsi"/>
          <w:color w:val="333333"/>
          <w:shd w:val="clear" w:color="auto" w:fill="FFFFFF"/>
        </w:rPr>
        <w:t xml:space="preserve"> </w:t>
      </w:r>
      <w:r w:rsidR="00EF7DE0">
        <w:rPr>
          <w:rFonts w:cstheme="minorHAnsi"/>
          <w:color w:val="333333"/>
          <w:shd w:val="clear" w:color="auto" w:fill="FFFFFF"/>
        </w:rPr>
        <w:t>performance</w:t>
      </w:r>
      <w:r w:rsidR="00CC5349">
        <w:rPr>
          <w:rFonts w:cstheme="minorHAnsi"/>
          <w:color w:val="333333"/>
          <w:shd w:val="clear" w:color="auto" w:fill="FFFFFF"/>
        </w:rPr>
        <w:t xml:space="preserve"> approach</w:t>
      </w:r>
      <w:r w:rsidR="00D31BE4">
        <w:rPr>
          <w:rFonts w:cstheme="minorHAnsi"/>
          <w:color w:val="333333"/>
          <w:shd w:val="clear" w:color="auto" w:fill="FFFFFF"/>
        </w:rPr>
        <w:t>.</w:t>
      </w:r>
      <w:r w:rsidR="00CC5349">
        <w:rPr>
          <w:rFonts w:cstheme="minorHAnsi"/>
          <w:color w:val="333333"/>
          <w:shd w:val="clear" w:color="auto" w:fill="FFFFFF"/>
        </w:rPr>
        <w:t xml:space="preserve"> </w:t>
      </w:r>
      <w:r w:rsidR="00D31BE4">
        <w:rPr>
          <w:rFonts w:cstheme="minorHAnsi"/>
          <w:color w:val="333333"/>
          <w:shd w:val="clear" w:color="auto" w:fill="FFFFFF"/>
        </w:rPr>
        <w:t xml:space="preserve"> </w:t>
      </w:r>
      <w:r w:rsidR="00FC1EBC">
        <w:rPr>
          <w:rFonts w:cstheme="minorHAnsi"/>
          <w:color w:val="333333"/>
          <w:shd w:val="clear" w:color="auto" w:fill="FFFFFF"/>
        </w:rPr>
        <w:t>At the outset of the regulatory process, ITA and other stakeholders urged CARB to consider</w:t>
      </w:r>
      <w:r w:rsidR="00266B1E">
        <w:rPr>
          <w:rFonts w:cstheme="minorHAnsi"/>
          <w:color w:val="333333"/>
          <w:shd w:val="clear" w:color="auto" w:fill="FFFFFF"/>
        </w:rPr>
        <w:t xml:space="preserve"> a</w:t>
      </w:r>
      <w:r w:rsidR="00D63305">
        <w:rPr>
          <w:rFonts w:cstheme="minorHAnsi"/>
          <w:color w:val="333333"/>
          <w:shd w:val="clear" w:color="auto" w:fill="FFFFFF"/>
        </w:rPr>
        <w:t xml:space="preserve"> performance</w:t>
      </w:r>
      <w:r w:rsidR="00266B1E">
        <w:rPr>
          <w:rFonts w:cstheme="minorHAnsi"/>
          <w:color w:val="333333"/>
          <w:shd w:val="clear" w:color="auto" w:fill="FFFFFF"/>
        </w:rPr>
        <w:t xml:space="preserve"> approach </w:t>
      </w:r>
      <w:r w:rsidR="00F22D44">
        <w:rPr>
          <w:rFonts w:cstheme="minorHAnsi"/>
          <w:color w:val="333333"/>
          <w:shd w:val="clear" w:color="auto" w:fill="FFFFFF"/>
        </w:rPr>
        <w:t xml:space="preserve">based on a regulation </w:t>
      </w:r>
      <w:r w:rsidR="00266B1E">
        <w:rPr>
          <w:rFonts w:cstheme="minorHAnsi"/>
          <w:color w:val="333333"/>
          <w:shd w:val="clear" w:color="auto" w:fill="FFFFFF"/>
        </w:rPr>
        <w:t xml:space="preserve">that already exists, namely, </w:t>
      </w:r>
      <w:r w:rsidR="001B2A99">
        <w:t>the Large Spark-Ignition Engine Fleet Requirements Regulation (</w:t>
      </w:r>
      <w:r w:rsidR="00954BE9">
        <w:t>“</w:t>
      </w:r>
      <w:r w:rsidR="001B2A99">
        <w:t>LSI Fleet Regulation</w:t>
      </w:r>
      <w:r w:rsidR="00954BE9">
        <w:t>”</w:t>
      </w:r>
      <w:r w:rsidR="001B2A99">
        <w:t>)</w:t>
      </w:r>
      <w:r w:rsidR="00D40AEA">
        <w:t>, which CARB</w:t>
      </w:r>
      <w:r w:rsidR="00954BE9">
        <w:t xml:space="preserve"> discusse</w:t>
      </w:r>
      <w:r w:rsidR="00D40AEA">
        <w:t>s</w:t>
      </w:r>
      <w:r w:rsidR="00954BE9">
        <w:t xml:space="preserve"> in the Regulatory Background section</w:t>
      </w:r>
      <w:r w:rsidR="00723344">
        <w:t xml:space="preserve"> and elsewhere</w:t>
      </w:r>
      <w:r w:rsidR="00954BE9">
        <w:t xml:space="preserve"> </w:t>
      </w:r>
      <w:r w:rsidR="00AF657C">
        <w:t>in</w:t>
      </w:r>
      <w:r w:rsidR="00954BE9">
        <w:t xml:space="preserve"> the ISO</w:t>
      </w:r>
      <w:r w:rsidR="00727509">
        <w:t>R</w:t>
      </w:r>
      <w:r w:rsidR="00954BE9">
        <w:t>.</w:t>
      </w:r>
      <w:r w:rsidR="001F2E23">
        <w:t xml:space="preserve">  As CARB explains, the LSI Fleet Regulation </w:t>
      </w:r>
      <w:r w:rsidR="001F2E23">
        <w:lastRenderedPageBreak/>
        <w:t xml:space="preserve">included </w:t>
      </w:r>
      <w:r w:rsidR="004F335B">
        <w:t>the</w:t>
      </w:r>
      <w:r w:rsidR="00106EB3">
        <w:t xml:space="preserve"> option of</w:t>
      </w:r>
      <w:r w:rsidR="004F335B">
        <w:t xml:space="preserve"> us</w:t>
      </w:r>
      <w:r w:rsidR="00106EB3">
        <w:t>ing</w:t>
      </w:r>
      <w:r w:rsidR="004F335B">
        <w:t xml:space="preserve"> </w:t>
      </w:r>
      <w:r w:rsidR="00106EB3">
        <w:t>Zero-Emission</w:t>
      </w:r>
      <w:r w:rsidR="004F335B">
        <w:t xml:space="preserve"> equipment and </w:t>
      </w:r>
      <w:r w:rsidR="002F77A2">
        <w:t xml:space="preserve">it has </w:t>
      </w:r>
      <w:r w:rsidR="00E86ED9">
        <w:t xml:space="preserve">reduced NOx and hydrocarbons.  ISOR, p. </w:t>
      </w:r>
      <w:r w:rsidR="00443F04">
        <w:t>27.</w:t>
      </w:r>
    </w:p>
    <w:p w14:paraId="215BDD9D" w14:textId="12A4D5FE" w:rsidR="00470423" w:rsidRDefault="000A1DF2" w:rsidP="00A1299C">
      <w:pPr>
        <w:spacing w:line="360" w:lineRule="auto"/>
      </w:pPr>
      <w:r>
        <w:tab/>
      </w:r>
      <w:r w:rsidR="00E27784">
        <w:t>Notwithstanding</w:t>
      </w:r>
      <w:r w:rsidR="00E27784" w:rsidRPr="00E27784">
        <w:t xml:space="preserve"> </w:t>
      </w:r>
      <w:r w:rsidR="00E27784">
        <w:t>Government Code section 11346.2(b)(4)(A)</w:t>
      </w:r>
      <w:r w:rsidR="003D68D3">
        <w:t xml:space="preserve"> and the suggestion of stakeholders,</w:t>
      </w:r>
      <w:r w:rsidR="00A07F21">
        <w:t xml:space="preserve"> CARB</w:t>
      </w:r>
      <w:r w:rsidR="003A5463">
        <w:t xml:space="preserve"> has</w:t>
      </w:r>
      <w:r w:rsidR="00A07F21">
        <w:t xml:space="preserve"> </w:t>
      </w:r>
      <w:r w:rsidR="00B02EFD">
        <w:t>chosen not</w:t>
      </w:r>
      <w:r w:rsidR="00A07F21">
        <w:t xml:space="preserve"> to evaluate whether a fleet-average approach</w:t>
      </w:r>
      <w:r w:rsidR="00EC367A">
        <w:t xml:space="preserve"> for LSI forklifts</w:t>
      </w:r>
      <w:r w:rsidR="00470EB7">
        <w:t xml:space="preserve"> could be used</w:t>
      </w:r>
      <w:r w:rsidR="00EC367A">
        <w:t xml:space="preserve"> to attain emissions reductions commensurate with</w:t>
      </w:r>
      <w:r w:rsidR="00A05206">
        <w:t xml:space="preserve"> those claimed for</w:t>
      </w:r>
      <w:r w:rsidR="00EC367A">
        <w:t xml:space="preserve"> </w:t>
      </w:r>
      <w:r w:rsidR="000D07D2">
        <w:t xml:space="preserve">the </w:t>
      </w:r>
      <w:r w:rsidR="00424F08">
        <w:t>Proposed</w:t>
      </w:r>
      <w:r w:rsidR="00EC367A">
        <w:t xml:space="preserve"> Regulation.</w:t>
      </w:r>
      <w:r w:rsidR="00CC2EF3">
        <w:t xml:space="preserve">  Whether </w:t>
      </w:r>
      <w:r w:rsidR="00CB072C">
        <w:t>implemented</w:t>
      </w:r>
      <w:r w:rsidR="00CC2EF3">
        <w:t xml:space="preserve"> by amending the existing LSI Fleet Regulation or drafting a new regulation, the approach </w:t>
      </w:r>
      <w:r w:rsidR="00881412">
        <w:t xml:space="preserve">that </w:t>
      </w:r>
      <w:r w:rsidR="00CC2EF3">
        <w:t>ITA</w:t>
      </w:r>
      <w:r w:rsidR="00881412">
        <w:t xml:space="preserve"> and others</w:t>
      </w:r>
      <w:r w:rsidR="00CC2EF3">
        <w:t xml:space="preserve"> recommended rests on the idea that </w:t>
      </w:r>
      <w:r w:rsidR="00A817B7">
        <w:t xml:space="preserve">regulated entities </w:t>
      </w:r>
      <w:r w:rsidR="00447D41">
        <w:t xml:space="preserve">should be allowed to determine for </w:t>
      </w:r>
      <w:r w:rsidR="00A817B7">
        <w:t>themselves when to retire and</w:t>
      </w:r>
      <w:r w:rsidR="00346F38">
        <w:t xml:space="preserve"> when to</w:t>
      </w:r>
      <w:r w:rsidR="00A817B7">
        <w:t xml:space="preserve"> acquire</w:t>
      </w:r>
      <w:r w:rsidR="00D36BB4">
        <w:t xml:space="preserve"> forklifts</w:t>
      </w:r>
      <w:r w:rsidR="00447D41">
        <w:t>, so long as they</w:t>
      </w:r>
      <w:r w:rsidR="00692B2C">
        <w:t xml:space="preserve"> meet declining fleet averages</w:t>
      </w:r>
      <w:r w:rsidR="003458FB">
        <w:t xml:space="preserve"> that yield the required emissions reductions </w:t>
      </w:r>
      <w:r w:rsidR="00124419">
        <w:t>by specified dates</w:t>
      </w:r>
      <w:r w:rsidR="00176A31">
        <w:t>.</w:t>
      </w:r>
      <w:r w:rsidR="00A1642B">
        <w:t xml:space="preserve">  Providing this flexibility could avoid many hardships</w:t>
      </w:r>
      <w:r w:rsidR="005314E7">
        <w:t xml:space="preserve"> without sacrificing emission-reduction goals.</w:t>
      </w:r>
      <w:r w:rsidR="00914C2B">
        <w:t xml:space="preserve">  </w:t>
      </w:r>
      <w:r w:rsidR="005D686A">
        <w:t xml:space="preserve">Basing a fleet-average regulation on engine horsepower, which is </w:t>
      </w:r>
      <w:r w:rsidR="00D94051">
        <w:t>directly correlated to emissions</w:t>
      </w:r>
      <w:r w:rsidR="00D204B1">
        <w:t xml:space="preserve"> and is</w:t>
      </w:r>
      <w:r w:rsidR="00D94051" w:rsidRPr="00D94051">
        <w:t xml:space="preserve"> </w:t>
      </w:r>
      <w:r w:rsidR="00D204B1">
        <w:t>simple to</w:t>
      </w:r>
      <w:r w:rsidR="00D94051">
        <w:t xml:space="preserve"> </w:t>
      </w:r>
      <w:r w:rsidR="00AB5EE5">
        <w:t>ascertain</w:t>
      </w:r>
      <w:r w:rsidR="005D686A">
        <w:t xml:space="preserve">, </w:t>
      </w:r>
      <w:r w:rsidR="005D3EC8">
        <w:t>would</w:t>
      </w:r>
      <w:r w:rsidR="00017C41">
        <w:t xml:space="preserve"> further</w:t>
      </w:r>
      <w:r w:rsidR="005D3EC8">
        <w:t xml:space="preserve"> increase flexibility</w:t>
      </w:r>
      <w:r w:rsidR="00EE0931">
        <w:t xml:space="preserve"> and </w:t>
      </w:r>
      <w:r w:rsidR="001B516C">
        <w:t>reduce</w:t>
      </w:r>
      <w:r w:rsidR="00EE0931">
        <w:t xml:space="preserve"> unnecessary disruption of essential operations.</w:t>
      </w:r>
    </w:p>
    <w:p w14:paraId="1748ACA7" w14:textId="616F541D" w:rsidR="007B2832" w:rsidRDefault="00470423" w:rsidP="00A1299C">
      <w:pPr>
        <w:spacing w:line="360" w:lineRule="auto"/>
      </w:pPr>
      <w:r>
        <w:tab/>
        <w:t>CARB states, “</w:t>
      </w:r>
      <w:r w:rsidR="00E1007D">
        <w:t>The Proposed Regulation would provide flexibility that could encourage innovation by allowing fleets to determine their compliance path based on their business model or operational needs.</w:t>
      </w:r>
      <w:r w:rsidR="000F7747">
        <w:t xml:space="preserve">” </w:t>
      </w:r>
      <w:r w:rsidR="00065F37">
        <w:t>ISOR</w:t>
      </w:r>
      <w:r w:rsidR="00FE384D">
        <w:t>, p. 220</w:t>
      </w:r>
      <w:r w:rsidR="00655545">
        <w:t>.  T</w:t>
      </w:r>
      <w:r w:rsidR="002D17BD">
        <w:t xml:space="preserve">his apparently </w:t>
      </w:r>
      <w:r w:rsidR="00D53C45">
        <w:t xml:space="preserve">refers </w:t>
      </w:r>
      <w:r w:rsidR="00655545">
        <w:t>again</w:t>
      </w:r>
      <w:r w:rsidR="00D53C45">
        <w:t xml:space="preserve"> t</w:t>
      </w:r>
      <w:r w:rsidR="00A76A78">
        <w:t>o</w:t>
      </w:r>
      <w:r w:rsidR="002D17BD">
        <w:t xml:space="preserve"> </w:t>
      </w:r>
      <w:r w:rsidR="00D53C45">
        <w:t>fleets</w:t>
      </w:r>
      <w:r w:rsidR="00A76A78">
        <w:t>’ limited ability to choose battery-electric o</w:t>
      </w:r>
      <w:r w:rsidR="000436F2">
        <w:t>r fuel-cell electric</w:t>
      </w:r>
      <w:r w:rsidR="00BA1230">
        <w:t xml:space="preserve">, but this is the only sense in which fleets can </w:t>
      </w:r>
      <w:r w:rsidR="001B10C4">
        <w:t>determine their own compliance path</w:t>
      </w:r>
      <w:r w:rsidR="00C5140F">
        <w:t>.</w:t>
      </w:r>
      <w:r w:rsidR="005C363F">
        <w:t xml:space="preserve"> </w:t>
      </w:r>
      <w:r w:rsidR="00C5140F">
        <w:t xml:space="preserve"> The</w:t>
      </w:r>
      <w:r w:rsidR="00F43B3E">
        <w:t xml:space="preserve"> Proposed</w:t>
      </w:r>
      <w:r w:rsidR="00535006">
        <w:t xml:space="preserve"> </w:t>
      </w:r>
      <w:r w:rsidR="00CD44C8">
        <w:t>Regulation rigidly prescribes the date</w:t>
      </w:r>
      <w:r w:rsidR="00CD6D9D">
        <w:t>s</w:t>
      </w:r>
      <w:r w:rsidR="00CD44C8">
        <w:t xml:space="preserve"> after which </w:t>
      </w:r>
      <w:r w:rsidR="00EE6A73">
        <w:t>new forklifts</w:t>
      </w:r>
      <w:r w:rsidR="00CD6D9D">
        <w:t xml:space="preserve"> cannot be </w:t>
      </w:r>
      <w:r w:rsidR="00EE6A73">
        <w:t>acquired</w:t>
      </w:r>
      <w:r w:rsidR="00CD6D9D">
        <w:t xml:space="preserve"> and</w:t>
      </w:r>
      <w:r w:rsidR="007427AA">
        <w:t xml:space="preserve"> the</w:t>
      </w:r>
      <w:r w:rsidR="00CD6D9D">
        <w:t xml:space="preserve"> dates by which</w:t>
      </w:r>
      <w:r w:rsidR="007427AA">
        <w:t xml:space="preserve"> the specified model years</w:t>
      </w:r>
      <w:r w:rsidR="00CD6D9D">
        <w:t xml:space="preserve"> must be removed</w:t>
      </w:r>
      <w:r w:rsidR="005365B1">
        <w:t xml:space="preserve"> </w:t>
      </w:r>
      <w:r w:rsidR="00CD6D9D">
        <w:t>from the fleet</w:t>
      </w:r>
      <w:r w:rsidR="00873580">
        <w:t>.</w:t>
      </w:r>
      <w:r w:rsidR="005365B1">
        <w:t xml:space="preserve">  A fleet-average approach</w:t>
      </w:r>
      <w:r w:rsidR="00673CA8">
        <w:t xml:space="preserve"> would prescribe neither</w:t>
      </w:r>
      <w:r w:rsidR="00253917">
        <w:t xml:space="preserve"> </w:t>
      </w:r>
      <w:r w:rsidR="001C733E">
        <w:t>but</w:t>
      </w:r>
      <w:r w:rsidR="00253917">
        <w:t xml:space="preserve"> would be equally conducive to encouraging innovation.</w:t>
      </w:r>
    </w:p>
    <w:p w14:paraId="379B58F1" w14:textId="01071649" w:rsidR="001324FB" w:rsidRDefault="002B3553" w:rsidP="007B2832">
      <w:pPr>
        <w:spacing w:line="360" w:lineRule="auto"/>
        <w:ind w:firstLine="720"/>
      </w:pPr>
      <w:r>
        <w:t>CARB also states that “Less prescriptive measures would allow, by omission, additional flexibilities on technology, valuation, fleet mixing, and assurance measures that would not achieve the same magnitude of emissions reductions.</w:t>
      </w:r>
      <w:r w:rsidR="00736B40">
        <w:t>”</w:t>
      </w:r>
      <w:r w:rsidR="00713BB6">
        <w:t xml:space="preserve"> </w:t>
      </w:r>
      <w:r w:rsidR="00423A6F">
        <w:t>ISOR</w:t>
      </w:r>
      <w:r w:rsidR="00713BB6">
        <w:t>, p. 220.</w:t>
      </w:r>
      <w:r w:rsidR="00ED2BDD">
        <w:t xml:space="preserve">  ITA agrees that a fleet-average regulation would provide </w:t>
      </w:r>
      <w:r w:rsidR="009C4F34">
        <w:t>more</w:t>
      </w:r>
      <w:r w:rsidR="00ED2BDD">
        <w:t xml:space="preserve"> </w:t>
      </w:r>
      <w:r w:rsidR="005A063F">
        <w:t>flexibilit</w:t>
      </w:r>
      <w:r w:rsidR="009C4F34">
        <w:t>y</w:t>
      </w:r>
      <w:r w:rsidR="005A063F">
        <w:t xml:space="preserve"> but</w:t>
      </w:r>
      <w:r w:rsidR="00ED2BDD">
        <w:t xml:space="preserve"> </w:t>
      </w:r>
      <w:r w:rsidR="00D6172B">
        <w:t>sees</w:t>
      </w:r>
      <w:r w:rsidR="00835D7F">
        <w:t xml:space="preserve"> no inherent reason that</w:t>
      </w:r>
      <w:r w:rsidR="000B447C">
        <w:t xml:space="preserve"> the same</w:t>
      </w:r>
      <w:r w:rsidR="00835D7F">
        <w:t xml:space="preserve"> emissions reductions</w:t>
      </w:r>
      <w:r w:rsidR="000B447C">
        <w:t xml:space="preserve"> cannot be achieved</w:t>
      </w:r>
      <w:r w:rsidR="00FF68B9">
        <w:t xml:space="preserve"> </w:t>
      </w:r>
      <w:r w:rsidR="00463C1C">
        <w:t>with appropriate</w:t>
      </w:r>
      <w:r w:rsidR="00FF68B9">
        <w:t xml:space="preserve"> fleet averages</w:t>
      </w:r>
      <w:r w:rsidR="00463C1C">
        <w:t>.</w:t>
      </w:r>
      <w:r w:rsidR="00F7287E">
        <w:t xml:space="preserve">  A fleet-average regulation can achieve more</w:t>
      </w:r>
      <w:r w:rsidR="00D473F8">
        <w:t>, less</w:t>
      </w:r>
      <w:r w:rsidR="004B72CC">
        <w:t>,</w:t>
      </w:r>
      <w:r w:rsidR="00D473F8">
        <w:t xml:space="preserve"> or equal</w:t>
      </w:r>
      <w:r w:rsidR="00F7287E">
        <w:t xml:space="preserve"> emissions reductions</w:t>
      </w:r>
      <w:r w:rsidR="0081158A">
        <w:t xml:space="preserve"> compared to</w:t>
      </w:r>
      <w:r w:rsidR="00D52DA4">
        <w:t xml:space="preserve"> a prescriptive regulation, depending on the specific requirements of each.</w:t>
      </w:r>
      <w:r w:rsidR="00674D7A">
        <w:t xml:space="preserve">  </w:t>
      </w:r>
      <w:r w:rsidR="00957ADC">
        <w:t xml:space="preserve">From ITA’s perspective, </w:t>
      </w:r>
      <w:r w:rsidR="00C97B89">
        <w:t>CARB’s opposition to a performance-based regulation seems</w:t>
      </w:r>
      <w:r w:rsidR="001E6629">
        <w:t xml:space="preserve"> to be based</w:t>
      </w:r>
      <w:r w:rsidR="00C97B89">
        <w:t xml:space="preserve"> more </w:t>
      </w:r>
      <w:r w:rsidR="001E6629">
        <w:t xml:space="preserve">on an objection to </w:t>
      </w:r>
      <w:bookmarkStart w:id="3" w:name="_Hlk151367662"/>
      <w:r w:rsidR="00F54032">
        <w:t>Government Code section 11346.2(b)(4)(A)</w:t>
      </w:r>
      <w:r w:rsidR="00BF4DB3">
        <w:t xml:space="preserve"> </w:t>
      </w:r>
      <w:bookmarkEnd w:id="3"/>
      <w:r w:rsidR="00BF4DB3">
        <w:t>itself</w:t>
      </w:r>
      <w:r w:rsidR="00F54032">
        <w:t xml:space="preserve"> than </w:t>
      </w:r>
      <w:r w:rsidR="00826646">
        <w:t>on</w:t>
      </w:r>
      <w:r w:rsidR="00F54032">
        <w:t xml:space="preserve"> an actual analysis.</w:t>
      </w:r>
      <w:r w:rsidR="00C97B89">
        <w:t xml:space="preserve"> </w:t>
      </w:r>
    </w:p>
    <w:p w14:paraId="47B67FCE" w14:textId="40CD32EA" w:rsidR="00924E15" w:rsidRDefault="006A3C77" w:rsidP="00CF3511">
      <w:pPr>
        <w:spacing w:line="360" w:lineRule="auto"/>
        <w:ind w:firstLine="720"/>
      </w:pPr>
      <w:r>
        <w:t>CARB staff</w:t>
      </w:r>
      <w:r w:rsidR="00600C96">
        <w:t xml:space="preserve"> stated</w:t>
      </w:r>
      <w:r>
        <w:t xml:space="preserve"> during the r</w:t>
      </w:r>
      <w:r w:rsidR="0064306D">
        <w:t>egulatory development</w:t>
      </w:r>
      <w:r>
        <w:t xml:space="preserve"> process that </w:t>
      </w:r>
      <w:r w:rsidR="00600C96">
        <w:t>a fleet-average regulation would pose enforcement challenges</w:t>
      </w:r>
      <w:r w:rsidR="00282C77">
        <w:t>--</w:t>
      </w:r>
      <w:r w:rsidR="00600C96">
        <w:t xml:space="preserve">the </w:t>
      </w:r>
      <w:r w:rsidR="006E45DE">
        <w:t>ISOR</w:t>
      </w:r>
      <w:r w:rsidR="00600C96">
        <w:t xml:space="preserve"> now </w:t>
      </w:r>
      <w:r w:rsidR="00E41CB0">
        <w:t>mentions</w:t>
      </w:r>
      <w:r w:rsidR="00600C96">
        <w:t xml:space="preserve"> “assurance </w:t>
      </w:r>
      <w:r w:rsidR="002B35E5">
        <w:t>measures”--</w:t>
      </w:r>
      <w:r w:rsidR="00D959CB">
        <w:t>but this objection</w:t>
      </w:r>
      <w:r w:rsidR="008367A0">
        <w:t xml:space="preserve"> </w:t>
      </w:r>
      <w:r w:rsidR="00D959CB">
        <w:t>has not been explained.</w:t>
      </w:r>
      <w:r w:rsidR="00A469E0">
        <w:t xml:space="preserve">  CARB is </w:t>
      </w:r>
      <w:r w:rsidR="009E50CE">
        <w:t>already</w:t>
      </w:r>
      <w:r w:rsidR="00A469E0">
        <w:t xml:space="preserve"> enforcing the</w:t>
      </w:r>
      <w:r w:rsidR="009E50CE">
        <w:t xml:space="preserve"> recently amended</w:t>
      </w:r>
      <w:r w:rsidR="00A469E0">
        <w:t xml:space="preserve"> LSI Fleet Regulation</w:t>
      </w:r>
      <w:r w:rsidR="00CD5D22">
        <w:t xml:space="preserve"> and</w:t>
      </w:r>
      <w:r w:rsidR="008F1D53">
        <w:t xml:space="preserve"> </w:t>
      </w:r>
      <w:r w:rsidR="00A469E0">
        <w:t>the</w:t>
      </w:r>
      <w:r w:rsidR="006E3032">
        <w:t xml:space="preserve"> In-</w:t>
      </w:r>
      <w:r w:rsidR="006E3032">
        <w:lastRenderedPageBreak/>
        <w:t>Use Off-Road Diesel Fueled Fleets Regulation</w:t>
      </w:r>
      <w:r w:rsidR="00497D68">
        <w:t>,</w:t>
      </w:r>
      <w:r w:rsidR="006E3032">
        <w:t xml:space="preserve"> </w:t>
      </w:r>
      <w:r w:rsidR="007C3EE9">
        <w:t xml:space="preserve">which </w:t>
      </w:r>
      <w:r w:rsidR="0058704A">
        <w:t>“</w:t>
      </w:r>
      <w:r w:rsidR="007C3EE9">
        <w:t xml:space="preserve">bans older tier diesel-fueled equipment, and which requires emissions from fleets with diesel forklifts to be reduced dramatically over time.”  </w:t>
      </w:r>
      <w:r w:rsidR="005B777C">
        <w:t>ISOR</w:t>
      </w:r>
      <w:r w:rsidR="007C3EE9">
        <w:t xml:space="preserve">, p. </w:t>
      </w:r>
      <w:r w:rsidR="00B43E5B">
        <w:t>7.</w:t>
      </w:r>
      <w:r w:rsidR="00900E0D">
        <w:t xml:space="preserve">  By contrast, </w:t>
      </w:r>
      <w:r w:rsidR="009E50CE">
        <w:t>w</w:t>
      </w:r>
      <w:r w:rsidR="00CF3511">
        <w:t>hile enforcement measures are</w:t>
      </w:r>
      <w:r w:rsidR="00C7318C">
        <w:t xml:space="preserve"> already</w:t>
      </w:r>
      <w:r w:rsidR="00CF3511">
        <w:t xml:space="preserve"> in place for these fleet-average regulations, the </w:t>
      </w:r>
      <w:r w:rsidR="009E50CE">
        <w:t>Proposed</w:t>
      </w:r>
      <w:r w:rsidR="00CF3511">
        <w:t xml:space="preserve"> Regulation, </w:t>
      </w:r>
      <w:r w:rsidR="009E50CE">
        <w:t>whose</w:t>
      </w:r>
      <w:r w:rsidR="00CF3511">
        <w:t xml:space="preserve"> many definitions, exemptions, extensions, and reporting requirements</w:t>
      </w:r>
      <w:r w:rsidR="009E50CE">
        <w:t xml:space="preserve"> take up most of the regulatory text</w:t>
      </w:r>
      <w:r w:rsidR="00CF3511">
        <w:t xml:space="preserve">, will require </w:t>
      </w:r>
      <w:r w:rsidR="009E50CE">
        <w:t xml:space="preserve">17 permanent staff positions.  </w:t>
      </w:r>
      <w:r w:rsidR="0076292E">
        <w:t>ISOR</w:t>
      </w:r>
      <w:r w:rsidR="009E50CE">
        <w:t>, p. 175.</w:t>
      </w:r>
      <w:r w:rsidR="005F7F1C">
        <w:t xml:space="preserve">  Under these circumstances, </w:t>
      </w:r>
      <w:r w:rsidR="00F76702">
        <w:t>i</w:t>
      </w:r>
      <w:r w:rsidR="005F7F1C">
        <w:t>t does not appear that</w:t>
      </w:r>
      <w:r w:rsidR="00DA6D61">
        <w:t xml:space="preserve"> additional</w:t>
      </w:r>
      <w:r w:rsidR="005F7F1C">
        <w:t xml:space="preserve"> flexibility would come at the expense of enforcement.</w:t>
      </w:r>
    </w:p>
    <w:p w14:paraId="4AEF93A8" w14:textId="0877A711" w:rsidR="00CF3511" w:rsidRDefault="0085367A" w:rsidP="0085367A">
      <w:pPr>
        <w:spacing w:line="360" w:lineRule="auto"/>
        <w:ind w:firstLine="720"/>
      </w:pPr>
      <w:r>
        <w:t>T</w:t>
      </w:r>
      <w:r w:rsidR="0072755A">
        <w:t xml:space="preserve">he Proposed Regulation is </w:t>
      </w:r>
      <w:r w:rsidR="00706E3E">
        <w:t>prescriptive,</w:t>
      </w:r>
      <w:r w:rsidR="0072755A">
        <w:t xml:space="preserve"> and CARB has not genuinely considered obvious alternative performance approaches</w:t>
      </w:r>
      <w:r w:rsidR="00F553D5">
        <w:t>.  ITA therefore believes that the CARB has not complied with Government Code section 11346.2(b)(4)(A).</w:t>
      </w:r>
    </w:p>
    <w:p w14:paraId="51F3145A" w14:textId="6267D118" w:rsidR="00A77DDF" w:rsidRDefault="00A77DDF" w:rsidP="00A77DDF">
      <w:pPr>
        <w:spacing w:line="360" w:lineRule="auto"/>
        <w:ind w:firstLine="720"/>
        <w:jc w:val="center"/>
        <w:rPr>
          <w:u w:val="single"/>
        </w:rPr>
      </w:pPr>
      <w:r w:rsidRPr="00782B46">
        <w:rPr>
          <w:u w:val="single"/>
        </w:rPr>
        <w:t>CLASS 4</w:t>
      </w:r>
      <w:r w:rsidR="005601C8">
        <w:rPr>
          <w:u w:val="single"/>
        </w:rPr>
        <w:t xml:space="preserve"> LSI</w:t>
      </w:r>
      <w:r w:rsidRPr="00782B46">
        <w:rPr>
          <w:u w:val="single"/>
        </w:rPr>
        <w:t xml:space="preserve"> FORKLIFTS GREATER THAN 12,000 POUNDS CAPACITY</w:t>
      </w:r>
    </w:p>
    <w:p w14:paraId="006C48EA" w14:textId="6C36461C" w:rsidR="00026AB2" w:rsidRDefault="00026AB2" w:rsidP="00026AB2">
      <w:pPr>
        <w:spacing w:line="360" w:lineRule="auto"/>
      </w:pPr>
      <w:r>
        <w:tab/>
      </w:r>
      <w:r w:rsidR="0063216C">
        <w:t>The</w:t>
      </w:r>
      <w:r w:rsidR="00E16B81">
        <w:t xml:space="preserve"> </w:t>
      </w:r>
      <w:r w:rsidR="004A70B4">
        <w:t>ISOR</w:t>
      </w:r>
      <w:r w:rsidR="00E16B81">
        <w:t xml:space="preserve"> </w:t>
      </w:r>
      <w:r w:rsidR="0063216C">
        <w:t>states</w:t>
      </w:r>
      <w:r w:rsidR="00683F9F">
        <w:t xml:space="preserve"> (</w:t>
      </w:r>
      <w:r w:rsidR="004A70B4">
        <w:t>ISOR</w:t>
      </w:r>
      <w:r w:rsidR="00683F9F">
        <w:t xml:space="preserve">, p. </w:t>
      </w:r>
      <w:r w:rsidR="00B14580">
        <w:t>110)</w:t>
      </w:r>
      <w:r w:rsidR="0063216C">
        <w:t xml:space="preserve"> that </w:t>
      </w:r>
      <w:r w:rsidR="00E16B81">
        <w:t xml:space="preserve">the </w:t>
      </w:r>
      <w:r w:rsidR="009A6389">
        <w:t>scope of the regulation</w:t>
      </w:r>
      <w:r w:rsidR="00583EFB">
        <w:t xml:space="preserve"> under consideration</w:t>
      </w:r>
      <w:r w:rsidR="00814B77" w:rsidRPr="00814B77">
        <w:t xml:space="preserve"> </w:t>
      </w:r>
      <w:r w:rsidR="00814B77">
        <w:t>as of April 2023</w:t>
      </w:r>
      <w:r w:rsidR="00583EFB">
        <w:t xml:space="preserve"> had been</w:t>
      </w:r>
      <w:r w:rsidR="009A6389">
        <w:t xml:space="preserve"> limited to forklifts</w:t>
      </w:r>
      <w:r w:rsidR="002E6705">
        <w:t xml:space="preserve"> having</w:t>
      </w:r>
      <w:r w:rsidR="009A6389">
        <w:t xml:space="preserve"> no greater than 12,000 pounds capacity</w:t>
      </w:r>
      <w:r w:rsidR="00FB3114">
        <w:t>, whereas the Proposed Regulation applies to all Class 4</w:t>
      </w:r>
      <w:r w:rsidR="005601C8">
        <w:t xml:space="preserve"> LSI</w:t>
      </w:r>
      <w:r w:rsidR="00FB3114">
        <w:t xml:space="preserve"> forklifts regardless of capacity</w:t>
      </w:r>
      <w:r w:rsidR="007D2483">
        <w:t xml:space="preserve">.  </w:t>
      </w:r>
      <w:r w:rsidR="00FB3114">
        <w:t xml:space="preserve">ITA received </w:t>
      </w:r>
      <w:r w:rsidR="00825CC6">
        <w:t>notice</w:t>
      </w:r>
      <w:r w:rsidR="004556E1">
        <w:t>—informally—</w:t>
      </w:r>
      <w:r w:rsidR="00825CC6">
        <w:t xml:space="preserve"> of</w:t>
      </w:r>
      <w:r w:rsidR="006C4C4A">
        <w:t xml:space="preserve"> this major expansion of the scope</w:t>
      </w:r>
      <w:r w:rsidR="00F1156F">
        <w:t xml:space="preserve"> only</w:t>
      </w:r>
      <w:r w:rsidR="006C4C4A">
        <w:t xml:space="preserve"> in August of this year</w:t>
      </w:r>
      <w:r w:rsidR="00A41E21">
        <w:t xml:space="preserve"> following our</w:t>
      </w:r>
      <w:r w:rsidR="007114F7">
        <w:t xml:space="preserve"> email inquiry</w:t>
      </w:r>
      <w:r w:rsidR="00BA448F">
        <w:t xml:space="preserve"> asking CARB staff </w:t>
      </w:r>
      <w:r w:rsidR="007114F7">
        <w:t xml:space="preserve">about </w:t>
      </w:r>
      <w:r w:rsidR="00BA448F">
        <w:t>any changes</w:t>
      </w:r>
      <w:r w:rsidR="00BD7412">
        <w:t>.</w:t>
      </w:r>
      <w:r w:rsidR="00334B31">
        <w:t xml:space="preserve">  Official notice of the change came only with the release of the 45-day notice.</w:t>
      </w:r>
      <w:r w:rsidR="00C93BB2">
        <w:t xml:space="preserve">  </w:t>
      </w:r>
      <w:r w:rsidR="00AC6116">
        <w:t>This</w:t>
      </w:r>
      <w:r w:rsidR="005D7EA7">
        <w:t xml:space="preserve"> la</w:t>
      </w:r>
      <w:r w:rsidR="009A494E">
        <w:t>st-minute</w:t>
      </w:r>
      <w:r w:rsidR="00AC6116">
        <w:t xml:space="preserve"> expansion of the Proposed Regulation’s requirements</w:t>
      </w:r>
      <w:r w:rsidR="008F2AB9">
        <w:t>, after nearly three years of stakeholder discussions,</w:t>
      </w:r>
      <w:r w:rsidR="00F73CFD">
        <w:t xml:space="preserve"> </w:t>
      </w:r>
      <w:r w:rsidR="00154AB0">
        <w:t>threatens</w:t>
      </w:r>
      <w:r w:rsidR="003D76EA">
        <w:t xml:space="preserve"> to eliminate</w:t>
      </w:r>
      <w:r w:rsidR="00F73CFD">
        <w:t xml:space="preserve"> a distinct</w:t>
      </w:r>
      <w:r w:rsidR="00315DA9">
        <w:t xml:space="preserve"> spark-ignited forklift</w:t>
      </w:r>
      <w:r w:rsidR="00F73CFD">
        <w:t xml:space="preserve"> category</w:t>
      </w:r>
      <w:r w:rsidR="008F2AB9">
        <w:t xml:space="preserve"> </w:t>
      </w:r>
      <w:r w:rsidR="003D76EA">
        <w:t>for which there</w:t>
      </w:r>
      <w:r w:rsidR="00671FA8">
        <w:t xml:space="preserve"> currently</w:t>
      </w:r>
      <w:r w:rsidR="003D76EA">
        <w:t xml:space="preserve"> is no viable electric replacement</w:t>
      </w:r>
      <w:r w:rsidR="008F2AB9">
        <w:t>.</w:t>
      </w:r>
    </w:p>
    <w:p w14:paraId="6F8A90F3" w14:textId="5B05C4DB" w:rsidR="00FF0DA7" w:rsidRDefault="00F55BA3" w:rsidP="00026AB2">
      <w:pPr>
        <w:spacing w:line="360" w:lineRule="auto"/>
      </w:pPr>
      <w:r>
        <w:tab/>
        <w:t>This is not the first time the goalposts</w:t>
      </w:r>
      <w:r w:rsidR="00C90C17">
        <w:t xml:space="preserve"> have moved</w:t>
      </w:r>
      <w:r w:rsidR="002B127B">
        <w:t xml:space="preserve"> in this regulatory proceeding</w:t>
      </w:r>
      <w:r>
        <w:t>.</w:t>
      </w:r>
      <w:r w:rsidR="000738CE" w:rsidRPr="000738CE">
        <w:t xml:space="preserve"> </w:t>
      </w:r>
      <w:r w:rsidR="00FF2041">
        <w:t xml:space="preserve"> </w:t>
      </w:r>
      <w:r w:rsidR="000738CE" w:rsidRPr="00C53173">
        <w:t>CARB’s</w:t>
      </w:r>
      <w:r w:rsidR="000738CE">
        <w:t xml:space="preserve"> presentation for the</w:t>
      </w:r>
      <w:r w:rsidR="000738CE" w:rsidRPr="00C53173">
        <w:t xml:space="preserve"> first public workshop on October 7, 2020, just over three years ago, contemplated an initial capacity limit of 8,000 pounds and </w:t>
      </w:r>
      <w:r w:rsidR="00E10417">
        <w:t>below</w:t>
      </w:r>
      <w:r w:rsidR="000738CE" w:rsidRPr="00C53173">
        <w:t xml:space="preserve"> for near-term requirements with delayed requirements for larger forklifts “[c]ontingent upon zero-emission availability.”</w:t>
      </w:r>
      <w:r w:rsidR="000738CE">
        <w:t xml:space="preserve">  By the time of the August 17, 2021 workgroup meeting, CARB had </w:t>
      </w:r>
      <w:r w:rsidR="00FF2041">
        <w:t>expand</w:t>
      </w:r>
      <w:r w:rsidR="000738CE">
        <w:t>ed the regulation’s</w:t>
      </w:r>
      <w:r w:rsidR="00825A75">
        <w:t xml:space="preserve"> </w:t>
      </w:r>
      <w:r w:rsidR="00024B31">
        <w:t>scope</w:t>
      </w:r>
      <w:r w:rsidR="00825A75">
        <w:t xml:space="preserve"> </w:t>
      </w:r>
      <w:r w:rsidR="000738CE">
        <w:t>to</w:t>
      </w:r>
      <w:r w:rsidR="00FF2041">
        <w:t xml:space="preserve"> capture</w:t>
      </w:r>
      <w:r w:rsidR="000738CE">
        <w:t xml:space="preserve"> forklifts having capacities 12,000 pounds and below.</w:t>
      </w:r>
      <w:r w:rsidR="00C90C17">
        <w:t xml:space="preserve">  Now, CARB proposes to remove</w:t>
      </w:r>
      <w:r w:rsidR="00562688">
        <w:t xml:space="preserve"> even</w:t>
      </w:r>
      <w:r w:rsidR="00C90C17">
        <w:t xml:space="preserve"> the </w:t>
      </w:r>
      <w:r w:rsidR="00A00257">
        <w:t>12,000-pound</w:t>
      </w:r>
      <w:r w:rsidR="00C90C17">
        <w:t xml:space="preserve"> limit for Class</w:t>
      </w:r>
      <w:r w:rsidR="00C46A98">
        <w:t xml:space="preserve"> LSI</w:t>
      </w:r>
      <w:r w:rsidR="00C90C17">
        <w:t xml:space="preserve"> 4 forklifts.</w:t>
      </w:r>
      <w:r w:rsidR="00825A75">
        <w:t xml:space="preserve">  The question is whether </w:t>
      </w:r>
      <w:r w:rsidR="00726793">
        <w:t>the</w:t>
      </w:r>
      <w:r w:rsidR="000C3ECB">
        <w:t xml:space="preserve"> facts</w:t>
      </w:r>
      <w:r w:rsidR="00726793">
        <w:t xml:space="preserve"> justify this</w:t>
      </w:r>
      <w:r w:rsidR="00FE30B9">
        <w:t xml:space="preserve"> latest</w:t>
      </w:r>
      <w:r w:rsidR="00726793">
        <w:t xml:space="preserve"> change</w:t>
      </w:r>
      <w:r w:rsidR="000C3ECB">
        <w:t>.</w:t>
      </w:r>
      <w:r w:rsidR="00825A75">
        <w:t xml:space="preserve">  </w:t>
      </w:r>
      <w:r w:rsidR="00B95BBA">
        <w:t xml:space="preserve">  </w:t>
      </w:r>
      <w:r w:rsidR="000738CE" w:rsidRPr="00C53173">
        <w:t xml:space="preserve">  </w:t>
      </w:r>
    </w:p>
    <w:p w14:paraId="64AC2267" w14:textId="2A80AD78" w:rsidR="005F05E4" w:rsidRDefault="005F05E4" w:rsidP="00026AB2">
      <w:pPr>
        <w:spacing w:line="360" w:lineRule="auto"/>
      </w:pPr>
      <w:r>
        <w:tab/>
        <w:t>CARB explains</w:t>
      </w:r>
      <w:r w:rsidR="00A5067B">
        <w:t xml:space="preserve"> </w:t>
      </w:r>
      <w:r>
        <w:t>the situation as follows</w:t>
      </w:r>
      <w:r w:rsidR="00C90C17">
        <w:t xml:space="preserve"> </w:t>
      </w:r>
      <w:r w:rsidR="00043C26">
        <w:t>(</w:t>
      </w:r>
      <w:r w:rsidR="00C26802">
        <w:t>ISOR</w:t>
      </w:r>
      <w:r w:rsidR="00043C26">
        <w:t>, p. 110)</w:t>
      </w:r>
      <w:r>
        <w:t>:</w:t>
      </w:r>
    </w:p>
    <w:p w14:paraId="7160DB17" w14:textId="528773FD" w:rsidR="005F05E4" w:rsidRDefault="005F05E4" w:rsidP="00096944">
      <w:pPr>
        <w:spacing w:after="16" w:line="240" w:lineRule="auto"/>
        <w:ind w:left="1152" w:right="1152"/>
      </w:pPr>
      <w:r>
        <w:t>At the beginning of the regulatory development process, staff evaluated the availability of ZEFs</w:t>
      </w:r>
      <w:r w:rsidR="00C760B1">
        <w:t xml:space="preserve"> </w:t>
      </w:r>
      <w:r w:rsidR="005E7447">
        <w:t>[Zero Emission Forklifts]</w:t>
      </w:r>
      <w:r>
        <w:t xml:space="preserve"> and found </w:t>
      </w:r>
      <w:bookmarkStart w:id="4" w:name="_Hlk153876096"/>
      <w:r>
        <w:t>that there were few ZE options commercially available with a lift capacity greater than 12,000 pounds</w:t>
      </w:r>
      <w:bookmarkEnd w:id="4"/>
      <w:r>
        <w:t xml:space="preserve">. </w:t>
      </w:r>
      <w:r w:rsidR="00873849">
        <w:t xml:space="preserve"> </w:t>
      </w:r>
      <w:r>
        <w:t xml:space="preserve">Therefore, staff limited the scope of the regulatory concept to only those forklifts with a lift capacity of up to 12,000 pounds. </w:t>
      </w:r>
      <w:r w:rsidR="00873849">
        <w:t xml:space="preserve"> </w:t>
      </w:r>
      <w:r>
        <w:t xml:space="preserve">However, a more recent </w:t>
      </w:r>
      <w:r>
        <w:lastRenderedPageBreak/>
        <w:t>survey of available ZEFs has shown that several manufacturers currently offer Class-IV-equivalent ZEF with a lift capacity of more than 12,000 pounds.</w:t>
      </w:r>
    </w:p>
    <w:p w14:paraId="6D46AB54" w14:textId="77777777" w:rsidR="00CA0F20" w:rsidRDefault="00CA0F20" w:rsidP="00096944">
      <w:pPr>
        <w:spacing w:after="16" w:line="360" w:lineRule="auto"/>
      </w:pPr>
    </w:p>
    <w:p w14:paraId="3457EA3F" w14:textId="0384C941" w:rsidR="003B71E7" w:rsidRDefault="00B12C95" w:rsidP="00096944">
      <w:pPr>
        <w:spacing w:after="16" w:line="360" w:lineRule="auto"/>
      </w:pPr>
      <w:r>
        <w:t>It</w:t>
      </w:r>
      <w:r w:rsidR="00A537C3">
        <w:t xml:space="preserve"> would</w:t>
      </w:r>
      <w:r>
        <w:t xml:space="preserve"> be useful to know</w:t>
      </w:r>
      <w:r w:rsidR="0001665E">
        <w:t xml:space="preserve"> whether </w:t>
      </w:r>
      <w:r>
        <w:t>CARB</w:t>
      </w:r>
      <w:r w:rsidR="0001665E">
        <w:t xml:space="preserve"> believes </w:t>
      </w:r>
      <w:r>
        <w:t>its</w:t>
      </w:r>
      <w:r w:rsidR="0001665E">
        <w:t xml:space="preserve"> original evaluation was incomplete</w:t>
      </w:r>
      <w:r w:rsidR="00334EAF">
        <w:t xml:space="preserve"> or</w:t>
      </w:r>
      <w:r w:rsidR="00A60942">
        <w:t xml:space="preserve"> instead</w:t>
      </w:r>
      <w:r w:rsidR="00A46C91">
        <w:t xml:space="preserve"> believes that</w:t>
      </w:r>
      <w:r w:rsidR="00334EAF">
        <w:t xml:space="preserve"> the</w:t>
      </w:r>
      <w:r w:rsidR="00727FB4">
        <w:t xml:space="preserve"> capabilities</w:t>
      </w:r>
      <w:r w:rsidR="00334EAF">
        <w:t xml:space="preserve"> of available forklifts ha</w:t>
      </w:r>
      <w:r w:rsidR="00F86C3B">
        <w:t>ve</w:t>
      </w:r>
      <w:r w:rsidR="00334EAF">
        <w:t xml:space="preserve"> expanded significantly</w:t>
      </w:r>
      <w:r>
        <w:t xml:space="preserve"> since the beginning</w:t>
      </w:r>
      <w:r w:rsidR="00A537C3">
        <w:t xml:space="preserve"> of the regulatory development process.</w:t>
      </w:r>
      <w:r w:rsidR="00906C01">
        <w:t xml:space="preserve">  The </w:t>
      </w:r>
      <w:r w:rsidR="00C26802">
        <w:t>ISOR</w:t>
      </w:r>
      <w:r w:rsidR="00906C01">
        <w:t xml:space="preserve"> does not address</w:t>
      </w:r>
      <w:r w:rsidR="00910261">
        <w:t xml:space="preserve"> this.</w:t>
      </w:r>
      <w:r w:rsidR="00D829E3">
        <w:t xml:space="preserve">  </w:t>
      </w:r>
      <w:r w:rsidR="00A76939">
        <w:t>More importantly</w:t>
      </w:r>
      <w:r w:rsidR="00D829E3">
        <w:t xml:space="preserve">, </w:t>
      </w:r>
      <w:r w:rsidR="00420A22">
        <w:t xml:space="preserve">because </w:t>
      </w:r>
      <w:r w:rsidR="00CB0325">
        <w:t>the record</w:t>
      </w:r>
      <w:r w:rsidR="00C40A20">
        <w:t xml:space="preserve"> </w:t>
      </w:r>
      <w:r w:rsidR="00F542B8">
        <w:t xml:space="preserve">does not </w:t>
      </w:r>
      <w:r w:rsidR="00877D97">
        <w:t>examine</w:t>
      </w:r>
      <w:r w:rsidR="00C40A20">
        <w:t xml:space="preserve"> the</w:t>
      </w:r>
      <w:r w:rsidR="000C3BB7">
        <w:t xml:space="preserve"> </w:t>
      </w:r>
      <w:r w:rsidR="00877D97">
        <w:t xml:space="preserve">unique </w:t>
      </w:r>
      <w:r w:rsidR="009A0B68">
        <w:t>design and performance attributes</w:t>
      </w:r>
      <w:r w:rsidR="0011319B">
        <w:t xml:space="preserve"> of</w:t>
      </w:r>
      <w:r w:rsidR="008136C0">
        <w:t xml:space="preserve"> these larger</w:t>
      </w:r>
      <w:r w:rsidR="0011319B">
        <w:t xml:space="preserve"> </w:t>
      </w:r>
      <w:r w:rsidR="008136C0">
        <w:t>Class 4 forklifts</w:t>
      </w:r>
      <w:r w:rsidR="00877D97">
        <w:t>,</w:t>
      </w:r>
      <w:r w:rsidR="0092390C">
        <w:t xml:space="preserve"> </w:t>
      </w:r>
      <w:r w:rsidR="00B54211">
        <w:t xml:space="preserve">it </w:t>
      </w:r>
      <w:r w:rsidR="00933B2D">
        <w:t>cannot</w:t>
      </w:r>
      <w:r w:rsidR="00B54211">
        <w:t xml:space="preserve"> </w:t>
      </w:r>
      <w:r w:rsidR="00CB0325">
        <w:t xml:space="preserve">support the </w:t>
      </w:r>
      <w:r w:rsidR="001A389C">
        <w:t>conclusion that the market offers an</w:t>
      </w:r>
      <w:r w:rsidR="00933B2D">
        <w:t>y</w:t>
      </w:r>
      <w:r w:rsidR="001A389C">
        <w:t xml:space="preserve"> Class-4-equivalent ZEF.</w:t>
      </w:r>
    </w:p>
    <w:p w14:paraId="689CCD21" w14:textId="7740B890" w:rsidR="00C80109" w:rsidRDefault="00453253" w:rsidP="00147D5C">
      <w:pPr>
        <w:spacing w:after="16" w:line="360" w:lineRule="auto"/>
        <w:ind w:firstLine="720"/>
      </w:pPr>
      <w:r>
        <w:t>As to</w:t>
      </w:r>
      <w:r w:rsidR="00445907">
        <w:t xml:space="preserve"> </w:t>
      </w:r>
      <w:r w:rsidR="00CE0CBD">
        <w:t>CARB’s more recent</w:t>
      </w:r>
      <w:r w:rsidR="00627211">
        <w:t xml:space="preserve"> survey</w:t>
      </w:r>
      <w:r w:rsidR="00554D82">
        <w:t>, which</w:t>
      </w:r>
      <w:r w:rsidR="00627211">
        <w:t xml:space="preserve"> is in the record</w:t>
      </w:r>
      <w:r w:rsidR="00394117">
        <w:t xml:space="preserve"> </w:t>
      </w:r>
      <w:r w:rsidR="00E321B2">
        <w:t>(</w:t>
      </w:r>
      <w:r w:rsidR="00454F95">
        <w:t>ISOR</w:t>
      </w:r>
      <w:r w:rsidR="00823A52">
        <w:t>, p. 32,</w:t>
      </w:r>
      <w:r w:rsidR="00E321B2">
        <w:t xml:space="preserve"> fn. 48)</w:t>
      </w:r>
      <w:r w:rsidR="0059579A">
        <w:t>,</w:t>
      </w:r>
      <w:r w:rsidR="00627211">
        <w:t xml:space="preserve"> </w:t>
      </w:r>
      <w:r w:rsidR="00554D82">
        <w:t>staff</w:t>
      </w:r>
      <w:r w:rsidR="000D387B">
        <w:t xml:space="preserve"> states</w:t>
      </w:r>
      <w:r w:rsidR="00216D56">
        <w:t>,</w:t>
      </w:r>
      <w:r w:rsidR="000D387B">
        <w:t xml:space="preserve"> </w:t>
      </w:r>
      <w:r w:rsidR="008D74DE">
        <w:t>“a</w:t>
      </w:r>
      <w:r w:rsidR="000D387B">
        <w:t xml:space="preserve"> recent online search and manufacturer survey conducted by staff of ZEF offerings identified almost 400 models, more than 130 of which were models with a lift capacity greater than 12,000 pounds.</w:t>
      </w:r>
      <w:r w:rsidR="008D74DE">
        <w:t>”</w:t>
      </w:r>
      <w:r w:rsidR="00513CB4">
        <w:t xml:space="preserve">  The earlier evaluation that CARB mentions is not in the rulemaking record.</w:t>
      </w:r>
      <w:r w:rsidR="005C47A0">
        <w:t xml:space="preserve">  </w:t>
      </w:r>
      <w:r w:rsidR="004674EE">
        <w:t xml:space="preserve">ITA is confident that the same online search and manufacturer survey conducted </w:t>
      </w:r>
      <w:r w:rsidR="00656CED">
        <w:t>three years ago</w:t>
      </w:r>
      <w:r w:rsidR="00B07BF2">
        <w:t>,</w:t>
      </w:r>
      <w:r w:rsidR="00656CED">
        <w:t xml:space="preserve"> at the outset of the regulatory process</w:t>
      </w:r>
      <w:r w:rsidR="00B07BF2">
        <w:t>,</w:t>
      </w:r>
      <w:r w:rsidR="00656CED">
        <w:t xml:space="preserve"> would have produced </w:t>
      </w:r>
      <w:r w:rsidR="001E64C2">
        <w:t>essentially</w:t>
      </w:r>
      <w:r w:rsidR="00656CED">
        <w:t xml:space="preserve"> the</w:t>
      </w:r>
      <w:r w:rsidR="00F853C9">
        <w:t>se</w:t>
      </w:r>
      <w:r w:rsidR="00656CED">
        <w:t xml:space="preserve"> same </w:t>
      </w:r>
      <w:r w:rsidR="001E64C2">
        <w:t>models.</w:t>
      </w:r>
      <w:r w:rsidR="00925121">
        <w:t xml:space="preserve">  It appears therefore that the change is not in the </w:t>
      </w:r>
      <w:r w:rsidR="00813218">
        <w:t>technological capabilities of electric</w:t>
      </w:r>
      <w:r w:rsidR="00925121">
        <w:t xml:space="preserve"> forklifts</w:t>
      </w:r>
      <w:r w:rsidR="002D5574">
        <w:t xml:space="preserve"> in the last three years</w:t>
      </w:r>
      <w:r w:rsidR="00925121">
        <w:t>, but</w:t>
      </w:r>
      <w:r w:rsidR="00FD5D64">
        <w:t xml:space="preserve"> in CARB’s </w:t>
      </w:r>
      <w:r w:rsidR="002D5574">
        <w:t>unexplained assessment</w:t>
      </w:r>
      <w:r w:rsidR="00FD5D64">
        <w:t xml:space="preserve"> of which electric forklifts above 12,000 pounds capacity</w:t>
      </w:r>
      <w:r w:rsidR="00F853C9">
        <w:t xml:space="preserve"> </w:t>
      </w:r>
      <w:r w:rsidR="00B93C2B">
        <w:t>might be</w:t>
      </w:r>
      <w:r w:rsidR="00F853C9">
        <w:t xml:space="preserve"> suitable replacements for Class 4 forklifts.</w:t>
      </w:r>
      <w:r w:rsidR="00362657">
        <w:t xml:space="preserve">  </w:t>
      </w:r>
      <w:r w:rsidR="002D5574">
        <w:t>T</w:t>
      </w:r>
      <w:r w:rsidR="00362657">
        <w:t xml:space="preserve">he </w:t>
      </w:r>
      <w:r w:rsidR="00442915">
        <w:t>ISOR</w:t>
      </w:r>
      <w:r w:rsidR="00362657">
        <w:t>’s treatment</w:t>
      </w:r>
      <w:r w:rsidR="00EA3C0F">
        <w:t xml:space="preserve"> of this issue</w:t>
      </w:r>
      <w:r w:rsidR="00362657">
        <w:t xml:space="preserve"> is conclusory</w:t>
      </w:r>
      <w:r w:rsidR="002D5574">
        <w:t xml:space="preserve">, </w:t>
      </w:r>
      <w:r w:rsidR="00A825F7">
        <w:t>without analysis</w:t>
      </w:r>
      <w:r w:rsidR="00362657">
        <w:t>.</w:t>
      </w:r>
    </w:p>
    <w:p w14:paraId="32EAFB24" w14:textId="45211FEB" w:rsidR="003A61FC" w:rsidRDefault="00151B51" w:rsidP="00151B51">
      <w:pPr>
        <w:spacing w:line="360" w:lineRule="auto"/>
        <w:ind w:firstLine="720"/>
      </w:pPr>
      <w:r>
        <w:t xml:space="preserve">CARB characterizes the relevant LSI forklift classes as follows: “Class IV forklifts typically use smooth solid tires, called cushion tires, and are designed to be used on smooth, paved surfaces. </w:t>
      </w:r>
      <w:r w:rsidR="00EC5080">
        <w:t xml:space="preserve"> </w:t>
      </w:r>
      <w:r>
        <w:t xml:space="preserve">A Class IV forklift is what is commonly considered a standard warehouse forklift. </w:t>
      </w:r>
      <w:r w:rsidR="00F23D96">
        <w:t xml:space="preserve"> </w:t>
      </w:r>
      <w:r>
        <w:t>Class V forklifts typically use taller tires that can be pneumatic (air-filled, foamfilled, or solid), with a tread designed for use on uneven surfaces.</w:t>
      </w:r>
      <w:r w:rsidR="005F01B5">
        <w:t xml:space="preserve"> </w:t>
      </w:r>
      <w:r>
        <w:t xml:space="preserve"> A Class V forklift is typically used outdoors</w:t>
      </w:r>
      <w:r w:rsidR="001225B9">
        <w:t xml:space="preserve">.”  </w:t>
      </w:r>
      <w:r w:rsidR="008F235E">
        <w:t>ISOR</w:t>
      </w:r>
      <w:r w:rsidR="001225B9">
        <w:t xml:space="preserve">, p. </w:t>
      </w:r>
      <w:r w:rsidR="008F235E">
        <w:t>6</w:t>
      </w:r>
      <w:r w:rsidR="000244F4">
        <w:t>.</w:t>
      </w:r>
      <w:r w:rsidR="00F23D96">
        <w:t xml:space="preserve">  Based on this distinction, </w:t>
      </w:r>
      <w:r w:rsidR="009705B8">
        <w:t>it is not useful to know that there are 130 models of electric forklifts with a lift capacity greater than 12,000 pounds</w:t>
      </w:r>
      <w:r w:rsidR="00227BA5">
        <w:t>.</w:t>
      </w:r>
      <w:r w:rsidR="007B58B6">
        <w:t xml:space="preserve"> </w:t>
      </w:r>
      <w:r w:rsidR="00DC0EFD">
        <w:t xml:space="preserve"> </w:t>
      </w:r>
      <w:r w:rsidR="00227BA5">
        <w:t>The</w:t>
      </w:r>
      <w:r w:rsidR="009705B8">
        <w:t xml:space="preserve"> relevant question is how</w:t>
      </w:r>
      <w:r w:rsidR="0072307D">
        <w:t xml:space="preserve"> many of these 130 models have cushion tires</w:t>
      </w:r>
      <w:r w:rsidR="008B2C8A">
        <w:t>, which is the only way that Class 4 forklifts are distinguished from Class 5 forklifts.</w:t>
      </w:r>
      <w:r w:rsidR="00A804CA">
        <w:t xml:space="preserve">  </w:t>
      </w:r>
      <w:r w:rsidR="00B366BC">
        <w:t>E</w:t>
      </w:r>
      <w:r w:rsidR="00A804CA">
        <w:t xml:space="preserve">lectric forklifts with capacities greater than 12,000 pounds </w:t>
      </w:r>
      <w:r w:rsidR="00B760CA">
        <w:t>and</w:t>
      </w:r>
      <w:r w:rsidR="00A804CA">
        <w:t xml:space="preserve"> pneumatic tires are</w:t>
      </w:r>
      <w:r w:rsidR="00B760CA">
        <w:t xml:space="preserve"> potential</w:t>
      </w:r>
      <w:r w:rsidR="00A804CA">
        <w:t xml:space="preserve"> substitutes for Class </w:t>
      </w:r>
      <w:r w:rsidR="00FA57DE">
        <w:t>5</w:t>
      </w:r>
      <w:r w:rsidR="0083509C">
        <w:t xml:space="preserve"> forklifts</w:t>
      </w:r>
      <w:r w:rsidR="00FA57DE">
        <w:t>, not Class 4</w:t>
      </w:r>
      <w:r w:rsidR="00A804CA">
        <w:t xml:space="preserve"> forklifts</w:t>
      </w:r>
      <w:r w:rsidR="00FA57DE">
        <w:t>.</w:t>
      </w:r>
    </w:p>
    <w:p w14:paraId="6BF1F20C" w14:textId="7D65485F" w:rsidR="0085551F" w:rsidRDefault="00B8086B" w:rsidP="00B8086B">
      <w:pPr>
        <w:spacing w:line="360" w:lineRule="auto"/>
      </w:pPr>
      <w:r>
        <w:tab/>
        <w:t xml:space="preserve">ITA examined </w:t>
      </w:r>
      <w:r w:rsidR="004022A6">
        <w:t>CARB’s recent survey of available ZEFs, which</w:t>
      </w:r>
      <w:r w:rsidR="000B6DB1">
        <w:t xml:space="preserve"> is entitled “CARB, Available Zero-Emission Forklift Models, Version 1.1, September 2023</w:t>
      </w:r>
      <w:r w:rsidR="00C204A4">
        <w:t xml:space="preserve">.”  </w:t>
      </w:r>
      <w:r w:rsidR="00B46A96">
        <w:t>ISOR</w:t>
      </w:r>
      <w:r w:rsidR="00C204A4">
        <w:t>, p. 32, fn. 48.  This</w:t>
      </w:r>
      <w:r w:rsidR="004022A6">
        <w:t xml:space="preserve"> is a spreadsheet</w:t>
      </w:r>
      <w:r w:rsidR="00512EB0">
        <w:t xml:space="preserve"> providing information</w:t>
      </w:r>
      <w:r w:rsidR="00A804CA">
        <w:t xml:space="preserve"> </w:t>
      </w:r>
      <w:r w:rsidR="00C4411D">
        <w:t xml:space="preserve">showing the manufacturer, model number, </w:t>
      </w:r>
      <w:r w:rsidR="00AA20AC">
        <w:t xml:space="preserve">lift capacity, tire type, </w:t>
      </w:r>
      <w:r w:rsidR="009A3134">
        <w:t>voltage</w:t>
      </w:r>
      <w:r w:rsidR="003630C9">
        <w:t>,</w:t>
      </w:r>
      <w:r w:rsidR="009A3134">
        <w:t xml:space="preserve"> and load center for 390</w:t>
      </w:r>
      <w:r w:rsidR="00437F0B">
        <w:t xml:space="preserve"> electric-forklift</w:t>
      </w:r>
      <w:r w:rsidR="009A3134">
        <w:t xml:space="preserve"> </w:t>
      </w:r>
      <w:r w:rsidR="006F3E36">
        <w:t>models</w:t>
      </w:r>
      <w:r w:rsidR="00437F0B">
        <w:t>.</w:t>
      </w:r>
      <w:r w:rsidR="006F3E36">
        <w:t xml:space="preserve"> </w:t>
      </w:r>
      <w:r w:rsidR="00437F0B">
        <w:t xml:space="preserve"> </w:t>
      </w:r>
      <w:r w:rsidR="009A7233">
        <w:t>Of these 390 models, fewer than 20 models</w:t>
      </w:r>
      <w:r w:rsidR="00444C0B">
        <w:t xml:space="preserve"> are shown as</w:t>
      </w:r>
      <w:r w:rsidR="009A7233">
        <w:t xml:space="preserve"> combin</w:t>
      </w:r>
      <w:r w:rsidR="00444C0B">
        <w:t>ing</w:t>
      </w:r>
      <w:r w:rsidR="009A7233">
        <w:t xml:space="preserve"> a capacity of greater than 12,000 pounds with cushion tires:</w:t>
      </w:r>
    </w:p>
    <w:p w14:paraId="453D61E8" w14:textId="798F5BB8" w:rsidR="009A7233" w:rsidRDefault="009A7233" w:rsidP="00F00557">
      <w:pPr>
        <w:pStyle w:val="ListParagraph"/>
        <w:numPr>
          <w:ilvl w:val="0"/>
          <w:numId w:val="1"/>
        </w:numPr>
        <w:spacing w:line="240" w:lineRule="auto"/>
      </w:pPr>
      <w:r>
        <w:lastRenderedPageBreak/>
        <w:t>1</w:t>
      </w:r>
      <w:r w:rsidR="002A6EBE">
        <w:t>0</w:t>
      </w:r>
      <w:r w:rsidR="008649D9">
        <w:t xml:space="preserve"> such</w:t>
      </w:r>
      <w:r>
        <w:t xml:space="preserve"> models are manufactured by </w:t>
      </w:r>
      <w:r w:rsidR="00322DE5">
        <w:t xml:space="preserve">one </w:t>
      </w:r>
      <w:r w:rsidR="00BB6A5D">
        <w:t>company</w:t>
      </w:r>
      <w:r w:rsidR="00100D04">
        <w:t>,</w:t>
      </w:r>
      <w:r w:rsidR="008D18BF">
        <w:t xml:space="preserve"> rang</w:t>
      </w:r>
      <w:r w:rsidR="00100D04">
        <w:t>ing</w:t>
      </w:r>
      <w:r w:rsidR="008D18BF">
        <w:t xml:space="preserve"> in capacity from 15,000 pounds to </w:t>
      </w:r>
      <w:r w:rsidR="008B3213">
        <w:t>40,000 pounds</w:t>
      </w:r>
      <w:r w:rsidR="00EE0F4A">
        <w:t>;</w:t>
      </w:r>
    </w:p>
    <w:p w14:paraId="031CECBD" w14:textId="5568377E" w:rsidR="00F00557" w:rsidRDefault="00B4665E" w:rsidP="00F00557">
      <w:pPr>
        <w:pStyle w:val="ListParagraph"/>
        <w:numPr>
          <w:ilvl w:val="0"/>
          <w:numId w:val="1"/>
        </w:numPr>
        <w:spacing w:line="240" w:lineRule="auto"/>
      </w:pPr>
      <w:r>
        <w:t>5</w:t>
      </w:r>
      <w:r w:rsidR="008649D9">
        <w:t xml:space="preserve"> such</w:t>
      </w:r>
      <w:r>
        <w:t xml:space="preserve"> models are shown as manufactured by</w:t>
      </w:r>
      <w:r w:rsidR="00322DE5">
        <w:t xml:space="preserve"> a second </w:t>
      </w:r>
      <w:r w:rsidR="00BB6A5D">
        <w:t>company</w:t>
      </w:r>
      <w:r w:rsidR="00100D04">
        <w:t>, ranging in capacity from</w:t>
      </w:r>
      <w:r w:rsidR="00EE0F4A">
        <w:t xml:space="preserve"> 20,000 to 40,000 pounds</w:t>
      </w:r>
      <w:r w:rsidR="008A1717">
        <w:t>, but</w:t>
      </w:r>
      <w:r w:rsidR="00BB6A5D">
        <w:t xml:space="preserve"> ITA has learned</w:t>
      </w:r>
      <w:r w:rsidR="008A1717">
        <w:t xml:space="preserve"> these models are no longer manufactured by</w:t>
      </w:r>
      <w:r w:rsidR="00BA0AAE">
        <w:t xml:space="preserve"> the company</w:t>
      </w:r>
      <w:r w:rsidR="00705377">
        <w:t>, having been manufactured for a short time in partnership</w:t>
      </w:r>
      <w:r w:rsidR="001B5F60">
        <w:t xml:space="preserve"> with</w:t>
      </w:r>
      <w:r w:rsidR="00001847">
        <w:t xml:space="preserve"> a smaller company specializing in </w:t>
      </w:r>
      <w:r w:rsidR="004E533B">
        <w:t>unique</w:t>
      </w:r>
      <w:r w:rsidR="0086574C">
        <w:t xml:space="preserve"> </w:t>
      </w:r>
      <w:r w:rsidR="004E533B">
        <w:t>explosion-proof forklifts</w:t>
      </w:r>
      <w:r w:rsidR="00D1548E">
        <w:t>; and</w:t>
      </w:r>
    </w:p>
    <w:p w14:paraId="4702863F" w14:textId="06E02FFB" w:rsidR="00D1548E" w:rsidRDefault="00D1548E" w:rsidP="00F00557">
      <w:pPr>
        <w:pStyle w:val="ListParagraph"/>
        <w:numPr>
          <w:ilvl w:val="0"/>
          <w:numId w:val="1"/>
        </w:numPr>
        <w:spacing w:line="240" w:lineRule="auto"/>
      </w:pPr>
      <w:r>
        <w:t xml:space="preserve">A few such models may be manufactured by </w:t>
      </w:r>
      <w:r w:rsidR="00CA3481">
        <w:t>a third company</w:t>
      </w:r>
      <w:r w:rsidR="00C77512">
        <w:t>, wh</w:t>
      </w:r>
      <w:r w:rsidR="000229AD">
        <w:t xml:space="preserve">ich primarily manufactures large Class </w:t>
      </w:r>
      <w:r w:rsidR="007E4729">
        <w:t>1 pneumatic</w:t>
      </w:r>
      <w:r w:rsidR="000229AD">
        <w:t xml:space="preserve"> forklifts but</w:t>
      </w:r>
      <w:r w:rsidR="00C77512">
        <w:t xml:space="preserve"> appears to offer a cushion-tire option on </w:t>
      </w:r>
      <w:r w:rsidR="006774CB">
        <w:t xml:space="preserve">a limited number of </w:t>
      </w:r>
      <w:r w:rsidR="00C77512">
        <w:t>models</w:t>
      </w:r>
      <w:r w:rsidR="003630C9">
        <w:t>.</w:t>
      </w:r>
    </w:p>
    <w:p w14:paraId="4299721B" w14:textId="3E75A945" w:rsidR="007D4B34" w:rsidRDefault="004A3851" w:rsidP="00AF1BFB">
      <w:pPr>
        <w:spacing w:line="360" w:lineRule="auto"/>
      </w:pPr>
      <w:r>
        <w:t>Thus, w</w:t>
      </w:r>
      <w:r w:rsidR="00AE42C1">
        <w:t xml:space="preserve">hile </w:t>
      </w:r>
      <w:r w:rsidR="00000AFE">
        <w:t xml:space="preserve">the </w:t>
      </w:r>
      <w:r w:rsidR="00B46A96">
        <w:t>ISOR</w:t>
      </w:r>
      <w:r w:rsidR="00000AFE">
        <w:t xml:space="preserve"> leaves</w:t>
      </w:r>
      <w:r w:rsidR="00085E9B">
        <w:t xml:space="preserve"> the impression that there </w:t>
      </w:r>
      <w:r w:rsidR="00DB241D">
        <w:t>are</w:t>
      </w:r>
      <w:r w:rsidR="00085E9B">
        <w:t xml:space="preserve"> 130 electric models available to replace Class 4 forklifts with gr</w:t>
      </w:r>
      <w:r w:rsidR="00000AFE">
        <w:t>eater</w:t>
      </w:r>
      <w:r w:rsidR="00085E9B">
        <w:t xml:space="preserve"> than 12,000 pounds capacity, this is off by a factor of 10</w:t>
      </w:r>
      <w:r w:rsidR="00046E8D">
        <w:t xml:space="preserve"> or more</w:t>
      </w:r>
      <w:r w:rsidR="006C1218">
        <w:t>.</w:t>
      </w:r>
      <w:r w:rsidR="00046E8D">
        <w:t xml:space="preserve"> </w:t>
      </w:r>
      <w:r w:rsidR="00014EE5">
        <w:t xml:space="preserve"> </w:t>
      </w:r>
      <w:r w:rsidR="003E61BB">
        <w:t xml:space="preserve">Whatever </w:t>
      </w:r>
      <w:r w:rsidR="00E07333">
        <w:t>the differences between CARB’s initial analysis and the more recent survey, the</w:t>
      </w:r>
      <w:r w:rsidR="00891FAE">
        <w:t xml:space="preserve"> </w:t>
      </w:r>
      <w:r w:rsidR="00EC099C">
        <w:t>recent survey itself</w:t>
      </w:r>
      <w:r w:rsidR="00E07333">
        <w:t xml:space="preserve"> refutes the idea that </w:t>
      </w:r>
      <w:r w:rsidR="00891FAE">
        <w:t>the market provides</w:t>
      </w:r>
      <w:r w:rsidR="00E07333">
        <w:t xml:space="preserve"> ample replacements for Class 4</w:t>
      </w:r>
      <w:r w:rsidR="00265961">
        <w:t xml:space="preserve"> LSI</w:t>
      </w:r>
      <w:r w:rsidR="00E07333">
        <w:t xml:space="preserve"> forklifts with capacities greater than 12,000 pounds.</w:t>
      </w:r>
      <w:r w:rsidR="00755DBF">
        <w:t xml:space="preserve">  </w:t>
      </w:r>
    </w:p>
    <w:p w14:paraId="4C92C49D" w14:textId="4585DF30" w:rsidR="00D11609" w:rsidRDefault="002D34A3" w:rsidP="00AF1BFB">
      <w:pPr>
        <w:spacing w:line="360" w:lineRule="auto"/>
      </w:pPr>
      <w:r>
        <w:tab/>
      </w:r>
      <w:r w:rsidR="00811DFD">
        <w:t>In fact, when it comes to</w:t>
      </w:r>
      <w:r w:rsidR="004A22B2">
        <w:t xml:space="preserve"> large</w:t>
      </w:r>
      <w:r w:rsidR="00811DFD">
        <w:t xml:space="preserve"> Class 4 warehouse forklifts, there </w:t>
      </w:r>
      <w:r w:rsidR="005D7C2C">
        <w:t xml:space="preserve">may be </w:t>
      </w:r>
      <w:r w:rsidR="00811DFD">
        <w:t>no electric replacements</w:t>
      </w:r>
      <w:r w:rsidR="005D7C2C">
        <w:t xml:space="preserve"> at all</w:t>
      </w:r>
      <w:r w:rsidR="00811DFD">
        <w:t xml:space="preserve">.  </w:t>
      </w:r>
      <w:r>
        <w:t xml:space="preserve">As discussed with CARB staff, </w:t>
      </w:r>
      <w:r w:rsidR="00B84D0E">
        <w:t>certain well-known applications</w:t>
      </w:r>
      <w:r w:rsidR="00CC14AE">
        <w:t xml:space="preserve">, </w:t>
      </w:r>
      <w:r w:rsidR="00447A29">
        <w:t>including</w:t>
      </w:r>
      <w:r w:rsidR="00CC14AE">
        <w:t xml:space="preserve"> paper</w:t>
      </w:r>
      <w:r w:rsidR="001A6D72">
        <w:t xml:space="preserve"> handling and transporting steel and other primary metals</w:t>
      </w:r>
      <w:r w:rsidR="00CC14AE">
        <w:t>,</w:t>
      </w:r>
      <w:r w:rsidR="00B84D0E">
        <w:t xml:space="preserve"> require </w:t>
      </w:r>
      <w:r w:rsidR="004F0199">
        <w:t>a forklift</w:t>
      </w:r>
      <w:r w:rsidR="00036C34">
        <w:t xml:space="preserve"> having a capacity</w:t>
      </w:r>
      <w:r w:rsidR="00CF1869">
        <w:t xml:space="preserve"> generally in the range</w:t>
      </w:r>
      <w:r w:rsidR="00036C34">
        <w:t xml:space="preserve"> of </w:t>
      </w:r>
      <w:r w:rsidR="00CF1869">
        <w:t>8</w:t>
      </w:r>
      <w:r w:rsidR="00036C34">
        <w:t>,000</w:t>
      </w:r>
      <w:r w:rsidR="00B070A5">
        <w:t>-1</w:t>
      </w:r>
      <w:r w:rsidR="00CA5CE8">
        <w:t>5</w:t>
      </w:r>
      <w:r w:rsidR="00B070A5">
        <w:t>,500</w:t>
      </w:r>
      <w:r w:rsidR="00036C34">
        <w:t xml:space="preserve"> pounds</w:t>
      </w:r>
      <w:r w:rsidR="00BB56C1">
        <w:t xml:space="preserve"> but with</w:t>
      </w:r>
      <w:r w:rsidR="0062284E">
        <w:t xml:space="preserve"> a compact profile or “footprint</w:t>
      </w:r>
      <w:r w:rsidR="00BB56C1">
        <w:t>.</w:t>
      </w:r>
      <w:r w:rsidR="0062284E">
        <w:t>”</w:t>
      </w:r>
      <w:r w:rsidR="004F56FF">
        <w:t xml:space="preserve"> </w:t>
      </w:r>
      <w:r w:rsidR="00BB56C1">
        <w:t>These forklifts</w:t>
      </w:r>
      <w:r w:rsidR="00EF6BA1">
        <w:t xml:space="preserve"> need to</w:t>
      </w:r>
      <w:r w:rsidR="00BB56C1">
        <w:t xml:space="preserve"> handle </w:t>
      </w:r>
      <w:r w:rsidR="004F56FF">
        <w:t>relatively heavy loads</w:t>
      </w:r>
      <w:r w:rsidR="00EF6BA1">
        <w:t>,</w:t>
      </w:r>
      <w:r w:rsidR="004F56FF">
        <w:t xml:space="preserve"> such as paper rolls</w:t>
      </w:r>
      <w:r w:rsidR="002F6D0A">
        <w:t xml:space="preserve"> or coils of steel</w:t>
      </w:r>
      <w:r w:rsidR="00EF6BA1">
        <w:t>,</w:t>
      </w:r>
      <w:r w:rsidR="00486EB0">
        <w:t xml:space="preserve"> while retaining their ability</w:t>
      </w:r>
      <w:r w:rsidR="00176776">
        <w:t xml:space="preserve"> </w:t>
      </w:r>
      <w:r w:rsidR="00486EB0">
        <w:t>to</w:t>
      </w:r>
      <w:r w:rsidR="00176776">
        <w:t xml:space="preserve"> maneuver in</w:t>
      </w:r>
      <w:r w:rsidR="002F787B">
        <w:t xml:space="preserve"> confined spaces</w:t>
      </w:r>
      <w:r w:rsidR="00EF6BA1">
        <w:t>, such as rail cars or congested manufacturing plants.</w:t>
      </w:r>
      <w:r w:rsidR="00EF150A">
        <w:t xml:space="preserve">  </w:t>
      </w:r>
      <w:r w:rsidR="000005C6">
        <w:t xml:space="preserve">Major forklift manufacturers offer a Class </w:t>
      </w:r>
      <w:r w:rsidR="003101D0">
        <w:t>4</w:t>
      </w:r>
      <w:r w:rsidR="00EF6ED5">
        <w:t xml:space="preserve"> LSI</w:t>
      </w:r>
      <w:r w:rsidR="003101D0">
        <w:t xml:space="preserve"> forklift to fill this need.  Following are excerpts from </w:t>
      </w:r>
      <w:r w:rsidR="00D11609">
        <w:t>manufacturers’ websites that describe the</w:t>
      </w:r>
      <w:r w:rsidR="009A64A8">
        <w:t xml:space="preserve"> specialized features</w:t>
      </w:r>
      <w:r w:rsidR="00DF7B89">
        <w:t xml:space="preserve"> and uses</w:t>
      </w:r>
      <w:r w:rsidR="009A64A8">
        <w:t xml:space="preserve"> of these</w:t>
      </w:r>
      <w:r w:rsidR="00D11609">
        <w:t xml:space="preserve"> forklifts:</w:t>
      </w:r>
    </w:p>
    <w:p w14:paraId="7150DDDD" w14:textId="7271618A" w:rsidR="00C77C0D" w:rsidRDefault="00346A8A" w:rsidP="00346A8A">
      <w:pPr>
        <w:pStyle w:val="ListParagraph"/>
        <w:numPr>
          <w:ilvl w:val="0"/>
          <w:numId w:val="2"/>
        </w:numPr>
        <w:spacing w:line="360" w:lineRule="auto"/>
      </w:pPr>
      <w:r>
        <w:t>Toyota</w:t>
      </w:r>
      <w:r w:rsidR="00C77C0D">
        <w:t xml:space="preserve"> Class 4 </w:t>
      </w:r>
      <w:r w:rsidR="00403115">
        <w:t>capacity</w:t>
      </w:r>
      <w:r w:rsidR="004C4A93">
        <w:t xml:space="preserve"> 8,000-15,500</w:t>
      </w:r>
      <w:r w:rsidR="00403115">
        <w:t xml:space="preserve"> pounds:</w:t>
      </w:r>
      <w:r w:rsidR="00FE6FA6" w:rsidRPr="00FE6FA6">
        <w:rPr>
          <w:rFonts w:ascii="Roboto" w:hAnsi="Roboto"/>
          <w:color w:val="111212"/>
          <w:shd w:val="clear" w:color="auto" w:fill="FFFFFF"/>
        </w:rPr>
        <w:t xml:space="preserve"> </w:t>
      </w:r>
      <w:r w:rsidR="00FE6FA6" w:rsidRPr="00FE6FA6">
        <w:rPr>
          <w:rFonts w:cstheme="minorHAnsi"/>
          <w:color w:val="111212"/>
          <w:shd w:val="clear" w:color="auto" w:fill="FFFFFF"/>
        </w:rPr>
        <w:t>“Toyota’s Large IC Cushion Forklift is a durable high lift capacity forklift used primarily indoors and in specialty applications such as retail, lumber yards, heavy-duty manufacturing, shipping and freight, and various warehouse applications”</w:t>
      </w:r>
      <w:r w:rsidR="00FE6FA6">
        <w:rPr>
          <w:rFonts w:ascii="Roboto" w:hAnsi="Roboto"/>
          <w:color w:val="111212"/>
          <w:shd w:val="clear" w:color="auto" w:fill="FFFFFF"/>
        </w:rPr>
        <w:t>.</w:t>
      </w:r>
      <w:r w:rsidR="006C05DA">
        <w:rPr>
          <w:rFonts w:ascii="Roboto" w:hAnsi="Roboto"/>
          <w:color w:val="111212"/>
          <w:shd w:val="clear" w:color="auto" w:fill="FFFFFF"/>
        </w:rPr>
        <w:t xml:space="preserve"> “</w:t>
      </w:r>
      <w:r w:rsidR="006C05DA" w:rsidRPr="006C05DA">
        <w:rPr>
          <w:rFonts w:cstheme="minorHAnsi"/>
          <w:color w:val="111212"/>
          <w:shd w:val="clear" w:color="auto" w:fill="F7F7F8"/>
        </w:rPr>
        <w:t>This forklift is capable of navigating 13- and 14-foot aisles while providing nearly 20 feet of lift.</w:t>
      </w:r>
      <w:r w:rsidR="002A67CF">
        <w:rPr>
          <w:rFonts w:cstheme="minorHAnsi"/>
        </w:rPr>
        <w:t xml:space="preserve">” </w:t>
      </w:r>
    </w:p>
    <w:p w14:paraId="7A1FBBAE" w14:textId="57598898" w:rsidR="00346A8A" w:rsidRPr="007E05DB" w:rsidRDefault="00C77C0D" w:rsidP="00346A8A">
      <w:pPr>
        <w:pStyle w:val="ListParagraph"/>
        <w:numPr>
          <w:ilvl w:val="0"/>
          <w:numId w:val="2"/>
        </w:numPr>
        <w:spacing w:line="360" w:lineRule="auto"/>
        <w:rPr>
          <w:rFonts w:cstheme="minorHAnsi"/>
        </w:rPr>
      </w:pPr>
      <w:r>
        <w:t>Caterpillar</w:t>
      </w:r>
      <w:r w:rsidR="00346A8A">
        <w:t xml:space="preserve"> </w:t>
      </w:r>
      <w:r w:rsidR="007510AD">
        <w:t>Class 4</w:t>
      </w:r>
      <w:r w:rsidR="00A96105">
        <w:t>, capacity</w:t>
      </w:r>
      <w:r w:rsidR="007510AD">
        <w:t xml:space="preserve"> 7,000-15,500 </w:t>
      </w:r>
      <w:r w:rsidR="00A96105">
        <w:t xml:space="preserve">pounds: </w:t>
      </w:r>
      <w:r w:rsidR="00A30537" w:rsidRPr="00A30537">
        <w:rPr>
          <w:rFonts w:cstheme="minorHAnsi"/>
        </w:rPr>
        <w:t>“</w:t>
      </w:r>
      <w:r w:rsidR="009225ED" w:rsidRPr="005E586A">
        <w:rPr>
          <w:rStyle w:val="Strong"/>
          <w:rFonts w:cstheme="minorHAnsi"/>
          <w:b w:val="0"/>
          <w:bCs w:val="0"/>
          <w:color w:val="4C4C4C"/>
        </w:rPr>
        <w:t>Short Turn Radius</w:t>
      </w:r>
      <w:r w:rsidR="009225ED" w:rsidRPr="00A30537">
        <w:rPr>
          <w:rFonts w:cstheme="minorHAnsi"/>
          <w:color w:val="4C4C4C"/>
        </w:rPr>
        <w:t> – Short turn radius (STR) models have extra-heavy, lead-filled counterweights allowing for greater maneuverability and rearward visibility in confined areas.</w:t>
      </w:r>
      <w:r w:rsidR="00A30537" w:rsidRPr="00A30537">
        <w:rPr>
          <w:rFonts w:cstheme="minorHAnsi"/>
          <w:color w:val="4C4C4C"/>
        </w:rPr>
        <w:t>”</w:t>
      </w:r>
    </w:p>
    <w:p w14:paraId="39695A07" w14:textId="19F52C3F" w:rsidR="007E05DB" w:rsidRPr="00CE5F2F" w:rsidRDefault="007E05DB" w:rsidP="00346A8A">
      <w:pPr>
        <w:pStyle w:val="ListParagraph"/>
        <w:numPr>
          <w:ilvl w:val="0"/>
          <w:numId w:val="2"/>
        </w:numPr>
        <w:spacing w:line="360" w:lineRule="auto"/>
        <w:rPr>
          <w:rFonts w:cstheme="minorHAnsi"/>
        </w:rPr>
      </w:pPr>
      <w:r>
        <w:rPr>
          <w:rFonts w:cstheme="minorHAnsi"/>
          <w:color w:val="4C4C4C"/>
        </w:rPr>
        <w:t>Mitsubishi Class 4, capacity</w:t>
      </w:r>
      <w:r w:rsidR="00FA38DF">
        <w:rPr>
          <w:rFonts w:cstheme="minorHAnsi"/>
          <w:color w:val="4C4C4C"/>
        </w:rPr>
        <w:t xml:space="preserve"> 7,000-15,500 pounds: </w:t>
      </w:r>
      <w:r w:rsidR="006D67E1">
        <w:rPr>
          <w:rFonts w:cstheme="minorHAnsi"/>
          <w:color w:val="4C4C4C"/>
        </w:rPr>
        <w:t>“</w:t>
      </w:r>
      <w:r w:rsidR="006D67E1" w:rsidRPr="005E586A">
        <w:rPr>
          <w:rStyle w:val="Strong"/>
          <w:rFonts w:cstheme="minorHAnsi"/>
          <w:b w:val="0"/>
          <w:bCs w:val="0"/>
          <w:color w:val="4C4C4C"/>
        </w:rPr>
        <w:t>Short-Turning Radius </w:t>
      </w:r>
      <w:r w:rsidR="006D67E1" w:rsidRPr="006D67E1">
        <w:rPr>
          <w:rFonts w:cstheme="minorHAnsi"/>
          <w:color w:val="4C4C4C"/>
        </w:rPr>
        <w:t>– A shorter turning radius means operators can confidently turn in tight areas while helping to reduce damage to your facility and load.</w:t>
      </w:r>
      <w:r w:rsidR="006D67E1">
        <w:rPr>
          <w:rFonts w:cstheme="minorHAnsi"/>
          <w:color w:val="4C4C4C"/>
        </w:rPr>
        <w:t>”</w:t>
      </w:r>
      <w:r w:rsidR="002E4001">
        <w:rPr>
          <w:rFonts w:cstheme="minorHAnsi"/>
          <w:color w:val="4C4C4C"/>
        </w:rPr>
        <w:t xml:space="preserve">; </w:t>
      </w:r>
      <w:r w:rsidR="002E4001" w:rsidRPr="002E4001">
        <w:rPr>
          <w:rFonts w:cstheme="minorHAnsi"/>
          <w:color w:val="4C4C4C"/>
        </w:rPr>
        <w:t>“Options and packages like the short turning radius and paper handling package will optimize the truck systems to suit your application.</w:t>
      </w:r>
      <w:r w:rsidR="002E4001">
        <w:rPr>
          <w:rFonts w:cstheme="minorHAnsi"/>
          <w:color w:val="4C4C4C"/>
        </w:rPr>
        <w:t>”</w:t>
      </w:r>
    </w:p>
    <w:p w14:paraId="43AE3EED" w14:textId="1EE054E4" w:rsidR="00CE5F2F" w:rsidRPr="00F81433" w:rsidRDefault="00035585" w:rsidP="00346A8A">
      <w:pPr>
        <w:pStyle w:val="ListParagraph"/>
        <w:numPr>
          <w:ilvl w:val="0"/>
          <w:numId w:val="2"/>
        </w:numPr>
        <w:spacing w:line="360" w:lineRule="auto"/>
        <w:rPr>
          <w:rFonts w:cstheme="minorHAnsi"/>
        </w:rPr>
      </w:pPr>
      <w:r>
        <w:rPr>
          <w:rFonts w:cstheme="minorHAnsi"/>
          <w:color w:val="4C4C4C"/>
        </w:rPr>
        <w:lastRenderedPageBreak/>
        <w:t>Hangcha Class 4, capacity 1</w:t>
      </w:r>
      <w:r w:rsidR="005A1419">
        <w:rPr>
          <w:rFonts w:cstheme="minorHAnsi"/>
          <w:color w:val="4C4C4C"/>
        </w:rPr>
        <w:t>3</w:t>
      </w:r>
      <w:r>
        <w:rPr>
          <w:rFonts w:cstheme="minorHAnsi"/>
          <w:color w:val="4C4C4C"/>
        </w:rPr>
        <w:t>,</w:t>
      </w:r>
      <w:r w:rsidR="00A9386C">
        <w:rPr>
          <w:rFonts w:cstheme="minorHAnsi"/>
          <w:color w:val="4C4C4C"/>
        </w:rPr>
        <w:t>500-15,500</w:t>
      </w:r>
      <w:r>
        <w:rPr>
          <w:rFonts w:cstheme="minorHAnsi"/>
          <w:color w:val="4C4C4C"/>
        </w:rPr>
        <w:t xml:space="preserve"> pounds: </w:t>
      </w:r>
      <w:r w:rsidRPr="00F81433">
        <w:rPr>
          <w:rFonts w:cstheme="minorHAnsi"/>
          <w:color w:val="4C4C4C"/>
        </w:rPr>
        <w:t>“</w:t>
      </w:r>
      <w:r w:rsidR="00F81433" w:rsidRPr="00F81433">
        <w:rPr>
          <w:rFonts w:cstheme="minorHAnsi"/>
          <w:color w:val="666666"/>
          <w:shd w:val="clear" w:color="auto" w:fill="FFFFFF"/>
        </w:rPr>
        <w:t>Designed for the North American market, the XF Series LPG Cushion Tire Forklift from Hangcha Group is built to meet the needs of warehouses, distribution centers, and manufacturing facilities.</w:t>
      </w:r>
      <w:r w:rsidR="00957261" w:rsidRPr="00F81433">
        <w:rPr>
          <w:rFonts w:cstheme="minorHAnsi"/>
          <w:color w:val="666666"/>
          <w:shd w:val="clear" w:color="auto" w:fill="FFFFFF"/>
        </w:rPr>
        <w:t>”</w:t>
      </w:r>
    </w:p>
    <w:p w14:paraId="348E115E" w14:textId="7D6B2415" w:rsidR="00CB46C9" w:rsidRPr="00A35D3E" w:rsidRDefault="00CB46C9" w:rsidP="00346A8A">
      <w:pPr>
        <w:pStyle w:val="ListParagraph"/>
        <w:numPr>
          <w:ilvl w:val="0"/>
          <w:numId w:val="2"/>
        </w:numPr>
        <w:spacing w:line="360" w:lineRule="auto"/>
        <w:rPr>
          <w:rFonts w:cstheme="minorHAnsi"/>
        </w:rPr>
      </w:pPr>
      <w:r>
        <w:rPr>
          <w:rFonts w:cstheme="minorHAnsi"/>
          <w:color w:val="4C4C4C"/>
        </w:rPr>
        <w:t>Unicarriers Class 4</w:t>
      </w:r>
      <w:r w:rsidR="00973C1F">
        <w:rPr>
          <w:rFonts w:cstheme="minorHAnsi"/>
          <w:color w:val="4C4C4C"/>
        </w:rPr>
        <w:t>, capacity</w:t>
      </w:r>
      <w:r w:rsidR="008D7D66">
        <w:rPr>
          <w:rFonts w:cstheme="minorHAnsi"/>
          <w:color w:val="4C4C4C"/>
        </w:rPr>
        <w:t xml:space="preserve"> </w:t>
      </w:r>
      <w:r w:rsidR="00973C1F">
        <w:rPr>
          <w:rFonts w:cstheme="minorHAnsi"/>
          <w:color w:val="4C4C4C"/>
        </w:rPr>
        <w:t>10,000-15,500</w:t>
      </w:r>
      <w:r w:rsidR="00E66584">
        <w:rPr>
          <w:rFonts w:cstheme="minorHAnsi"/>
          <w:color w:val="4C4C4C"/>
        </w:rPr>
        <w:t xml:space="preserve"> pounds</w:t>
      </w:r>
      <w:r w:rsidR="00973C1F">
        <w:rPr>
          <w:rFonts w:cstheme="minorHAnsi"/>
          <w:color w:val="4C4C4C"/>
        </w:rPr>
        <w:t>:</w:t>
      </w:r>
      <w:r w:rsidR="00AC310F">
        <w:rPr>
          <w:rFonts w:cstheme="minorHAnsi"/>
          <w:color w:val="4C4C4C"/>
        </w:rPr>
        <w:t xml:space="preserve"> “[O]ur low</w:t>
      </w:r>
      <w:r w:rsidR="005853DA">
        <w:rPr>
          <w:rFonts w:cstheme="minorHAnsi"/>
          <w:color w:val="4C4C4C"/>
        </w:rPr>
        <w:t xml:space="preserve"> profile counterweight design allows for a more compact turning radius.”</w:t>
      </w:r>
    </w:p>
    <w:p w14:paraId="2DF8F971" w14:textId="6008EC49" w:rsidR="00A35D3E" w:rsidRPr="006F1064" w:rsidRDefault="00A35D3E" w:rsidP="00346A8A">
      <w:pPr>
        <w:pStyle w:val="ListParagraph"/>
        <w:numPr>
          <w:ilvl w:val="0"/>
          <w:numId w:val="2"/>
        </w:numPr>
        <w:spacing w:line="360" w:lineRule="auto"/>
        <w:rPr>
          <w:rFonts w:cstheme="minorHAnsi"/>
        </w:rPr>
      </w:pPr>
      <w:r>
        <w:rPr>
          <w:rFonts w:cstheme="minorHAnsi"/>
          <w:color w:val="4C4C4C"/>
        </w:rPr>
        <w:t>Hyster Class 4</w:t>
      </w:r>
      <w:r w:rsidR="008D7D66">
        <w:rPr>
          <w:rFonts w:cstheme="minorHAnsi"/>
          <w:color w:val="4C4C4C"/>
        </w:rPr>
        <w:t xml:space="preserve">, capacity </w:t>
      </w:r>
      <w:r w:rsidR="00D73B11">
        <w:rPr>
          <w:rFonts w:cstheme="minorHAnsi"/>
          <w:color w:val="4C4C4C"/>
        </w:rPr>
        <w:t>13,500</w:t>
      </w:r>
      <w:r w:rsidR="00E66584">
        <w:rPr>
          <w:rFonts w:cstheme="minorHAnsi"/>
          <w:color w:val="4C4C4C"/>
        </w:rPr>
        <w:t xml:space="preserve"> pounds</w:t>
      </w:r>
      <w:r w:rsidR="00D73B11">
        <w:rPr>
          <w:rFonts w:cstheme="minorHAnsi"/>
          <w:color w:val="4C4C4C"/>
        </w:rPr>
        <w:t>-15,500 pounds</w:t>
      </w:r>
      <w:r w:rsidR="00E66584">
        <w:rPr>
          <w:rFonts w:cstheme="minorHAnsi"/>
          <w:color w:val="4C4C4C"/>
        </w:rPr>
        <w:t xml:space="preserve">: </w:t>
      </w:r>
      <w:r w:rsidR="0098126B">
        <w:rPr>
          <w:rFonts w:cstheme="minorHAnsi"/>
          <w:color w:val="4C4C4C"/>
        </w:rPr>
        <w:t>“A versatile</w:t>
      </w:r>
      <w:r w:rsidR="00362583">
        <w:rPr>
          <w:rFonts w:cstheme="minorHAnsi"/>
          <w:color w:val="4C4C4C"/>
        </w:rPr>
        <w:t xml:space="preserve"> cushion tire lift truck designed for indoor use, this</w:t>
      </w:r>
      <w:r w:rsidR="00201955">
        <w:rPr>
          <w:rFonts w:cstheme="minorHAnsi"/>
          <w:color w:val="4C4C4C"/>
        </w:rPr>
        <w:t xml:space="preserve"> forklift is suited for applications such as primary metals, stone, clay, glass</w:t>
      </w:r>
      <w:r w:rsidR="00570753">
        <w:rPr>
          <w:rFonts w:cstheme="minorHAnsi"/>
          <w:color w:val="4C4C4C"/>
        </w:rPr>
        <w:t xml:space="preserve"> and concrete products and industrial and commercial machinery.”</w:t>
      </w:r>
    </w:p>
    <w:p w14:paraId="44780C90" w14:textId="70F1B099" w:rsidR="00746794" w:rsidRPr="002154A6" w:rsidRDefault="00F9547F" w:rsidP="00346A8A">
      <w:pPr>
        <w:pStyle w:val="ListParagraph"/>
        <w:numPr>
          <w:ilvl w:val="0"/>
          <w:numId w:val="2"/>
        </w:numPr>
        <w:spacing w:line="360" w:lineRule="auto"/>
        <w:rPr>
          <w:rFonts w:cstheme="minorHAnsi"/>
        </w:rPr>
      </w:pPr>
      <w:r w:rsidRPr="00D5140E">
        <w:rPr>
          <w:rFonts w:cstheme="minorHAnsi"/>
          <w:color w:val="4C4C4C"/>
        </w:rPr>
        <w:t xml:space="preserve">Yale Class 4, capacity </w:t>
      </w:r>
      <w:r w:rsidR="00D54056" w:rsidRPr="00D5140E">
        <w:rPr>
          <w:rFonts w:cstheme="minorHAnsi"/>
          <w:color w:val="4C4C4C"/>
        </w:rPr>
        <w:t>13,500</w:t>
      </w:r>
      <w:r w:rsidRPr="00D5140E">
        <w:rPr>
          <w:rFonts w:cstheme="minorHAnsi"/>
          <w:color w:val="4C4C4C"/>
        </w:rPr>
        <w:t>-1</w:t>
      </w:r>
      <w:r w:rsidR="00D54056" w:rsidRPr="00D5140E">
        <w:rPr>
          <w:rFonts w:cstheme="minorHAnsi"/>
          <w:color w:val="4C4C4C"/>
        </w:rPr>
        <w:t>5</w:t>
      </w:r>
      <w:r w:rsidRPr="00D5140E">
        <w:rPr>
          <w:rFonts w:cstheme="minorHAnsi"/>
          <w:color w:val="4C4C4C"/>
        </w:rPr>
        <w:t>,</w:t>
      </w:r>
      <w:r w:rsidR="00D54056" w:rsidRPr="00D5140E">
        <w:rPr>
          <w:rFonts w:cstheme="minorHAnsi"/>
          <w:color w:val="4C4C4C"/>
        </w:rPr>
        <w:t>5</w:t>
      </w:r>
      <w:r w:rsidRPr="00D5140E">
        <w:rPr>
          <w:rFonts w:cstheme="minorHAnsi"/>
          <w:color w:val="4C4C4C"/>
        </w:rPr>
        <w:t>00 pounds</w:t>
      </w:r>
      <w:r w:rsidR="00032827" w:rsidRPr="00D5140E">
        <w:rPr>
          <w:rFonts w:cstheme="minorHAnsi"/>
          <w:color w:val="4C4C4C"/>
        </w:rPr>
        <w:t xml:space="preserve">: </w:t>
      </w:r>
      <w:r w:rsidR="00746794">
        <w:rPr>
          <w:rFonts w:cstheme="minorHAnsi"/>
          <w:color w:val="4C4C4C"/>
        </w:rPr>
        <w:t>“</w:t>
      </w:r>
      <w:r w:rsidR="00D5140E" w:rsidRPr="00746794">
        <w:rPr>
          <w:rFonts w:cstheme="minorHAnsi"/>
          <w:color w:val="000000"/>
          <w:shd w:val="clear" w:color="auto" w:fill="FFFFFF"/>
        </w:rPr>
        <w:t>Ideal forklift for indoor heavy duty applications, the GC135-155VX series provides the durability and versatility you need to get the job done, best suited for the paper, steel, machinery and fabricated metal industries.</w:t>
      </w:r>
      <w:r w:rsidR="00746794">
        <w:rPr>
          <w:rFonts w:cstheme="minorHAnsi"/>
          <w:color w:val="000000"/>
          <w:shd w:val="clear" w:color="auto" w:fill="FFFFFF"/>
        </w:rPr>
        <w:t>”</w:t>
      </w:r>
    </w:p>
    <w:p w14:paraId="35A97D5A" w14:textId="48A8B3FC" w:rsidR="0004270E" w:rsidRDefault="0073764A" w:rsidP="00C76787">
      <w:pPr>
        <w:spacing w:line="360" w:lineRule="auto"/>
        <w:ind w:firstLine="360"/>
      </w:pPr>
      <w:r>
        <w:rPr>
          <w:rFonts w:cstheme="minorHAnsi"/>
        </w:rPr>
        <w:t xml:space="preserve">As shown, </w:t>
      </w:r>
      <w:r w:rsidR="00BF70D5">
        <w:rPr>
          <w:rFonts w:cstheme="minorHAnsi"/>
        </w:rPr>
        <w:t>there are at least 7 manufacturers of Class 4</w:t>
      </w:r>
      <w:r w:rsidR="00DD5A34">
        <w:rPr>
          <w:rFonts w:cstheme="minorHAnsi"/>
        </w:rPr>
        <w:t xml:space="preserve"> LSI</w:t>
      </w:r>
      <w:r w:rsidR="00BF70D5">
        <w:rPr>
          <w:rFonts w:cstheme="minorHAnsi"/>
        </w:rPr>
        <w:t xml:space="preserve"> forklifts</w:t>
      </w:r>
      <w:r w:rsidR="00B05207">
        <w:rPr>
          <w:rFonts w:cstheme="minorHAnsi"/>
        </w:rPr>
        <w:t xml:space="preserve"> that </w:t>
      </w:r>
      <w:r w:rsidR="00546B23">
        <w:rPr>
          <w:rFonts w:cstheme="minorHAnsi"/>
        </w:rPr>
        <w:t>are designed for these heavy-duty/confined-space application</w:t>
      </w:r>
      <w:r w:rsidR="00BB1710">
        <w:rPr>
          <w:rFonts w:cstheme="minorHAnsi"/>
        </w:rPr>
        <w:t>s</w:t>
      </w:r>
      <w:r>
        <w:rPr>
          <w:rFonts w:cstheme="minorHAnsi"/>
        </w:rPr>
        <w:t xml:space="preserve">.  But </w:t>
      </w:r>
      <w:r w:rsidR="00E75344">
        <w:rPr>
          <w:rFonts w:cstheme="minorHAnsi"/>
        </w:rPr>
        <w:t>there are no</w:t>
      </w:r>
      <w:r w:rsidR="00802838">
        <w:rPr>
          <w:rFonts w:cstheme="minorHAnsi"/>
        </w:rPr>
        <w:t xml:space="preserve"> forklift manufacturers, </w:t>
      </w:r>
      <w:r w:rsidR="004C39CC">
        <w:rPr>
          <w:rFonts w:cstheme="minorHAnsi"/>
        </w:rPr>
        <w:t>with one possible exception</w:t>
      </w:r>
      <w:r w:rsidR="00802838">
        <w:rPr>
          <w:rFonts w:cstheme="minorHAnsi"/>
        </w:rPr>
        <w:t>, that manufacture</w:t>
      </w:r>
      <w:r w:rsidR="00BF70D5">
        <w:rPr>
          <w:rFonts w:cstheme="minorHAnsi"/>
        </w:rPr>
        <w:t xml:space="preserve"> an electric forklift correspond</w:t>
      </w:r>
      <w:r w:rsidR="00CD5BA8">
        <w:rPr>
          <w:rFonts w:cstheme="minorHAnsi"/>
        </w:rPr>
        <w:t>ing</w:t>
      </w:r>
      <w:r w:rsidR="00BF70D5">
        <w:rPr>
          <w:rFonts w:cstheme="minorHAnsi"/>
        </w:rPr>
        <w:t xml:space="preserve"> to these Class 4 models.</w:t>
      </w:r>
      <w:r w:rsidR="00AA62FB">
        <w:rPr>
          <w:rStyle w:val="FootnoteReference"/>
          <w:rFonts w:cstheme="minorHAnsi"/>
        </w:rPr>
        <w:footnoteReference w:id="2"/>
      </w:r>
      <w:r w:rsidR="005B661B">
        <w:rPr>
          <w:rFonts w:cstheme="minorHAnsi"/>
        </w:rPr>
        <w:t xml:space="preserve">  </w:t>
      </w:r>
      <w:r w:rsidR="008D1B9C">
        <w:rPr>
          <w:rFonts w:cstheme="minorHAnsi"/>
        </w:rPr>
        <w:t>If CARB eliminates these Class 4 models, end users in these important industries will have no options.</w:t>
      </w:r>
      <w:r w:rsidR="00FD5D24">
        <w:rPr>
          <w:rFonts w:cstheme="minorHAnsi"/>
        </w:rPr>
        <w:t xml:space="preserve">  </w:t>
      </w:r>
      <w:r w:rsidR="00812E41">
        <w:t>Some of the Class 4 forklift models</w:t>
      </w:r>
      <w:r w:rsidR="00905B82">
        <w:t xml:space="preserve"> (sometimes called “paper roll specials” or “box car specials”)</w:t>
      </w:r>
      <w:r w:rsidR="0021253E">
        <w:t xml:space="preserve"> that fit this application niche</w:t>
      </w:r>
      <w:r w:rsidR="000339CA">
        <w:t xml:space="preserve"> requiring relatively high lift capacity </w:t>
      </w:r>
      <w:r w:rsidR="00916F57">
        <w:t xml:space="preserve">and </w:t>
      </w:r>
      <w:r w:rsidR="000339CA">
        <w:t>maneuver</w:t>
      </w:r>
      <w:r w:rsidR="00916F57">
        <w:t>ability</w:t>
      </w:r>
      <w:r w:rsidR="000339CA">
        <w:t xml:space="preserve"> in confined spaces </w:t>
      </w:r>
      <w:r w:rsidR="00C76787">
        <w:t xml:space="preserve"> </w:t>
      </w:r>
      <w:r w:rsidR="0021253E">
        <w:t>have capacities slightly below or</w:t>
      </w:r>
      <w:r w:rsidR="006D1A03">
        <w:t xml:space="preserve"> precisely</w:t>
      </w:r>
      <w:r w:rsidR="0021253E">
        <w:t xml:space="preserve"> at 12,000 pounds capacity.</w:t>
      </w:r>
      <w:r w:rsidR="006D1A03">
        <w:t xml:space="preserve">  Therefore, CARB’s </w:t>
      </w:r>
      <w:r w:rsidR="00B520B6">
        <w:t>earlier</w:t>
      </w:r>
      <w:r w:rsidR="00E517DF">
        <w:t xml:space="preserve"> </w:t>
      </w:r>
      <w:r w:rsidR="006D1A03">
        <w:t>propos</w:t>
      </w:r>
      <w:r w:rsidR="00BE2DE2">
        <w:t xml:space="preserve">al to eliminate </w:t>
      </w:r>
      <w:r w:rsidR="00E23DD2">
        <w:t>Class 4</w:t>
      </w:r>
      <w:r w:rsidR="00DD5A34">
        <w:t xml:space="preserve"> LSI</w:t>
      </w:r>
      <w:r w:rsidR="00E23DD2">
        <w:t xml:space="preserve"> forklifts</w:t>
      </w:r>
      <w:r w:rsidR="007515A4">
        <w:t xml:space="preserve"> having capacities of 12,000 pounds</w:t>
      </w:r>
      <w:r w:rsidR="00797727">
        <w:t xml:space="preserve"> or less</w:t>
      </w:r>
      <w:r w:rsidR="0073115B">
        <w:t xml:space="preserve"> would </w:t>
      </w:r>
      <w:r w:rsidR="00B520B6">
        <w:t>already</w:t>
      </w:r>
      <w:r w:rsidR="0073115B">
        <w:t xml:space="preserve"> have reduced end users’ choice of models significantly, requiring them to purchase</w:t>
      </w:r>
      <w:r w:rsidR="00044277">
        <w:t xml:space="preserve"> Class 4</w:t>
      </w:r>
      <w:r w:rsidR="0073115B">
        <w:t xml:space="preserve"> forklifts at </w:t>
      </w:r>
      <w:r w:rsidR="002402A7">
        <w:t>the 13,500-15,500</w:t>
      </w:r>
      <w:r w:rsidR="00F225FD">
        <w:t xml:space="preserve"> pounds</w:t>
      </w:r>
      <w:r w:rsidR="0073115B">
        <w:t xml:space="preserve"> end of this range</w:t>
      </w:r>
      <w:r w:rsidR="002402A7">
        <w:t>.</w:t>
      </w:r>
      <w:r w:rsidR="00C31C8D">
        <w:t xml:space="preserve">  </w:t>
      </w:r>
      <w:r w:rsidR="00953A78">
        <w:t>CARB’s latest proposal would remove even this limited option.</w:t>
      </w:r>
    </w:p>
    <w:p w14:paraId="07AE9EBC" w14:textId="55F8B4C9" w:rsidR="002C7CF9" w:rsidRDefault="00526284" w:rsidP="00C76787">
      <w:pPr>
        <w:spacing w:line="360" w:lineRule="auto"/>
        <w:ind w:firstLine="360"/>
      </w:pPr>
      <w:r>
        <w:t>Beyond the need to maximize lifting capacity while maintaining maneuverability, forklifts in the paper, metal and manufacturing industrie</w:t>
      </w:r>
      <w:r w:rsidR="00FD5973">
        <w:t>s face multi-shift, high-throughput requirements</w:t>
      </w:r>
      <w:r w:rsidR="001C7E62">
        <w:t xml:space="preserve"> that demand </w:t>
      </w:r>
      <w:r w:rsidR="001C7E62">
        <w:lastRenderedPageBreak/>
        <w:t>continuous high performance exceeding the capabilities of today’s battery-electric forklifts.</w:t>
      </w:r>
      <w:r w:rsidR="00B70582">
        <w:t xml:space="preserve">  As explained in the </w:t>
      </w:r>
      <w:r w:rsidR="00286297">
        <w:t>ISOR</w:t>
      </w:r>
      <w:r w:rsidR="00BB5B58">
        <w:t xml:space="preserve"> at pp. 2</w:t>
      </w:r>
      <w:r w:rsidR="00D929F4">
        <w:t>9</w:t>
      </w:r>
      <w:r w:rsidR="00BB5B58">
        <w:t>-</w:t>
      </w:r>
      <w:r w:rsidR="00D929F4">
        <w:t>30</w:t>
      </w:r>
      <w:r w:rsidR="00B70582">
        <w:t xml:space="preserve">, </w:t>
      </w:r>
    </w:p>
    <w:p w14:paraId="68DDFEDE" w14:textId="088D0D61" w:rsidR="00953A78" w:rsidRDefault="00B70582" w:rsidP="00711E68">
      <w:pPr>
        <w:spacing w:line="240" w:lineRule="auto"/>
        <w:ind w:left="720" w:right="720" w:firstLine="720"/>
      </w:pPr>
      <w:r>
        <w:t xml:space="preserve">A flooded lead-acid battery pack that is used in a forklift for an eight-hour shift generally requires eight hours to charge and an additional eight hours to cool down following a charge before it can be used again.  As such, lead-acid batteries can typically be used for only one full work shift per day. </w:t>
      </w:r>
      <w:r w:rsidR="0078289C">
        <w:t xml:space="preserve"> </w:t>
      </w:r>
      <w:r>
        <w:t xml:space="preserve">To work around this limitation, multiple-shift operations have historically employed the use of two or three lead-acid battery packs per forklift and a battery-swapping strategy. </w:t>
      </w:r>
      <w:r w:rsidR="0078289C">
        <w:t xml:space="preserve"> </w:t>
      </w:r>
      <w:r>
        <w:t>This type of arrangement requires a dedicated area for charging and storing battery packs, which takes away from square footage the facility could otherwise use, and additional resources to manage, maintain, and swap battery packs as necessary.</w:t>
      </w:r>
    </w:p>
    <w:p w14:paraId="78B1B10A" w14:textId="77777777" w:rsidR="009C01E6" w:rsidRDefault="009C01E6" w:rsidP="00711E68">
      <w:pPr>
        <w:spacing w:line="240" w:lineRule="auto"/>
        <w:ind w:left="720" w:right="720" w:firstLine="720"/>
      </w:pPr>
    </w:p>
    <w:p w14:paraId="243845B5" w14:textId="0C6885DB" w:rsidR="00655762" w:rsidRDefault="00655762" w:rsidP="00F06E5B">
      <w:pPr>
        <w:spacing w:line="360" w:lineRule="auto"/>
      </w:pPr>
      <w:r>
        <w:t>This explanation is accurate for typical</w:t>
      </w:r>
      <w:r w:rsidR="005E12CC">
        <w:t xml:space="preserve"> electric</w:t>
      </w:r>
      <w:r>
        <w:t xml:space="preserve"> forklift applications, but </w:t>
      </w:r>
      <w:r w:rsidR="00F06E5B">
        <w:t xml:space="preserve">heavier, more intense operations </w:t>
      </w:r>
      <w:r w:rsidR="008058DD">
        <w:t>will deplete the battery sooner, perhaps in</w:t>
      </w:r>
      <w:r w:rsidR="00B71606">
        <w:t xml:space="preserve"> less than</w:t>
      </w:r>
      <w:r w:rsidR="008058DD">
        <w:t xml:space="preserve"> one-half</w:t>
      </w:r>
      <w:r w:rsidR="00CC60EF">
        <w:t xml:space="preserve"> </w:t>
      </w:r>
      <w:r w:rsidR="008058DD">
        <w:t>of an 8-hour shift</w:t>
      </w:r>
      <w:r w:rsidR="00BA5502">
        <w:t>.  This can</w:t>
      </w:r>
      <w:r w:rsidR="006A0F2B">
        <w:t xml:space="preserve"> more than</w:t>
      </w:r>
      <w:r w:rsidR="008058DD">
        <w:t xml:space="preserve"> double the</w:t>
      </w:r>
      <w:r w:rsidR="00BA5502">
        <w:t xml:space="preserve"> forklift</w:t>
      </w:r>
      <w:r w:rsidR="008058DD">
        <w:t xml:space="preserve"> downtime</w:t>
      </w:r>
      <w:r w:rsidR="006C2319">
        <w:t>,</w:t>
      </w:r>
      <w:r w:rsidR="008058DD">
        <w:t xml:space="preserve"> reduc</w:t>
      </w:r>
      <w:r w:rsidR="006C2319">
        <w:t>ing</w:t>
      </w:r>
      <w:r w:rsidR="008058DD">
        <w:t xml:space="preserve"> productivity</w:t>
      </w:r>
      <w:r w:rsidR="00FB46F7">
        <w:t xml:space="preserve"> to unacceptable levels</w:t>
      </w:r>
      <w:r w:rsidR="004E341B">
        <w:t xml:space="preserve"> and requir</w:t>
      </w:r>
      <w:r w:rsidR="00005D43">
        <w:t>ing</w:t>
      </w:r>
      <w:r w:rsidR="004E341B">
        <w:t xml:space="preserve"> more charging capacity and floor space</w:t>
      </w:r>
      <w:r w:rsidR="008058DD">
        <w:t>.</w:t>
      </w:r>
    </w:p>
    <w:p w14:paraId="08E12306" w14:textId="649162DF" w:rsidR="00202C49" w:rsidRDefault="002936C3" w:rsidP="00F06E5B">
      <w:pPr>
        <w:spacing w:line="360" w:lineRule="auto"/>
      </w:pPr>
      <w:r>
        <w:tab/>
        <w:t xml:space="preserve">The </w:t>
      </w:r>
      <w:r w:rsidR="00C04E8A">
        <w:t>ISOR</w:t>
      </w:r>
      <w:r>
        <w:t xml:space="preserve"> contains dozens of references to lithium-ion technology, noting correctly that lithium-ion batteries have some advantages over lead-acid batteries:</w:t>
      </w:r>
      <w:r w:rsidR="001D0EB7">
        <w:t xml:space="preserve"> they can be charged more quickly, they </w:t>
      </w:r>
      <w:r w:rsidR="009D0169">
        <w:t xml:space="preserve">have higher energy density, </w:t>
      </w:r>
      <w:r w:rsidR="00186BFA">
        <w:t>they require less maintenance, and they have longer useful lives.</w:t>
      </w:r>
      <w:r w:rsidR="001A7D64">
        <w:t xml:space="preserve">  See, </w:t>
      </w:r>
      <w:r w:rsidR="001A7D64" w:rsidRPr="00B36A66">
        <w:rPr>
          <w:u w:val="single"/>
        </w:rPr>
        <w:t>e.g</w:t>
      </w:r>
      <w:r w:rsidR="001A7D64">
        <w:t xml:space="preserve">. </w:t>
      </w:r>
      <w:r w:rsidR="00B51B92">
        <w:t>ISOR</w:t>
      </w:r>
      <w:r w:rsidR="001A7D64">
        <w:t>, p.</w:t>
      </w:r>
      <w:r w:rsidR="006B5CC7">
        <w:t xml:space="preserve"> 9.</w:t>
      </w:r>
      <w:r w:rsidR="005902EF">
        <w:t xml:space="preserve">  </w:t>
      </w:r>
      <w:r w:rsidR="00B836C9">
        <w:t xml:space="preserve"> </w:t>
      </w:r>
      <w:r w:rsidR="00557FAD">
        <w:t>But</w:t>
      </w:r>
      <w:r w:rsidR="000D0213">
        <w:t xml:space="preserve"> lithium-ion technology is not a panacea.</w:t>
      </w:r>
      <w:r w:rsidR="00557FAD">
        <w:t xml:space="preserve"> </w:t>
      </w:r>
      <w:r w:rsidR="000D0213">
        <w:t xml:space="preserve"> W</w:t>
      </w:r>
      <w:r w:rsidR="00B36A66">
        <w:t xml:space="preserve">hen it comes to forklifts that </w:t>
      </w:r>
      <w:r w:rsidR="006F1D2A">
        <w:t>require</w:t>
      </w:r>
      <w:r w:rsidR="00B36A66">
        <w:t xml:space="preserve"> balanc</w:t>
      </w:r>
      <w:r w:rsidR="00984593">
        <w:t>ing</w:t>
      </w:r>
      <w:r w:rsidR="00B36A66">
        <w:t xml:space="preserve"> a relatively small footprint,</w:t>
      </w:r>
      <w:r w:rsidR="00E84C51">
        <w:t xml:space="preserve"> </w:t>
      </w:r>
      <w:r w:rsidR="001001E4">
        <w:t>sufficient</w:t>
      </w:r>
      <w:r w:rsidR="00E84C51">
        <w:t xml:space="preserve"> power for capacities exceeding 12,000 pounds, and enough energy to </w:t>
      </w:r>
      <w:r w:rsidR="00E35EF8">
        <w:t>maintain performance for</w:t>
      </w:r>
      <w:r w:rsidR="00E84C51">
        <w:t xml:space="preserve"> a full shift</w:t>
      </w:r>
      <w:r w:rsidR="00E35EF8">
        <w:t xml:space="preserve">, </w:t>
      </w:r>
      <w:r w:rsidR="00A64428">
        <w:t>the fact that</w:t>
      </w:r>
      <w:r w:rsidR="00DF36B4">
        <w:t xml:space="preserve"> lithium-ion</w:t>
      </w:r>
      <w:r w:rsidR="00A64428">
        <w:t xml:space="preserve"> batteries may</w:t>
      </w:r>
      <w:r w:rsidR="00DF36B4">
        <w:t xml:space="preserve"> come cl</w:t>
      </w:r>
      <w:r w:rsidR="00A64428">
        <w:t>oser</w:t>
      </w:r>
      <w:r w:rsidR="00F6630D">
        <w:t xml:space="preserve"> in some respects</w:t>
      </w:r>
      <w:r w:rsidR="00A64428">
        <w:t xml:space="preserve"> than lead-acid batteries is academic</w:t>
      </w:r>
      <w:r w:rsidR="00666855">
        <w:t xml:space="preserve"> because neither battery technology is</w:t>
      </w:r>
      <w:r w:rsidR="004670F1">
        <w:t xml:space="preserve"> </w:t>
      </w:r>
      <w:r w:rsidR="00666855">
        <w:t>adequate.</w:t>
      </w:r>
      <w:r w:rsidR="00C47F8B">
        <w:t xml:space="preserve">  </w:t>
      </w:r>
      <w:r w:rsidR="00D86F13">
        <w:t>S</w:t>
      </w:r>
      <w:r w:rsidR="00C47F8B">
        <w:t>it</w:t>
      </w:r>
      <w:r w:rsidR="00F340A4">
        <w:t>-</w:t>
      </w:r>
      <w:r w:rsidR="00C47F8B">
        <w:t>down</w:t>
      </w:r>
      <w:r w:rsidR="00F340A4">
        <w:t xml:space="preserve"> </w:t>
      </w:r>
      <w:r w:rsidR="00C47F8B">
        <w:t>counterbalanced forklifts require a counterweight to offset the load</w:t>
      </w:r>
      <w:r w:rsidR="001A4628">
        <w:t xml:space="preserve"> that the front end of the forklift must handle—the higher the capacity, the heavier the required counterweight.</w:t>
      </w:r>
      <w:r w:rsidR="00F340A4">
        <w:t xml:space="preserve">  </w:t>
      </w:r>
      <w:r w:rsidR="00C47F8B">
        <w:t>Spark-ignited forklifts</w:t>
      </w:r>
      <w:r w:rsidR="004139D8">
        <w:t>, by</w:t>
      </w:r>
      <w:r w:rsidR="00F340A4">
        <w:t xml:space="preserve"> us</w:t>
      </w:r>
      <w:r w:rsidR="004139D8">
        <w:t>ing</w:t>
      </w:r>
      <w:r w:rsidR="00F340A4">
        <w:t xml:space="preserve"> an extremely dense block of </w:t>
      </w:r>
      <w:r w:rsidR="00D852E6">
        <w:t>(typically) cast iron</w:t>
      </w:r>
      <w:r w:rsidR="00F340A4">
        <w:t xml:space="preserve"> as the counterweight</w:t>
      </w:r>
      <w:r w:rsidR="004139D8">
        <w:t>, minimize the space taken up by the counterweight</w:t>
      </w:r>
      <w:r w:rsidR="002002B8">
        <w:t xml:space="preserve">, </w:t>
      </w:r>
      <w:r w:rsidR="002002B8" w:rsidRPr="008E7D1C">
        <w:rPr>
          <w:u w:val="single"/>
        </w:rPr>
        <w:t>i.e.</w:t>
      </w:r>
      <w:r w:rsidR="002002B8">
        <w:t>, minimize the footprint of the forklift.</w:t>
      </w:r>
      <w:r w:rsidR="00612D06">
        <w:t xml:space="preserve">  </w:t>
      </w:r>
      <w:r w:rsidR="006A6E5B">
        <w:t xml:space="preserve">For forklifts with lead-acid batteries, the battery weight itself acts as the counterweight. </w:t>
      </w:r>
      <w:r w:rsidR="00985DBF">
        <w:t xml:space="preserve"> </w:t>
      </w:r>
      <w:r w:rsidR="006A6E5B">
        <w:t>However, the battery is not nearly as dense (compact) as a cast iron counterweight, so the dimensions of the battery exceed the dimensions of the cast iron counterweight and the forklift’s footprint is thereby larger.</w:t>
      </w:r>
      <w:r w:rsidR="00C2514C">
        <w:t xml:space="preserve">  L</w:t>
      </w:r>
      <w:r w:rsidR="001F0DFB">
        <w:t>ithium-ion batteries</w:t>
      </w:r>
      <w:r w:rsidR="00C2514C">
        <w:t xml:space="preserve"> change the calculus somewhat because they have greater</w:t>
      </w:r>
      <w:r w:rsidR="00A350FD">
        <w:t xml:space="preserve"> energy density by</w:t>
      </w:r>
      <w:r w:rsidR="005C1D63">
        <w:t xml:space="preserve"> both</w:t>
      </w:r>
      <w:r w:rsidR="00A350FD">
        <w:t xml:space="preserve"> volume and by weight than lead-acid batteries</w:t>
      </w:r>
      <w:r w:rsidR="00B4084B">
        <w:t xml:space="preserve">.  </w:t>
      </w:r>
      <w:r w:rsidR="00DE3298">
        <w:t xml:space="preserve">This </w:t>
      </w:r>
      <w:r w:rsidR="008413DB">
        <w:t>permits reducing the</w:t>
      </w:r>
      <w:r w:rsidR="00565F6A">
        <w:t xml:space="preserve"> volume</w:t>
      </w:r>
      <w:r w:rsidR="008413DB">
        <w:t xml:space="preserve"> of the battery itself</w:t>
      </w:r>
      <w:r w:rsidR="00B8133E">
        <w:t xml:space="preserve">, but </w:t>
      </w:r>
      <w:r w:rsidR="00565F6A">
        <w:t xml:space="preserve">also </w:t>
      </w:r>
      <w:r w:rsidR="00ED0C1F">
        <w:t>means that additional counterweighting is required</w:t>
      </w:r>
      <w:r w:rsidR="00117269">
        <w:t xml:space="preserve"> and that the footprint increases</w:t>
      </w:r>
      <w:r w:rsidR="00ED0C1F">
        <w:t>.</w:t>
      </w:r>
      <w:r w:rsidR="00F277B2">
        <w:t xml:space="preserve">  Weight distribution and other engineering considerations come into play, but the bottom line is that there is no lithium-ion </w:t>
      </w:r>
      <w:r w:rsidR="00F277B2">
        <w:lastRenderedPageBreak/>
        <w:t>or lead-acid battery solution that matches the combined attributes of a spark-ignited forklift having a relatively small propane tank as the energy source and a cast-iron counterweight to offset the load.</w:t>
      </w:r>
    </w:p>
    <w:p w14:paraId="1A80432B" w14:textId="72E59E27" w:rsidR="000A3F9C" w:rsidRDefault="00BC2C7C" w:rsidP="00F06E5B">
      <w:pPr>
        <w:spacing w:line="360" w:lineRule="auto"/>
      </w:pPr>
      <w:r>
        <w:tab/>
      </w:r>
      <w:r w:rsidR="003A1706">
        <w:t xml:space="preserve">The problems are not limited to </w:t>
      </w:r>
      <w:r w:rsidR="00AE4F97">
        <w:t>the additional space taken up by large battery compartments.</w:t>
      </w:r>
      <w:r w:rsidR="00872EDD">
        <w:t xml:space="preserve">  </w:t>
      </w:r>
      <w:r>
        <w:t xml:space="preserve">Even if the electric forklift battery is fully charged, there are significant differences in the </w:t>
      </w:r>
      <w:r w:rsidR="009901F8">
        <w:t xml:space="preserve">performance of </w:t>
      </w:r>
      <w:r w:rsidR="00424246">
        <w:t>internal combustion and electric forklifts in terms of travel speed and lift/lower speeds</w:t>
      </w:r>
      <w:r w:rsidR="00BF46BD">
        <w:t>, especially at the higher capacities</w:t>
      </w:r>
      <w:r w:rsidR="00424246">
        <w:t>.</w:t>
      </w:r>
      <w:r w:rsidR="00C42259">
        <w:t xml:space="preserve">  In one example</w:t>
      </w:r>
      <w:r w:rsidR="00325C75">
        <w:t xml:space="preserve"> previously</w:t>
      </w:r>
      <w:r w:rsidR="00C42259">
        <w:t xml:space="preserve"> shared with CARB, a comparison between a company’s </w:t>
      </w:r>
      <w:r w:rsidR="002D2776">
        <w:t>15,000-pound capacity electric forklift and its 15,000-pound</w:t>
      </w:r>
      <w:r w:rsidR="00DF0B26">
        <w:t xml:space="preserve"> capacity</w:t>
      </w:r>
      <w:r w:rsidR="002D2776">
        <w:t xml:space="preserve"> internal combustion forklift showed that the internal combustion unit’s travel speed was</w:t>
      </w:r>
      <w:r w:rsidR="00650C34">
        <w:t xml:space="preserve"> 2.6 times faster</w:t>
      </w:r>
      <w:r w:rsidR="00894A89">
        <w:t>, its lifting speed</w:t>
      </w:r>
      <w:r w:rsidR="00A56554">
        <w:t xml:space="preserve"> while loaded</w:t>
      </w:r>
      <w:r w:rsidR="00894A89">
        <w:t xml:space="preserve"> was </w:t>
      </w:r>
      <w:r w:rsidR="00A56554">
        <w:t>2 times faster, and its lowering speed while unloaded</w:t>
      </w:r>
      <w:r w:rsidR="000F5007">
        <w:t xml:space="preserve"> was 1.7 times faster.</w:t>
      </w:r>
      <w:r w:rsidR="00A4557F">
        <w:t xml:space="preserve">  </w:t>
      </w:r>
      <w:r w:rsidR="003D2E92">
        <w:t>The compar</w:t>
      </w:r>
      <w:r w:rsidR="00534D26">
        <w:t>i</w:t>
      </w:r>
      <w:r w:rsidR="003D2E92">
        <w:t>s</w:t>
      </w:r>
      <w:r w:rsidR="00534D26">
        <w:t>ons</w:t>
      </w:r>
      <w:r w:rsidR="00510BD2">
        <w:t xml:space="preserve"> of travel and lift/lower speeds</w:t>
      </w:r>
      <w:r w:rsidR="003D2E92">
        <w:t xml:space="preserve"> </w:t>
      </w:r>
      <w:r w:rsidR="00534D26">
        <w:t>f</w:t>
      </w:r>
      <w:r w:rsidR="00A4557F">
        <w:t xml:space="preserve">or the only other </w:t>
      </w:r>
      <w:r w:rsidR="003D2E92">
        <w:t>manufacturer that offered both electric and internal combustion forklifts with 15,000 pounds capacity w</w:t>
      </w:r>
      <w:r w:rsidR="00534D26">
        <w:t xml:space="preserve">ere </w:t>
      </w:r>
      <w:r w:rsidR="00510BD2">
        <w:t xml:space="preserve">very similar, </w:t>
      </w:r>
      <w:r w:rsidR="00E21749">
        <w:t>with</w:t>
      </w:r>
      <w:r w:rsidR="00510BD2">
        <w:t xml:space="preserve"> huge differences in favor of the internal combustion</w:t>
      </w:r>
      <w:r w:rsidR="004B1A6C">
        <w:t xml:space="preserve"> forklift.</w:t>
      </w:r>
      <w:r w:rsidR="007F00CB">
        <w:t xml:space="preserve">  Thus, </w:t>
      </w:r>
      <w:r w:rsidR="00707761">
        <w:t>in addition to</w:t>
      </w:r>
      <w:r w:rsidR="007F00CB">
        <w:t xml:space="preserve"> the footprint problem and the </w:t>
      </w:r>
      <w:r w:rsidR="00707761">
        <w:t>running-time problem, electric forklifts over 12,000 pounds capacity are not substitutes for Class 4</w:t>
      </w:r>
      <w:r w:rsidR="003F1D62">
        <w:t xml:space="preserve"> LSI</w:t>
      </w:r>
      <w:r w:rsidR="00707761">
        <w:t xml:space="preserve"> forklifts because of th</w:t>
      </w:r>
      <w:r w:rsidR="005C11A2">
        <w:t>ese</w:t>
      </w:r>
      <w:r w:rsidR="00707761">
        <w:t xml:space="preserve"> performance</w:t>
      </w:r>
      <w:r w:rsidR="005C11A2">
        <w:t xml:space="preserve"> differences</w:t>
      </w:r>
      <w:r w:rsidR="00E12239">
        <w:t>.</w:t>
      </w:r>
    </w:p>
    <w:p w14:paraId="38F73B01" w14:textId="39E3856D" w:rsidR="0092350B" w:rsidRDefault="000A3F9C" w:rsidP="00F06E5B">
      <w:pPr>
        <w:spacing w:line="360" w:lineRule="auto"/>
      </w:pPr>
      <w:r>
        <w:tab/>
      </w:r>
      <w:r w:rsidR="00F54B8D">
        <w:t>Product literature from m</w:t>
      </w:r>
      <w:r w:rsidR="00FF6DDC">
        <w:t>anufacturers of large</w:t>
      </w:r>
      <w:r w:rsidR="00CC7059">
        <w:t xml:space="preserve"> cushion-tired</w:t>
      </w:r>
      <w:r w:rsidR="00FF6DDC">
        <w:t xml:space="preserve"> electric forklifts, including ITA members, </w:t>
      </w:r>
      <w:r w:rsidR="002C523B">
        <w:t xml:space="preserve">naturally </w:t>
      </w:r>
      <w:r w:rsidR="00F54B8D">
        <w:t>emphasizes</w:t>
      </w:r>
      <w:r w:rsidR="00FF6DDC">
        <w:t xml:space="preserve"> their capabilities and advantages</w:t>
      </w:r>
      <w:r w:rsidR="00901333">
        <w:t>.</w:t>
      </w:r>
      <w:r w:rsidR="00FA5038">
        <w:t xml:space="preserve">  </w:t>
      </w:r>
      <w:r w:rsidR="003F5FB2">
        <w:t xml:space="preserve">But </w:t>
      </w:r>
      <w:r w:rsidR="00F42011">
        <w:t>any conclusion</w:t>
      </w:r>
      <w:r w:rsidR="0083397B">
        <w:t xml:space="preserve"> that</w:t>
      </w:r>
      <w:r w:rsidR="00901333">
        <w:t xml:space="preserve"> </w:t>
      </w:r>
      <w:r w:rsidR="00CC7059">
        <w:t>these forklifts are</w:t>
      </w:r>
      <w:r w:rsidR="00E42A22">
        <w:t xml:space="preserve"> </w:t>
      </w:r>
      <w:r w:rsidR="0083397B">
        <w:t>realistically</w:t>
      </w:r>
      <w:r w:rsidR="00CC7059">
        <w:t xml:space="preserve"> an available</w:t>
      </w:r>
      <w:r w:rsidR="00066EC0">
        <w:t xml:space="preserve"> commercial</w:t>
      </w:r>
      <w:r w:rsidR="00CC7059">
        <w:t xml:space="preserve"> option to satisfy the market</w:t>
      </w:r>
      <w:r w:rsidR="00E42A22">
        <w:t xml:space="preserve"> demand</w:t>
      </w:r>
      <w:r w:rsidR="00CC7059">
        <w:t xml:space="preserve"> for Class 4</w:t>
      </w:r>
      <w:r w:rsidR="003F1D62">
        <w:t xml:space="preserve"> LSI</w:t>
      </w:r>
      <w:r w:rsidR="00CC7059">
        <w:t xml:space="preserve"> forklifts with capacities greater than 12,000 pounds</w:t>
      </w:r>
      <w:r w:rsidR="00F610C9">
        <w:t xml:space="preserve"> is unwarranted.</w:t>
      </w:r>
      <w:r w:rsidR="004C6F7F">
        <w:t xml:space="preserve"> </w:t>
      </w:r>
      <w:r w:rsidR="00F610C9">
        <w:t xml:space="preserve"> </w:t>
      </w:r>
      <w:r w:rsidR="006E1B7B">
        <w:t xml:space="preserve">ITA’s statistical reporting program, in which members report </w:t>
      </w:r>
      <w:r w:rsidR="00267418">
        <w:t>(</w:t>
      </w:r>
      <w:r w:rsidR="006E1B7B">
        <w:t>among other things</w:t>
      </w:r>
      <w:r w:rsidR="00267418">
        <w:t>)</w:t>
      </w:r>
      <w:r w:rsidR="006E1B7B">
        <w:t xml:space="preserve"> retail shipments of various categories of</w:t>
      </w:r>
      <w:r w:rsidR="00904256">
        <w:t xml:space="preserve"> forklifts by </w:t>
      </w:r>
      <w:r w:rsidR="00422848">
        <w:t>c</w:t>
      </w:r>
      <w:r w:rsidR="00904256">
        <w:t>lass</w:t>
      </w:r>
      <w:r w:rsidR="003F5FB2">
        <w:t>,</w:t>
      </w:r>
      <w:r w:rsidR="00904256">
        <w:t xml:space="preserve"> capacity</w:t>
      </w:r>
      <w:r w:rsidR="00422848">
        <w:t>,</w:t>
      </w:r>
      <w:r w:rsidR="009906B4">
        <w:t xml:space="preserve"> and geography</w:t>
      </w:r>
      <w:r w:rsidR="00904256">
        <w:t xml:space="preserve">, reveals that </w:t>
      </w:r>
      <w:r w:rsidR="00CD7779">
        <w:t>ITA-member shipments</w:t>
      </w:r>
      <w:r w:rsidR="00187576">
        <w:t xml:space="preserve"> of</w:t>
      </w:r>
      <w:r w:rsidR="00904256">
        <w:t xml:space="preserve"> </w:t>
      </w:r>
      <w:r w:rsidR="000E61C4">
        <w:t>cushion</w:t>
      </w:r>
      <w:r w:rsidR="00904256">
        <w:t>-tired electric forklifts with</w:t>
      </w:r>
      <w:r w:rsidR="000E61C4">
        <w:t xml:space="preserve"> a</w:t>
      </w:r>
      <w:r w:rsidR="00904256">
        <w:t xml:space="preserve"> capacity exceeding 12,000 pounds in</w:t>
      </w:r>
      <w:r w:rsidR="003F5FB2">
        <w:t xml:space="preserve"> California </w:t>
      </w:r>
      <w:r w:rsidR="000369F9">
        <w:t>from January of</w:t>
      </w:r>
      <w:r w:rsidR="003F5FB2">
        <w:t xml:space="preserve"> 2022</w:t>
      </w:r>
      <w:r w:rsidR="000369F9">
        <w:t xml:space="preserve"> to the end of </w:t>
      </w:r>
      <w:r w:rsidR="00187576">
        <w:t xml:space="preserve">November </w:t>
      </w:r>
      <w:r w:rsidR="004F2E88">
        <w:t>20</w:t>
      </w:r>
      <w:r w:rsidR="00187576">
        <w:t>23</w:t>
      </w:r>
      <w:r w:rsidR="00A83B43">
        <w:t xml:space="preserve"> w</w:t>
      </w:r>
      <w:r w:rsidR="00F24287">
        <w:t>ere</w:t>
      </w:r>
      <w:r w:rsidR="00904256">
        <w:t xml:space="preserve"> almost</w:t>
      </w:r>
      <w:r w:rsidR="000E61C4">
        <w:t xml:space="preserve"> nonexistent</w:t>
      </w:r>
      <w:r w:rsidR="00904256">
        <w:t>.</w:t>
      </w:r>
      <w:r w:rsidR="00074E6D">
        <w:rPr>
          <w:rStyle w:val="FootnoteReference"/>
        </w:rPr>
        <w:footnoteReference w:id="3"/>
      </w:r>
      <w:r w:rsidR="00AC1FF6">
        <w:t xml:space="preserve">  Th</w:t>
      </w:r>
      <w:r w:rsidR="00FC6A64">
        <w:t xml:space="preserve">e </w:t>
      </w:r>
      <w:r w:rsidR="00555DC4">
        <w:t xml:space="preserve">absence of demand </w:t>
      </w:r>
      <w:r w:rsidR="004A70AA">
        <w:t>shows more clearly than any other evidence that</w:t>
      </w:r>
      <w:r w:rsidR="00AC1FF6">
        <w:t xml:space="preserve"> those</w:t>
      </w:r>
      <w:r w:rsidR="00216E11">
        <w:t xml:space="preserve"> electric</w:t>
      </w:r>
      <w:r w:rsidR="00AC1FF6">
        <w:t xml:space="preserve"> units </w:t>
      </w:r>
      <w:r w:rsidR="0016204B">
        <w:t>have</w:t>
      </w:r>
      <w:r w:rsidR="00AC1FF6">
        <w:t xml:space="preserve"> </w:t>
      </w:r>
      <w:r w:rsidR="00216E11">
        <w:t>not</w:t>
      </w:r>
      <w:r w:rsidR="0016204B">
        <w:t xml:space="preserve"> been</w:t>
      </w:r>
      <w:r w:rsidR="00216E11">
        <w:t xml:space="preserve"> deemed an </w:t>
      </w:r>
      <w:r w:rsidR="00AC1FF6">
        <w:t>adequate substitute for the hundreds of Class 4</w:t>
      </w:r>
      <w:r w:rsidR="008059D3">
        <w:t xml:space="preserve"> LSI</w:t>
      </w:r>
      <w:r w:rsidR="00AC1FF6">
        <w:t xml:space="preserve"> forklifts above 12,000 pounds capacity s</w:t>
      </w:r>
      <w:r w:rsidR="00CD7779">
        <w:t>hipped by ITA members</w:t>
      </w:r>
      <w:r w:rsidR="00AC1FF6">
        <w:t xml:space="preserve"> in that same period.</w:t>
      </w:r>
      <w:r w:rsidR="005331B4">
        <w:rPr>
          <w:rStyle w:val="FootnoteReference"/>
        </w:rPr>
        <w:footnoteReference w:id="4"/>
      </w:r>
    </w:p>
    <w:p w14:paraId="710D8EDD" w14:textId="7F36597A" w:rsidR="009A5A93" w:rsidRDefault="0092350B" w:rsidP="00F06E5B">
      <w:pPr>
        <w:spacing w:line="360" w:lineRule="auto"/>
      </w:pPr>
      <w:r>
        <w:tab/>
        <w:t>Electric forklifts at lower capacities are, of course, pervasive in</w:t>
      </w:r>
      <w:r w:rsidR="008B56EC">
        <w:t xml:space="preserve"> many</w:t>
      </w:r>
      <w:r>
        <w:t xml:space="preserve"> indoor facilities.</w:t>
      </w:r>
      <w:r w:rsidR="003F0A12">
        <w:t xml:space="preserve">  CARB states</w:t>
      </w:r>
      <w:r w:rsidR="001E31FC">
        <w:t xml:space="preserve"> as follows</w:t>
      </w:r>
      <w:r w:rsidR="003F0A12">
        <w:t xml:space="preserve"> under the heading Technological Feasibility</w:t>
      </w:r>
      <w:r w:rsidR="00F444E3">
        <w:t xml:space="preserve"> (</w:t>
      </w:r>
      <w:r w:rsidR="00754D98">
        <w:t>ISOR</w:t>
      </w:r>
      <w:r w:rsidR="003F0A12">
        <w:t>,</w:t>
      </w:r>
      <w:r w:rsidR="00F444E3">
        <w:t xml:space="preserve"> p. </w:t>
      </w:r>
      <w:r w:rsidR="008A26DB">
        <w:t>29)</w:t>
      </w:r>
      <w:r w:rsidR="001E31FC">
        <w:t>:</w:t>
      </w:r>
    </w:p>
    <w:p w14:paraId="156FA35B" w14:textId="77777777" w:rsidR="007D1BF7" w:rsidRDefault="009A5A93" w:rsidP="009A5A93">
      <w:pPr>
        <w:spacing w:line="240" w:lineRule="auto"/>
        <w:ind w:left="720" w:right="720"/>
      </w:pPr>
      <w:r>
        <w:lastRenderedPageBreak/>
        <w:t xml:space="preserve">Today, about half of the forklift population in California uses ZE technology largely due to advantages that the technology can provide, such as reduced indoor air pollution and lower operating costs, and because many forklift applications have duty cycles that are well-suited for its use. </w:t>
      </w:r>
      <w:r w:rsidR="00BF2235">
        <w:t xml:space="preserve"> </w:t>
      </w:r>
      <w:r>
        <w:t xml:space="preserve">ZEFs are common in the logistics industry, but growth in other industries and applications has been relatively slow. </w:t>
      </w:r>
      <w:r w:rsidR="00BF2235">
        <w:t xml:space="preserve"> </w:t>
      </w:r>
      <w:r>
        <w:t>Staff believes ZEFs today are capable of serving as a direct replacement for the forklifts required to be phased out by the Proposed Regulation.</w:t>
      </w:r>
    </w:p>
    <w:p w14:paraId="4A96170B" w14:textId="28206075" w:rsidR="00EA4C8B" w:rsidRDefault="007D1BF7" w:rsidP="00562E13">
      <w:pPr>
        <w:spacing w:line="360" w:lineRule="auto"/>
        <w:ind w:firstLine="720"/>
      </w:pPr>
      <w:r>
        <w:t>While ITA agrees that the issue is technological feasibility,</w:t>
      </w:r>
      <w:r w:rsidR="00EC79BC">
        <w:t xml:space="preserve"> </w:t>
      </w:r>
      <w:r w:rsidR="0026575C">
        <w:t>there is a difference between small-to-medium capacity electric forklifts</w:t>
      </w:r>
      <w:r w:rsidR="00B80A4B">
        <w:t>, which have proven themselves in many applications, and large-capacity electric forklifts</w:t>
      </w:r>
      <w:r w:rsidR="00A55FE5">
        <w:t xml:space="preserve"> with cushion tires</w:t>
      </w:r>
      <w:r w:rsidR="00B80A4B">
        <w:t xml:space="preserve">, for which there </w:t>
      </w:r>
      <w:r w:rsidR="00FB757E">
        <w:t>has been</w:t>
      </w:r>
      <w:r w:rsidR="00B80A4B">
        <w:t xml:space="preserve"> </w:t>
      </w:r>
      <w:r w:rsidR="00AA6088">
        <w:t>almost</w:t>
      </w:r>
      <w:r w:rsidR="00562E13">
        <w:t xml:space="preserve"> no</w:t>
      </w:r>
      <w:r w:rsidR="00B80A4B">
        <w:t xml:space="preserve"> </w:t>
      </w:r>
      <w:r w:rsidR="00EE7C20">
        <w:t>market acceptance</w:t>
      </w:r>
      <w:r w:rsidR="00E7355E">
        <w:t xml:space="preserve"> because of current technology constraints.</w:t>
      </w:r>
      <w:r w:rsidR="004D3DBC">
        <w:t xml:space="preserve">  CARB attributes this difference</w:t>
      </w:r>
      <w:r w:rsidR="00AA6088">
        <w:t xml:space="preserve"> broadly</w:t>
      </w:r>
      <w:r w:rsidR="004D3DBC">
        <w:t xml:space="preserve"> to “perceptions about performance and other factors,” </w:t>
      </w:r>
      <w:r w:rsidR="00477875">
        <w:t>ISOR</w:t>
      </w:r>
      <w:r w:rsidR="004D3DBC">
        <w:t xml:space="preserve">, p. </w:t>
      </w:r>
      <w:r w:rsidR="004D65D2">
        <w:t>29, but the difference</w:t>
      </w:r>
      <w:r w:rsidR="009A4EB0">
        <w:t>s</w:t>
      </w:r>
      <w:r w:rsidR="004D65D2">
        <w:t xml:space="preserve"> in footprint</w:t>
      </w:r>
      <w:r w:rsidR="004705BC">
        <w:t>/</w:t>
      </w:r>
      <w:r w:rsidR="009A4EB0">
        <w:t>maneuverability and</w:t>
      </w:r>
      <w:r w:rsidR="004D65D2">
        <w:t xml:space="preserve"> </w:t>
      </w:r>
      <w:r w:rsidR="009A4EB0">
        <w:t>performance/productivity</w:t>
      </w:r>
      <w:r w:rsidR="00477266">
        <w:t xml:space="preserve"> when it comes to forklifts greater than 12,000 pounds capacity</w:t>
      </w:r>
      <w:r w:rsidR="009A4EB0">
        <w:t xml:space="preserve"> are real</w:t>
      </w:r>
      <w:r w:rsidR="00477266">
        <w:t>.</w:t>
      </w:r>
      <w:r w:rsidR="00CE3C36">
        <w:t xml:space="preserve">  B</w:t>
      </w:r>
      <w:r w:rsidR="00CD0A9F">
        <w:t>ridging those differences</w:t>
      </w:r>
      <w:r w:rsidR="000F54CA">
        <w:t>, which amounts to designing and developing</w:t>
      </w:r>
      <w:r w:rsidR="00290F27">
        <w:t xml:space="preserve"> a new</w:t>
      </w:r>
      <w:r w:rsidR="00A95587">
        <w:t xml:space="preserve"> type of</w:t>
      </w:r>
      <w:r w:rsidR="00290F27">
        <w:t xml:space="preserve"> forklift</w:t>
      </w:r>
      <w:r w:rsidR="00824BAD">
        <w:t xml:space="preserve">, </w:t>
      </w:r>
      <w:r w:rsidR="00CD0A9F">
        <w:t>present</w:t>
      </w:r>
      <w:r w:rsidR="009F30E1">
        <w:t>s</w:t>
      </w:r>
      <w:r w:rsidR="00CD0A9F">
        <w:t xml:space="preserve"> technological challenges with an uncertain outcome</w:t>
      </w:r>
      <w:r w:rsidR="00933E5A">
        <w:t>.</w:t>
      </w:r>
    </w:p>
    <w:p w14:paraId="1334B0FF" w14:textId="6FE0B326" w:rsidR="00B81B64" w:rsidRDefault="003B6296" w:rsidP="00562E13">
      <w:pPr>
        <w:spacing w:line="360" w:lineRule="auto"/>
        <w:ind w:firstLine="720"/>
      </w:pPr>
      <w:r>
        <w:t>With time,</w:t>
      </w:r>
      <w:r w:rsidR="0034411E">
        <w:t xml:space="preserve"> ITA </w:t>
      </w:r>
      <w:r>
        <w:t>forklift manufacturer</w:t>
      </w:r>
      <w:r w:rsidR="00E44F4B">
        <w:t>s</w:t>
      </w:r>
      <w:r>
        <w:t xml:space="preserve"> presumably can</w:t>
      </w:r>
      <w:r w:rsidR="0034411E">
        <w:t xml:space="preserve"> design a</w:t>
      </w:r>
      <w:r w:rsidR="00AB2C28">
        <w:t xml:space="preserve"> battery-powered</w:t>
      </w:r>
      <w:r w:rsidR="0034411E">
        <w:t xml:space="preserve"> forklift </w:t>
      </w:r>
      <w:r w:rsidR="00AB2C28">
        <w:t>with</w:t>
      </w:r>
      <w:r w:rsidR="000D4309">
        <w:t xml:space="preserve"> a small</w:t>
      </w:r>
      <w:r w:rsidR="00E44F4B">
        <w:t>er</w:t>
      </w:r>
      <w:r w:rsidR="000D4309">
        <w:t xml:space="preserve"> footprint, </w:t>
      </w:r>
      <w:r w:rsidR="00E44F4B">
        <w:t xml:space="preserve">but </w:t>
      </w:r>
      <w:r w:rsidR="007F0F34">
        <w:t>advances in</w:t>
      </w:r>
      <w:r w:rsidR="001F5D36">
        <w:t xml:space="preserve"> battery technology</w:t>
      </w:r>
      <w:r w:rsidR="004B3682">
        <w:t>, to make them simultaneously smaller</w:t>
      </w:r>
      <w:r w:rsidR="000376C8">
        <w:t xml:space="preserve"> and able to deliver</w:t>
      </w:r>
      <w:r w:rsidR="00C550C2">
        <w:t xml:space="preserve"> adequate</w:t>
      </w:r>
      <w:r w:rsidR="000376C8">
        <w:t xml:space="preserve"> power for a </w:t>
      </w:r>
      <w:r w:rsidR="00284E68">
        <w:t>full shift</w:t>
      </w:r>
      <w:r w:rsidR="000376C8">
        <w:t>, may be the greater challenge.</w:t>
      </w:r>
      <w:r w:rsidR="00770B14">
        <w:t xml:space="preserve">  In </w:t>
      </w:r>
      <w:r w:rsidR="0017790C">
        <w:t xml:space="preserve">short, </w:t>
      </w:r>
      <w:r w:rsidR="00713C10">
        <w:t>existing</w:t>
      </w:r>
      <w:r w:rsidR="0017790C">
        <w:t xml:space="preserve"> technology does not</w:t>
      </w:r>
      <w:r w:rsidR="00B51073">
        <w:t xml:space="preserve"> permit electric forklifts to replace Class 4</w:t>
      </w:r>
      <w:r w:rsidR="00192458">
        <w:t xml:space="preserve"> LSI</w:t>
      </w:r>
      <w:r w:rsidR="00B51073">
        <w:t xml:space="preserve"> forklifts with greater than 12,000 pounds capacity and it is unclear how long it will </w:t>
      </w:r>
      <w:r w:rsidR="00977E5B">
        <w:t>take</w:t>
      </w:r>
      <w:r w:rsidR="00B51073">
        <w:t xml:space="preserve"> to </w:t>
      </w:r>
      <w:r w:rsidR="006D61C0">
        <w:t>close the gap.</w:t>
      </w:r>
      <w:r w:rsidR="00BB459F">
        <w:t xml:space="preserve">  Under these circumstances, CARB</w:t>
      </w:r>
      <w:r w:rsidR="00CC4447">
        <w:t xml:space="preserve">’s </w:t>
      </w:r>
      <w:r w:rsidR="00253995">
        <w:t xml:space="preserve">recent </w:t>
      </w:r>
      <w:r w:rsidR="00CC4447">
        <w:t>decision</w:t>
      </w:r>
      <w:r w:rsidR="00BB459F">
        <w:t xml:space="preserve"> to target Class 4</w:t>
      </w:r>
      <w:r w:rsidR="00192458">
        <w:t xml:space="preserve"> LSI</w:t>
      </w:r>
      <w:r w:rsidR="00BB459F">
        <w:t xml:space="preserve"> forklifts above 12,000 pounds capacity</w:t>
      </w:r>
      <w:r w:rsidR="00CC4447">
        <w:t xml:space="preserve"> </w:t>
      </w:r>
      <w:r w:rsidR="00F310F0">
        <w:t>threatens to deprive important California industries of the equipment they need</w:t>
      </w:r>
      <w:r w:rsidR="00086D5F">
        <w:t>.</w:t>
      </w:r>
      <w:r w:rsidR="005B686B">
        <w:t xml:space="preserve"> </w:t>
      </w:r>
      <w:r w:rsidR="00D83BF9">
        <w:t xml:space="preserve"> </w:t>
      </w:r>
      <w:r w:rsidR="00523210">
        <w:t>T</w:t>
      </w:r>
      <w:r w:rsidR="00D83BF9">
        <w:t>he last-minute</w:t>
      </w:r>
      <w:r w:rsidR="00907EA2">
        <w:t xml:space="preserve"> </w:t>
      </w:r>
      <w:r w:rsidR="008607A0">
        <w:t>expansion of the Proposed Regulation’s</w:t>
      </w:r>
      <w:r w:rsidR="00907EA2">
        <w:t xml:space="preserve"> scope</w:t>
      </w:r>
      <w:r w:rsidR="004074A2">
        <w:t>, at the end of a 3-year regulatory process,</w:t>
      </w:r>
      <w:r w:rsidR="00907EA2">
        <w:t xml:space="preserve"> exacerbates matters by shortening the lead time</w:t>
      </w:r>
      <w:r w:rsidR="00086D5F">
        <w:t xml:space="preserve"> for the necessary development work.</w:t>
      </w:r>
    </w:p>
    <w:p w14:paraId="3C7E30AD" w14:textId="4EEA6EE0" w:rsidR="00E57F02" w:rsidRDefault="00E57F02" w:rsidP="00E57F02">
      <w:pPr>
        <w:spacing w:line="360" w:lineRule="auto"/>
        <w:ind w:firstLine="720"/>
      </w:pPr>
      <w:r>
        <w:t>ITA a</w:t>
      </w:r>
      <w:r w:rsidR="001972DC">
        <w:t>ppreciates</w:t>
      </w:r>
      <w:r>
        <w:t xml:space="preserve"> that the Proposed Regulation provides a more lenient phase-out schedule for Class 4 forklifts greater than 12,000 pounds capacity than for those with capacities 12,000 pounds or less.</w:t>
      </w:r>
      <w:r w:rsidR="002B113F">
        <w:t xml:space="preserve">  But this longer phase-out schedule will not address the problems of fleet operators whose </w:t>
      </w:r>
      <w:r w:rsidR="00125F15">
        <w:t xml:space="preserve">higher-capacity </w:t>
      </w:r>
      <w:r w:rsidR="002B113F">
        <w:t>Class 4</w:t>
      </w:r>
      <w:r w:rsidR="008C783A">
        <w:t xml:space="preserve"> LSI</w:t>
      </w:r>
      <w:r w:rsidR="002B113F">
        <w:t xml:space="preserve"> forklifts are nearing the end of their useful li</w:t>
      </w:r>
      <w:r w:rsidR="00246862">
        <w:t>ves</w:t>
      </w:r>
      <w:r w:rsidR="00FA5FC1">
        <w:t>, which</w:t>
      </w:r>
      <w:r w:rsidR="00246862">
        <w:t xml:space="preserve"> are</w:t>
      </w:r>
      <w:r w:rsidR="00FA5FC1">
        <w:t xml:space="preserve"> likely shortened in many cases because these forklifts are</w:t>
      </w:r>
      <w:r w:rsidR="00F865BD">
        <w:t xml:space="preserve"> typically</w:t>
      </w:r>
      <w:r w:rsidR="00FA5FC1">
        <w:t xml:space="preserve"> used in intensive multi-shift operations.</w:t>
      </w:r>
      <w:r w:rsidR="00790A8E">
        <w:t xml:space="preserve">  By the time of the CARB public hearing</w:t>
      </w:r>
      <w:r w:rsidR="00F47285">
        <w:t xml:space="preserve"> in mid-2024</w:t>
      </w:r>
      <w:r w:rsidR="00790A8E">
        <w:t xml:space="preserve">, less than 18 months will remain before the </w:t>
      </w:r>
      <w:r w:rsidR="006C462F">
        <w:t>prohibition on acquiring new LSI forklifts</w:t>
      </w:r>
      <w:r w:rsidR="00DA3172">
        <w:t xml:space="preserve"> takes effect.</w:t>
      </w:r>
      <w:r w:rsidR="00B40D51">
        <w:t xml:space="preserve">  </w:t>
      </w:r>
      <w:r w:rsidR="004E2A2A">
        <w:t>But designing and producing a new category of forklift—a h</w:t>
      </w:r>
      <w:r w:rsidR="00B62738">
        <w:t>igh</w:t>
      </w:r>
      <w:r w:rsidR="0060317B">
        <w:t>er</w:t>
      </w:r>
      <w:r w:rsidR="00B62738">
        <w:t xml:space="preserve">-capacity </w:t>
      </w:r>
      <w:r w:rsidR="004E2A2A">
        <w:t xml:space="preserve">electric that can truly replace a </w:t>
      </w:r>
      <w:r w:rsidR="00B62738">
        <w:t>high</w:t>
      </w:r>
      <w:r w:rsidR="0060317B">
        <w:t>er</w:t>
      </w:r>
      <w:r w:rsidR="00B62738">
        <w:t>-capacity</w:t>
      </w:r>
      <w:r w:rsidR="004E2A2A">
        <w:t xml:space="preserve"> Class 4—will take much longer.</w:t>
      </w:r>
    </w:p>
    <w:p w14:paraId="13EAF80E" w14:textId="5AA8C72B" w:rsidR="00C157F8" w:rsidRDefault="00C157F8" w:rsidP="00E57F02">
      <w:pPr>
        <w:spacing w:line="360" w:lineRule="auto"/>
        <w:ind w:firstLine="720"/>
      </w:pPr>
      <w:r>
        <w:lastRenderedPageBreak/>
        <w:t>The question is what</w:t>
      </w:r>
      <w:r w:rsidR="00C24832">
        <w:t xml:space="preserve"> options</w:t>
      </w:r>
      <w:r>
        <w:t xml:space="preserve"> affected parties </w:t>
      </w:r>
      <w:r w:rsidR="00C24832">
        <w:t>will have</w:t>
      </w:r>
      <w:r>
        <w:t xml:space="preserve"> if they can no longer acquire the </w:t>
      </w:r>
      <w:r w:rsidR="00B6392B">
        <w:t>h</w:t>
      </w:r>
      <w:r w:rsidR="0060317B">
        <w:t>igher-capacity</w:t>
      </w:r>
      <w:r w:rsidR="00B6392B">
        <w:t xml:space="preserve"> Class 4</w:t>
      </w:r>
      <w:r w:rsidR="00EC00F1">
        <w:t xml:space="preserve"> LSI</w:t>
      </w:r>
      <w:r>
        <w:t xml:space="preserve"> forklift they have been using and </w:t>
      </w:r>
      <w:r w:rsidR="00CA5E22">
        <w:t>have</w:t>
      </w:r>
      <w:r>
        <w:t xml:space="preserve"> no viable electric substitute.</w:t>
      </w:r>
      <w:r w:rsidR="00A66638">
        <w:t xml:space="preserve">  </w:t>
      </w:r>
      <w:r w:rsidR="00080CC5">
        <w:t>Beyond extending the life of the Class 4 unit as long as possible,</w:t>
      </w:r>
      <w:r w:rsidR="00536FF6">
        <w:t xml:space="preserve"> which will not reduce emissions,</w:t>
      </w:r>
      <w:r w:rsidR="00080CC5">
        <w:t xml:space="preserve"> </w:t>
      </w:r>
      <w:r w:rsidR="005844C5">
        <w:t>some</w:t>
      </w:r>
      <w:r w:rsidR="00EC28FF">
        <w:t xml:space="preserve"> operations may</w:t>
      </w:r>
      <w:r w:rsidR="004F04E1">
        <w:t xml:space="preserve"> try to use</w:t>
      </w:r>
      <w:r w:rsidR="00A66638">
        <w:t xml:space="preserve"> Class 5 forklifts above 12,000 pounds capacity</w:t>
      </w:r>
      <w:r w:rsidR="00B44622">
        <w:t>, again with no emissions benefit.</w:t>
      </w:r>
      <w:r w:rsidR="00B04CEB">
        <w:t xml:space="preserve">  Others may have no reasonable options.  In any case,</w:t>
      </w:r>
      <w:r w:rsidR="00693054">
        <w:t xml:space="preserve"> </w:t>
      </w:r>
      <w:r w:rsidR="00435901">
        <w:t xml:space="preserve">real </w:t>
      </w:r>
      <w:r w:rsidR="004D1A9A">
        <w:t>n</w:t>
      </w:r>
      <w:r w:rsidR="00693054">
        <w:t>ecessity</w:t>
      </w:r>
      <w:r w:rsidR="004D1A9A">
        <w:t xml:space="preserve"> arising from the absence of an adequate electric substitute</w:t>
      </w:r>
      <w:r w:rsidR="00693054">
        <w:t xml:space="preserve">, </w:t>
      </w:r>
      <w:r w:rsidR="00AB7028">
        <w:t>not</w:t>
      </w:r>
      <w:r w:rsidR="00D84F67">
        <w:t xml:space="preserve"> false</w:t>
      </w:r>
      <w:r w:rsidR="00693054">
        <w:t xml:space="preserve"> </w:t>
      </w:r>
      <w:r w:rsidR="001359F4">
        <w:t>perceptions about performance</w:t>
      </w:r>
      <w:r w:rsidR="00EF6A22">
        <w:t xml:space="preserve"> or</w:t>
      </w:r>
      <w:r w:rsidR="001359F4">
        <w:t xml:space="preserve"> cost considerations</w:t>
      </w:r>
      <w:r w:rsidR="00D164F4">
        <w:rPr>
          <w:rStyle w:val="FootnoteReference"/>
        </w:rPr>
        <w:footnoteReference w:id="5"/>
      </w:r>
      <w:r w:rsidR="001359F4">
        <w:t xml:space="preserve">, would drive </w:t>
      </w:r>
      <w:r w:rsidR="00B55C23">
        <w:t>their</w:t>
      </w:r>
      <w:r w:rsidR="001359F4">
        <w:t xml:space="preserve"> decision</w:t>
      </w:r>
      <w:r w:rsidR="00B55C23">
        <w:t>s</w:t>
      </w:r>
      <w:r w:rsidR="001359F4">
        <w:t>.</w:t>
      </w:r>
    </w:p>
    <w:p w14:paraId="7262BD40" w14:textId="72E73A63" w:rsidR="000C05F1" w:rsidRDefault="000C05F1" w:rsidP="00E57F02">
      <w:pPr>
        <w:spacing w:line="360" w:lineRule="auto"/>
        <w:ind w:firstLine="720"/>
      </w:pPr>
      <w:r>
        <w:t xml:space="preserve">Based on ITA data, </w:t>
      </w:r>
      <w:r w:rsidR="002E5E6A">
        <w:t>a very limited quantity of</w:t>
      </w:r>
      <w:r>
        <w:t xml:space="preserve"> Class 4</w:t>
      </w:r>
      <w:r w:rsidR="00EC00F1">
        <w:t xml:space="preserve"> LSI</w:t>
      </w:r>
      <w:r>
        <w:t xml:space="preserve"> forklifts</w:t>
      </w:r>
      <w:r w:rsidR="0042400D">
        <w:t xml:space="preserve"> of greater than 12,000 pounds capacity</w:t>
      </w:r>
      <w:r>
        <w:t xml:space="preserve"> would be </w:t>
      </w:r>
      <w:r w:rsidR="00832847">
        <w:t>affected</w:t>
      </w:r>
      <w:r w:rsidR="00AA50D2">
        <w:t xml:space="preserve"> each year</w:t>
      </w:r>
      <w:r w:rsidR="00832847">
        <w:t xml:space="preserve"> if CARB were to reinstitute</w:t>
      </w:r>
      <w:r w:rsidR="009E32DA">
        <w:t xml:space="preserve"> its</w:t>
      </w:r>
      <w:r w:rsidR="00832847">
        <w:t xml:space="preserve"> </w:t>
      </w:r>
      <w:r w:rsidR="009E32DA">
        <w:t>recently changed</w:t>
      </w:r>
      <w:r w:rsidR="00832847">
        <w:t xml:space="preserve"> treatment of Class 4 units.</w:t>
      </w:r>
      <w:r w:rsidR="002D67E0">
        <w:rPr>
          <w:rStyle w:val="FootnoteReference"/>
        </w:rPr>
        <w:footnoteReference w:id="6"/>
      </w:r>
      <w:r w:rsidR="009E32DA">
        <w:t xml:space="preserve">  </w:t>
      </w:r>
      <w:r w:rsidR="00E17D6C">
        <w:t>As discussed above, i</w:t>
      </w:r>
      <w:r w:rsidR="009E32DA">
        <w:t>t is unclear whether any emissions benefit</w:t>
      </w:r>
      <w:r w:rsidR="001E4373">
        <w:t xml:space="preserve"> would flow from phasing out these units</w:t>
      </w:r>
      <w:r w:rsidR="00484D87">
        <w:t xml:space="preserve"> before electric substitutes are available</w:t>
      </w:r>
      <w:r w:rsidR="00C826CC">
        <w:t>,</w:t>
      </w:r>
      <w:r w:rsidR="00BF488F">
        <w:t xml:space="preserve"> so</w:t>
      </w:r>
      <w:r w:rsidR="00C826CC">
        <w:t xml:space="preserve"> the </w:t>
      </w:r>
      <w:r w:rsidR="00BF488F">
        <w:t>loss</w:t>
      </w:r>
      <w:r w:rsidR="00C826CC">
        <w:t xml:space="preserve"> to those who need </w:t>
      </w:r>
      <w:r w:rsidR="00B94066">
        <w:t>the higher-capacity</w:t>
      </w:r>
      <w:r w:rsidR="005A7EBF">
        <w:t xml:space="preserve"> Class 4</w:t>
      </w:r>
      <w:r w:rsidR="006D2DCB">
        <w:t xml:space="preserve"> LSI</w:t>
      </w:r>
      <w:r w:rsidR="005A7EBF">
        <w:t xml:space="preserve"> forklifts</w:t>
      </w:r>
      <w:r w:rsidR="00C826CC">
        <w:t xml:space="preserve"> </w:t>
      </w:r>
      <w:r w:rsidR="005A11FB">
        <w:t>would come with little or no gain.</w:t>
      </w:r>
      <w:r w:rsidR="007117B5">
        <w:t xml:space="preserve">  </w:t>
      </w:r>
      <w:r w:rsidR="0069335D">
        <w:t xml:space="preserve">Moreover, </w:t>
      </w:r>
      <w:r w:rsidR="007117B5">
        <w:t>CARB</w:t>
      </w:r>
      <w:r w:rsidR="0069335D">
        <w:t>’s</w:t>
      </w:r>
      <w:r w:rsidR="00FD45DF">
        <w:t xml:space="preserve"> </w:t>
      </w:r>
      <w:r w:rsidR="007117B5">
        <w:t>electrification goals</w:t>
      </w:r>
      <w:r w:rsidR="00DF550D">
        <w:t xml:space="preserve"> and incentive programs</w:t>
      </w:r>
      <w:r w:rsidR="00001D24">
        <w:t xml:space="preserve"> are well known</w:t>
      </w:r>
      <w:r w:rsidR="00CE0B40">
        <w:t xml:space="preserve">, </w:t>
      </w:r>
      <w:r w:rsidR="005B7CB6">
        <w:t>creat</w:t>
      </w:r>
      <w:r w:rsidR="00001D24">
        <w:t>ing</w:t>
      </w:r>
      <w:r w:rsidR="00DE6FC7">
        <w:t xml:space="preserve"> a</w:t>
      </w:r>
      <w:r w:rsidR="00001D24">
        <w:t xml:space="preserve"> </w:t>
      </w:r>
      <w:r w:rsidR="00DE6FC7">
        <w:t>strong</w:t>
      </w:r>
      <w:r w:rsidR="00CE0B40">
        <w:t xml:space="preserve"> </w:t>
      </w:r>
      <w:r w:rsidR="00DF550D">
        <w:t>impetus</w:t>
      </w:r>
      <w:r w:rsidR="00CE0B40">
        <w:t xml:space="preserve"> for </w:t>
      </w:r>
      <w:r w:rsidR="00EB2345">
        <w:t xml:space="preserve">the </w:t>
      </w:r>
      <w:r w:rsidR="00CE0B40">
        <w:t>development</w:t>
      </w:r>
      <w:r w:rsidR="007B6102">
        <w:t xml:space="preserve"> </w:t>
      </w:r>
      <w:r w:rsidR="00D032D3">
        <w:t>of</w:t>
      </w:r>
      <w:r w:rsidR="00C87CA4">
        <w:t xml:space="preserve"> larger-capacity electric forklifts to replace</w:t>
      </w:r>
      <w:r w:rsidR="007C0BA5">
        <w:t xml:space="preserve"> both</w:t>
      </w:r>
      <w:r w:rsidR="00C87CA4">
        <w:t xml:space="preserve"> Class 4 and Class </w:t>
      </w:r>
      <w:r w:rsidR="00EB2345">
        <w:t>5</w:t>
      </w:r>
      <w:r w:rsidR="00855FC6">
        <w:t>.</w:t>
      </w:r>
      <w:r w:rsidR="0079370C">
        <w:t xml:space="preserve">  As CARB states, “As more fleets convert to ZEFs due to the Proposed Regulation, forklift manufacturers may invest in maintaining or even expanding their zero-emission product lines. </w:t>
      </w:r>
      <w:r w:rsidR="00910BD9">
        <w:t xml:space="preserve"> </w:t>
      </w:r>
      <w:r w:rsidR="0079370C">
        <w:t>Such investments could contribute to break-through technologies and lead to even broader acceptance of ZE technologies in other off-road vehicle applications</w:t>
      </w:r>
      <w:r w:rsidR="004C064D">
        <w:t xml:space="preserve">.”  </w:t>
      </w:r>
      <w:r w:rsidR="004D3BBB">
        <w:t>ISOR</w:t>
      </w:r>
      <w:r w:rsidR="004C064D">
        <w:t xml:space="preserve">, p. </w:t>
      </w:r>
      <w:r w:rsidR="0081704D">
        <w:t>32.</w:t>
      </w:r>
      <w:r w:rsidR="00507600">
        <w:t xml:space="preserve">  </w:t>
      </w:r>
      <w:r w:rsidR="004773FD">
        <w:t>Reversing the recent expansion of the regulatory scope will not slow this inevitable trend.</w:t>
      </w:r>
    </w:p>
    <w:p w14:paraId="59C0E6D0" w14:textId="3205B701" w:rsidR="00E675FF" w:rsidRDefault="00E675FF" w:rsidP="00E57F02">
      <w:pPr>
        <w:spacing w:line="360" w:lineRule="auto"/>
        <w:ind w:firstLine="720"/>
      </w:pPr>
      <w:r>
        <w:t>ITA request</w:t>
      </w:r>
      <w:r w:rsidR="00E82CFB">
        <w:t>s</w:t>
      </w:r>
      <w:r w:rsidR="008D396E">
        <w:t xml:space="preserve"> </w:t>
      </w:r>
      <w:r>
        <w:t xml:space="preserve">that CARB </w:t>
      </w:r>
      <w:r w:rsidR="008332CE">
        <w:t>allow the purchase</w:t>
      </w:r>
      <w:r>
        <w:t xml:space="preserve"> of </w:t>
      </w:r>
      <w:r w:rsidR="008D396E">
        <w:t>higher-</w:t>
      </w:r>
      <w:r w:rsidR="00CA57A6">
        <w:t>capacity</w:t>
      </w:r>
      <w:r w:rsidR="00750352">
        <w:t xml:space="preserve"> Class 4</w:t>
      </w:r>
      <w:r w:rsidR="00DC4546">
        <w:t xml:space="preserve"> LSI</w:t>
      </w:r>
      <w:r w:rsidR="00750352">
        <w:t xml:space="preserve"> forklifts until manufacturers of forklifts and batteries for forklifts have had time to make the investments necessary to realize the break-through technologies that will be needed to create a viable electric substitute.</w:t>
      </w:r>
      <w:r w:rsidR="00CE3DDF">
        <w:t xml:space="preserve">  While reinstituting the scope that had been contemplated </w:t>
      </w:r>
      <w:r w:rsidR="00CA57A6">
        <w:t>until recently</w:t>
      </w:r>
      <w:r w:rsidR="00CE3DDF">
        <w:t xml:space="preserve"> this year</w:t>
      </w:r>
      <w:r w:rsidR="003D3EEE">
        <w:t xml:space="preserve"> would be the</w:t>
      </w:r>
      <w:r w:rsidR="00BB24C7">
        <w:t xml:space="preserve"> most</w:t>
      </w:r>
      <w:r w:rsidR="003D3EEE">
        <w:t xml:space="preserve"> </w:t>
      </w:r>
      <w:r w:rsidR="00423AA2">
        <w:lastRenderedPageBreak/>
        <w:t>straightforward</w:t>
      </w:r>
      <w:r w:rsidR="003D3EEE">
        <w:t xml:space="preserve"> way to</w:t>
      </w:r>
      <w:r w:rsidR="00C032BE">
        <w:t xml:space="preserve"> meet the need, </w:t>
      </w:r>
      <w:r w:rsidR="006A1BE3">
        <w:t>there may be</w:t>
      </w:r>
      <w:r w:rsidR="00C032BE">
        <w:t xml:space="preserve"> other approaches</w:t>
      </w:r>
      <w:r w:rsidR="005F6DEE">
        <w:t xml:space="preserve">, </w:t>
      </w:r>
      <w:r w:rsidR="00ED3B9C">
        <w:t>like</w:t>
      </w:r>
      <w:r w:rsidR="005F6DEE">
        <w:t xml:space="preserve"> the treatment of later-model</w:t>
      </w:r>
      <w:r w:rsidR="002A3CD4">
        <w:t>-year</w:t>
      </w:r>
      <w:r w:rsidR="005F6DEE">
        <w:t xml:space="preserve"> Class 5</w:t>
      </w:r>
      <w:r w:rsidR="00DD667D">
        <w:t xml:space="preserve"> LSI</w:t>
      </w:r>
      <w:r w:rsidR="005F6DEE">
        <w:t xml:space="preserve"> forklifts,</w:t>
      </w:r>
      <w:r w:rsidR="005A2794">
        <w:t xml:space="preserve"> that would address the situation as well.</w:t>
      </w:r>
    </w:p>
    <w:p w14:paraId="7E6F3E32" w14:textId="20E493C0" w:rsidR="00106963" w:rsidRDefault="00106963" w:rsidP="00106963">
      <w:pPr>
        <w:spacing w:line="360" w:lineRule="auto"/>
        <w:ind w:firstLine="720"/>
        <w:jc w:val="center"/>
        <w:rPr>
          <w:u w:val="single"/>
        </w:rPr>
      </w:pPr>
      <w:r w:rsidRPr="00106963">
        <w:rPr>
          <w:u w:val="single"/>
        </w:rPr>
        <w:t>NEW MODEL YEAR 2025 FORKLIFTS</w:t>
      </w:r>
    </w:p>
    <w:p w14:paraId="15CF5705" w14:textId="5A1D301A" w:rsidR="0064037B" w:rsidRDefault="00033B09" w:rsidP="00562E13">
      <w:pPr>
        <w:spacing w:line="360" w:lineRule="auto"/>
        <w:ind w:firstLine="720"/>
      </w:pPr>
      <w:r>
        <w:t>The Proposed Regulation</w:t>
      </w:r>
      <w:r w:rsidR="00077502">
        <w:t>,</w:t>
      </w:r>
      <w:r w:rsidR="002131A6">
        <w:t xml:space="preserve"> at </w:t>
      </w:r>
      <w:r w:rsidR="00856E03">
        <w:rPr>
          <w:rFonts w:cstheme="minorHAnsi"/>
        </w:rPr>
        <w:t>§</w:t>
      </w:r>
      <w:r w:rsidR="00E50052">
        <w:rPr>
          <w:rFonts w:cstheme="minorHAnsi"/>
        </w:rPr>
        <w:t xml:space="preserve"> 300</w:t>
      </w:r>
      <w:r w:rsidR="00CD00B8">
        <w:rPr>
          <w:rFonts w:cstheme="minorHAnsi"/>
        </w:rPr>
        <w:t>5</w:t>
      </w:r>
      <w:r w:rsidR="00884BBB">
        <w:rPr>
          <w:rFonts w:cstheme="minorHAnsi"/>
        </w:rPr>
        <w:t>(a)</w:t>
      </w:r>
      <w:r w:rsidR="00E50052">
        <w:rPr>
          <w:rFonts w:cstheme="minorHAnsi"/>
        </w:rPr>
        <w:t xml:space="preserve">, </w:t>
      </w:r>
      <w:r w:rsidR="00077502">
        <w:rPr>
          <w:rFonts w:cstheme="minorHAnsi"/>
        </w:rPr>
        <w:t xml:space="preserve">prohibits manufacturers from selling </w:t>
      </w:r>
      <w:r w:rsidR="00563FB9">
        <w:rPr>
          <w:rFonts w:cstheme="minorHAnsi"/>
        </w:rPr>
        <w:t>forklifts that do not meet a zero-emission standard after January 1, 2026 for Class 4</w:t>
      </w:r>
      <w:r w:rsidR="00C71F4C">
        <w:rPr>
          <w:rFonts w:cstheme="minorHAnsi"/>
        </w:rPr>
        <w:t xml:space="preserve"> LSI</w:t>
      </w:r>
      <w:r w:rsidR="00563FB9">
        <w:rPr>
          <w:rFonts w:cstheme="minorHAnsi"/>
        </w:rPr>
        <w:t xml:space="preserve"> forklifts and after January 1, 2029 for </w:t>
      </w:r>
      <w:r w:rsidR="007138E8">
        <w:rPr>
          <w:rFonts w:cstheme="minorHAnsi"/>
        </w:rPr>
        <w:t>Class 5</w:t>
      </w:r>
      <w:r w:rsidR="00C71F4C">
        <w:rPr>
          <w:rFonts w:cstheme="minorHAnsi"/>
        </w:rPr>
        <w:t xml:space="preserve"> LSI</w:t>
      </w:r>
      <w:r w:rsidR="007138E8">
        <w:rPr>
          <w:rFonts w:cstheme="minorHAnsi"/>
        </w:rPr>
        <w:t xml:space="preserve"> forklifts having capacities up to 12,000 pounds.</w:t>
      </w:r>
      <w:r w:rsidR="00286386">
        <w:t xml:space="preserve">  Likewise,</w:t>
      </w:r>
      <w:r w:rsidR="0066292B">
        <w:t xml:space="preserve"> footnote 7 of</w:t>
      </w:r>
      <w:r w:rsidR="00286386">
        <w:t xml:space="preserve"> the proposed change to </w:t>
      </w:r>
      <w:r w:rsidR="0069784C">
        <w:t>the emissions standards,</w:t>
      </w:r>
      <w:r w:rsidR="00672CA9">
        <w:t xml:space="preserve"> 13 CCR </w:t>
      </w:r>
      <w:r w:rsidR="00F75760">
        <w:rPr>
          <w:rFonts w:cstheme="minorHAnsi"/>
        </w:rPr>
        <w:t>§</w:t>
      </w:r>
      <w:r w:rsidR="00F75760">
        <w:t>2443,</w:t>
      </w:r>
      <w:r w:rsidR="00C61AAA">
        <w:t xml:space="preserve"> </w:t>
      </w:r>
      <w:r w:rsidR="00882432">
        <w:t>sets forth</w:t>
      </w:r>
      <w:r w:rsidR="00C61AAA">
        <w:t xml:space="preserve"> the same sales prohibitions.</w:t>
      </w:r>
      <w:r w:rsidR="00F75760">
        <w:t xml:space="preserve"> </w:t>
      </w:r>
      <w:r w:rsidR="0069784C">
        <w:t xml:space="preserve"> </w:t>
      </w:r>
      <w:r w:rsidR="00D60AF7">
        <w:t>T</w:t>
      </w:r>
      <w:r w:rsidR="00686B74">
        <w:t>h</w:t>
      </w:r>
      <w:r w:rsidR="004C6C16">
        <w:t>ese</w:t>
      </w:r>
      <w:r w:rsidR="00686B74">
        <w:t xml:space="preserve"> provision</w:t>
      </w:r>
      <w:r w:rsidR="004C6C16">
        <w:t>s</w:t>
      </w:r>
      <w:r w:rsidR="00EC152F">
        <w:t xml:space="preserve">, by </w:t>
      </w:r>
      <w:r w:rsidR="00142F72">
        <w:t xml:space="preserve">targeting the sale date rather than the manufacture date of regulated </w:t>
      </w:r>
      <w:r w:rsidR="008739A0">
        <w:t xml:space="preserve">engines and </w:t>
      </w:r>
      <w:r w:rsidR="00142F72">
        <w:t>equipment, depart from</w:t>
      </w:r>
      <w:r w:rsidR="000B673A">
        <w:t xml:space="preserve"> the long-standing approach to LSI emissions regulations</w:t>
      </w:r>
      <w:r w:rsidR="002E4A20">
        <w:t xml:space="preserve"> by both CARB and US EPA.  The result is to</w:t>
      </w:r>
      <w:r w:rsidR="00686B74">
        <w:t xml:space="preserve"> </w:t>
      </w:r>
      <w:r w:rsidR="00E34FBB">
        <w:t>distort the ordering, manufacturing</w:t>
      </w:r>
      <w:r w:rsidR="00AB3AEB">
        <w:t>,</w:t>
      </w:r>
      <w:r w:rsidR="00E34FBB">
        <w:t xml:space="preserve"> and delivery</w:t>
      </w:r>
      <w:r w:rsidR="006C419A">
        <w:t xml:space="preserve"> </w:t>
      </w:r>
      <w:r w:rsidR="005775FF">
        <w:t xml:space="preserve">cadence for forklifts at a time when </w:t>
      </w:r>
      <w:r w:rsidR="003E371C">
        <w:t>th</w:t>
      </w:r>
      <w:r w:rsidR="00990239">
        <w:t>e industry</w:t>
      </w:r>
      <w:r w:rsidR="003E371C">
        <w:t xml:space="preserve"> is already</w:t>
      </w:r>
      <w:r w:rsidR="00990239">
        <w:t xml:space="preserve"> cop</w:t>
      </w:r>
      <w:r w:rsidR="00A002F2">
        <w:t>ing</w:t>
      </w:r>
      <w:r w:rsidR="00990239">
        <w:t xml:space="preserve"> with </w:t>
      </w:r>
      <w:r w:rsidR="00C05B54">
        <w:t>extreme delays caused by supply-chain</w:t>
      </w:r>
      <w:r w:rsidR="00196C1F">
        <w:t xml:space="preserve"> bottlenecks resulting from the pandemic.</w:t>
      </w:r>
      <w:r w:rsidR="003C4896">
        <w:t xml:space="preserve">  </w:t>
      </w:r>
      <w:r w:rsidR="002C61F6">
        <w:t>Therefore,</w:t>
      </w:r>
      <w:r w:rsidR="00E54EDE">
        <w:t xml:space="preserve"> at least for the near-term deadline of January 1, 2026,</w:t>
      </w:r>
      <w:r w:rsidR="002C61F6">
        <w:t xml:space="preserve"> </w:t>
      </w:r>
      <w:r w:rsidR="003C4896">
        <w:t>ITA requests</w:t>
      </w:r>
      <w:r w:rsidR="00F86D74">
        <w:t xml:space="preserve"> that CARB return to the traditional approach by permitting manufacturers to sell</w:t>
      </w:r>
      <w:r w:rsidR="007A67A4">
        <w:t xml:space="preserve"> emissions-compliant</w:t>
      </w:r>
      <w:r w:rsidR="00F86D74">
        <w:t xml:space="preserve"> LSI forklifts manufactured in </w:t>
      </w:r>
      <w:r w:rsidR="00435BA2">
        <w:t>2025</w:t>
      </w:r>
      <w:r w:rsidR="00F86D74">
        <w:t>.</w:t>
      </w:r>
      <w:r w:rsidR="00F96EE4">
        <w:t xml:space="preserve">  If CARB has a</w:t>
      </w:r>
      <w:r w:rsidR="00CC233B">
        <w:t>ny</w:t>
      </w:r>
      <w:r w:rsidR="00F96EE4">
        <w:t xml:space="preserve"> concern about “stockpiling” of</w:t>
      </w:r>
      <w:r w:rsidR="00CC233B">
        <w:t xml:space="preserve"> LSI</w:t>
      </w:r>
      <w:r w:rsidR="00F96EE4">
        <w:t xml:space="preserve"> forklifts,</w:t>
      </w:r>
      <w:r w:rsidR="00E52576">
        <w:t xml:space="preserve"> </w:t>
      </w:r>
      <w:r w:rsidR="002A6A00">
        <w:t>which is</w:t>
      </w:r>
      <w:r w:rsidR="00F8456C">
        <w:t xml:space="preserve"> unlikely to be</w:t>
      </w:r>
      <w:r w:rsidR="002A6A00">
        <w:t xml:space="preserve"> an issue </w:t>
      </w:r>
      <w:r w:rsidR="00E52576">
        <w:t>under current conditions,</w:t>
      </w:r>
      <w:r w:rsidR="00F96EE4">
        <w:t xml:space="preserve"> </w:t>
      </w:r>
      <w:r w:rsidR="002201A5">
        <w:t>CARB can easily address that concern with regulatory language.</w:t>
      </w:r>
      <w:r w:rsidR="007B3A1E">
        <w:t xml:space="preserve">  </w:t>
      </w:r>
    </w:p>
    <w:p w14:paraId="233B0987" w14:textId="793B6182" w:rsidR="00BC2C7C" w:rsidRDefault="0064037B" w:rsidP="00562E13">
      <w:pPr>
        <w:spacing w:line="360" w:lineRule="auto"/>
        <w:ind w:firstLine="720"/>
      </w:pPr>
      <w:r>
        <w:t xml:space="preserve">The Proposed Regulation </w:t>
      </w:r>
      <w:r w:rsidR="007F7E5F">
        <w:t>defines “Model</w:t>
      </w:r>
      <w:r w:rsidR="006C419A">
        <w:t xml:space="preserve"> </w:t>
      </w:r>
      <w:r w:rsidR="007F7E5F">
        <w:t>Year</w:t>
      </w:r>
      <w:r w:rsidR="00670750">
        <w:t>,</w:t>
      </w:r>
      <w:r w:rsidR="007F7E5F">
        <w:t>”</w:t>
      </w:r>
      <w:r w:rsidR="00670750">
        <w:t xml:space="preserve"> referring to the forklift model year,</w:t>
      </w:r>
      <w:r w:rsidR="007F7E5F">
        <w:t xml:space="preserve"> in </w:t>
      </w:r>
      <w:r w:rsidR="00A95C24">
        <w:rPr>
          <w:rFonts w:cstheme="minorHAnsi"/>
        </w:rPr>
        <w:t>§ 300</w:t>
      </w:r>
      <w:r w:rsidR="001B0719">
        <w:rPr>
          <w:rFonts w:cstheme="minorHAnsi"/>
        </w:rPr>
        <w:t>1</w:t>
      </w:r>
      <w:r w:rsidR="00A95C24">
        <w:rPr>
          <w:rFonts w:cstheme="minorHAnsi"/>
        </w:rPr>
        <w:t xml:space="preserve"> (a)</w:t>
      </w:r>
      <w:r w:rsidR="001B0719">
        <w:rPr>
          <w:rFonts w:cstheme="minorHAnsi"/>
        </w:rPr>
        <w:t>: “</w:t>
      </w:r>
      <w:r w:rsidR="00B40E6D">
        <w:rPr>
          <w:rFonts w:cstheme="minorHAnsi"/>
        </w:rPr>
        <w:t>‘</w:t>
      </w:r>
      <w:r w:rsidR="00E03DEF">
        <w:t>Model Year</w:t>
      </w:r>
      <w:r w:rsidR="00B40E6D">
        <w:t>’</w:t>
      </w:r>
      <w:r w:rsidR="00E03DEF">
        <w:t xml:space="preserve"> or </w:t>
      </w:r>
      <w:r w:rsidR="00B40E6D">
        <w:t>‘</w:t>
      </w:r>
      <w:r w:rsidR="00E03DEF">
        <w:t>MY</w:t>
      </w:r>
      <w:r w:rsidR="006B1DEB">
        <w:t>’</w:t>
      </w:r>
      <w:r w:rsidR="00E03DEF">
        <w:t xml:space="preserve"> means the Forklift engine manufacturer’s annual production period, which includes January 1 of a calendar year or, if the manufacturer has no annual production period, the calendar year.</w:t>
      </w:r>
      <w:r w:rsidR="006B1DEB">
        <w:t>”  For all ITA members, the 2025</w:t>
      </w:r>
      <w:r w:rsidR="00FF1D6C">
        <w:t xml:space="preserve"> forklift</w:t>
      </w:r>
      <w:r w:rsidR="006B1DEB">
        <w:t xml:space="preserve"> MY will be calendar year 2025</w:t>
      </w:r>
      <w:r w:rsidR="008631C0">
        <w:t xml:space="preserve"> because</w:t>
      </w:r>
      <w:r w:rsidR="00B537BD">
        <w:t xml:space="preserve"> in each case</w:t>
      </w:r>
      <w:r w:rsidR="008631C0">
        <w:t xml:space="preserve"> their engine manu</w:t>
      </w:r>
      <w:r w:rsidR="00B74B44">
        <w:t>facturer’s annual production period</w:t>
      </w:r>
      <w:r w:rsidR="008B1A1A">
        <w:t xml:space="preserve"> has been defined to</w:t>
      </w:r>
      <w:r w:rsidR="00B74B44">
        <w:t xml:space="preserve"> begin on January 1</w:t>
      </w:r>
      <w:r w:rsidR="008B1A1A">
        <w:t xml:space="preserve"> and to end on December 31.</w:t>
      </w:r>
      <w:r w:rsidR="00A543F8">
        <w:t xml:space="preserve">  These</w:t>
      </w:r>
      <w:r w:rsidR="00C83323">
        <w:t xml:space="preserve"> engine</w:t>
      </w:r>
      <w:r w:rsidR="00A543F8">
        <w:t xml:space="preserve"> production periods are driven by </w:t>
      </w:r>
      <w:r w:rsidR="00124195">
        <w:t>CARB’s emission standards for LSI engines</w:t>
      </w:r>
      <w:r w:rsidR="004739A6">
        <w:t>, from which the</w:t>
      </w:r>
      <w:r w:rsidR="0097140F">
        <w:t xml:space="preserve"> Proposed Regulation’s</w:t>
      </w:r>
      <w:r w:rsidR="004739A6">
        <w:t xml:space="preserve"> definition of “Model Year” is taken.  </w:t>
      </w:r>
      <w:r w:rsidR="0097140F" w:rsidRPr="00C20414">
        <w:rPr>
          <w:u w:val="single"/>
        </w:rPr>
        <w:t>See</w:t>
      </w:r>
      <w:r w:rsidR="0097140F">
        <w:t xml:space="preserve"> </w:t>
      </w:r>
      <w:r w:rsidR="004739A6">
        <w:t xml:space="preserve">13 CCR </w:t>
      </w:r>
      <w:r w:rsidR="001643CF">
        <w:t>2431(a)(24)</w:t>
      </w:r>
      <w:r w:rsidR="00C20414">
        <w:t>.</w:t>
      </w:r>
      <w:r w:rsidR="00CC4447">
        <w:t xml:space="preserve"> </w:t>
      </w:r>
      <w:r w:rsidR="00770B14">
        <w:t xml:space="preserve"> </w:t>
      </w:r>
    </w:p>
    <w:p w14:paraId="762DD1DE" w14:textId="6CD1823C" w:rsidR="000A3F60" w:rsidRDefault="00D21503" w:rsidP="00AF1BFB">
      <w:pPr>
        <w:spacing w:line="360" w:lineRule="auto"/>
      </w:pPr>
      <w:r>
        <w:tab/>
      </w:r>
      <w:r w:rsidR="00085E9B">
        <w:t xml:space="preserve"> </w:t>
      </w:r>
      <w:r w:rsidR="002826BE">
        <w:t xml:space="preserve">Unlike the Proposed Regulation, however, </w:t>
      </w:r>
      <w:r w:rsidR="00236D49">
        <w:t>CARB’s</w:t>
      </w:r>
      <w:r w:rsidR="0004259E">
        <w:t xml:space="preserve"> existing and</w:t>
      </w:r>
      <w:r w:rsidR="00166C63">
        <w:t xml:space="preserve"> previous</w:t>
      </w:r>
      <w:r w:rsidR="002826BE">
        <w:t xml:space="preserve"> LSI emissions standards</w:t>
      </w:r>
      <w:r w:rsidR="008B7DA3">
        <w:t xml:space="preserve"> do not dictate</w:t>
      </w:r>
      <w:r w:rsidR="00B77E3B">
        <w:t xml:space="preserve"> the date by which</w:t>
      </w:r>
      <w:r w:rsidR="008B7DA3">
        <w:t xml:space="preserve"> a compliant </w:t>
      </w:r>
      <w:r w:rsidR="008C709B">
        <w:t>engine must</w:t>
      </w:r>
      <w:r w:rsidR="00115EB5">
        <w:t xml:space="preserve"> be sold</w:t>
      </w:r>
      <w:r w:rsidR="00EF28D3">
        <w:t>.</w:t>
      </w:r>
      <w:r w:rsidR="00CE295C">
        <w:t xml:space="preserve">  </w:t>
      </w:r>
      <w:r w:rsidR="0079061F">
        <w:t>If a</w:t>
      </w:r>
      <w:r w:rsidR="00CE295C">
        <w:t>n engine</w:t>
      </w:r>
      <w:r w:rsidR="0079061F">
        <w:t xml:space="preserve"> is</w:t>
      </w:r>
      <w:r w:rsidR="00CE295C">
        <w:t xml:space="preserve"> certified to the applicable</w:t>
      </w:r>
      <w:r w:rsidR="008A370C">
        <w:t xml:space="preserve"> emissions</w:t>
      </w:r>
      <w:r w:rsidR="00CE295C">
        <w:t xml:space="preserve"> standard</w:t>
      </w:r>
      <w:r w:rsidR="000D57D4">
        <w:t>,</w:t>
      </w:r>
      <w:r w:rsidR="00042DD4">
        <w:t xml:space="preserve"> which </w:t>
      </w:r>
      <w:r w:rsidR="00993F6D">
        <w:t>is</w:t>
      </w:r>
      <w:r w:rsidR="00042DD4">
        <w:t xml:space="preserve"> </w:t>
      </w:r>
      <w:r w:rsidR="00176AC5">
        <w:t>tied to</w:t>
      </w:r>
      <w:r w:rsidR="00042DD4">
        <w:t xml:space="preserve"> the engine’s model year,</w:t>
      </w:r>
      <w:r w:rsidR="0064768C">
        <w:t xml:space="preserve"> </w:t>
      </w:r>
      <w:r w:rsidR="00993F6D">
        <w:t xml:space="preserve">the engine </w:t>
      </w:r>
      <w:r w:rsidR="0064768C">
        <w:t>may be sold at any time in the future and a forklift containing t</w:t>
      </w:r>
      <w:r w:rsidR="00993F6D">
        <w:t>he</w:t>
      </w:r>
      <w:r w:rsidR="0064768C">
        <w:t xml:space="preserve"> engine may be sold at any time in the future.</w:t>
      </w:r>
      <w:r w:rsidR="002C5DE1">
        <w:t xml:space="preserve">  </w:t>
      </w:r>
      <w:r w:rsidR="00016444">
        <w:t>In other words,</w:t>
      </w:r>
      <w:r w:rsidR="00271692">
        <w:t xml:space="preserve"> so long as an engine meets the standards that applied at the time</w:t>
      </w:r>
      <w:r w:rsidR="001608A0">
        <w:t xml:space="preserve"> it was</w:t>
      </w:r>
      <w:r w:rsidR="00271692">
        <w:t xml:space="preserve"> manufacture</w:t>
      </w:r>
      <w:r w:rsidR="001608A0">
        <w:t>d</w:t>
      </w:r>
      <w:r w:rsidR="00271692">
        <w:t>,</w:t>
      </w:r>
      <w:r w:rsidR="00016444">
        <w:t xml:space="preserve"> CARB does not</w:t>
      </w:r>
      <w:r w:rsidR="0082067A">
        <w:t xml:space="preserve"> interfere with the </w:t>
      </w:r>
      <w:r w:rsidR="007F5218">
        <w:t>complex</w:t>
      </w:r>
      <w:r w:rsidR="00D518F8">
        <w:t xml:space="preserve"> planning</w:t>
      </w:r>
      <w:r w:rsidR="00ED301E">
        <w:t xml:space="preserve"> process or the many</w:t>
      </w:r>
      <w:r w:rsidR="0082067A">
        <w:t xml:space="preserve"> commercial arrangements</w:t>
      </w:r>
      <w:r w:rsidR="002E2D96">
        <w:t xml:space="preserve"> that determine when the engine</w:t>
      </w:r>
      <w:r w:rsidR="004B7951">
        <w:t xml:space="preserve"> or equipment</w:t>
      </w:r>
      <w:r w:rsidR="002E2D96">
        <w:t xml:space="preserve"> will reach the end user</w:t>
      </w:r>
      <w:r w:rsidR="0000732F">
        <w:t>.</w:t>
      </w:r>
    </w:p>
    <w:p w14:paraId="607625BD" w14:textId="69B1A851" w:rsidR="001415DA" w:rsidRDefault="0000732F" w:rsidP="000A3F60">
      <w:pPr>
        <w:spacing w:line="360" w:lineRule="auto"/>
        <w:ind w:firstLine="720"/>
      </w:pPr>
      <w:r>
        <w:lastRenderedPageBreak/>
        <w:t>Th</w:t>
      </w:r>
      <w:r w:rsidR="00EE1794">
        <w:t>at</w:t>
      </w:r>
      <w:r>
        <w:t xml:space="preserve"> proces</w:t>
      </w:r>
      <w:r w:rsidR="003B4E3D">
        <w:t>s</w:t>
      </w:r>
      <w:r w:rsidR="008A26FB">
        <w:t xml:space="preserve"> is long and</w:t>
      </w:r>
      <w:r w:rsidR="009803F1">
        <w:t xml:space="preserve"> full of uncertainties</w:t>
      </w:r>
      <w:r w:rsidR="000E2ED7">
        <w:t>, typically requiring the following steps:</w:t>
      </w:r>
      <w:r w:rsidR="00DC2147">
        <w:t xml:space="preserve"> </w:t>
      </w:r>
      <w:r w:rsidR="0082067A">
        <w:t>end-use customers</w:t>
      </w:r>
      <w:r w:rsidR="00D36DD9">
        <w:t xml:space="preserve"> evaluat</w:t>
      </w:r>
      <w:r w:rsidR="003B4E3D">
        <w:t>e</w:t>
      </w:r>
      <w:r w:rsidR="00D36DD9">
        <w:t xml:space="preserve"> their anticipated needs and</w:t>
      </w:r>
      <w:r w:rsidR="0082067A">
        <w:t xml:space="preserve"> plac</w:t>
      </w:r>
      <w:r w:rsidR="003B4E3D">
        <w:t>e</w:t>
      </w:r>
      <w:r w:rsidR="0082067A">
        <w:t xml:space="preserve"> orders with dealers</w:t>
      </w:r>
      <w:r w:rsidR="007F5218">
        <w:t>;</w:t>
      </w:r>
      <w:r w:rsidR="0082067A">
        <w:t xml:space="preserve"> dealers</w:t>
      </w:r>
      <w:r w:rsidR="00A028A0">
        <w:t xml:space="preserve"> </w:t>
      </w:r>
      <w:r w:rsidR="0082067A">
        <w:t>plac</w:t>
      </w:r>
      <w:r w:rsidR="00A028A0">
        <w:t>e</w:t>
      </w:r>
      <w:r w:rsidR="0082067A">
        <w:t xml:space="preserve"> orders </w:t>
      </w:r>
      <w:r w:rsidR="00064F88">
        <w:t>with</w:t>
      </w:r>
      <w:r w:rsidR="0082067A">
        <w:t xml:space="preserve"> manufacturer</w:t>
      </w:r>
      <w:r w:rsidR="00F47E48">
        <w:t>s</w:t>
      </w:r>
      <w:r w:rsidR="007F5218">
        <w:t>;</w:t>
      </w:r>
      <w:r w:rsidR="00064F88">
        <w:t xml:space="preserve"> manufacturer</w:t>
      </w:r>
      <w:r w:rsidR="00F47E48">
        <w:t>s</w:t>
      </w:r>
      <w:r w:rsidR="0067097F">
        <w:t xml:space="preserve"> </w:t>
      </w:r>
      <w:r w:rsidR="00382720">
        <w:t>(</w:t>
      </w:r>
      <w:r w:rsidR="0067097F">
        <w:t>in the U.S. and abroad</w:t>
      </w:r>
      <w:r w:rsidR="00382720">
        <w:t>)</w:t>
      </w:r>
      <w:r w:rsidR="007F5218">
        <w:t xml:space="preserve"> </w:t>
      </w:r>
      <w:r w:rsidR="009803F1">
        <w:t xml:space="preserve">prioritize the orders and </w:t>
      </w:r>
      <w:r w:rsidR="00064F88">
        <w:t>produc</w:t>
      </w:r>
      <w:r w:rsidR="00382720">
        <w:t>e the</w:t>
      </w:r>
      <w:r w:rsidR="00DE00F7">
        <w:t xml:space="preserve"> </w:t>
      </w:r>
      <w:r w:rsidR="00BA779E">
        <w:t>requested</w:t>
      </w:r>
      <w:r w:rsidR="00064F88">
        <w:t xml:space="preserve"> forklift</w:t>
      </w:r>
      <w:r w:rsidR="00244654">
        <w:t>s</w:t>
      </w:r>
      <w:r w:rsidR="00E77AF4">
        <w:t xml:space="preserve"> under production schedules</w:t>
      </w:r>
      <w:r w:rsidR="00DD6AB8">
        <w:t xml:space="preserve"> that take</w:t>
      </w:r>
      <w:r w:rsidR="00280986">
        <w:t xml:space="preserve"> </w:t>
      </w:r>
      <w:r w:rsidR="00DD6AB8">
        <w:t xml:space="preserve">into account the </w:t>
      </w:r>
      <w:r w:rsidR="00A028A0">
        <w:t>constraints</w:t>
      </w:r>
      <w:r w:rsidR="00DD6AB8">
        <w:t xml:space="preserve"> of myriad supply</w:t>
      </w:r>
      <w:r w:rsidR="00B112DC">
        <w:t>-chain partners;</w:t>
      </w:r>
      <w:r w:rsidR="00F47E48">
        <w:t xml:space="preserve"> manufac</w:t>
      </w:r>
      <w:r w:rsidR="00244654">
        <w:t>turers</w:t>
      </w:r>
      <w:r w:rsidR="009803F1">
        <w:t xml:space="preserve"> contract with</w:t>
      </w:r>
      <w:r w:rsidR="00A6264D">
        <w:t xml:space="preserve"> third-party</w:t>
      </w:r>
      <w:r w:rsidR="00D92B84">
        <w:t xml:space="preserve"> shippers</w:t>
      </w:r>
      <w:r w:rsidR="00BA779E">
        <w:t xml:space="preserve"> to</w:t>
      </w:r>
      <w:r w:rsidR="00244654">
        <w:t xml:space="preserve"> deliver</w:t>
      </w:r>
      <w:r w:rsidR="00B94230">
        <w:t xml:space="preserve"> the ordered</w:t>
      </w:r>
      <w:r w:rsidR="00244654">
        <w:t xml:space="preserve"> forklifts to dealers</w:t>
      </w:r>
      <w:r w:rsidR="00C32140">
        <w:t xml:space="preserve"> or other destinations</w:t>
      </w:r>
      <w:r w:rsidR="00244654">
        <w:t>;</w:t>
      </w:r>
      <w:r w:rsidR="00064F88">
        <w:t xml:space="preserve"> and </w:t>
      </w:r>
      <w:r w:rsidR="00B94230">
        <w:t>dealers</w:t>
      </w:r>
      <w:r w:rsidR="00C32140">
        <w:t xml:space="preserve"> </w:t>
      </w:r>
      <w:r w:rsidR="001758DC">
        <w:t>eventually</w:t>
      </w:r>
      <w:r w:rsidR="001824DC">
        <w:t xml:space="preserve"> deliver the ordered forklifts to the businesses that need them.</w:t>
      </w:r>
      <w:r w:rsidR="00531B36">
        <w:t xml:space="preserve">  Each</w:t>
      </w:r>
      <w:r w:rsidR="00930681">
        <w:t xml:space="preserve"> of these </w:t>
      </w:r>
      <w:r w:rsidR="00531B36">
        <w:t>step</w:t>
      </w:r>
      <w:r w:rsidR="00930681">
        <w:t>s</w:t>
      </w:r>
      <w:r w:rsidR="00531B36">
        <w:t xml:space="preserve"> entails several sub</w:t>
      </w:r>
      <w:r w:rsidR="00E71FF5">
        <w:t>-</w:t>
      </w:r>
      <w:r w:rsidR="00531B36">
        <w:t>steps and</w:t>
      </w:r>
      <w:r w:rsidR="00E71FF5">
        <w:t xml:space="preserve"> the likelihood of</w:t>
      </w:r>
      <w:r w:rsidR="00531B36">
        <w:t xml:space="preserve"> </w:t>
      </w:r>
      <w:r w:rsidR="0084263D">
        <w:t>interruptions</w:t>
      </w:r>
      <w:r w:rsidR="00BE10C8">
        <w:t>:</w:t>
      </w:r>
      <w:r w:rsidR="001758DC">
        <w:t xml:space="preserve"> </w:t>
      </w:r>
      <w:r w:rsidR="00531B36">
        <w:t>customers cancel</w:t>
      </w:r>
      <w:r w:rsidR="00CA6FF4">
        <w:t xml:space="preserve"> </w:t>
      </w:r>
      <w:r w:rsidR="00531B36">
        <w:t>or modify orders</w:t>
      </w:r>
      <w:r w:rsidR="00AC7B28">
        <w:t xml:space="preserve">, </w:t>
      </w:r>
      <w:r w:rsidR="00CA6FF4">
        <w:t>suppliers go</w:t>
      </w:r>
      <w:r w:rsidR="00F25854">
        <w:t xml:space="preserve"> out of business or experience delays, </w:t>
      </w:r>
      <w:r w:rsidR="00580588">
        <w:t>manufacturing plants undergo shutdowns,</w:t>
      </w:r>
      <w:r w:rsidR="00E71FF5">
        <w:t xml:space="preserve"> </w:t>
      </w:r>
      <w:r w:rsidR="00F25854">
        <w:t>shippers fail to meet timetables,</w:t>
      </w:r>
      <w:r w:rsidR="00624CC2">
        <w:t xml:space="preserve"> customs requirements change,</w:t>
      </w:r>
      <w:r w:rsidR="00F25854">
        <w:t xml:space="preserve"> </w:t>
      </w:r>
      <w:r w:rsidR="00F467CA">
        <w:t>etc.</w:t>
      </w:r>
      <w:r w:rsidR="007B4E23">
        <w:t xml:space="preserve">  The </w:t>
      </w:r>
      <w:r w:rsidR="000F4DF7">
        <w:t>probability of unexpected delays</w:t>
      </w:r>
      <w:r w:rsidR="00564BED">
        <w:t xml:space="preserve"> at any point in the process</w:t>
      </w:r>
      <w:r w:rsidR="000F4DF7">
        <w:t xml:space="preserve"> makes it impossible to state with certainty how much time will elapse from the customer</w:t>
      </w:r>
      <w:r w:rsidR="003D29EE">
        <w:t xml:space="preserve"> first</w:t>
      </w:r>
      <w:r w:rsidR="000F4DF7">
        <w:t xml:space="preserve"> contacting the dealer </w:t>
      </w:r>
      <w:r w:rsidR="0040498E">
        <w:t>to</w:t>
      </w:r>
      <w:r w:rsidR="000F4DF7">
        <w:t xml:space="preserve"> the customer receiving the forklift.</w:t>
      </w:r>
    </w:p>
    <w:p w14:paraId="6D891971" w14:textId="7FB418A4" w:rsidR="008A32EB" w:rsidRDefault="00A26802" w:rsidP="000A3F60">
      <w:pPr>
        <w:spacing w:line="360" w:lineRule="auto"/>
        <w:ind w:firstLine="720"/>
      </w:pPr>
      <w:r>
        <w:t>When t</w:t>
      </w:r>
      <w:r w:rsidR="008A32EB">
        <w:t xml:space="preserve">raditional </w:t>
      </w:r>
      <w:r w:rsidR="00D56820">
        <w:t xml:space="preserve">engine </w:t>
      </w:r>
      <w:r w:rsidR="008A32EB">
        <w:t>emissions regulations</w:t>
      </w:r>
      <w:r w:rsidR="00AA7CBC">
        <w:t xml:space="preserve"> </w:t>
      </w:r>
      <w:r w:rsidR="00FD4B52">
        <w:t>are set to change at</w:t>
      </w:r>
      <w:r w:rsidR="00E61183">
        <w:t xml:space="preserve"> an upcoming</w:t>
      </w:r>
      <w:r w:rsidR="00FD4B52">
        <w:t xml:space="preserve"> effective date</w:t>
      </w:r>
      <w:r w:rsidR="008F2743">
        <w:t>,</w:t>
      </w:r>
      <w:r w:rsidR="005F6112">
        <w:t xml:space="preserve"> </w:t>
      </w:r>
      <w:r w:rsidR="003E76B4">
        <w:t>equipment</w:t>
      </w:r>
      <w:r w:rsidR="005F6112">
        <w:t xml:space="preserve"> manufacturers who</w:t>
      </w:r>
      <w:r w:rsidR="00CE0A82">
        <w:t xml:space="preserve"> plan</w:t>
      </w:r>
      <w:r w:rsidR="005F6112">
        <w:t xml:space="preserve"> to use engines</w:t>
      </w:r>
      <w:r w:rsidR="00AA7CBC">
        <w:t xml:space="preserve"> meeting the existing standards</w:t>
      </w:r>
      <w:r w:rsidR="00D56820">
        <w:t xml:space="preserve"> must</w:t>
      </w:r>
      <w:r w:rsidR="00141F28">
        <w:t xml:space="preserve"> adjust their</w:t>
      </w:r>
      <w:r w:rsidR="00CE0A82">
        <w:t xml:space="preserve"> buying</w:t>
      </w:r>
      <w:r w:rsidR="0026427A">
        <w:t xml:space="preserve"> </w:t>
      </w:r>
      <w:r w:rsidR="00141F28">
        <w:t>process to ensure that they</w:t>
      </w:r>
      <w:r w:rsidR="00D56820">
        <w:t xml:space="preserve"> acquire</w:t>
      </w:r>
      <w:r w:rsidR="00571550">
        <w:t xml:space="preserve"> those engines</w:t>
      </w:r>
      <w:r w:rsidR="00141F28">
        <w:t xml:space="preserve"> while supplies last, but</w:t>
      </w:r>
      <w:r w:rsidR="00571550">
        <w:t xml:space="preserve"> </w:t>
      </w:r>
      <w:r w:rsidR="008122B0">
        <w:t>they can</w:t>
      </w:r>
      <w:r w:rsidR="002D4228">
        <w:t xml:space="preserve"> then</w:t>
      </w:r>
      <w:r w:rsidR="00093A83">
        <w:t xml:space="preserve"> </w:t>
      </w:r>
      <w:r w:rsidR="001A5B10">
        <w:t>manufacture</w:t>
      </w:r>
      <w:r w:rsidR="008122B0">
        <w:t xml:space="preserve"> and sell</w:t>
      </w:r>
      <w:r w:rsidR="00BC31D3">
        <w:t xml:space="preserve"> the</w:t>
      </w:r>
      <w:r w:rsidR="008122B0">
        <w:t xml:space="preserve"> forklifts</w:t>
      </w:r>
      <w:r w:rsidR="00FC352D">
        <w:t xml:space="preserve"> using those engines </w:t>
      </w:r>
      <w:r w:rsidR="00401E59">
        <w:t>pursuant to</w:t>
      </w:r>
      <w:r w:rsidR="002D4228">
        <w:t xml:space="preserve"> normal business </w:t>
      </w:r>
      <w:r w:rsidR="00F14A46">
        <w:t>practices</w:t>
      </w:r>
      <w:r w:rsidR="00C43F76">
        <w:t>.</w:t>
      </w:r>
      <w:r w:rsidR="00FC352D">
        <w:t xml:space="preserve"> </w:t>
      </w:r>
      <w:r w:rsidR="00C43F76">
        <w:t xml:space="preserve"> </w:t>
      </w:r>
      <w:r w:rsidR="003F1684">
        <w:t>Whe</w:t>
      </w:r>
      <w:r w:rsidR="003D1010">
        <w:t>n</w:t>
      </w:r>
      <w:r w:rsidR="00B6750D">
        <w:t xml:space="preserve"> </w:t>
      </w:r>
      <w:r w:rsidR="0087052B">
        <w:t xml:space="preserve">emissions regulations apply to the manufacture date of the </w:t>
      </w:r>
      <w:r w:rsidR="00FD7F1F">
        <w:t>equipment</w:t>
      </w:r>
      <w:r w:rsidR="00B6750D">
        <w:t xml:space="preserve"> rather than just the engine</w:t>
      </w:r>
      <w:r w:rsidR="003F1684">
        <w:t>,</w:t>
      </w:r>
      <w:r w:rsidR="0087052B">
        <w:t xml:space="preserve"> </w:t>
      </w:r>
      <w:r w:rsidR="00DB004B">
        <w:t>the entire</w:t>
      </w:r>
      <w:r w:rsidR="00185B8F">
        <w:t xml:space="preserve"> </w:t>
      </w:r>
      <w:r w:rsidR="000A5AEF">
        <w:t xml:space="preserve">equipment </w:t>
      </w:r>
      <w:r w:rsidR="0087052B">
        <w:t>manufactur</w:t>
      </w:r>
      <w:r w:rsidR="001D346A">
        <w:t>ing process</w:t>
      </w:r>
      <w:r w:rsidR="0087052B">
        <w:t xml:space="preserve"> must be completed before the effective date</w:t>
      </w:r>
      <w:r w:rsidR="009D6430">
        <w:t>,</w:t>
      </w:r>
      <w:r w:rsidR="006A2F82">
        <w:t xml:space="preserve"> requir</w:t>
      </w:r>
      <w:r w:rsidR="00331D8E">
        <w:t>ing</w:t>
      </w:r>
      <w:r w:rsidR="006A2F82">
        <w:t xml:space="preserve"> </w:t>
      </w:r>
      <w:r w:rsidR="003F1684">
        <w:t>significant</w:t>
      </w:r>
      <w:r w:rsidR="003D1010">
        <w:t>ly more</w:t>
      </w:r>
      <w:r w:rsidR="003F1684">
        <w:t xml:space="preserve"> </w:t>
      </w:r>
      <w:r w:rsidR="00DA5423">
        <w:t>scheduling</w:t>
      </w:r>
      <w:r w:rsidR="006A2F82">
        <w:t xml:space="preserve"> adjustments by the manufacturer</w:t>
      </w:r>
      <w:r w:rsidR="000A5AEF">
        <w:t>.  Still,</w:t>
      </w:r>
      <w:r w:rsidR="0026427A">
        <w:t xml:space="preserve"> </w:t>
      </w:r>
      <w:r w:rsidR="00E451EC">
        <w:t xml:space="preserve">the regulations </w:t>
      </w:r>
      <w:r w:rsidR="00F811DB">
        <w:t>would</w:t>
      </w:r>
      <w:r w:rsidR="00E451EC">
        <w:t xml:space="preserve"> not impact the distribution process</w:t>
      </w:r>
      <w:r w:rsidR="00C713F4">
        <w:t>--</w:t>
      </w:r>
      <w:r w:rsidR="008D1714">
        <w:t xml:space="preserve">the </w:t>
      </w:r>
      <w:r w:rsidR="00F811DB">
        <w:t xml:space="preserve">timing of </w:t>
      </w:r>
      <w:r w:rsidR="005630F3">
        <w:t>sales and deliveries</w:t>
      </w:r>
      <w:r w:rsidR="00F811DB">
        <w:t xml:space="preserve"> would depend on only</w:t>
      </w:r>
      <w:r w:rsidR="008D1714">
        <w:t xml:space="preserve"> business considerations</w:t>
      </w:r>
      <w:r w:rsidR="00E451EC">
        <w:t>.</w:t>
      </w:r>
      <w:r w:rsidR="0083786E">
        <w:t xml:space="preserve">  </w:t>
      </w:r>
      <w:r w:rsidR="00E433B6">
        <w:t>But t</w:t>
      </w:r>
      <w:r w:rsidR="00222D78">
        <w:t xml:space="preserve">he </w:t>
      </w:r>
      <w:r w:rsidR="00C45EFB">
        <w:t>P</w:t>
      </w:r>
      <w:r w:rsidR="00222D78">
        <w:t xml:space="preserve">roposed </w:t>
      </w:r>
      <w:r w:rsidR="00C45EFB">
        <w:t>R</w:t>
      </w:r>
      <w:r w:rsidR="00222D78">
        <w:t>egulation</w:t>
      </w:r>
      <w:r w:rsidR="00502DB5">
        <w:t>, by proscribing sales</w:t>
      </w:r>
      <w:r w:rsidR="003A4F1F">
        <w:t xml:space="preserve"> of non-ZEF forklifts</w:t>
      </w:r>
      <w:r w:rsidR="00045997">
        <w:t xml:space="preserve"> after a certain</w:t>
      </w:r>
      <w:r w:rsidR="00502DB5">
        <w:t xml:space="preserve"> date,</w:t>
      </w:r>
      <w:r w:rsidR="00222D78">
        <w:t xml:space="preserve"> </w:t>
      </w:r>
      <w:r w:rsidR="00B42397">
        <w:t>is maximally disruptive</w:t>
      </w:r>
      <w:r w:rsidR="00901B65">
        <w:rPr>
          <w:rStyle w:val="FootnoteReference"/>
        </w:rPr>
        <w:footnoteReference w:id="7"/>
      </w:r>
      <w:r w:rsidR="00933274">
        <w:t xml:space="preserve"> and a sharp departure from </w:t>
      </w:r>
      <w:r w:rsidR="00CE2BBB">
        <w:t>previous LSI emissions standards.</w:t>
      </w:r>
      <w:r w:rsidR="00B42397">
        <w:t xml:space="preserve">  </w:t>
      </w:r>
    </w:p>
    <w:p w14:paraId="1FE3E209" w14:textId="685353FE" w:rsidR="00CA32B2" w:rsidRDefault="00F9103E" w:rsidP="007E4AC3">
      <w:pPr>
        <w:spacing w:line="360" w:lineRule="auto"/>
        <w:ind w:firstLine="720"/>
      </w:pPr>
      <w:r>
        <w:t>CARB</w:t>
      </w:r>
      <w:r w:rsidR="00BA764D">
        <w:t xml:space="preserve"> staff has</w:t>
      </w:r>
      <w:r>
        <w:t xml:space="preserve"> acknowledge</w:t>
      </w:r>
      <w:r w:rsidR="00BA764D">
        <w:t>d</w:t>
      </w:r>
      <w:r w:rsidR="006D13DA">
        <w:t xml:space="preserve"> in discussions with ITA</w:t>
      </w:r>
      <w:r>
        <w:t xml:space="preserve"> </w:t>
      </w:r>
      <w:r w:rsidR="00142EDD">
        <w:t>that the Proposed Regulation disturbs</w:t>
      </w:r>
      <w:r w:rsidR="002D2839">
        <w:t xml:space="preserve"> the</w:t>
      </w:r>
      <w:r w:rsidR="00142EDD">
        <w:t xml:space="preserve"> normal production and </w:t>
      </w:r>
      <w:r w:rsidR="00461D8F">
        <w:t>delivery</w:t>
      </w:r>
      <w:r w:rsidR="00142EDD">
        <w:t xml:space="preserve"> practices</w:t>
      </w:r>
      <w:r w:rsidR="00080900">
        <w:t xml:space="preserve"> affecting MY 2025 forklifts</w:t>
      </w:r>
      <w:r w:rsidR="000536BA">
        <w:t xml:space="preserve"> by prohibiting delivery of those forklifts after January 1, 2026</w:t>
      </w:r>
      <w:r w:rsidR="000E6771">
        <w:t xml:space="preserve"> </w:t>
      </w:r>
      <w:r w:rsidR="00BA764D">
        <w:t>but</w:t>
      </w:r>
      <w:r w:rsidR="00524680">
        <w:t xml:space="preserve"> has stated</w:t>
      </w:r>
      <w:r w:rsidR="00BA764D">
        <w:t xml:space="preserve"> that affected parties</w:t>
      </w:r>
      <w:r w:rsidR="00194C33">
        <w:t>—manufacturers, dealers and fleet operators</w:t>
      </w:r>
      <w:r w:rsidR="00080693">
        <w:t>—</w:t>
      </w:r>
      <w:r w:rsidR="00524680">
        <w:t>can</w:t>
      </w:r>
      <w:r w:rsidR="00FF193B">
        <w:t xml:space="preserve"> adjust</w:t>
      </w:r>
      <w:r w:rsidR="00194C33">
        <w:t xml:space="preserve"> </w:t>
      </w:r>
      <w:r w:rsidR="00FF193B">
        <w:t>by accelerating</w:t>
      </w:r>
      <w:r w:rsidR="00CC291A">
        <w:t xml:space="preserve"> their </w:t>
      </w:r>
      <w:r w:rsidR="009E2BD9">
        <w:t>schedules</w:t>
      </w:r>
      <w:r w:rsidR="00767A3E">
        <w:t>.</w:t>
      </w:r>
      <w:r w:rsidR="00654E23">
        <w:t xml:space="preserve">  This </w:t>
      </w:r>
      <w:r w:rsidR="009553B9">
        <w:t>position</w:t>
      </w:r>
      <w:r w:rsidR="00C375A4">
        <w:t xml:space="preserve"> severely</w:t>
      </w:r>
      <w:r w:rsidR="00654E23">
        <w:t xml:space="preserve"> </w:t>
      </w:r>
      <w:r w:rsidR="00FF2D6A">
        <w:t>under</w:t>
      </w:r>
      <w:r w:rsidR="00654E23">
        <w:t>appreciate</w:t>
      </w:r>
      <w:r w:rsidR="00FF2D6A">
        <w:t>s</w:t>
      </w:r>
      <w:r w:rsidR="00654E23">
        <w:t xml:space="preserve"> the </w:t>
      </w:r>
      <w:r w:rsidR="009D568D">
        <w:lastRenderedPageBreak/>
        <w:t>complexity of the process described above</w:t>
      </w:r>
      <w:r w:rsidR="008102C4">
        <w:t>, but also</w:t>
      </w:r>
      <w:r w:rsidR="009D568D">
        <w:t xml:space="preserve"> the extraordinary conditions that affect the current market.</w:t>
      </w:r>
    </w:p>
    <w:p w14:paraId="7AE3DE51" w14:textId="058D96D3" w:rsidR="0090441D" w:rsidRDefault="00CA32B2" w:rsidP="00047377">
      <w:pPr>
        <w:spacing w:line="360" w:lineRule="auto"/>
      </w:pPr>
      <w:r>
        <w:tab/>
        <w:t xml:space="preserve">Whereas historically forklift purchasers </w:t>
      </w:r>
      <w:r w:rsidR="00E76BCF">
        <w:t>have</w:t>
      </w:r>
      <w:r>
        <w:t xml:space="preserve"> place</w:t>
      </w:r>
      <w:r w:rsidR="00E76BCF">
        <w:t>d</w:t>
      </w:r>
      <w:r>
        <w:t xml:space="preserve"> their orders 6</w:t>
      </w:r>
      <w:r w:rsidR="00944B3F">
        <w:t>-8</w:t>
      </w:r>
      <w:r>
        <w:t xml:space="preserve"> months before the </w:t>
      </w:r>
      <w:r w:rsidR="001C62AD">
        <w:t xml:space="preserve">desired </w:t>
      </w:r>
      <w:r>
        <w:t>delivery date, today’s</w:t>
      </w:r>
      <w:r w:rsidR="00646C8E">
        <w:t xml:space="preserve"> forklift</w:t>
      </w:r>
      <w:r>
        <w:t xml:space="preserve"> market </w:t>
      </w:r>
      <w:r w:rsidR="00FB7567">
        <w:t>sees</w:t>
      </w:r>
      <w:r>
        <w:t xml:space="preserve"> lead times ranging from </w:t>
      </w:r>
      <w:r w:rsidR="002436C3">
        <w:t>12</w:t>
      </w:r>
      <w:r>
        <w:t xml:space="preserve"> to </w:t>
      </w:r>
      <w:r w:rsidR="008F3AFA">
        <w:t>24</w:t>
      </w:r>
      <w:r>
        <w:t xml:space="preserve"> months</w:t>
      </w:r>
      <w:r w:rsidR="002436C3">
        <w:t>.</w:t>
      </w:r>
      <w:r w:rsidR="00C26F93">
        <w:rPr>
          <w:rStyle w:val="FootnoteReference"/>
        </w:rPr>
        <w:footnoteReference w:id="8"/>
      </w:r>
      <w:r w:rsidR="00E043C8">
        <w:t xml:space="preserve">  As stated in the </w:t>
      </w:r>
      <w:r w:rsidR="00AC5F88">
        <w:t>ISOR</w:t>
      </w:r>
      <w:r w:rsidR="00E043C8">
        <w:t xml:space="preserve">, p. </w:t>
      </w:r>
      <w:r w:rsidR="002412BB">
        <w:t>204, “[B]</w:t>
      </w:r>
      <w:r w:rsidR="00E0328E">
        <w:t>ased on stakeholder feedback, manufacturer supply chain delays are responsible for current forklift delivery delays of an additional one to one-and-a-half years, relative to pre-pandemic delivery timelines.</w:t>
      </w:r>
      <w:r w:rsidR="009F4FAE">
        <w:t xml:space="preserve">” </w:t>
      </w:r>
      <w:r w:rsidR="00E0328E">
        <w:t xml:space="preserve"> </w:t>
      </w:r>
      <w:r w:rsidR="000B5EC5">
        <w:t>Assuming that the Board approves the regulation in mid-2024 and</w:t>
      </w:r>
      <w:r w:rsidR="00576219">
        <w:t xml:space="preserve"> the Office of Administrative Law</w:t>
      </w:r>
      <w:r w:rsidR="000B5EC5">
        <w:t xml:space="preserve"> </w:t>
      </w:r>
      <w:r w:rsidR="00690A62">
        <w:t xml:space="preserve">approves it </w:t>
      </w:r>
      <w:r w:rsidR="0092720B">
        <w:t xml:space="preserve">soon </w:t>
      </w:r>
      <w:r w:rsidR="00690A62">
        <w:t>thereafter, less than 18 months will remain be</w:t>
      </w:r>
      <w:r w:rsidR="00014479">
        <w:t>tween legal adoption of the regulation and</w:t>
      </w:r>
      <w:r w:rsidR="00690A62">
        <w:t xml:space="preserve"> the January 1, 2026 effective date</w:t>
      </w:r>
      <w:r w:rsidR="00650442">
        <w:t>.</w:t>
      </w:r>
      <w:r w:rsidR="00C86025">
        <w:t xml:space="preserve">  </w:t>
      </w:r>
      <w:r w:rsidR="00CD5E2D">
        <w:t>For some</w:t>
      </w:r>
      <w:r w:rsidR="00C86025">
        <w:t xml:space="preserve"> stakeholders</w:t>
      </w:r>
      <w:r w:rsidR="00CD5E2D">
        <w:t>, even those</w:t>
      </w:r>
      <w:r w:rsidR="00C86025">
        <w:t xml:space="preserve"> who</w:t>
      </w:r>
      <w:r w:rsidR="00137A70">
        <w:t xml:space="preserve"> have been</w:t>
      </w:r>
      <w:r w:rsidR="00C86025">
        <w:t xml:space="preserve"> following the rulemaking process</w:t>
      </w:r>
      <w:r w:rsidR="00FB2924">
        <w:t xml:space="preserve">, </w:t>
      </w:r>
      <w:r w:rsidR="009F3AAF">
        <w:t>this</w:t>
      </w:r>
      <w:r w:rsidR="0087719A">
        <w:t xml:space="preserve"> would</w:t>
      </w:r>
      <w:r w:rsidR="00064FCB">
        <w:t xml:space="preserve"> mean</w:t>
      </w:r>
      <w:r w:rsidR="000560AC">
        <w:t xml:space="preserve"> a </w:t>
      </w:r>
      <w:r w:rsidR="00064FCB">
        <w:t>sharp</w:t>
      </w:r>
      <w:r w:rsidR="000560AC">
        <w:t xml:space="preserve"> compression</w:t>
      </w:r>
      <w:r w:rsidR="00BD5BEA">
        <w:t xml:space="preserve"> of current lead times.</w:t>
      </w:r>
      <w:r w:rsidR="00B30CEC">
        <w:t xml:space="preserve">  </w:t>
      </w:r>
      <w:r w:rsidR="0087719A">
        <w:t>For those</w:t>
      </w:r>
      <w:r w:rsidR="00525F4D">
        <w:t xml:space="preserve"> forklift purchasers</w:t>
      </w:r>
      <w:r w:rsidR="00332926">
        <w:t xml:space="preserve"> who are not</w:t>
      </w:r>
      <w:r w:rsidR="00525F4D">
        <w:t xml:space="preserve"> aware of the new regulation, much less conversant with its details</w:t>
      </w:r>
      <w:r w:rsidR="00E34881">
        <w:t xml:space="preserve"> and</w:t>
      </w:r>
      <w:r w:rsidR="008F4659">
        <w:t xml:space="preserve"> its</w:t>
      </w:r>
      <w:r w:rsidR="00E34881">
        <w:t xml:space="preserve"> implications for the ordering process</w:t>
      </w:r>
      <w:r w:rsidR="00525F4D">
        <w:t xml:space="preserve">, </w:t>
      </w:r>
      <w:r w:rsidR="00B413C1">
        <w:t>the situation will be even more dire</w:t>
      </w:r>
      <w:r w:rsidR="000151BE">
        <w:t>.</w:t>
      </w:r>
      <w:r w:rsidR="00946097">
        <w:rPr>
          <w:rStyle w:val="FootnoteReference"/>
        </w:rPr>
        <w:footnoteReference w:id="9"/>
      </w:r>
    </w:p>
    <w:p w14:paraId="35CA138C" w14:textId="695C5443" w:rsidR="0063282A" w:rsidRDefault="0063282A" w:rsidP="00047377">
      <w:pPr>
        <w:spacing w:line="360" w:lineRule="auto"/>
      </w:pPr>
      <w:r>
        <w:tab/>
      </w:r>
      <w:r w:rsidR="00D03AF8">
        <w:t xml:space="preserve">For </w:t>
      </w:r>
      <w:r w:rsidR="000C4F68">
        <w:t>all</w:t>
      </w:r>
      <w:r w:rsidR="00D03AF8">
        <w:t xml:space="preserve"> these reasons, </w:t>
      </w:r>
      <w:r>
        <w:t>ITA believes that the</w:t>
      </w:r>
      <w:r w:rsidR="00B96F2E">
        <w:t xml:space="preserve"> final</w:t>
      </w:r>
      <w:r>
        <w:t xml:space="preserve"> regulation should be based</w:t>
      </w:r>
      <w:r w:rsidR="007B6D07">
        <w:t xml:space="preserve">, </w:t>
      </w:r>
      <w:r w:rsidR="0072117E">
        <w:t>as</w:t>
      </w:r>
      <w:r w:rsidR="007B6D07">
        <w:t xml:space="preserve"> the other LSI emissions regulations</w:t>
      </w:r>
      <w:r w:rsidR="0072117E">
        <w:t xml:space="preserve"> have been</w:t>
      </w:r>
      <w:r w:rsidR="007B6D07">
        <w:t>,</w:t>
      </w:r>
      <w:r>
        <w:t xml:space="preserve"> on the date of manufacture and not the date of sale</w:t>
      </w:r>
      <w:r w:rsidR="00AC7162">
        <w:t xml:space="preserve"> </w:t>
      </w:r>
      <w:r w:rsidR="00FB70AD">
        <w:t>(</w:t>
      </w:r>
      <w:r w:rsidR="00AC7162">
        <w:t>referring in this case to the forklift rather than the engine</w:t>
      </w:r>
      <w:r w:rsidR="00FB70AD">
        <w:t>)</w:t>
      </w:r>
      <w:r w:rsidR="00AC7162">
        <w:t>.</w:t>
      </w:r>
      <w:r w:rsidR="00C00F25">
        <w:t xml:space="preserve"> </w:t>
      </w:r>
      <w:r w:rsidR="00AC7162">
        <w:t xml:space="preserve"> </w:t>
      </w:r>
      <w:r w:rsidR="005F401B">
        <w:t>Emissions</w:t>
      </w:r>
      <w:r w:rsidR="000C4F68">
        <w:t xml:space="preserve"> regulations</w:t>
      </w:r>
      <w:r w:rsidR="005F401B">
        <w:t xml:space="preserve"> based on the date of manufacture</w:t>
      </w:r>
      <w:r w:rsidR="00102034">
        <w:t xml:space="preserve"> </w:t>
      </w:r>
      <w:r w:rsidR="003331CF">
        <w:t>contemplate that some</w:t>
      </w:r>
      <w:r w:rsidR="00102034">
        <w:t xml:space="preserve"> percentage of the</w:t>
      </w:r>
      <w:r w:rsidR="003331CF">
        <w:t xml:space="preserve"> </w:t>
      </w:r>
      <w:r w:rsidR="00521D8A">
        <w:t>products</w:t>
      </w:r>
      <w:r w:rsidR="003331CF">
        <w:t xml:space="preserve"> manufactured legally in a given model year</w:t>
      </w:r>
      <w:r w:rsidR="00F437EF">
        <w:t>/calendar year</w:t>
      </w:r>
      <w:r w:rsidR="003331CF">
        <w:t xml:space="preserve"> </w:t>
      </w:r>
      <w:r w:rsidR="00897F10">
        <w:t>will be</w:t>
      </w:r>
      <w:r w:rsidR="003331CF">
        <w:t xml:space="preserve"> delivered to the end user</w:t>
      </w:r>
      <w:r w:rsidR="00803858">
        <w:t xml:space="preserve"> in</w:t>
      </w:r>
      <w:r w:rsidR="00F437EF">
        <w:t xml:space="preserve"> the first part of the next calendar year</w:t>
      </w:r>
      <w:r w:rsidR="003051CF">
        <w:t>.</w:t>
      </w:r>
      <w:r w:rsidR="003739C2">
        <w:t xml:space="preserve">  CARB should </w:t>
      </w:r>
      <w:r w:rsidR="00F06E10">
        <w:t>accept that</w:t>
      </w:r>
      <w:r w:rsidR="003739C2">
        <w:t xml:space="preserve"> normal practice</w:t>
      </w:r>
      <w:r w:rsidR="000E13E6">
        <w:t>, at least as to the January 1, 2026 deadline for Class 4 forklifts</w:t>
      </w:r>
      <w:r w:rsidR="00C32910">
        <w:t>, in order to avoid significant dislocation</w:t>
      </w:r>
      <w:r w:rsidR="00BE0822">
        <w:t xml:space="preserve"> of business operations</w:t>
      </w:r>
      <w:r w:rsidR="00C32910">
        <w:t>.</w:t>
      </w:r>
      <w:r w:rsidR="00BA4D3B">
        <w:t xml:space="preserve">  </w:t>
      </w:r>
      <w:r w:rsidR="00B77ED5">
        <w:t xml:space="preserve">In the alternative, </w:t>
      </w:r>
      <w:r w:rsidR="00BE0822">
        <w:t>although</w:t>
      </w:r>
      <w:r w:rsidR="00BA4D3B">
        <w:t xml:space="preserve"> removing restrictions on the date of sale would be the best approach, CARB could address the problem by specifying a later date</w:t>
      </w:r>
      <w:r w:rsidR="00386694">
        <w:t xml:space="preserve"> certain</w:t>
      </w:r>
      <w:r w:rsidR="00123A33">
        <w:t xml:space="preserve"> by which MY 2025 forklifts must be sold.</w:t>
      </w:r>
      <w:r w:rsidR="003739C2">
        <w:t xml:space="preserve">  </w:t>
      </w:r>
      <w:r w:rsidR="00386694">
        <w:t>For example</w:t>
      </w:r>
      <w:r w:rsidR="003739C2">
        <w:t xml:space="preserve">, CARB </w:t>
      </w:r>
      <w:r w:rsidR="00416136">
        <w:t>c</w:t>
      </w:r>
      <w:r w:rsidR="003739C2">
        <w:t xml:space="preserve">ould insert into the final regulation an allowance permitting MY 2025 forklifts to be delivered through </w:t>
      </w:r>
      <w:r w:rsidR="00416136">
        <w:t>calendar year</w:t>
      </w:r>
      <w:r w:rsidR="003739C2">
        <w:t xml:space="preserve"> 2026</w:t>
      </w:r>
      <w:r w:rsidR="00416136">
        <w:t xml:space="preserve"> but not thereafter</w:t>
      </w:r>
      <w:r w:rsidR="003739C2">
        <w:t>.</w:t>
      </w:r>
      <w:r w:rsidR="0021350D">
        <w:t xml:space="preserve">  </w:t>
      </w:r>
      <w:r w:rsidR="00A016DD">
        <w:lastRenderedPageBreak/>
        <w:t>Either approach</w:t>
      </w:r>
      <w:r w:rsidR="0021350D">
        <w:t xml:space="preserve"> would provide needed relief with negligible cost to the Proposed Regulation’s long-term emissions benefits.</w:t>
      </w:r>
    </w:p>
    <w:p w14:paraId="5D9E4A14" w14:textId="38B62E3E" w:rsidR="00E25796" w:rsidRDefault="00667BE9" w:rsidP="00667BE9">
      <w:pPr>
        <w:spacing w:line="360" w:lineRule="auto"/>
        <w:jc w:val="center"/>
        <w:rPr>
          <w:u w:val="single"/>
        </w:rPr>
      </w:pPr>
      <w:r w:rsidRPr="00667BE9">
        <w:rPr>
          <w:u w:val="single"/>
        </w:rPr>
        <w:t>ACQUIRING NEW D</w:t>
      </w:r>
      <w:r w:rsidR="00C96AE6">
        <w:rPr>
          <w:u w:val="single"/>
        </w:rPr>
        <w:t>IE</w:t>
      </w:r>
      <w:r w:rsidRPr="00667BE9">
        <w:rPr>
          <w:u w:val="single"/>
        </w:rPr>
        <w:t>SEL FORKLIFTS</w:t>
      </w:r>
    </w:p>
    <w:p w14:paraId="4498813B" w14:textId="4FFA17C3" w:rsidR="00D43903" w:rsidRDefault="00D43903" w:rsidP="00D43903">
      <w:pPr>
        <w:spacing w:line="360" w:lineRule="auto"/>
      </w:pPr>
      <w:r>
        <w:tab/>
      </w:r>
      <w:r w:rsidR="00AA09EB">
        <w:t xml:space="preserve">The first sentence of </w:t>
      </w:r>
      <w:r w:rsidR="00F7005F">
        <w:rPr>
          <w:rFonts w:cstheme="minorHAnsi"/>
        </w:rPr>
        <w:t>§</w:t>
      </w:r>
      <w:r w:rsidR="00F7005F">
        <w:t>3011(a) of the Proposed Regulation states, “</w:t>
      </w:r>
      <w:r w:rsidR="00451252">
        <w:t>Starting January 1, 2026, a Fleet Operator or Rental Agency shall not acquire or operate a Diesel Forklift as a replacement for a Class IV LSI Forklift of any Rated Capacity or a Class V LSI Forklift of a Rated Capacity up to 12,000 pounds that has been phased out of the Fleet, or for which a Low-Use LSI Forklift Exemption has been sought by the Fleet Operator in accordance with Section 3007(a)(1).</w:t>
      </w:r>
      <w:r w:rsidR="00AA09EB">
        <w:t>”</w:t>
      </w:r>
      <w:r w:rsidR="007E6E63">
        <w:t xml:space="preserve">  </w:t>
      </w:r>
      <w:r w:rsidR="0091502F">
        <w:t xml:space="preserve">Since this language applies to any “Diesel Forklift,” it would apply to new diesel </w:t>
      </w:r>
      <w:r w:rsidR="006D61E9">
        <w:t>forklifts,</w:t>
      </w:r>
      <w:r w:rsidR="0059616C">
        <w:t xml:space="preserve"> and it would apply to forklifts</w:t>
      </w:r>
      <w:r w:rsidR="0091502F">
        <w:t xml:space="preserve"> </w:t>
      </w:r>
      <w:r w:rsidR="0059616C">
        <w:t xml:space="preserve">of any </w:t>
      </w:r>
      <w:r w:rsidR="0091502F">
        <w:t>horsepower.</w:t>
      </w:r>
      <w:r w:rsidR="007C14F6">
        <w:t xml:space="preserve">  </w:t>
      </w:r>
      <w:r w:rsidR="00C00FA2">
        <w:t xml:space="preserve">In </w:t>
      </w:r>
      <w:r w:rsidR="007C14F6">
        <w:t>ITA</w:t>
      </w:r>
      <w:r w:rsidR="00C00FA2">
        <w:t>’s view,</w:t>
      </w:r>
      <w:r w:rsidR="007C14F6">
        <w:t xml:space="preserve"> this prohibition against purchasing new diesel forklifts</w:t>
      </w:r>
      <w:r w:rsidR="00D70811">
        <w:t>, if they are</w:t>
      </w:r>
      <w:r w:rsidR="005F51CB">
        <w:t xml:space="preserve"> </w:t>
      </w:r>
      <w:r w:rsidR="000B2755">
        <w:t>smaller than</w:t>
      </w:r>
      <w:r w:rsidR="005F51CB">
        <w:t xml:space="preserve"> 175 horsepower</w:t>
      </w:r>
      <w:r w:rsidR="00D70811">
        <w:t>,</w:t>
      </w:r>
      <w:r w:rsidR="007C14F6">
        <w:t xml:space="preserve"> would violate </w:t>
      </w:r>
      <w:r w:rsidR="000F3F33">
        <w:t>the preemption provisions of the</w:t>
      </w:r>
      <w:r w:rsidR="00C00FA2">
        <w:t xml:space="preserve"> federal</w:t>
      </w:r>
      <w:r w:rsidR="000F3F33">
        <w:t xml:space="preserve"> Clean Air Act.</w:t>
      </w:r>
    </w:p>
    <w:p w14:paraId="28E78AEE" w14:textId="4443447A" w:rsidR="00F0248D" w:rsidRDefault="00032426" w:rsidP="00D43903">
      <w:pPr>
        <w:spacing w:line="360" w:lineRule="auto"/>
      </w:pPr>
      <w:r>
        <w:tab/>
        <w:t>42 U.S.C.</w:t>
      </w:r>
      <w:r>
        <w:rPr>
          <w:rFonts w:cstheme="minorHAnsi"/>
        </w:rPr>
        <w:t>§</w:t>
      </w:r>
      <w:r>
        <w:t>7543</w:t>
      </w:r>
      <w:r w:rsidR="0065799F">
        <w:t xml:space="preserve"> (e</w:t>
      </w:r>
      <w:r w:rsidR="00E469D3">
        <w:t>)</w:t>
      </w:r>
      <w:r>
        <w:t>(1)</w:t>
      </w:r>
      <w:r w:rsidR="007F18C9">
        <w:t xml:space="preserve"> reads</w:t>
      </w:r>
      <w:r w:rsidR="00C8155A">
        <w:t>, in pertinent part,</w:t>
      </w:r>
      <w:r w:rsidR="007F18C9">
        <w:t xml:space="preserve"> as follows:</w:t>
      </w:r>
    </w:p>
    <w:p w14:paraId="2D8A8D2B" w14:textId="77777777" w:rsidR="00FC7290" w:rsidRPr="00EE53C7" w:rsidRDefault="00FC7290" w:rsidP="00576F12">
      <w:pPr>
        <w:spacing w:after="0" w:line="240" w:lineRule="auto"/>
        <w:ind w:left="720" w:right="720"/>
        <w:rPr>
          <w:rFonts w:eastAsia="Times New Roman" w:cstheme="minorHAnsi"/>
          <w:smallCaps/>
          <w:color w:val="333333"/>
          <w:kern w:val="0"/>
          <w:shd w:val="clear" w:color="auto" w:fill="FFFFFF"/>
          <w14:ligatures w14:val="none"/>
        </w:rPr>
      </w:pPr>
      <w:r w:rsidRPr="00FC7290">
        <w:rPr>
          <w:rFonts w:eastAsia="Times New Roman" w:cstheme="minorHAnsi"/>
          <w:color w:val="333333"/>
          <w:kern w:val="0"/>
          <w:shd w:val="clear" w:color="auto" w:fill="FFFFFF"/>
          <w14:ligatures w14:val="none"/>
        </w:rPr>
        <w:t>(e)</w:t>
      </w:r>
      <w:r w:rsidRPr="00FC7290">
        <w:t>Nonroad engines or vehicles</w:t>
      </w:r>
    </w:p>
    <w:p w14:paraId="75F53F40" w14:textId="28760878" w:rsidR="00505330" w:rsidRPr="00FC7290" w:rsidRDefault="00604C4C" w:rsidP="00C02A85">
      <w:pPr>
        <w:spacing w:after="0" w:line="240" w:lineRule="auto"/>
        <w:ind w:left="720" w:right="720" w:firstLine="720"/>
        <w:rPr>
          <w:rFonts w:eastAsia="Times New Roman" w:cstheme="minorHAnsi"/>
          <w:kern w:val="0"/>
          <w14:ligatures w14:val="none"/>
        </w:rPr>
      </w:pPr>
      <w:r w:rsidRPr="00FC7290">
        <w:rPr>
          <w:rFonts w:eastAsia="Times New Roman" w:cstheme="minorHAnsi"/>
          <w:color w:val="333333"/>
          <w:kern w:val="0"/>
          <w14:ligatures w14:val="none"/>
        </w:rPr>
        <w:t>(1)</w:t>
      </w:r>
      <w:r w:rsidR="00503A65">
        <w:rPr>
          <w:rFonts w:eastAsia="Times New Roman" w:cstheme="minorHAnsi"/>
          <w:color w:val="333333"/>
          <w:kern w:val="0"/>
          <w14:ligatures w14:val="none"/>
        </w:rPr>
        <w:t xml:space="preserve"> </w:t>
      </w:r>
      <w:r w:rsidRPr="00FC7290">
        <w:t>Prohibition on certain State standards</w:t>
      </w:r>
    </w:p>
    <w:p w14:paraId="375668BD" w14:textId="4121636D" w:rsidR="00FC7290" w:rsidRPr="00FC7290" w:rsidRDefault="00FC7290" w:rsidP="00C02A85">
      <w:pPr>
        <w:shd w:val="clear" w:color="auto" w:fill="FFFFFF"/>
        <w:spacing w:after="0" w:line="240" w:lineRule="auto"/>
        <w:ind w:left="1440" w:right="720"/>
        <w:rPr>
          <w:rFonts w:eastAsia="Times New Roman" w:cstheme="minorHAnsi"/>
          <w:color w:val="333333"/>
          <w:kern w:val="0"/>
          <w14:ligatures w14:val="none"/>
        </w:rPr>
      </w:pPr>
      <w:bookmarkStart w:id="5" w:name="e_1"/>
      <w:bookmarkEnd w:id="5"/>
      <w:r w:rsidRPr="00FC7290">
        <w:rPr>
          <w:rFonts w:eastAsia="Times New Roman" w:cstheme="minorHAnsi"/>
          <w:color w:val="333333"/>
          <w:kern w:val="0"/>
          <w14:ligatures w14:val="none"/>
        </w:rPr>
        <w:t>No </w:t>
      </w:r>
      <w:hyperlink r:id="rId8" w:history="1">
        <w:r w:rsidRPr="00FC7290">
          <w:rPr>
            <w:rFonts w:eastAsia="Times New Roman" w:cstheme="minorHAnsi"/>
            <w:color w:val="001C72"/>
            <w:kern w:val="0"/>
            <w:u w:val="single"/>
            <w14:ligatures w14:val="none"/>
          </w:rPr>
          <w:t>State</w:t>
        </w:r>
      </w:hyperlink>
      <w:r w:rsidRPr="00FC7290">
        <w:rPr>
          <w:rFonts w:eastAsia="Times New Roman" w:cstheme="minorHAnsi"/>
          <w:color w:val="333333"/>
          <w:kern w:val="0"/>
          <w14:ligatures w14:val="none"/>
        </w:rPr>
        <w:t xml:space="preserve"> or any political subdivision thereof shall adopt or attempt to enforce any standard or other requirement </w:t>
      </w:r>
      <w:r w:rsidRPr="00FC7290">
        <w:rPr>
          <w:rFonts w:eastAsia="Times New Roman" w:cstheme="minorHAnsi"/>
          <w:i/>
          <w:iCs/>
          <w:color w:val="333333"/>
          <w:kern w:val="0"/>
          <w14:ligatures w14:val="none"/>
        </w:rPr>
        <w:t>relating to the control of emissions</w:t>
      </w:r>
      <w:r w:rsidRPr="00FC7290">
        <w:rPr>
          <w:rFonts w:eastAsia="Times New Roman" w:cstheme="minorHAnsi"/>
          <w:color w:val="333333"/>
          <w:kern w:val="0"/>
          <w14:ligatures w14:val="none"/>
        </w:rPr>
        <w:t xml:space="preserve"> from either of the following new </w:t>
      </w:r>
      <w:r w:rsidR="00B00380">
        <w:rPr>
          <w:rFonts w:eastAsia="Times New Roman" w:cstheme="minorHAnsi"/>
          <w:color w:val="333333"/>
          <w:kern w:val="0"/>
          <w14:ligatures w14:val="none"/>
        </w:rPr>
        <w:t>nonroad engines or nonroad vehicles</w:t>
      </w:r>
      <w:r w:rsidRPr="00FC7290">
        <w:rPr>
          <w:rFonts w:eastAsia="Times New Roman" w:cstheme="minorHAnsi"/>
          <w:color w:val="333333"/>
          <w:kern w:val="0"/>
          <w14:ligatures w14:val="none"/>
        </w:rPr>
        <w:t> subject to regulation under this chapter—</w:t>
      </w:r>
    </w:p>
    <w:p w14:paraId="68D29FFA" w14:textId="01AB4E4A" w:rsidR="00FC7290" w:rsidRPr="003924C6" w:rsidRDefault="00FC7290" w:rsidP="003924C6">
      <w:pPr>
        <w:pStyle w:val="ListParagraph"/>
        <w:numPr>
          <w:ilvl w:val="0"/>
          <w:numId w:val="3"/>
        </w:numPr>
        <w:shd w:val="clear" w:color="auto" w:fill="FFFFFF"/>
        <w:spacing w:after="0" w:line="240" w:lineRule="auto"/>
        <w:ind w:right="720"/>
        <w:rPr>
          <w:rFonts w:eastAsia="Times New Roman" w:cstheme="minorHAnsi"/>
          <w:color w:val="333333"/>
          <w:kern w:val="0"/>
          <w14:ligatures w14:val="none"/>
        </w:rPr>
      </w:pPr>
      <w:bookmarkStart w:id="6" w:name="e_1_A"/>
      <w:bookmarkEnd w:id="6"/>
      <w:r w:rsidRPr="003924C6">
        <w:rPr>
          <w:rFonts w:eastAsia="Times New Roman" w:cstheme="minorHAnsi"/>
          <w:color w:val="333333"/>
          <w:kern w:val="0"/>
          <w14:ligatures w14:val="none"/>
        </w:rPr>
        <w:t>New engines which are used in construction equipment or vehicles or used in farm equipment or vehicles and which are smaller than 175 horsepower.</w:t>
      </w:r>
    </w:p>
    <w:p w14:paraId="44657444" w14:textId="77777777" w:rsidR="00B30883" w:rsidRDefault="00B30883" w:rsidP="003924C6">
      <w:pPr>
        <w:shd w:val="clear" w:color="auto" w:fill="FFFFFF"/>
        <w:spacing w:after="0" w:line="240" w:lineRule="auto"/>
        <w:ind w:right="720"/>
        <w:rPr>
          <w:rFonts w:eastAsia="Times New Roman" w:cstheme="minorHAnsi"/>
          <w:color w:val="333333"/>
          <w:kern w:val="0"/>
          <w14:ligatures w14:val="none"/>
        </w:rPr>
      </w:pPr>
    </w:p>
    <w:p w14:paraId="1BA0E20C" w14:textId="77777777" w:rsidR="000F7F5B" w:rsidRDefault="003924C6" w:rsidP="00835D3D">
      <w:pPr>
        <w:pStyle w:val="NormalWeb"/>
        <w:shd w:val="clear" w:color="auto" w:fill="FFFFFF"/>
        <w:spacing w:after="165" w:line="360" w:lineRule="auto"/>
        <w:rPr>
          <w:rFonts w:asciiTheme="minorHAnsi" w:eastAsia="Times New Roman" w:hAnsiTheme="minorHAnsi" w:cstheme="minorHAnsi"/>
          <w:color w:val="333333"/>
          <w:kern w:val="0"/>
          <w:sz w:val="22"/>
          <w:szCs w:val="22"/>
          <w14:ligatures w14:val="none"/>
        </w:rPr>
      </w:pPr>
      <w:r w:rsidRPr="001E450B">
        <w:rPr>
          <w:rFonts w:asciiTheme="minorHAnsi" w:eastAsia="Times New Roman" w:hAnsiTheme="minorHAnsi" w:cstheme="minorHAnsi"/>
          <w:color w:val="333333"/>
          <w:kern w:val="0"/>
          <w:sz w:val="22"/>
          <w:szCs w:val="22"/>
          <w14:ligatures w14:val="none"/>
        </w:rPr>
        <w:t>(Italics added.)</w:t>
      </w:r>
    </w:p>
    <w:p w14:paraId="579FF54E" w14:textId="509913FE" w:rsidR="00F677D1" w:rsidRDefault="005965F9" w:rsidP="000F7F5B">
      <w:pPr>
        <w:pStyle w:val="NormalWeb"/>
        <w:shd w:val="clear" w:color="auto" w:fill="FFFFFF"/>
        <w:spacing w:after="165" w:line="360" w:lineRule="auto"/>
        <w:ind w:firstLine="720"/>
        <w:rPr>
          <w:rFonts w:asciiTheme="minorHAnsi" w:eastAsia="Times New Roman" w:hAnsiTheme="minorHAnsi" w:cstheme="minorHAnsi"/>
          <w:color w:val="333333"/>
          <w:kern w:val="0"/>
          <w:sz w:val="22"/>
          <w:szCs w:val="22"/>
          <w14:ligatures w14:val="none"/>
        </w:rPr>
      </w:pPr>
      <w:r w:rsidRPr="001E450B">
        <w:rPr>
          <w:rFonts w:asciiTheme="minorHAnsi" w:eastAsia="Times New Roman" w:hAnsiTheme="minorHAnsi" w:cstheme="minorHAnsi"/>
          <w:color w:val="333333"/>
          <w:kern w:val="0"/>
          <w:sz w:val="22"/>
          <w:szCs w:val="22"/>
          <w14:ligatures w14:val="none"/>
        </w:rPr>
        <w:t>T</w:t>
      </w:r>
      <w:r w:rsidR="008A4BD2" w:rsidRPr="001E450B">
        <w:rPr>
          <w:rFonts w:asciiTheme="minorHAnsi" w:eastAsia="Times New Roman" w:hAnsiTheme="minorHAnsi" w:cstheme="minorHAnsi"/>
          <w:color w:val="333333"/>
          <w:kern w:val="0"/>
          <w:sz w:val="22"/>
          <w:szCs w:val="22"/>
          <w14:ligatures w14:val="none"/>
        </w:rPr>
        <w:t>he</w:t>
      </w:r>
      <w:r w:rsidR="00DC4DCA" w:rsidRPr="001E450B">
        <w:rPr>
          <w:rFonts w:asciiTheme="minorHAnsi" w:eastAsia="Times New Roman" w:hAnsiTheme="minorHAnsi" w:cstheme="minorHAnsi"/>
          <w:color w:val="333333"/>
          <w:kern w:val="0"/>
          <w:sz w:val="22"/>
          <w:szCs w:val="22"/>
          <w14:ligatures w14:val="none"/>
        </w:rPr>
        <w:t xml:space="preserve"> CARB web</w:t>
      </w:r>
      <w:r w:rsidR="0076420A" w:rsidRPr="001E450B">
        <w:rPr>
          <w:rFonts w:asciiTheme="minorHAnsi" w:eastAsia="Times New Roman" w:hAnsiTheme="minorHAnsi" w:cstheme="minorHAnsi"/>
          <w:color w:val="333333"/>
          <w:kern w:val="0"/>
          <w:sz w:val="22"/>
          <w:szCs w:val="22"/>
          <w14:ligatures w14:val="none"/>
        </w:rPr>
        <w:t xml:space="preserve">page </w:t>
      </w:r>
      <w:r w:rsidR="008A4BD2" w:rsidRPr="001E450B">
        <w:rPr>
          <w:rFonts w:asciiTheme="minorHAnsi" w:eastAsia="Times New Roman" w:hAnsiTheme="minorHAnsi" w:cstheme="minorHAnsi"/>
          <w:color w:val="333333"/>
          <w:kern w:val="0"/>
          <w:sz w:val="22"/>
          <w:szCs w:val="22"/>
          <w14:ligatures w14:val="none"/>
        </w:rPr>
        <w:t>headed</w:t>
      </w:r>
      <w:r w:rsidR="0076420A" w:rsidRPr="001E450B">
        <w:rPr>
          <w:rFonts w:asciiTheme="minorHAnsi" w:eastAsia="Times New Roman" w:hAnsiTheme="minorHAnsi" w:cstheme="minorHAnsi"/>
          <w:color w:val="333333"/>
          <w:kern w:val="0"/>
          <w:sz w:val="22"/>
          <w:szCs w:val="22"/>
          <w14:ligatures w14:val="none"/>
        </w:rPr>
        <w:t xml:space="preserve"> “</w:t>
      </w:r>
      <w:r w:rsidR="003A622E" w:rsidRPr="001E450B">
        <w:rPr>
          <w:rFonts w:asciiTheme="minorHAnsi" w:eastAsia="Times New Roman" w:hAnsiTheme="minorHAnsi" w:cstheme="minorHAnsi"/>
          <w:color w:val="333333"/>
          <w:kern w:val="0"/>
          <w:sz w:val="22"/>
          <w:szCs w:val="22"/>
          <w14:ligatures w14:val="none"/>
        </w:rPr>
        <w:t>List to Determine Preempt Offroad Applications”</w:t>
      </w:r>
      <w:r w:rsidRPr="001E450B">
        <w:rPr>
          <w:rFonts w:asciiTheme="minorHAnsi" w:eastAsia="Times New Roman" w:hAnsiTheme="minorHAnsi" w:cstheme="minorHAnsi"/>
          <w:color w:val="333333"/>
          <w:kern w:val="0"/>
          <w:sz w:val="22"/>
          <w:szCs w:val="22"/>
          <w14:ligatures w14:val="none"/>
        </w:rPr>
        <w:t xml:space="preserve"> states:</w:t>
      </w:r>
      <w:r w:rsidR="00DC4DCA" w:rsidRPr="001E450B">
        <w:rPr>
          <w:rFonts w:asciiTheme="minorHAnsi" w:eastAsia="Times New Roman" w:hAnsiTheme="minorHAnsi" w:cstheme="minorHAnsi"/>
          <w:color w:val="333333"/>
          <w:kern w:val="0"/>
          <w:sz w:val="22"/>
          <w:szCs w:val="22"/>
          <w14:ligatures w14:val="none"/>
        </w:rPr>
        <w:t xml:space="preserve"> “</w:t>
      </w:r>
      <w:r w:rsidR="00DC4DCA" w:rsidRPr="001E450B">
        <w:rPr>
          <w:rFonts w:asciiTheme="minorHAnsi" w:hAnsiTheme="minorHAnsi" w:cstheme="minorHAnsi"/>
          <w:color w:val="2D333D"/>
          <w:sz w:val="22"/>
          <w:szCs w:val="22"/>
          <w:shd w:val="clear" w:color="auto" w:fill="FFFFFF"/>
        </w:rPr>
        <w:t>The 1990 amendments to the federal Clean Air Act preempt California control of emissions from </w:t>
      </w:r>
      <w:r w:rsidR="00DC4DCA" w:rsidRPr="001E450B">
        <w:rPr>
          <w:rFonts w:asciiTheme="minorHAnsi" w:hAnsiTheme="minorHAnsi" w:cstheme="minorHAnsi"/>
          <w:color w:val="2D333D"/>
          <w:sz w:val="22"/>
          <w:szCs w:val="22"/>
          <w:u w:val="single"/>
          <w:shd w:val="clear" w:color="auto" w:fill="FFFFFF"/>
        </w:rPr>
        <w:t>new</w:t>
      </w:r>
      <w:r w:rsidR="00DC4DCA" w:rsidRPr="001E450B">
        <w:rPr>
          <w:rFonts w:asciiTheme="minorHAnsi" w:hAnsiTheme="minorHAnsi" w:cstheme="minorHAnsi"/>
          <w:color w:val="2D333D"/>
          <w:sz w:val="22"/>
          <w:szCs w:val="22"/>
          <w:shd w:val="clear" w:color="auto" w:fill="FFFFFF"/>
        </w:rPr>
        <w:t xml:space="preserve"> farm and construction equipment under 175 horsepower. </w:t>
      </w:r>
      <w:r w:rsidR="00FD7464" w:rsidRPr="001E450B">
        <w:rPr>
          <w:rFonts w:asciiTheme="minorHAnsi" w:hAnsiTheme="minorHAnsi" w:cstheme="minorHAnsi"/>
          <w:color w:val="2D333D"/>
          <w:sz w:val="22"/>
          <w:szCs w:val="22"/>
          <w:shd w:val="clear" w:color="auto" w:fill="FFFFFF"/>
        </w:rPr>
        <w:t xml:space="preserve"> </w:t>
      </w:r>
      <w:r w:rsidR="00DC4DCA" w:rsidRPr="001E450B">
        <w:rPr>
          <w:rFonts w:asciiTheme="minorHAnsi" w:hAnsiTheme="minorHAnsi" w:cstheme="minorHAnsi"/>
          <w:color w:val="2D333D"/>
          <w:sz w:val="22"/>
          <w:szCs w:val="22"/>
          <w:shd w:val="clear" w:color="auto" w:fill="FFFFFF"/>
        </w:rPr>
        <w:t xml:space="preserve">Emissions from these new engines are beyond CARB's authority to regulate. </w:t>
      </w:r>
      <w:r w:rsidR="00FD7464" w:rsidRPr="001E450B">
        <w:rPr>
          <w:rFonts w:asciiTheme="minorHAnsi" w:hAnsiTheme="minorHAnsi" w:cstheme="minorHAnsi"/>
          <w:color w:val="2D333D"/>
          <w:sz w:val="22"/>
          <w:szCs w:val="22"/>
          <w:shd w:val="clear" w:color="auto" w:fill="FFFFFF"/>
        </w:rPr>
        <w:t xml:space="preserve"> </w:t>
      </w:r>
      <w:r w:rsidR="00DC4DCA" w:rsidRPr="001E450B">
        <w:rPr>
          <w:rFonts w:asciiTheme="minorHAnsi" w:hAnsiTheme="minorHAnsi" w:cstheme="minorHAnsi"/>
          <w:color w:val="2D333D"/>
          <w:sz w:val="22"/>
          <w:szCs w:val="22"/>
          <w:shd w:val="clear" w:color="auto" w:fill="FFFFFF"/>
        </w:rPr>
        <w:t>The U.S. EPA has sole authority to establish emission standards for these preempt engines used in new farm and construction equipment under 175 horsepower.</w:t>
      </w:r>
      <w:r w:rsidR="00FD7464" w:rsidRPr="001E450B">
        <w:rPr>
          <w:rFonts w:asciiTheme="minorHAnsi" w:hAnsiTheme="minorHAnsi" w:cstheme="minorHAnsi"/>
          <w:color w:val="2D333D"/>
          <w:sz w:val="22"/>
          <w:szCs w:val="22"/>
          <w:shd w:val="clear" w:color="auto" w:fill="FFFFFF"/>
        </w:rPr>
        <w:t>”</w:t>
      </w:r>
      <w:r w:rsidR="00020886" w:rsidRPr="001E450B">
        <w:rPr>
          <w:rFonts w:asciiTheme="minorHAnsi" w:eastAsia="Times New Roman" w:hAnsiTheme="minorHAnsi" w:cstheme="minorHAnsi"/>
          <w:color w:val="333333"/>
          <w:kern w:val="0"/>
          <w:sz w:val="22"/>
          <w:szCs w:val="22"/>
          <w14:ligatures w14:val="none"/>
        </w:rPr>
        <w:t xml:space="preserve">  </w:t>
      </w:r>
      <w:r w:rsidR="0076420A" w:rsidRPr="001E450B">
        <w:rPr>
          <w:rFonts w:asciiTheme="minorHAnsi" w:eastAsia="Times New Roman" w:hAnsiTheme="minorHAnsi" w:cstheme="minorHAnsi"/>
          <w:color w:val="333333"/>
          <w:kern w:val="0"/>
          <w:sz w:val="22"/>
          <w:szCs w:val="22"/>
          <w14:ligatures w14:val="none"/>
        </w:rPr>
        <w:t>(</w:t>
      </w:r>
      <w:hyperlink r:id="rId9" w:history="1">
        <w:r w:rsidR="0076420A" w:rsidRPr="001E450B">
          <w:rPr>
            <w:rStyle w:val="Hyperlink"/>
            <w:rFonts w:asciiTheme="minorHAnsi" w:eastAsia="Times New Roman" w:hAnsiTheme="minorHAnsi" w:cstheme="minorHAnsi"/>
            <w:kern w:val="0"/>
            <w:sz w:val="22"/>
            <w:szCs w:val="22"/>
            <w14:ligatures w14:val="none"/>
          </w:rPr>
          <w:t>https://ww2.arb.ca.gov/list-determine-preempt-road-applications</w:t>
        </w:r>
      </w:hyperlink>
      <w:r w:rsidR="0076420A" w:rsidRPr="001E450B">
        <w:rPr>
          <w:rFonts w:asciiTheme="minorHAnsi" w:eastAsia="Times New Roman" w:hAnsiTheme="minorHAnsi" w:cstheme="minorHAnsi"/>
          <w:color w:val="333333"/>
          <w:kern w:val="0"/>
          <w:sz w:val="22"/>
          <w:szCs w:val="22"/>
          <w14:ligatures w14:val="none"/>
        </w:rPr>
        <w:t>).</w:t>
      </w:r>
    </w:p>
    <w:p w14:paraId="4185E34C" w14:textId="6D103140" w:rsidR="00D017AC" w:rsidRPr="001E450B" w:rsidRDefault="006A5C24" w:rsidP="00F677D1">
      <w:pPr>
        <w:pStyle w:val="NormalWeb"/>
        <w:shd w:val="clear" w:color="auto" w:fill="FFFFFF"/>
        <w:spacing w:after="165" w:line="360" w:lineRule="auto"/>
        <w:ind w:firstLine="720"/>
        <w:rPr>
          <w:rFonts w:asciiTheme="minorHAnsi" w:eastAsia="Times New Roman" w:hAnsiTheme="minorHAnsi" w:cstheme="minorHAnsi"/>
          <w:color w:val="333333"/>
          <w:kern w:val="0"/>
          <w:sz w:val="22"/>
          <w:szCs w:val="22"/>
          <w14:ligatures w14:val="none"/>
        </w:rPr>
      </w:pPr>
      <w:r w:rsidRPr="001E450B">
        <w:rPr>
          <w:rFonts w:asciiTheme="minorHAnsi" w:eastAsia="Times New Roman" w:hAnsiTheme="minorHAnsi" w:cstheme="minorHAnsi"/>
          <w:color w:val="333333"/>
          <w:kern w:val="0"/>
          <w:sz w:val="22"/>
          <w:szCs w:val="22"/>
          <w14:ligatures w14:val="none"/>
        </w:rPr>
        <w:t>The webpage then provides 2 lists</w:t>
      </w:r>
      <w:r w:rsidR="001E450B" w:rsidRPr="001E450B">
        <w:rPr>
          <w:rFonts w:asciiTheme="minorHAnsi" w:eastAsia="Times New Roman" w:hAnsiTheme="minorHAnsi" w:cstheme="minorHAnsi"/>
          <w:color w:val="333333"/>
          <w:kern w:val="0"/>
          <w:sz w:val="22"/>
          <w:szCs w:val="22"/>
          <w14:ligatures w14:val="none"/>
        </w:rPr>
        <w:t>.</w:t>
      </w:r>
      <w:r w:rsidRPr="001E450B">
        <w:rPr>
          <w:rFonts w:asciiTheme="minorHAnsi" w:eastAsia="Times New Roman" w:hAnsiTheme="minorHAnsi" w:cstheme="minorHAnsi"/>
          <w:color w:val="333333"/>
          <w:kern w:val="0"/>
          <w:sz w:val="22"/>
          <w:szCs w:val="22"/>
          <w14:ligatures w14:val="none"/>
        </w:rPr>
        <w:t xml:space="preserve"> </w:t>
      </w:r>
      <w:r w:rsidR="004E518E">
        <w:rPr>
          <w:rFonts w:asciiTheme="minorHAnsi" w:eastAsia="Times New Roman" w:hAnsiTheme="minorHAnsi" w:cstheme="minorHAnsi"/>
          <w:color w:val="333333"/>
          <w:kern w:val="0"/>
          <w:sz w:val="22"/>
          <w:szCs w:val="22"/>
          <w14:ligatures w14:val="none"/>
        </w:rPr>
        <w:t xml:space="preserve"> </w:t>
      </w:r>
      <w:r w:rsidR="001E450B" w:rsidRPr="001E450B">
        <w:rPr>
          <w:rFonts w:asciiTheme="minorHAnsi" w:eastAsia="Times New Roman" w:hAnsiTheme="minorHAnsi" w:cstheme="minorHAnsi"/>
          <w:color w:val="333333"/>
          <w:kern w:val="0"/>
          <w:sz w:val="22"/>
          <w:szCs w:val="22"/>
          <w14:ligatures w14:val="none"/>
        </w:rPr>
        <w:t>T</w:t>
      </w:r>
      <w:r w:rsidRPr="001E450B">
        <w:rPr>
          <w:rFonts w:asciiTheme="minorHAnsi" w:eastAsia="Times New Roman" w:hAnsiTheme="minorHAnsi" w:cstheme="minorHAnsi"/>
          <w:color w:val="333333"/>
          <w:kern w:val="0"/>
          <w:sz w:val="22"/>
          <w:szCs w:val="22"/>
          <w14:ligatures w14:val="none"/>
        </w:rPr>
        <w:t>he first</w:t>
      </w:r>
      <w:r w:rsidR="00BC460B">
        <w:rPr>
          <w:rFonts w:asciiTheme="minorHAnsi" w:eastAsia="Times New Roman" w:hAnsiTheme="minorHAnsi" w:cstheme="minorHAnsi"/>
          <w:color w:val="333333"/>
          <w:kern w:val="0"/>
          <w:sz w:val="22"/>
          <w:szCs w:val="22"/>
          <w14:ligatures w14:val="none"/>
        </w:rPr>
        <w:t xml:space="preserve"> list</w:t>
      </w:r>
      <w:r w:rsidRPr="001E450B">
        <w:rPr>
          <w:rFonts w:asciiTheme="minorHAnsi" w:eastAsia="Times New Roman" w:hAnsiTheme="minorHAnsi" w:cstheme="minorHAnsi"/>
          <w:color w:val="333333"/>
          <w:kern w:val="0"/>
          <w:sz w:val="22"/>
          <w:szCs w:val="22"/>
          <w14:ligatures w14:val="none"/>
        </w:rPr>
        <w:t xml:space="preserve"> cover</w:t>
      </w:r>
      <w:r w:rsidR="001E450B" w:rsidRPr="001E450B">
        <w:rPr>
          <w:rFonts w:asciiTheme="minorHAnsi" w:eastAsia="Times New Roman" w:hAnsiTheme="minorHAnsi" w:cstheme="minorHAnsi"/>
          <w:color w:val="333333"/>
          <w:kern w:val="0"/>
          <w:sz w:val="22"/>
          <w:szCs w:val="22"/>
          <w14:ligatures w14:val="none"/>
        </w:rPr>
        <w:t>s</w:t>
      </w:r>
      <w:r w:rsidRPr="001E450B">
        <w:rPr>
          <w:rFonts w:asciiTheme="minorHAnsi" w:eastAsia="Times New Roman" w:hAnsiTheme="minorHAnsi" w:cstheme="minorHAnsi"/>
          <w:color w:val="333333"/>
          <w:kern w:val="0"/>
          <w:sz w:val="22"/>
          <w:szCs w:val="22"/>
          <w14:ligatures w14:val="none"/>
        </w:rPr>
        <w:t xml:space="preserve"> </w:t>
      </w:r>
      <w:r w:rsidR="00441087" w:rsidRPr="001E450B">
        <w:rPr>
          <w:rFonts w:asciiTheme="minorHAnsi" w:eastAsia="Times New Roman" w:hAnsiTheme="minorHAnsi" w:cstheme="minorHAnsi"/>
          <w:color w:val="333333"/>
          <w:kern w:val="0"/>
          <w:sz w:val="22"/>
          <w:szCs w:val="22"/>
          <w14:ligatures w14:val="none"/>
        </w:rPr>
        <w:t>“[</w:t>
      </w:r>
      <w:r w:rsidR="000D5369" w:rsidRPr="001E450B">
        <w:rPr>
          <w:rFonts w:asciiTheme="minorHAnsi" w:eastAsia="Times New Roman" w:hAnsiTheme="minorHAnsi" w:cstheme="minorHAnsi"/>
          <w:color w:val="333333"/>
          <w:kern w:val="0"/>
          <w:sz w:val="22"/>
          <w:szCs w:val="22"/>
          <w14:ligatures w14:val="none"/>
        </w:rPr>
        <w:t>e</w:t>
      </w:r>
      <w:r w:rsidR="00441087" w:rsidRPr="001E450B">
        <w:rPr>
          <w:rFonts w:asciiTheme="minorHAnsi" w:eastAsia="Times New Roman" w:hAnsiTheme="minorHAnsi" w:cstheme="minorHAnsi"/>
          <w:color w:val="333333"/>
          <w:kern w:val="0"/>
          <w:sz w:val="22"/>
          <w:szCs w:val="22"/>
          <w14:ligatures w14:val="none"/>
        </w:rPr>
        <w:t>]</w:t>
      </w:r>
      <w:r w:rsidR="000D5369" w:rsidRPr="001E450B">
        <w:rPr>
          <w:rFonts w:asciiTheme="minorHAnsi" w:eastAsia="Times New Roman" w:hAnsiTheme="minorHAnsi" w:cstheme="minorHAnsi"/>
          <w:color w:val="333333"/>
          <w:kern w:val="0"/>
          <w:sz w:val="22"/>
          <w:szCs w:val="22"/>
          <w14:ligatures w14:val="none"/>
        </w:rPr>
        <w:t>quipment types</w:t>
      </w:r>
      <w:r w:rsidR="00586725" w:rsidRPr="001E450B">
        <w:rPr>
          <w:rFonts w:asciiTheme="minorHAnsi" w:eastAsia="Times New Roman" w:hAnsiTheme="minorHAnsi" w:cstheme="minorHAnsi"/>
          <w:color w:val="333333"/>
          <w:kern w:val="0"/>
          <w:sz w:val="22"/>
          <w:szCs w:val="22"/>
          <w14:ligatures w14:val="none"/>
        </w:rPr>
        <w:t xml:space="preserve"> with engines less than 25 horsepower,</w:t>
      </w:r>
      <w:r w:rsidR="00441087" w:rsidRPr="001E450B">
        <w:rPr>
          <w:rFonts w:asciiTheme="minorHAnsi" w:eastAsia="Times New Roman" w:hAnsiTheme="minorHAnsi" w:cstheme="minorHAnsi"/>
          <w:color w:val="333333"/>
          <w:kern w:val="0"/>
          <w:sz w:val="22"/>
          <w:szCs w:val="22"/>
          <w14:ligatures w14:val="none"/>
        </w:rPr>
        <w:t>”</w:t>
      </w:r>
      <w:r w:rsidR="00586725" w:rsidRPr="001E450B">
        <w:rPr>
          <w:rFonts w:asciiTheme="minorHAnsi" w:eastAsia="Times New Roman" w:hAnsiTheme="minorHAnsi" w:cstheme="minorHAnsi"/>
          <w:color w:val="333333"/>
          <w:kern w:val="0"/>
          <w:sz w:val="22"/>
          <w:szCs w:val="22"/>
          <w14:ligatures w14:val="none"/>
        </w:rPr>
        <w:t xml:space="preserve"> which is not relev</w:t>
      </w:r>
      <w:r w:rsidR="00441087" w:rsidRPr="001E450B">
        <w:rPr>
          <w:rFonts w:asciiTheme="minorHAnsi" w:eastAsia="Times New Roman" w:hAnsiTheme="minorHAnsi" w:cstheme="minorHAnsi"/>
          <w:color w:val="333333"/>
          <w:kern w:val="0"/>
          <w:sz w:val="22"/>
          <w:szCs w:val="22"/>
          <w14:ligatures w14:val="none"/>
        </w:rPr>
        <w:t>ant to the analysis</w:t>
      </w:r>
      <w:r w:rsidR="001A5D15" w:rsidRPr="001E450B">
        <w:rPr>
          <w:rFonts w:asciiTheme="minorHAnsi" w:eastAsia="Times New Roman" w:hAnsiTheme="minorHAnsi" w:cstheme="minorHAnsi"/>
          <w:color w:val="333333"/>
          <w:kern w:val="0"/>
          <w:sz w:val="22"/>
          <w:szCs w:val="22"/>
          <w14:ligatures w14:val="none"/>
        </w:rPr>
        <w:t xml:space="preserve">.  The second list </w:t>
      </w:r>
      <w:r w:rsidR="00D017AC" w:rsidRPr="001E450B">
        <w:rPr>
          <w:rFonts w:asciiTheme="minorHAnsi" w:eastAsia="Times New Roman" w:hAnsiTheme="minorHAnsi" w:cstheme="minorHAnsi"/>
          <w:color w:val="333333"/>
          <w:kern w:val="0"/>
          <w:sz w:val="22"/>
          <w:szCs w:val="22"/>
          <w14:ligatures w14:val="none"/>
        </w:rPr>
        <w:t>begins</w:t>
      </w:r>
      <w:r w:rsidR="00ED77DE" w:rsidRPr="001E450B">
        <w:rPr>
          <w:rFonts w:asciiTheme="minorHAnsi" w:eastAsia="Times New Roman" w:hAnsiTheme="minorHAnsi" w:cstheme="minorHAnsi"/>
          <w:color w:val="333333"/>
          <w:kern w:val="0"/>
          <w:sz w:val="22"/>
          <w:szCs w:val="22"/>
          <w14:ligatures w14:val="none"/>
        </w:rPr>
        <w:t xml:space="preserve"> as follows:</w:t>
      </w:r>
    </w:p>
    <w:p w14:paraId="5955B32F" w14:textId="4B299616" w:rsidR="00ED77DE" w:rsidRPr="00184348" w:rsidRDefault="00ED77DE" w:rsidP="00D017AC">
      <w:pPr>
        <w:pStyle w:val="NormalWeb"/>
        <w:shd w:val="clear" w:color="auto" w:fill="FFFFFF"/>
        <w:spacing w:after="165" w:line="240" w:lineRule="auto"/>
        <w:ind w:left="720" w:right="720"/>
        <w:rPr>
          <w:rFonts w:asciiTheme="minorHAnsi" w:eastAsia="Times New Roman" w:hAnsiTheme="minorHAnsi" w:cstheme="minorHAnsi"/>
          <w:kern w:val="0"/>
          <w:sz w:val="22"/>
          <w:szCs w:val="22"/>
          <w14:ligatures w14:val="none"/>
        </w:rPr>
      </w:pPr>
      <w:r w:rsidRPr="00184348">
        <w:rPr>
          <w:rFonts w:asciiTheme="minorHAnsi" w:eastAsia="Times New Roman" w:hAnsiTheme="minorHAnsi" w:cstheme="minorHAnsi"/>
          <w:kern w:val="0"/>
          <w:sz w:val="22"/>
          <w:szCs w:val="22"/>
          <w14:ligatures w14:val="none"/>
        </w:rPr>
        <w:t>Equipment types with engines 25 horsepower or greater are presumed to be construction or farm equipment, with the exception of the equipment types listed below, which have been determined not to be construction or farm equipment.</w:t>
      </w:r>
    </w:p>
    <w:p w14:paraId="47C7EB77" w14:textId="77777777" w:rsidR="00ED77DE" w:rsidRPr="00ED77DE" w:rsidRDefault="00ED77DE" w:rsidP="0068499D">
      <w:pPr>
        <w:numPr>
          <w:ilvl w:val="0"/>
          <w:numId w:val="4"/>
        </w:numPr>
        <w:shd w:val="clear" w:color="auto" w:fill="FFFFFF"/>
        <w:spacing w:before="100" w:beforeAutospacing="1" w:after="100" w:afterAutospacing="1" w:line="240" w:lineRule="auto"/>
        <w:ind w:left="1080" w:right="720"/>
        <w:rPr>
          <w:rFonts w:eastAsia="Times New Roman" w:cstheme="minorHAnsi"/>
          <w:kern w:val="0"/>
          <w14:ligatures w14:val="none"/>
        </w:rPr>
      </w:pPr>
      <w:r w:rsidRPr="00ED77DE">
        <w:rPr>
          <w:rFonts w:eastAsia="Times New Roman" w:cstheme="minorHAnsi"/>
          <w:kern w:val="0"/>
          <w14:ligatures w14:val="none"/>
        </w:rPr>
        <w:lastRenderedPageBreak/>
        <w:t>Aircraft Ground Power</w:t>
      </w:r>
    </w:p>
    <w:p w14:paraId="5BA10274" w14:textId="77777777" w:rsidR="00ED77DE" w:rsidRPr="00ED77DE" w:rsidRDefault="00ED77DE" w:rsidP="0068499D">
      <w:pPr>
        <w:numPr>
          <w:ilvl w:val="0"/>
          <w:numId w:val="4"/>
        </w:numPr>
        <w:shd w:val="clear" w:color="auto" w:fill="FFFFFF"/>
        <w:spacing w:before="100" w:beforeAutospacing="1" w:after="100" w:afterAutospacing="1" w:line="240" w:lineRule="auto"/>
        <w:ind w:left="1080" w:right="720"/>
        <w:rPr>
          <w:rFonts w:eastAsia="Times New Roman" w:cstheme="minorHAnsi"/>
          <w:kern w:val="0"/>
          <w14:ligatures w14:val="none"/>
        </w:rPr>
      </w:pPr>
      <w:r w:rsidRPr="00ED77DE">
        <w:rPr>
          <w:rFonts w:eastAsia="Times New Roman" w:cstheme="minorHAnsi"/>
          <w:kern w:val="0"/>
          <w14:ligatures w14:val="none"/>
        </w:rPr>
        <w:t>Baggage Handling</w:t>
      </w:r>
    </w:p>
    <w:p w14:paraId="4AE80E42" w14:textId="42872BD3" w:rsidR="00ED77DE" w:rsidRDefault="00ED77DE" w:rsidP="0068499D">
      <w:pPr>
        <w:numPr>
          <w:ilvl w:val="0"/>
          <w:numId w:val="4"/>
        </w:numPr>
        <w:shd w:val="clear" w:color="auto" w:fill="FFFFFF"/>
        <w:spacing w:before="100" w:beforeAutospacing="1" w:after="100" w:afterAutospacing="1" w:line="240" w:lineRule="auto"/>
        <w:ind w:left="1080" w:right="720"/>
        <w:rPr>
          <w:rFonts w:eastAsia="Times New Roman" w:cstheme="minorHAnsi"/>
          <w:kern w:val="0"/>
          <w14:ligatures w14:val="none"/>
        </w:rPr>
      </w:pPr>
      <w:r w:rsidRPr="00ED77DE">
        <w:rPr>
          <w:rFonts w:eastAsia="Times New Roman" w:cstheme="minorHAnsi"/>
          <w:kern w:val="0"/>
          <w14:ligatures w14:val="none"/>
        </w:rPr>
        <w:t>Forklifts that are neither rough terrain nor powered by diesel engines</w:t>
      </w:r>
      <w:r w:rsidR="000D0B4D">
        <w:rPr>
          <w:rFonts w:eastAsia="Times New Roman" w:cstheme="minorHAnsi"/>
          <w:kern w:val="0"/>
          <w14:ligatures w14:val="none"/>
        </w:rPr>
        <w:t xml:space="preserve"> . . .</w:t>
      </w:r>
    </w:p>
    <w:p w14:paraId="69F6DCC8" w14:textId="7CC5BC90" w:rsidR="00B54F37" w:rsidRDefault="00E20F21" w:rsidP="00F677D1">
      <w:pPr>
        <w:shd w:val="clear" w:color="auto" w:fill="FFFFFF"/>
        <w:spacing w:before="100" w:beforeAutospacing="1" w:after="100" w:afterAutospacing="1" w:line="360" w:lineRule="auto"/>
        <w:rPr>
          <w:rFonts w:eastAsia="Times New Roman" w:cstheme="minorHAnsi"/>
          <w:kern w:val="0"/>
          <w14:ligatures w14:val="none"/>
        </w:rPr>
      </w:pPr>
      <w:r>
        <w:rPr>
          <w:rFonts w:eastAsia="Times New Roman" w:cstheme="minorHAnsi"/>
          <w:kern w:val="0"/>
          <w14:ligatures w14:val="none"/>
        </w:rPr>
        <w:t xml:space="preserve">Since only </w:t>
      </w:r>
      <w:r w:rsidR="00112DA6">
        <w:rPr>
          <w:rFonts w:eastAsia="Times New Roman" w:cstheme="minorHAnsi"/>
          <w:kern w:val="0"/>
          <w14:ligatures w14:val="none"/>
        </w:rPr>
        <w:t>forklifts</w:t>
      </w:r>
      <w:r>
        <w:rPr>
          <w:rFonts w:eastAsia="Times New Roman" w:cstheme="minorHAnsi"/>
          <w:kern w:val="0"/>
          <w14:ligatures w14:val="none"/>
        </w:rPr>
        <w:t xml:space="preserve"> that are not rough terrain or</w:t>
      </w:r>
      <w:r w:rsidR="00112DA6">
        <w:rPr>
          <w:rFonts w:eastAsia="Times New Roman" w:cstheme="minorHAnsi"/>
          <w:kern w:val="0"/>
          <w14:ligatures w14:val="none"/>
        </w:rPr>
        <w:t xml:space="preserve"> powered by diesel engines </w:t>
      </w:r>
      <w:r w:rsidR="008E320F">
        <w:rPr>
          <w:rFonts w:eastAsia="Times New Roman" w:cstheme="minorHAnsi"/>
          <w:kern w:val="0"/>
          <w14:ligatures w14:val="none"/>
        </w:rPr>
        <w:t>have been determined not to be construction or farm equipment</w:t>
      </w:r>
      <w:r w:rsidR="003772CC">
        <w:rPr>
          <w:rFonts w:eastAsia="Times New Roman" w:cstheme="minorHAnsi"/>
          <w:kern w:val="0"/>
          <w14:ligatures w14:val="none"/>
        </w:rPr>
        <w:t>, forklifts</w:t>
      </w:r>
      <w:r w:rsidR="00984576">
        <w:rPr>
          <w:rFonts w:eastAsia="Times New Roman" w:cstheme="minorHAnsi"/>
          <w:kern w:val="0"/>
          <w14:ligatures w14:val="none"/>
        </w:rPr>
        <w:t xml:space="preserve"> with engines 25 horsepower or greater that are</w:t>
      </w:r>
      <w:r w:rsidR="003772CC">
        <w:rPr>
          <w:rFonts w:eastAsia="Times New Roman" w:cstheme="minorHAnsi"/>
          <w:kern w:val="0"/>
          <w14:ligatures w14:val="none"/>
        </w:rPr>
        <w:t xml:space="preserve"> powered by diesel engines </w:t>
      </w:r>
      <w:r w:rsidR="009329BD">
        <w:rPr>
          <w:rFonts w:eastAsia="Times New Roman" w:cstheme="minorHAnsi"/>
          <w:kern w:val="0"/>
          <w14:ligatures w14:val="none"/>
        </w:rPr>
        <w:t>are</w:t>
      </w:r>
      <w:r w:rsidR="00D109F1">
        <w:rPr>
          <w:rFonts w:eastAsia="Times New Roman" w:cstheme="minorHAnsi"/>
          <w:kern w:val="0"/>
          <w14:ligatures w14:val="none"/>
        </w:rPr>
        <w:t xml:space="preserve"> presumed to be</w:t>
      </w:r>
      <w:r w:rsidR="00D21E73">
        <w:rPr>
          <w:rFonts w:eastAsia="Times New Roman" w:cstheme="minorHAnsi"/>
          <w:kern w:val="0"/>
          <w14:ligatures w14:val="none"/>
        </w:rPr>
        <w:t xml:space="preserve"> preempted</w:t>
      </w:r>
      <w:r w:rsidR="009329BD">
        <w:rPr>
          <w:rFonts w:eastAsia="Times New Roman" w:cstheme="minorHAnsi"/>
          <w:kern w:val="0"/>
          <w14:ligatures w14:val="none"/>
        </w:rPr>
        <w:t xml:space="preserve"> construction or farm equipment</w:t>
      </w:r>
      <w:r w:rsidR="00526C9F">
        <w:rPr>
          <w:rFonts w:eastAsia="Times New Roman" w:cstheme="minorHAnsi"/>
          <w:kern w:val="0"/>
          <w14:ligatures w14:val="none"/>
        </w:rPr>
        <w:t>,</w:t>
      </w:r>
      <w:r w:rsidR="00A04D71">
        <w:rPr>
          <w:rFonts w:eastAsia="Times New Roman" w:cstheme="minorHAnsi"/>
          <w:kern w:val="0"/>
          <w14:ligatures w14:val="none"/>
        </w:rPr>
        <w:t xml:space="preserve"> so long as they are “new” and are under 175 horsepower.</w:t>
      </w:r>
    </w:p>
    <w:p w14:paraId="1460441B" w14:textId="649389F7" w:rsidR="009A737C" w:rsidRDefault="002D1B86" w:rsidP="00F677D1">
      <w:pPr>
        <w:shd w:val="clear" w:color="auto" w:fill="FFFFFF"/>
        <w:spacing w:before="100" w:beforeAutospacing="1" w:after="100" w:afterAutospacing="1" w:line="360" w:lineRule="auto"/>
      </w:pPr>
      <w:r>
        <w:rPr>
          <w:rFonts w:eastAsia="Times New Roman" w:cstheme="minorHAnsi"/>
          <w:kern w:val="0"/>
          <w14:ligatures w14:val="none"/>
        </w:rPr>
        <w:tab/>
        <w:t>Therefore, the only remaining preemption question is whether</w:t>
      </w:r>
      <w:r w:rsidR="00C81219">
        <w:t xml:space="preserve"> </w:t>
      </w:r>
      <w:bookmarkStart w:id="7" w:name="_Hlk152247911"/>
      <w:r w:rsidR="00C81219">
        <w:rPr>
          <w:rFonts w:cstheme="minorHAnsi"/>
        </w:rPr>
        <w:t>§</w:t>
      </w:r>
      <w:r w:rsidR="00C81219">
        <w:t>3011(a)</w:t>
      </w:r>
      <w:bookmarkEnd w:id="7"/>
      <w:r w:rsidR="007E6E63">
        <w:t xml:space="preserve">’s prohibition against acquiring or operating a </w:t>
      </w:r>
      <w:r w:rsidR="00FD5A82">
        <w:t>diesel forklift</w:t>
      </w:r>
      <w:r w:rsidR="006373CF">
        <w:t xml:space="preserve"> to replace a phased-out LSI forklift</w:t>
      </w:r>
      <w:r w:rsidR="00FD5A82">
        <w:t xml:space="preserve"> is a “requirement relating to the control of emissions.”</w:t>
      </w:r>
      <w:r w:rsidR="00E100B1">
        <w:t xml:space="preserve">  If so, CARB cannot apply it to new diesel forklifts under 175 horsepower.  </w:t>
      </w:r>
      <w:r w:rsidR="00007B13">
        <w:t xml:space="preserve">According to the </w:t>
      </w:r>
      <w:r w:rsidR="00011AE0">
        <w:t>ISOR</w:t>
      </w:r>
      <w:r w:rsidR="00007B13">
        <w:t xml:space="preserve">, p. </w:t>
      </w:r>
      <w:r w:rsidR="00CF1AC9">
        <w:t>66, “</w:t>
      </w:r>
      <w:r w:rsidR="00507E3C">
        <w:t>The overarching purpose of the Proposed Regulation is to reduce harmful emissions from forklifts by accelerating the transition to ZEFs throughout the state to reduce emissions of NOx, fine PM, other criteria pollutants, TACs, and GHG.</w:t>
      </w:r>
      <w:r w:rsidR="008365C2">
        <w:t>”</w:t>
      </w:r>
      <w:r w:rsidR="0087540A">
        <w:t xml:space="preserve">  According to </w:t>
      </w:r>
      <w:r w:rsidR="00B67AD1">
        <w:t>Appendix E’s Purpose and Rationale</w:t>
      </w:r>
      <w:r w:rsidR="00C50F43">
        <w:t xml:space="preserve"> for Each Regulatory Provision, </w:t>
      </w:r>
      <w:r w:rsidR="00C355CA">
        <w:t>p.</w:t>
      </w:r>
      <w:r w:rsidR="009777FF">
        <w:t xml:space="preserve"> 10</w:t>
      </w:r>
      <w:r w:rsidR="00C730FA">
        <w:t>4</w:t>
      </w:r>
      <w:r w:rsidR="009777FF">
        <w:t>,</w:t>
      </w:r>
      <w:r w:rsidR="00C355CA">
        <w:t xml:space="preserve"> </w:t>
      </w:r>
      <w:r w:rsidR="00C50F43">
        <w:t xml:space="preserve">the </w:t>
      </w:r>
      <w:r w:rsidR="00C355CA">
        <w:t xml:space="preserve">specific </w:t>
      </w:r>
      <w:r w:rsidR="009A737C">
        <w:t xml:space="preserve">rationale for </w:t>
      </w:r>
      <w:bookmarkStart w:id="8" w:name="_Hlk152248792"/>
      <w:r w:rsidR="009A737C">
        <w:rPr>
          <w:rFonts w:cstheme="minorHAnsi"/>
        </w:rPr>
        <w:t>§</w:t>
      </w:r>
      <w:r w:rsidR="009A737C">
        <w:t xml:space="preserve">3011(a) </w:t>
      </w:r>
      <w:bookmarkEnd w:id="8"/>
      <w:r w:rsidR="00A20F3F">
        <w:t>(</w:t>
      </w:r>
      <w:r w:rsidR="009A737C">
        <w:t>and related provisions</w:t>
      </w:r>
      <w:r w:rsidR="00A20F3F">
        <w:t>)</w:t>
      </w:r>
      <w:r w:rsidR="009A737C">
        <w:t xml:space="preserve"> is as follows:</w:t>
      </w:r>
    </w:p>
    <w:p w14:paraId="1D7874BE" w14:textId="4AB2D985" w:rsidR="00F348C5" w:rsidRDefault="00F348C5" w:rsidP="00F348C5">
      <w:pPr>
        <w:shd w:val="clear" w:color="auto" w:fill="FFFFFF"/>
        <w:spacing w:before="100" w:beforeAutospacing="1" w:after="100" w:afterAutospacing="1" w:line="240" w:lineRule="auto"/>
        <w:ind w:left="720" w:right="720"/>
      </w:pPr>
      <w:r>
        <w:t>These subsections help prevent the replacement of Class IV LSI forklifts of any rated capacity and Class V LSI forklifts of a rated capacity of up to 12,000 pounds with diesel forklifts once the fleet begins to phase out said LSI forklifts. While staff believes such replacements would be unlikely because of the flexibilities the Proposed Regulation would provide and operational considerations, such as indoor air quality, it is possible that some fleets could choose diesel forklifts over zero-emission forklifts. To the extent those replacements occur, the emission benefits of the Proposed Regulation would be reduced. Therefore, staff is proposing this restriction to prevent such replacements.</w:t>
      </w:r>
    </w:p>
    <w:p w14:paraId="0B522677" w14:textId="2EE89E8B" w:rsidR="00C56C74" w:rsidRDefault="00F97F85" w:rsidP="0084081A">
      <w:pPr>
        <w:shd w:val="clear" w:color="auto" w:fill="FFFFFF"/>
        <w:spacing w:before="100" w:beforeAutospacing="1" w:after="100" w:afterAutospacing="1" w:line="360" w:lineRule="auto"/>
      </w:pPr>
      <w:r>
        <w:t xml:space="preserve">Given this record, it seems </w:t>
      </w:r>
      <w:r w:rsidR="00735C79">
        <w:t>obvious</w:t>
      </w:r>
      <w:r>
        <w:t xml:space="preserve"> that the prohibition on replacing LSI forklifts with diesel forklifts is a “requirement relating to </w:t>
      </w:r>
      <w:r w:rsidR="00812D77">
        <w:t>emissions</w:t>
      </w:r>
      <w:r>
        <w:t>.”</w:t>
      </w:r>
      <w:r w:rsidR="00E73760">
        <w:t xml:space="preserve">  As applied to new diesel forklifts under 175 horsepower, it is </w:t>
      </w:r>
      <w:r w:rsidR="00812D77">
        <w:t>preempted</w:t>
      </w:r>
      <w:r w:rsidR="00E73760">
        <w:t>.</w:t>
      </w:r>
      <w:r w:rsidR="0064543F">
        <w:t xml:space="preserve">  CARB can cure this problem by </w:t>
      </w:r>
      <w:r w:rsidR="007A3EB0">
        <w:t>clarifying that</w:t>
      </w:r>
      <w:r w:rsidR="006F29FD">
        <w:t xml:space="preserve"> </w:t>
      </w:r>
      <w:r w:rsidR="007A3EB0">
        <w:rPr>
          <w:rFonts w:cstheme="minorHAnsi"/>
        </w:rPr>
        <w:t>§</w:t>
      </w:r>
      <w:r w:rsidR="007A3EB0">
        <w:t>3011(a)</w:t>
      </w:r>
      <w:r w:rsidR="003D3602">
        <w:t xml:space="preserve"> does not apply to new diesel forklifts under 175 horsepower.</w:t>
      </w:r>
      <w:r w:rsidR="00111D3E">
        <w:rPr>
          <w:rStyle w:val="FootnoteReference"/>
        </w:rPr>
        <w:footnoteReference w:id="10"/>
      </w:r>
      <w:r w:rsidR="007A3EB0">
        <w:t xml:space="preserve"> </w:t>
      </w:r>
    </w:p>
    <w:p w14:paraId="2D170068" w14:textId="77777777" w:rsidR="00C56C74" w:rsidRDefault="00C56C74">
      <w:r>
        <w:br w:type="page"/>
      </w:r>
    </w:p>
    <w:p w14:paraId="105F5F34" w14:textId="29E4D530" w:rsidR="0084081A" w:rsidRDefault="00524C15" w:rsidP="00524C15">
      <w:pPr>
        <w:shd w:val="clear" w:color="auto" w:fill="FFFFFF"/>
        <w:spacing w:before="100" w:beforeAutospacing="1" w:after="100" w:afterAutospacing="1" w:line="360" w:lineRule="auto"/>
        <w:jc w:val="center"/>
        <w:rPr>
          <w:u w:val="single"/>
        </w:rPr>
      </w:pPr>
      <w:r w:rsidRPr="00524C15">
        <w:rPr>
          <w:u w:val="single"/>
        </w:rPr>
        <w:lastRenderedPageBreak/>
        <w:t>MANUFACTURER PRODUCTION AND SALES REPORTING</w:t>
      </w:r>
    </w:p>
    <w:p w14:paraId="2955AF57" w14:textId="7A2B6192" w:rsidR="00524C15" w:rsidRDefault="00910238" w:rsidP="00524C15">
      <w:pPr>
        <w:shd w:val="clear" w:color="auto" w:fill="FFFFFF"/>
        <w:spacing w:before="100" w:beforeAutospacing="1" w:after="100" w:afterAutospacing="1" w:line="360" w:lineRule="auto"/>
      </w:pPr>
      <w:r>
        <w:tab/>
        <w:t xml:space="preserve">Under </w:t>
      </w:r>
      <w:r>
        <w:rPr>
          <w:rFonts w:cstheme="minorHAnsi"/>
        </w:rPr>
        <w:t>§</w:t>
      </w:r>
      <w:r w:rsidR="00DC7D6B">
        <w:t>3005(b) of the Proposed Regulation, manufacturers would be required to submit</w:t>
      </w:r>
      <w:r w:rsidR="00902EBD">
        <w:t xml:space="preserve"> annual production and sales reports under </w:t>
      </w:r>
      <w:r w:rsidR="00902EBD">
        <w:rPr>
          <w:rFonts w:cstheme="minorHAnsi"/>
        </w:rPr>
        <w:t>§</w:t>
      </w:r>
      <w:r w:rsidR="00902EBD">
        <w:t>3009</w:t>
      </w:r>
      <w:r w:rsidR="00665605">
        <w:t>(k)</w:t>
      </w:r>
      <w:r w:rsidR="00227100">
        <w:t>, which requires reporting</w:t>
      </w:r>
      <w:r w:rsidR="00067662">
        <w:t>, for</w:t>
      </w:r>
      <w:r w:rsidR="00662917">
        <w:t xml:space="preserve"> LSI forklifts for</w:t>
      </w:r>
      <w:r w:rsidR="00067662">
        <w:t xml:space="preserve"> the previous calendar year,</w:t>
      </w:r>
      <w:r w:rsidR="00227100">
        <w:t xml:space="preserve"> </w:t>
      </w:r>
      <w:r w:rsidR="000D5EDF">
        <w:t xml:space="preserve">entity information under </w:t>
      </w:r>
      <w:r w:rsidR="000D5EDF">
        <w:rPr>
          <w:rFonts w:cstheme="minorHAnsi"/>
        </w:rPr>
        <w:t>§</w:t>
      </w:r>
      <w:r w:rsidR="002D128E">
        <w:t>3009(b)(1)</w:t>
      </w:r>
      <w:r w:rsidR="00513A8E">
        <w:t>;</w:t>
      </w:r>
      <w:r w:rsidR="002D128E">
        <w:t xml:space="preserve"> </w:t>
      </w:r>
      <w:bookmarkStart w:id="9" w:name="_Hlk152581506"/>
      <w:r w:rsidR="002D128E">
        <w:t xml:space="preserve">forklift information under </w:t>
      </w:r>
      <w:r w:rsidR="002D128E">
        <w:rPr>
          <w:rFonts w:cstheme="minorHAnsi"/>
        </w:rPr>
        <w:t>§</w:t>
      </w:r>
      <w:r w:rsidR="002D128E">
        <w:t>3009(b)(2)</w:t>
      </w:r>
      <w:bookmarkEnd w:id="9"/>
      <w:r w:rsidR="00513A8E">
        <w:t xml:space="preserve">; </w:t>
      </w:r>
      <w:r w:rsidR="00704476">
        <w:t>and the total number of LSI forklifts sold in California or produced for California sale.</w:t>
      </w:r>
      <w:r w:rsidR="002809F4">
        <w:t xml:space="preserve">  ITA </w:t>
      </w:r>
      <w:r w:rsidR="0048289F">
        <w:t>believes</w:t>
      </w:r>
      <w:r w:rsidR="002809F4">
        <w:t xml:space="preserve"> that CARB does not need to </w:t>
      </w:r>
      <w:r w:rsidR="00F35425">
        <w:t>receive</w:t>
      </w:r>
      <w:r w:rsidR="002809F4">
        <w:t xml:space="preserve"> from manufacturers the forklift information</w:t>
      </w:r>
      <w:r w:rsidR="00CE72DE">
        <w:t xml:space="preserve"> </w:t>
      </w:r>
      <w:r w:rsidR="00092BF7">
        <w:t xml:space="preserve">specified </w:t>
      </w:r>
      <w:r w:rsidR="00ED5C0E">
        <w:t xml:space="preserve">under </w:t>
      </w:r>
      <w:r w:rsidR="00ED5C0E">
        <w:rPr>
          <w:rFonts w:cstheme="minorHAnsi"/>
        </w:rPr>
        <w:t>§</w:t>
      </w:r>
      <w:r w:rsidR="00ED5C0E">
        <w:t>3009(b)(2)</w:t>
      </w:r>
      <w:r w:rsidR="00244798">
        <w:t xml:space="preserve"> that is available from other sources</w:t>
      </w:r>
      <w:r w:rsidR="00F35425">
        <w:t xml:space="preserve"> and that CARB should instead require only that forklift manufacturers maintain their records for transmittal to CARB upon request.</w:t>
      </w:r>
      <w:r w:rsidR="00A47F6A">
        <w:t xml:space="preserve">  This approach would ensure that CARB has access to any manufacturer information that it may need, but without imposing an unnecessary burden on manufacturers to affirmatively submit redundant information every year.</w:t>
      </w:r>
    </w:p>
    <w:p w14:paraId="7956C08F" w14:textId="34F96D76" w:rsidR="00B103E6" w:rsidRDefault="00595F38" w:rsidP="00524C15">
      <w:pPr>
        <w:shd w:val="clear" w:color="auto" w:fill="FFFFFF"/>
        <w:spacing w:before="100" w:beforeAutospacing="1" w:after="100" w:afterAutospacing="1" w:line="360" w:lineRule="auto"/>
      </w:pPr>
      <w:r>
        <w:tab/>
        <w:t xml:space="preserve">CARB explains the rationale for </w:t>
      </w:r>
      <w:r w:rsidR="00684D13">
        <w:rPr>
          <w:rFonts w:cstheme="minorHAnsi"/>
        </w:rPr>
        <w:t>§</w:t>
      </w:r>
      <w:r w:rsidR="00684D13">
        <w:t>3009(k) as follows</w:t>
      </w:r>
      <w:r w:rsidR="00C730FA">
        <w:t xml:space="preserve"> (Appendix E, p. 102)</w:t>
      </w:r>
      <w:r w:rsidR="00684D13">
        <w:t>:</w:t>
      </w:r>
    </w:p>
    <w:p w14:paraId="2E9CC811" w14:textId="53CEA90E" w:rsidR="00684D13" w:rsidRPr="00815B8A" w:rsidRDefault="00815B8A" w:rsidP="00815B8A">
      <w:pPr>
        <w:shd w:val="clear" w:color="auto" w:fill="FFFFFF"/>
        <w:spacing w:before="100" w:beforeAutospacing="1" w:after="100" w:afterAutospacing="1" w:line="240" w:lineRule="auto"/>
        <w:ind w:left="720" w:right="720"/>
        <w:rPr>
          <w:rFonts w:cstheme="minorHAnsi"/>
        </w:rPr>
      </w:pPr>
      <w:r w:rsidRPr="00815B8A">
        <w:rPr>
          <w:rFonts w:cstheme="minorHAnsi"/>
          <w:color w:val="000000"/>
        </w:rPr>
        <w:t xml:space="preserve">Forklift information and the total number of LSI forklifts sold in California or produced for California sale would be necessary to verify compliance with the Proposed Regulation as well as monitor the sales volume of Class V LSI forklifts with a rated capacity greater than 12,000 pounds, which would not be subject to the proposed phase-out requirements. </w:t>
      </w:r>
      <w:r w:rsidR="00EA722C">
        <w:rPr>
          <w:rFonts w:cstheme="minorHAnsi"/>
          <w:color w:val="000000"/>
        </w:rPr>
        <w:t xml:space="preserve"> </w:t>
      </w:r>
      <w:r w:rsidRPr="00815B8A">
        <w:rPr>
          <w:rFonts w:cstheme="minorHAnsi"/>
          <w:color w:val="000000"/>
        </w:rPr>
        <w:t>The information on Class V LSI forklifts with a rated capacity greater than 12,000 pounds, in particular, may be used to inform future zero-emission regulations.</w:t>
      </w:r>
    </w:p>
    <w:p w14:paraId="25DFE726" w14:textId="2C4464F1" w:rsidR="00CD374C" w:rsidRDefault="00295320" w:rsidP="00CB5D61">
      <w:pPr>
        <w:pStyle w:val="Default"/>
        <w:spacing w:line="360" w:lineRule="auto"/>
        <w:rPr>
          <w:rFonts w:asciiTheme="minorHAnsi" w:hAnsiTheme="minorHAnsi" w:cstheme="minorHAnsi"/>
          <w:sz w:val="22"/>
          <w:szCs w:val="22"/>
        </w:rPr>
      </w:pPr>
      <w:r>
        <w:tab/>
      </w:r>
      <w:r w:rsidRPr="00CB5D61">
        <w:rPr>
          <w:rFonts w:asciiTheme="minorHAnsi" w:hAnsiTheme="minorHAnsi" w:cstheme="minorHAnsi"/>
          <w:sz w:val="22"/>
          <w:szCs w:val="22"/>
        </w:rPr>
        <w:t xml:space="preserve">Under the </w:t>
      </w:r>
      <w:r w:rsidR="00CB5D61">
        <w:rPr>
          <w:rFonts w:asciiTheme="minorHAnsi" w:hAnsiTheme="minorHAnsi" w:cstheme="minorHAnsi"/>
          <w:sz w:val="22"/>
          <w:szCs w:val="22"/>
        </w:rPr>
        <w:t>P</w:t>
      </w:r>
      <w:r w:rsidRPr="00CB5D61">
        <w:rPr>
          <w:rFonts w:asciiTheme="minorHAnsi" w:hAnsiTheme="minorHAnsi" w:cstheme="minorHAnsi"/>
          <w:sz w:val="22"/>
          <w:szCs w:val="22"/>
        </w:rPr>
        <w:t xml:space="preserve">roposed </w:t>
      </w:r>
      <w:r w:rsidR="00CB5D61">
        <w:rPr>
          <w:rFonts w:asciiTheme="minorHAnsi" w:hAnsiTheme="minorHAnsi" w:cstheme="minorHAnsi"/>
          <w:sz w:val="22"/>
          <w:szCs w:val="22"/>
        </w:rPr>
        <w:t>R</w:t>
      </w:r>
      <w:r w:rsidRPr="00CB5D61">
        <w:rPr>
          <w:rFonts w:asciiTheme="minorHAnsi" w:hAnsiTheme="minorHAnsi" w:cstheme="minorHAnsi"/>
          <w:sz w:val="22"/>
          <w:szCs w:val="22"/>
        </w:rPr>
        <w:t xml:space="preserve">egulation, forklift manufacturers </w:t>
      </w:r>
      <w:r w:rsidR="00D753B1">
        <w:rPr>
          <w:rFonts w:asciiTheme="minorHAnsi" w:hAnsiTheme="minorHAnsi" w:cstheme="minorHAnsi"/>
          <w:sz w:val="22"/>
          <w:szCs w:val="22"/>
        </w:rPr>
        <w:t xml:space="preserve">can </w:t>
      </w:r>
      <w:r w:rsidRPr="00CB5D61">
        <w:rPr>
          <w:rFonts w:asciiTheme="minorHAnsi" w:hAnsiTheme="minorHAnsi" w:cstheme="minorHAnsi"/>
          <w:sz w:val="22"/>
          <w:szCs w:val="22"/>
        </w:rPr>
        <w:t>sell or produc</w:t>
      </w:r>
      <w:r w:rsidR="00D753B1">
        <w:rPr>
          <w:rFonts w:asciiTheme="minorHAnsi" w:hAnsiTheme="minorHAnsi" w:cstheme="minorHAnsi"/>
          <w:sz w:val="22"/>
          <w:szCs w:val="22"/>
        </w:rPr>
        <w:t>e</w:t>
      </w:r>
      <w:r w:rsidRPr="00CB5D61">
        <w:rPr>
          <w:rFonts w:asciiTheme="minorHAnsi" w:hAnsiTheme="minorHAnsi" w:cstheme="minorHAnsi"/>
          <w:sz w:val="22"/>
          <w:szCs w:val="22"/>
        </w:rPr>
        <w:t xml:space="preserve"> for sale only Class 5</w:t>
      </w:r>
      <w:r w:rsidR="00C4184E">
        <w:rPr>
          <w:rFonts w:asciiTheme="minorHAnsi" w:hAnsiTheme="minorHAnsi" w:cstheme="minorHAnsi"/>
          <w:sz w:val="22"/>
          <w:szCs w:val="22"/>
        </w:rPr>
        <w:t xml:space="preserve"> LSI</w:t>
      </w:r>
      <w:r w:rsidRPr="00CB5D61">
        <w:rPr>
          <w:rFonts w:asciiTheme="minorHAnsi" w:hAnsiTheme="minorHAnsi" w:cstheme="minorHAnsi"/>
          <w:sz w:val="22"/>
          <w:szCs w:val="22"/>
        </w:rPr>
        <w:t xml:space="preserve"> forklifts after January 1, 2026.</w:t>
      </w:r>
      <w:r w:rsidR="0048382B" w:rsidRPr="00CB5D61">
        <w:rPr>
          <w:rFonts w:asciiTheme="minorHAnsi" w:hAnsiTheme="minorHAnsi" w:cstheme="minorHAnsi"/>
          <w:sz w:val="22"/>
          <w:szCs w:val="22"/>
        </w:rPr>
        <w:t xml:space="preserve">  For the period January 1, 2026 through December 31, 2028, these forklifts will be divided into two categories: Class 5 forklifts </w:t>
      </w:r>
      <w:bookmarkStart w:id="10" w:name="_Hlk152579456"/>
      <w:r w:rsidR="0048382B" w:rsidRPr="00CB5D61">
        <w:rPr>
          <w:rFonts w:asciiTheme="minorHAnsi" w:hAnsiTheme="minorHAnsi" w:cstheme="minorHAnsi"/>
          <w:sz w:val="22"/>
          <w:szCs w:val="22"/>
        </w:rPr>
        <w:t xml:space="preserve">with </w:t>
      </w:r>
      <w:r w:rsidR="0093698A" w:rsidRPr="00CB5D61">
        <w:rPr>
          <w:rFonts w:asciiTheme="minorHAnsi" w:hAnsiTheme="minorHAnsi" w:cstheme="minorHAnsi"/>
          <w:sz w:val="22"/>
          <w:szCs w:val="22"/>
        </w:rPr>
        <w:t>capacities of</w:t>
      </w:r>
      <w:r w:rsidR="0048382B" w:rsidRPr="00CB5D61">
        <w:rPr>
          <w:rFonts w:asciiTheme="minorHAnsi" w:hAnsiTheme="minorHAnsi" w:cstheme="minorHAnsi"/>
          <w:sz w:val="22"/>
          <w:szCs w:val="22"/>
        </w:rPr>
        <w:t xml:space="preserve"> 12,000 pounds and under </w:t>
      </w:r>
      <w:bookmarkEnd w:id="10"/>
      <w:r w:rsidR="0048382B" w:rsidRPr="00CB5D61">
        <w:rPr>
          <w:rFonts w:asciiTheme="minorHAnsi" w:hAnsiTheme="minorHAnsi" w:cstheme="minorHAnsi"/>
          <w:sz w:val="22"/>
          <w:szCs w:val="22"/>
        </w:rPr>
        <w:t>and Class 5 forklifts with capacities over 12,000 pounds.  After December 31, 2028, manufacturers will sell only</w:t>
      </w:r>
      <w:r w:rsidR="009477F9" w:rsidRPr="00CB5D61">
        <w:rPr>
          <w:rFonts w:asciiTheme="minorHAnsi" w:hAnsiTheme="minorHAnsi" w:cstheme="minorHAnsi"/>
          <w:sz w:val="22"/>
          <w:szCs w:val="22"/>
        </w:rPr>
        <w:t xml:space="preserve"> Class</w:t>
      </w:r>
      <w:r w:rsidR="00A8360A" w:rsidRPr="00CB5D61">
        <w:rPr>
          <w:rFonts w:asciiTheme="minorHAnsi" w:hAnsiTheme="minorHAnsi" w:cstheme="minorHAnsi"/>
          <w:sz w:val="22"/>
          <w:szCs w:val="22"/>
        </w:rPr>
        <w:t xml:space="preserve"> 5</w:t>
      </w:r>
      <w:r w:rsidR="0048382B" w:rsidRPr="00CB5D61">
        <w:rPr>
          <w:rFonts w:asciiTheme="minorHAnsi" w:hAnsiTheme="minorHAnsi" w:cstheme="minorHAnsi"/>
          <w:sz w:val="22"/>
          <w:szCs w:val="22"/>
        </w:rPr>
        <w:t xml:space="preserve"> forklifts in the latter category.</w:t>
      </w:r>
    </w:p>
    <w:p w14:paraId="349E440A" w14:textId="6934E0EC" w:rsidR="00A57848" w:rsidRDefault="005A1503" w:rsidP="00CD374C">
      <w:pPr>
        <w:pStyle w:val="Default"/>
        <w:spacing w:line="360" w:lineRule="auto"/>
        <w:ind w:firstLine="720"/>
        <w:rPr>
          <w:rFonts w:asciiTheme="minorHAnsi" w:hAnsiTheme="minorHAnsi" w:cstheme="minorHAnsi"/>
          <w:sz w:val="22"/>
          <w:szCs w:val="22"/>
        </w:rPr>
      </w:pPr>
      <w:r w:rsidRPr="00CB5D61">
        <w:rPr>
          <w:rFonts w:asciiTheme="minorHAnsi" w:hAnsiTheme="minorHAnsi" w:cstheme="minorHAnsi"/>
          <w:sz w:val="22"/>
          <w:szCs w:val="22"/>
        </w:rPr>
        <w:t>For both</w:t>
      </w:r>
      <w:r w:rsidR="00BA076B" w:rsidRPr="00CB5D61">
        <w:rPr>
          <w:rFonts w:asciiTheme="minorHAnsi" w:hAnsiTheme="minorHAnsi" w:cstheme="minorHAnsi"/>
          <w:sz w:val="22"/>
          <w:szCs w:val="22"/>
        </w:rPr>
        <w:t xml:space="preserve"> categor</w:t>
      </w:r>
      <w:r w:rsidRPr="00CB5D61">
        <w:rPr>
          <w:rFonts w:asciiTheme="minorHAnsi" w:hAnsiTheme="minorHAnsi" w:cstheme="minorHAnsi"/>
          <w:sz w:val="22"/>
          <w:szCs w:val="22"/>
        </w:rPr>
        <w:t>ies</w:t>
      </w:r>
      <w:r w:rsidR="00BA076B" w:rsidRPr="00CB5D61">
        <w:rPr>
          <w:rFonts w:asciiTheme="minorHAnsi" w:hAnsiTheme="minorHAnsi" w:cstheme="minorHAnsi"/>
          <w:sz w:val="22"/>
          <w:szCs w:val="22"/>
        </w:rPr>
        <w:t xml:space="preserve"> of Class 5 forklifts</w:t>
      </w:r>
      <w:r w:rsidRPr="00CB5D61">
        <w:rPr>
          <w:rFonts w:asciiTheme="minorHAnsi" w:hAnsiTheme="minorHAnsi" w:cstheme="minorHAnsi"/>
          <w:sz w:val="22"/>
          <w:szCs w:val="22"/>
        </w:rPr>
        <w:t>, the</w:t>
      </w:r>
      <w:r w:rsidR="00B92179" w:rsidRPr="00CB5D61">
        <w:rPr>
          <w:rFonts w:asciiTheme="minorHAnsi" w:hAnsiTheme="minorHAnsi" w:cstheme="minorHAnsi"/>
          <w:sz w:val="22"/>
          <w:szCs w:val="22"/>
        </w:rPr>
        <w:t xml:space="preserve"> information</w:t>
      </w:r>
      <w:r w:rsidR="001073B0" w:rsidRPr="00CB5D61">
        <w:rPr>
          <w:rFonts w:asciiTheme="minorHAnsi" w:hAnsiTheme="minorHAnsi" w:cstheme="minorHAnsi"/>
          <w:sz w:val="22"/>
          <w:szCs w:val="22"/>
        </w:rPr>
        <w:t xml:space="preserve"> that CARB is seeking from manufacturers</w:t>
      </w:r>
      <w:r w:rsidR="00341442">
        <w:rPr>
          <w:rFonts w:asciiTheme="minorHAnsi" w:hAnsiTheme="minorHAnsi" w:cstheme="minorHAnsi"/>
          <w:sz w:val="22"/>
          <w:szCs w:val="22"/>
        </w:rPr>
        <w:t xml:space="preserve"> under</w:t>
      </w:r>
      <w:r w:rsidR="00341442" w:rsidRPr="00EF3DAE">
        <w:rPr>
          <w:rFonts w:asciiTheme="minorHAnsi" w:hAnsiTheme="minorHAnsi" w:cstheme="minorHAnsi"/>
          <w:sz w:val="22"/>
          <w:szCs w:val="22"/>
        </w:rPr>
        <w:t xml:space="preserve"> §3009(b)(</w:t>
      </w:r>
      <w:r w:rsidR="00341442" w:rsidRPr="00F87E5E">
        <w:rPr>
          <w:rFonts w:asciiTheme="minorHAnsi" w:hAnsiTheme="minorHAnsi" w:cstheme="minorHAnsi"/>
          <w:sz w:val="22"/>
          <w:szCs w:val="22"/>
        </w:rPr>
        <w:t>2</w:t>
      </w:r>
      <w:r w:rsidR="00341442">
        <w:rPr>
          <w:rFonts w:asciiTheme="minorHAnsi" w:hAnsiTheme="minorHAnsi" w:cstheme="minorHAnsi"/>
          <w:sz w:val="22"/>
          <w:szCs w:val="22"/>
        </w:rPr>
        <w:t>)</w:t>
      </w:r>
      <w:r w:rsidR="00ED4399" w:rsidRPr="00CB5D61">
        <w:rPr>
          <w:rFonts w:asciiTheme="minorHAnsi" w:hAnsiTheme="minorHAnsi" w:cstheme="minorHAnsi"/>
          <w:sz w:val="22"/>
          <w:szCs w:val="22"/>
        </w:rPr>
        <w:t xml:space="preserve"> will</w:t>
      </w:r>
      <w:r w:rsidR="001073B0" w:rsidRPr="00CB5D61">
        <w:rPr>
          <w:rFonts w:asciiTheme="minorHAnsi" w:hAnsiTheme="minorHAnsi" w:cstheme="minorHAnsi"/>
          <w:sz w:val="22"/>
          <w:szCs w:val="22"/>
        </w:rPr>
        <w:t xml:space="preserve"> already</w:t>
      </w:r>
      <w:r w:rsidR="00ED4399" w:rsidRPr="00CB5D61">
        <w:rPr>
          <w:rFonts w:asciiTheme="minorHAnsi" w:hAnsiTheme="minorHAnsi" w:cstheme="minorHAnsi"/>
          <w:sz w:val="22"/>
          <w:szCs w:val="22"/>
        </w:rPr>
        <w:t xml:space="preserve"> be available from dealers pursuant to</w:t>
      </w:r>
      <w:r w:rsidR="00483DE2">
        <w:rPr>
          <w:rFonts w:asciiTheme="minorHAnsi" w:hAnsiTheme="minorHAnsi" w:cstheme="minorHAnsi"/>
          <w:sz w:val="22"/>
          <w:szCs w:val="22"/>
        </w:rPr>
        <w:t xml:space="preserve"> §300</w:t>
      </w:r>
      <w:r w:rsidR="009A54CC">
        <w:rPr>
          <w:rFonts w:asciiTheme="minorHAnsi" w:hAnsiTheme="minorHAnsi" w:cstheme="minorHAnsi"/>
          <w:sz w:val="22"/>
          <w:szCs w:val="22"/>
        </w:rPr>
        <w:t>3(c)</w:t>
      </w:r>
      <w:r w:rsidR="00ED5B71" w:rsidRPr="00CB5D61">
        <w:rPr>
          <w:rFonts w:asciiTheme="minorHAnsi" w:hAnsiTheme="minorHAnsi" w:cstheme="minorHAnsi"/>
          <w:sz w:val="22"/>
          <w:szCs w:val="22"/>
        </w:rPr>
        <w:t xml:space="preserve">, which requires dealers to </w:t>
      </w:r>
      <w:r w:rsidR="00CB5D61">
        <w:rPr>
          <w:rFonts w:asciiTheme="minorHAnsi" w:hAnsiTheme="minorHAnsi" w:cstheme="minorHAnsi"/>
          <w:sz w:val="22"/>
          <w:szCs w:val="22"/>
        </w:rPr>
        <w:t>“</w:t>
      </w:r>
      <w:r w:rsidR="00A57848" w:rsidRPr="00CB5D61">
        <w:rPr>
          <w:rFonts w:asciiTheme="minorHAnsi" w:hAnsiTheme="minorHAnsi" w:cstheme="minorHAnsi"/>
          <w:sz w:val="22"/>
          <w:szCs w:val="22"/>
        </w:rPr>
        <w:t>collect and maintain</w:t>
      </w:r>
      <w:r w:rsidR="00DD3757" w:rsidRPr="00CB5D61">
        <w:rPr>
          <w:rFonts w:asciiTheme="minorHAnsi" w:hAnsiTheme="minorHAnsi" w:cstheme="minorHAnsi"/>
          <w:sz w:val="22"/>
          <w:szCs w:val="22"/>
        </w:rPr>
        <w:t xml:space="preserve"> </w:t>
      </w:r>
      <w:r w:rsidR="00A57848" w:rsidRPr="00CB5D61">
        <w:rPr>
          <w:rFonts w:asciiTheme="minorHAnsi" w:hAnsiTheme="minorHAnsi" w:cstheme="minorHAnsi"/>
          <w:sz w:val="22"/>
          <w:szCs w:val="22"/>
        </w:rPr>
        <w:t>information and documentation of each sale or lease of an LSI Forklift for a</w:t>
      </w:r>
      <w:r w:rsidR="00DD3757" w:rsidRPr="00CB5D61">
        <w:rPr>
          <w:rFonts w:asciiTheme="minorHAnsi" w:hAnsiTheme="minorHAnsi" w:cstheme="minorHAnsi"/>
          <w:sz w:val="22"/>
          <w:szCs w:val="22"/>
        </w:rPr>
        <w:t xml:space="preserve"> </w:t>
      </w:r>
      <w:r w:rsidR="00A57848" w:rsidRPr="00CB5D61">
        <w:rPr>
          <w:rFonts w:asciiTheme="minorHAnsi" w:hAnsiTheme="minorHAnsi" w:cstheme="minorHAnsi"/>
          <w:sz w:val="22"/>
          <w:szCs w:val="22"/>
        </w:rPr>
        <w:t>minimum of five years following the transaction</w:t>
      </w:r>
      <w:r w:rsidR="00B91D39">
        <w:rPr>
          <w:rFonts w:asciiTheme="minorHAnsi" w:hAnsiTheme="minorHAnsi" w:cstheme="minorHAnsi"/>
          <w:sz w:val="22"/>
          <w:szCs w:val="22"/>
        </w:rPr>
        <w:t>.</w:t>
      </w:r>
      <w:r w:rsidR="00CB5D61">
        <w:rPr>
          <w:rFonts w:asciiTheme="minorHAnsi" w:hAnsiTheme="minorHAnsi" w:cstheme="minorHAnsi"/>
          <w:sz w:val="22"/>
          <w:szCs w:val="22"/>
        </w:rPr>
        <w:t>”</w:t>
      </w:r>
      <w:r w:rsidR="00B91D39">
        <w:rPr>
          <w:rFonts w:asciiTheme="minorHAnsi" w:hAnsiTheme="minorHAnsi" w:cstheme="minorHAnsi"/>
          <w:sz w:val="22"/>
          <w:szCs w:val="22"/>
        </w:rPr>
        <w:t xml:space="preserve">  This information</w:t>
      </w:r>
      <w:r w:rsidR="00F551E7">
        <w:rPr>
          <w:rFonts w:asciiTheme="minorHAnsi" w:hAnsiTheme="minorHAnsi" w:cstheme="minorHAnsi"/>
          <w:sz w:val="22"/>
          <w:szCs w:val="22"/>
        </w:rPr>
        <w:t xml:space="preserve"> must inc</w:t>
      </w:r>
      <w:r w:rsidR="0037405B">
        <w:rPr>
          <w:rFonts w:asciiTheme="minorHAnsi" w:hAnsiTheme="minorHAnsi" w:cstheme="minorHAnsi"/>
          <w:sz w:val="22"/>
          <w:szCs w:val="22"/>
        </w:rPr>
        <w:t>lude the model year, model, manufacturer, rated capacity</w:t>
      </w:r>
      <w:r w:rsidR="00E1489C">
        <w:rPr>
          <w:rFonts w:asciiTheme="minorHAnsi" w:hAnsiTheme="minorHAnsi" w:cstheme="minorHAnsi"/>
          <w:sz w:val="22"/>
          <w:szCs w:val="22"/>
        </w:rPr>
        <w:t>, and serial number of the forklift</w:t>
      </w:r>
      <w:r w:rsidR="0017557F">
        <w:rPr>
          <w:rFonts w:asciiTheme="minorHAnsi" w:hAnsiTheme="minorHAnsi" w:cstheme="minorHAnsi"/>
          <w:sz w:val="22"/>
          <w:szCs w:val="22"/>
        </w:rPr>
        <w:t>.  Although the list does not include</w:t>
      </w:r>
      <w:r w:rsidR="00B91D39">
        <w:rPr>
          <w:rFonts w:asciiTheme="minorHAnsi" w:hAnsiTheme="minorHAnsi" w:cstheme="minorHAnsi"/>
          <w:sz w:val="22"/>
          <w:szCs w:val="22"/>
        </w:rPr>
        <w:t xml:space="preserve"> engine information,</w:t>
      </w:r>
      <w:r w:rsidR="00B34E6C">
        <w:rPr>
          <w:rFonts w:asciiTheme="minorHAnsi" w:hAnsiTheme="minorHAnsi" w:cstheme="minorHAnsi"/>
          <w:sz w:val="22"/>
          <w:szCs w:val="22"/>
        </w:rPr>
        <w:t xml:space="preserve"> which is</w:t>
      </w:r>
      <w:r w:rsidR="004E3C6D">
        <w:rPr>
          <w:rFonts w:asciiTheme="minorHAnsi" w:hAnsiTheme="minorHAnsi" w:cstheme="minorHAnsi"/>
          <w:sz w:val="22"/>
          <w:szCs w:val="22"/>
        </w:rPr>
        <w:t xml:space="preserve"> included in</w:t>
      </w:r>
      <w:r w:rsidR="00B34E6C">
        <w:rPr>
          <w:rFonts w:asciiTheme="minorHAnsi" w:hAnsiTheme="minorHAnsi" w:cstheme="minorHAnsi"/>
          <w:sz w:val="22"/>
          <w:szCs w:val="22"/>
        </w:rPr>
        <w:t xml:space="preserve"> “forklift information” </w:t>
      </w:r>
      <w:bookmarkStart w:id="11" w:name="_Hlk152581697"/>
      <w:r w:rsidR="00B34E6C" w:rsidRPr="00EF3DAE">
        <w:rPr>
          <w:rFonts w:asciiTheme="minorHAnsi" w:hAnsiTheme="minorHAnsi" w:cstheme="minorHAnsi"/>
          <w:sz w:val="22"/>
          <w:szCs w:val="22"/>
        </w:rPr>
        <w:t>under §3009(b)(</w:t>
      </w:r>
      <w:r w:rsidR="00B34E6C" w:rsidRPr="00F87E5E">
        <w:rPr>
          <w:rFonts w:asciiTheme="minorHAnsi" w:hAnsiTheme="minorHAnsi" w:cstheme="minorHAnsi"/>
          <w:sz w:val="22"/>
          <w:szCs w:val="22"/>
        </w:rPr>
        <w:t>2</w:t>
      </w:r>
      <w:r w:rsidR="00F87E5E">
        <w:rPr>
          <w:rFonts w:asciiTheme="minorHAnsi" w:hAnsiTheme="minorHAnsi" w:cstheme="minorHAnsi"/>
          <w:sz w:val="22"/>
          <w:szCs w:val="22"/>
        </w:rPr>
        <w:t>)</w:t>
      </w:r>
      <w:bookmarkEnd w:id="11"/>
      <w:r w:rsidR="00F87E5E">
        <w:rPr>
          <w:rFonts w:asciiTheme="minorHAnsi" w:hAnsiTheme="minorHAnsi" w:cstheme="minorHAnsi"/>
          <w:sz w:val="22"/>
          <w:szCs w:val="22"/>
        </w:rPr>
        <w:t>, the engine</w:t>
      </w:r>
      <w:r w:rsidR="00B91D39">
        <w:rPr>
          <w:rFonts w:asciiTheme="minorHAnsi" w:hAnsiTheme="minorHAnsi" w:cstheme="minorHAnsi"/>
          <w:sz w:val="22"/>
          <w:szCs w:val="22"/>
        </w:rPr>
        <w:t xml:space="preserve"> information will be readily available from the same dealer records</w:t>
      </w:r>
      <w:r w:rsidR="00CE3A08">
        <w:rPr>
          <w:rFonts w:asciiTheme="minorHAnsi" w:hAnsiTheme="minorHAnsi" w:cstheme="minorHAnsi"/>
          <w:sz w:val="22"/>
          <w:szCs w:val="22"/>
        </w:rPr>
        <w:t xml:space="preserve"> (or could be added to </w:t>
      </w:r>
      <w:r w:rsidR="00910A76" w:rsidRPr="00CB5D61">
        <w:rPr>
          <w:rFonts w:asciiTheme="minorHAnsi" w:hAnsiTheme="minorHAnsi" w:cstheme="minorHAnsi"/>
          <w:sz w:val="22"/>
          <w:szCs w:val="22"/>
        </w:rPr>
        <w:t>§3003(c)</w:t>
      </w:r>
      <w:r w:rsidR="00B34E6C">
        <w:rPr>
          <w:rFonts w:asciiTheme="minorHAnsi" w:hAnsiTheme="minorHAnsi" w:cstheme="minorHAnsi"/>
          <w:sz w:val="22"/>
          <w:szCs w:val="22"/>
        </w:rPr>
        <w:t>)</w:t>
      </w:r>
      <w:r w:rsidR="00236F0F">
        <w:rPr>
          <w:rFonts w:asciiTheme="minorHAnsi" w:hAnsiTheme="minorHAnsi" w:cstheme="minorHAnsi"/>
          <w:sz w:val="22"/>
          <w:szCs w:val="22"/>
        </w:rPr>
        <w:t>.</w:t>
      </w:r>
      <w:r w:rsidR="00835B07">
        <w:rPr>
          <w:rFonts w:asciiTheme="minorHAnsi" w:hAnsiTheme="minorHAnsi" w:cstheme="minorHAnsi"/>
          <w:sz w:val="22"/>
          <w:szCs w:val="22"/>
        </w:rPr>
        <w:t xml:space="preserve">  </w:t>
      </w:r>
      <w:r w:rsidR="00D545B8">
        <w:rPr>
          <w:rFonts w:asciiTheme="minorHAnsi" w:hAnsiTheme="minorHAnsi" w:cstheme="minorHAnsi"/>
          <w:sz w:val="22"/>
          <w:szCs w:val="22"/>
        </w:rPr>
        <w:t>When it comes to enforcement, the</w:t>
      </w:r>
      <w:r w:rsidR="00C34983">
        <w:rPr>
          <w:rFonts w:asciiTheme="minorHAnsi" w:hAnsiTheme="minorHAnsi" w:cstheme="minorHAnsi"/>
          <w:sz w:val="22"/>
          <w:szCs w:val="22"/>
        </w:rPr>
        <w:t xml:space="preserve"> California</w:t>
      </w:r>
      <w:r w:rsidR="00D545B8">
        <w:rPr>
          <w:rFonts w:asciiTheme="minorHAnsi" w:hAnsiTheme="minorHAnsi" w:cstheme="minorHAnsi"/>
          <w:sz w:val="22"/>
          <w:szCs w:val="22"/>
        </w:rPr>
        <w:t xml:space="preserve"> dealers</w:t>
      </w:r>
      <w:r w:rsidR="00C34983">
        <w:rPr>
          <w:rFonts w:asciiTheme="minorHAnsi" w:hAnsiTheme="minorHAnsi" w:cstheme="minorHAnsi"/>
          <w:sz w:val="22"/>
          <w:szCs w:val="22"/>
        </w:rPr>
        <w:t>’</w:t>
      </w:r>
      <w:r w:rsidR="00D545B8">
        <w:rPr>
          <w:rFonts w:asciiTheme="minorHAnsi" w:hAnsiTheme="minorHAnsi" w:cstheme="minorHAnsi"/>
          <w:sz w:val="22"/>
          <w:szCs w:val="22"/>
        </w:rPr>
        <w:t xml:space="preserve"> sales and lease records will be more relevant than the</w:t>
      </w:r>
      <w:r w:rsidR="00C34983">
        <w:rPr>
          <w:rFonts w:asciiTheme="minorHAnsi" w:hAnsiTheme="minorHAnsi" w:cstheme="minorHAnsi"/>
          <w:sz w:val="22"/>
          <w:szCs w:val="22"/>
        </w:rPr>
        <w:t xml:space="preserve"> out-of-state</w:t>
      </w:r>
      <w:r w:rsidR="00D545B8">
        <w:rPr>
          <w:rFonts w:asciiTheme="minorHAnsi" w:hAnsiTheme="minorHAnsi" w:cstheme="minorHAnsi"/>
          <w:sz w:val="22"/>
          <w:szCs w:val="22"/>
        </w:rPr>
        <w:t xml:space="preserve"> manufacturers’ shipment records</w:t>
      </w:r>
      <w:r w:rsidR="00F362EC">
        <w:rPr>
          <w:rFonts w:asciiTheme="minorHAnsi" w:hAnsiTheme="minorHAnsi" w:cstheme="minorHAnsi"/>
          <w:sz w:val="22"/>
          <w:szCs w:val="22"/>
        </w:rPr>
        <w:t xml:space="preserve"> because the dealers are closest to the point of </w:t>
      </w:r>
      <w:r w:rsidR="00F362EC">
        <w:rPr>
          <w:rFonts w:asciiTheme="minorHAnsi" w:hAnsiTheme="minorHAnsi" w:cstheme="minorHAnsi"/>
          <w:sz w:val="22"/>
          <w:szCs w:val="22"/>
        </w:rPr>
        <w:lastRenderedPageBreak/>
        <w:t>ultimate sale and</w:t>
      </w:r>
      <w:r w:rsidR="00B14340">
        <w:rPr>
          <w:rFonts w:asciiTheme="minorHAnsi" w:hAnsiTheme="minorHAnsi" w:cstheme="minorHAnsi"/>
          <w:sz w:val="22"/>
          <w:szCs w:val="22"/>
        </w:rPr>
        <w:t xml:space="preserve"> the actual</w:t>
      </w:r>
      <w:r w:rsidR="00F362EC">
        <w:rPr>
          <w:rFonts w:asciiTheme="minorHAnsi" w:hAnsiTheme="minorHAnsi" w:cstheme="minorHAnsi"/>
          <w:sz w:val="22"/>
          <w:szCs w:val="22"/>
        </w:rPr>
        <w:t xml:space="preserve"> use of any forklift</w:t>
      </w:r>
      <w:r w:rsidR="003149C0">
        <w:rPr>
          <w:rFonts w:asciiTheme="minorHAnsi" w:hAnsiTheme="minorHAnsi" w:cstheme="minorHAnsi"/>
          <w:sz w:val="22"/>
          <w:szCs w:val="22"/>
        </w:rPr>
        <w:t xml:space="preserve"> about which CARB enforcement personnel may need to inquire.</w:t>
      </w:r>
      <w:r w:rsidR="00887837">
        <w:rPr>
          <w:rFonts w:asciiTheme="minorHAnsi" w:hAnsiTheme="minorHAnsi" w:cstheme="minorHAnsi"/>
          <w:sz w:val="22"/>
          <w:szCs w:val="22"/>
        </w:rPr>
        <w:t xml:space="preserve">  If there is</w:t>
      </w:r>
      <w:r w:rsidR="00352163">
        <w:rPr>
          <w:rFonts w:asciiTheme="minorHAnsi" w:hAnsiTheme="minorHAnsi" w:cstheme="minorHAnsi"/>
          <w:sz w:val="22"/>
          <w:szCs w:val="22"/>
        </w:rPr>
        <w:t xml:space="preserve"> any</w:t>
      </w:r>
      <w:r w:rsidR="00887837">
        <w:rPr>
          <w:rFonts w:asciiTheme="minorHAnsi" w:hAnsiTheme="minorHAnsi" w:cstheme="minorHAnsi"/>
          <w:sz w:val="22"/>
          <w:szCs w:val="22"/>
        </w:rPr>
        <w:t xml:space="preserve"> reason that the dealer’s records do not yield some information that the manufacturer may possess, which </w:t>
      </w:r>
      <w:r w:rsidR="00997B34">
        <w:rPr>
          <w:rFonts w:asciiTheme="minorHAnsi" w:hAnsiTheme="minorHAnsi" w:cstheme="minorHAnsi"/>
          <w:sz w:val="22"/>
          <w:szCs w:val="22"/>
        </w:rPr>
        <w:t>seems unlikely,</w:t>
      </w:r>
      <w:r w:rsidR="00887837">
        <w:rPr>
          <w:rFonts w:asciiTheme="minorHAnsi" w:hAnsiTheme="minorHAnsi" w:cstheme="minorHAnsi"/>
          <w:sz w:val="22"/>
          <w:szCs w:val="22"/>
        </w:rPr>
        <w:t xml:space="preserve"> CARB can then contact the manufacturer for that information.</w:t>
      </w:r>
    </w:p>
    <w:p w14:paraId="09767905" w14:textId="64EB996E" w:rsidR="00CF3DC4" w:rsidRDefault="00CF3DC4" w:rsidP="00CD374C">
      <w:pPr>
        <w:pStyle w:val="Default"/>
        <w:spacing w:line="360" w:lineRule="auto"/>
        <w:ind w:firstLine="720"/>
        <w:rPr>
          <w:rFonts w:asciiTheme="minorHAnsi" w:hAnsiTheme="minorHAnsi" w:cstheme="minorHAnsi"/>
          <w:sz w:val="22"/>
          <w:szCs w:val="22"/>
        </w:rPr>
      </w:pPr>
      <w:r>
        <w:rPr>
          <w:rFonts w:asciiTheme="minorHAnsi" w:hAnsiTheme="minorHAnsi" w:cstheme="minorHAnsi"/>
          <w:sz w:val="22"/>
          <w:szCs w:val="22"/>
        </w:rPr>
        <w:t>For heavy Class 5</w:t>
      </w:r>
      <w:r w:rsidR="00CF4E27">
        <w:rPr>
          <w:rFonts w:asciiTheme="minorHAnsi" w:hAnsiTheme="minorHAnsi" w:cstheme="minorHAnsi"/>
          <w:sz w:val="22"/>
          <w:szCs w:val="22"/>
        </w:rPr>
        <w:t xml:space="preserve"> LSI</w:t>
      </w:r>
      <w:r>
        <w:rPr>
          <w:rFonts w:asciiTheme="minorHAnsi" w:hAnsiTheme="minorHAnsi" w:cstheme="minorHAnsi"/>
          <w:sz w:val="22"/>
          <w:szCs w:val="22"/>
        </w:rPr>
        <w:t xml:space="preserve"> forklifts, </w:t>
      </w:r>
      <w:r w:rsidR="008F11A7">
        <w:rPr>
          <w:rFonts w:asciiTheme="minorHAnsi" w:hAnsiTheme="minorHAnsi" w:cstheme="minorHAnsi"/>
          <w:sz w:val="22"/>
          <w:szCs w:val="22"/>
        </w:rPr>
        <w:t xml:space="preserve">which CARB </w:t>
      </w:r>
      <w:r w:rsidR="000E4F9C">
        <w:rPr>
          <w:rFonts w:asciiTheme="minorHAnsi" w:hAnsiTheme="minorHAnsi" w:cstheme="minorHAnsi"/>
          <w:sz w:val="22"/>
          <w:szCs w:val="22"/>
        </w:rPr>
        <w:t>emphasizes</w:t>
      </w:r>
      <w:r w:rsidR="008F11A7">
        <w:rPr>
          <w:rFonts w:asciiTheme="minorHAnsi" w:hAnsiTheme="minorHAnsi" w:cstheme="minorHAnsi"/>
          <w:sz w:val="22"/>
          <w:szCs w:val="22"/>
        </w:rPr>
        <w:t xml:space="preserve"> in its </w:t>
      </w:r>
      <w:r w:rsidR="00FB19D9">
        <w:rPr>
          <w:rFonts w:asciiTheme="minorHAnsi" w:hAnsiTheme="minorHAnsi" w:cstheme="minorHAnsi"/>
          <w:sz w:val="22"/>
          <w:szCs w:val="22"/>
        </w:rPr>
        <w:t xml:space="preserve">Purpose and </w:t>
      </w:r>
      <w:r w:rsidR="00507CEB">
        <w:rPr>
          <w:rFonts w:asciiTheme="minorHAnsi" w:hAnsiTheme="minorHAnsi" w:cstheme="minorHAnsi"/>
          <w:sz w:val="22"/>
          <w:szCs w:val="22"/>
        </w:rPr>
        <w:t xml:space="preserve">the </w:t>
      </w:r>
      <w:r w:rsidR="00FB19D9">
        <w:rPr>
          <w:rFonts w:asciiTheme="minorHAnsi" w:hAnsiTheme="minorHAnsi" w:cstheme="minorHAnsi"/>
          <w:sz w:val="22"/>
          <w:szCs w:val="22"/>
        </w:rPr>
        <w:t xml:space="preserve">Rationale </w:t>
      </w:r>
      <w:r w:rsidR="003607AD">
        <w:rPr>
          <w:rFonts w:asciiTheme="minorHAnsi" w:hAnsiTheme="minorHAnsi" w:cstheme="minorHAnsi"/>
          <w:sz w:val="22"/>
          <w:szCs w:val="22"/>
        </w:rPr>
        <w:t>discussion</w:t>
      </w:r>
      <w:r w:rsidR="00FB19D9">
        <w:rPr>
          <w:rFonts w:asciiTheme="minorHAnsi" w:hAnsiTheme="minorHAnsi" w:cstheme="minorHAnsi"/>
          <w:sz w:val="22"/>
          <w:szCs w:val="22"/>
        </w:rPr>
        <w:t>,</w:t>
      </w:r>
      <w:r w:rsidR="00507CEB">
        <w:rPr>
          <w:rFonts w:asciiTheme="minorHAnsi" w:hAnsiTheme="minorHAnsi" w:cstheme="minorHAnsi"/>
          <w:sz w:val="22"/>
          <w:szCs w:val="22"/>
        </w:rPr>
        <w:t xml:space="preserve"> the Proposed Regulation contains</w:t>
      </w:r>
      <w:r w:rsidR="009D3D3C">
        <w:rPr>
          <w:rFonts w:asciiTheme="minorHAnsi" w:hAnsiTheme="minorHAnsi" w:cstheme="minorHAnsi"/>
          <w:sz w:val="22"/>
          <w:szCs w:val="22"/>
        </w:rPr>
        <w:t xml:space="preserve"> another reporting provision,</w:t>
      </w:r>
      <w:r w:rsidR="00507CEB">
        <w:rPr>
          <w:rFonts w:asciiTheme="minorHAnsi" w:hAnsiTheme="minorHAnsi" w:cstheme="minorHAnsi"/>
          <w:sz w:val="22"/>
          <w:szCs w:val="22"/>
        </w:rPr>
        <w:t xml:space="preserve"> </w:t>
      </w:r>
      <w:r w:rsidR="00541F97">
        <w:rPr>
          <w:rFonts w:asciiTheme="minorHAnsi" w:hAnsiTheme="minorHAnsi" w:cstheme="minorHAnsi"/>
          <w:sz w:val="22"/>
          <w:szCs w:val="22"/>
        </w:rPr>
        <w:t xml:space="preserve">§3009(h), </w:t>
      </w:r>
      <w:r w:rsidR="00FF0FF0">
        <w:rPr>
          <w:rFonts w:asciiTheme="minorHAnsi" w:hAnsiTheme="minorHAnsi" w:cstheme="minorHAnsi"/>
          <w:sz w:val="22"/>
          <w:szCs w:val="22"/>
        </w:rPr>
        <w:t>which requires fleets to submit both Initial and Annual Reports t</w:t>
      </w:r>
      <w:r w:rsidR="00C81503">
        <w:rPr>
          <w:rFonts w:asciiTheme="minorHAnsi" w:hAnsiTheme="minorHAnsi" w:cstheme="minorHAnsi"/>
          <w:sz w:val="22"/>
          <w:szCs w:val="22"/>
        </w:rPr>
        <w:t>hat cover each heavy Class 5 forklift</w:t>
      </w:r>
      <w:r w:rsidR="00A0515A">
        <w:rPr>
          <w:rFonts w:asciiTheme="minorHAnsi" w:hAnsiTheme="minorHAnsi" w:cstheme="minorHAnsi"/>
          <w:sz w:val="22"/>
          <w:szCs w:val="22"/>
        </w:rPr>
        <w:t>, including the same “forklift information” being sought from manufacturers.</w:t>
      </w:r>
      <w:r w:rsidR="00C36EC9">
        <w:rPr>
          <w:rStyle w:val="FootnoteReference"/>
          <w:rFonts w:asciiTheme="minorHAnsi" w:hAnsiTheme="minorHAnsi" w:cstheme="minorHAnsi"/>
          <w:sz w:val="22"/>
          <w:szCs w:val="22"/>
        </w:rPr>
        <w:footnoteReference w:id="11"/>
      </w:r>
      <w:r w:rsidR="0019615A">
        <w:rPr>
          <w:rFonts w:asciiTheme="minorHAnsi" w:hAnsiTheme="minorHAnsi" w:cstheme="minorHAnsi"/>
          <w:sz w:val="22"/>
          <w:szCs w:val="22"/>
        </w:rPr>
        <w:t xml:space="preserve">  </w:t>
      </w:r>
      <w:r w:rsidR="00A501C4">
        <w:rPr>
          <w:rFonts w:asciiTheme="minorHAnsi" w:hAnsiTheme="minorHAnsi" w:cstheme="minorHAnsi"/>
          <w:sz w:val="22"/>
          <w:szCs w:val="22"/>
        </w:rPr>
        <w:t>In fact, the fleet submissions</w:t>
      </w:r>
      <w:r w:rsidR="0058239A">
        <w:rPr>
          <w:rFonts w:asciiTheme="minorHAnsi" w:hAnsiTheme="minorHAnsi" w:cstheme="minorHAnsi"/>
          <w:sz w:val="22"/>
          <w:szCs w:val="22"/>
        </w:rPr>
        <w:t xml:space="preserve"> compared to the manufacturer submissions</w:t>
      </w:r>
      <w:r w:rsidR="00A501C4">
        <w:rPr>
          <w:rFonts w:asciiTheme="minorHAnsi" w:hAnsiTheme="minorHAnsi" w:cstheme="minorHAnsi"/>
          <w:sz w:val="22"/>
          <w:szCs w:val="22"/>
        </w:rPr>
        <w:t xml:space="preserve"> </w:t>
      </w:r>
      <w:r w:rsidR="00C74B25">
        <w:rPr>
          <w:rFonts w:asciiTheme="minorHAnsi" w:hAnsiTheme="minorHAnsi" w:cstheme="minorHAnsi"/>
          <w:sz w:val="22"/>
          <w:szCs w:val="22"/>
        </w:rPr>
        <w:t>would be</w:t>
      </w:r>
      <w:r w:rsidR="00A501C4">
        <w:rPr>
          <w:rFonts w:asciiTheme="minorHAnsi" w:hAnsiTheme="minorHAnsi" w:cstheme="minorHAnsi"/>
          <w:sz w:val="22"/>
          <w:szCs w:val="22"/>
        </w:rPr>
        <w:t xml:space="preserve"> substantially more informative because they include </w:t>
      </w:r>
      <w:r w:rsidR="00350C76">
        <w:rPr>
          <w:rFonts w:asciiTheme="minorHAnsi" w:hAnsiTheme="minorHAnsi" w:cstheme="minorHAnsi"/>
          <w:sz w:val="22"/>
          <w:szCs w:val="22"/>
        </w:rPr>
        <w:t>the forklift’s “[p]rimary location operating address,” which the manufacturer is unlikely to know</w:t>
      </w:r>
      <w:r w:rsidR="00AC1411">
        <w:rPr>
          <w:rFonts w:asciiTheme="minorHAnsi" w:hAnsiTheme="minorHAnsi" w:cstheme="minorHAnsi"/>
          <w:sz w:val="22"/>
          <w:szCs w:val="22"/>
        </w:rPr>
        <w:t xml:space="preserve"> in many cases</w:t>
      </w:r>
      <w:r w:rsidR="00350C76">
        <w:rPr>
          <w:rFonts w:asciiTheme="minorHAnsi" w:hAnsiTheme="minorHAnsi" w:cstheme="minorHAnsi"/>
          <w:sz w:val="22"/>
          <w:szCs w:val="22"/>
        </w:rPr>
        <w:t>.</w:t>
      </w:r>
      <w:r w:rsidR="004D3336">
        <w:rPr>
          <w:rFonts w:asciiTheme="minorHAnsi" w:hAnsiTheme="minorHAnsi" w:cstheme="minorHAnsi"/>
          <w:sz w:val="22"/>
          <w:szCs w:val="22"/>
        </w:rPr>
        <w:t xml:space="preserve">  For the most part, however, the information from the manufacturer would be duplicative.  I</w:t>
      </w:r>
      <w:r w:rsidR="001E4AC0">
        <w:rPr>
          <w:rFonts w:asciiTheme="minorHAnsi" w:hAnsiTheme="minorHAnsi" w:cstheme="minorHAnsi"/>
          <w:sz w:val="22"/>
          <w:szCs w:val="22"/>
        </w:rPr>
        <w:t>n the occasional instance where</w:t>
      </w:r>
      <w:r w:rsidR="004D3336">
        <w:rPr>
          <w:rFonts w:asciiTheme="minorHAnsi" w:hAnsiTheme="minorHAnsi" w:cstheme="minorHAnsi"/>
          <w:sz w:val="22"/>
          <w:szCs w:val="22"/>
        </w:rPr>
        <w:t xml:space="preserve"> CARB </w:t>
      </w:r>
      <w:r w:rsidR="001E4AC0">
        <w:rPr>
          <w:rFonts w:asciiTheme="minorHAnsi" w:hAnsiTheme="minorHAnsi" w:cstheme="minorHAnsi"/>
          <w:sz w:val="22"/>
          <w:szCs w:val="22"/>
        </w:rPr>
        <w:t xml:space="preserve">may </w:t>
      </w:r>
      <w:r w:rsidR="004D3336">
        <w:rPr>
          <w:rFonts w:asciiTheme="minorHAnsi" w:hAnsiTheme="minorHAnsi" w:cstheme="minorHAnsi"/>
          <w:sz w:val="22"/>
          <w:szCs w:val="22"/>
        </w:rPr>
        <w:t>need to confirm something through the manufacturer’s</w:t>
      </w:r>
      <w:r w:rsidR="00195045">
        <w:rPr>
          <w:rFonts w:asciiTheme="minorHAnsi" w:hAnsiTheme="minorHAnsi" w:cstheme="minorHAnsi"/>
          <w:sz w:val="22"/>
          <w:szCs w:val="22"/>
        </w:rPr>
        <w:t xml:space="preserve"> sales</w:t>
      </w:r>
      <w:r w:rsidR="004D3336">
        <w:rPr>
          <w:rFonts w:asciiTheme="minorHAnsi" w:hAnsiTheme="minorHAnsi" w:cstheme="minorHAnsi"/>
          <w:sz w:val="22"/>
          <w:szCs w:val="22"/>
        </w:rPr>
        <w:t xml:space="preserve"> records </w:t>
      </w:r>
      <w:r w:rsidR="00195045">
        <w:rPr>
          <w:rFonts w:asciiTheme="minorHAnsi" w:hAnsiTheme="minorHAnsi" w:cstheme="minorHAnsi"/>
          <w:sz w:val="22"/>
          <w:szCs w:val="22"/>
        </w:rPr>
        <w:t>for</w:t>
      </w:r>
      <w:r w:rsidR="004D3336">
        <w:rPr>
          <w:rFonts w:asciiTheme="minorHAnsi" w:hAnsiTheme="minorHAnsi" w:cstheme="minorHAnsi"/>
          <w:sz w:val="22"/>
          <w:szCs w:val="22"/>
        </w:rPr>
        <w:t xml:space="preserve"> heavy Class 5 </w:t>
      </w:r>
      <w:r w:rsidR="00195045">
        <w:rPr>
          <w:rFonts w:asciiTheme="minorHAnsi" w:hAnsiTheme="minorHAnsi" w:cstheme="minorHAnsi"/>
          <w:sz w:val="22"/>
          <w:szCs w:val="22"/>
        </w:rPr>
        <w:t>forklifts</w:t>
      </w:r>
      <w:r w:rsidR="004D3336">
        <w:rPr>
          <w:rFonts w:asciiTheme="minorHAnsi" w:hAnsiTheme="minorHAnsi" w:cstheme="minorHAnsi"/>
          <w:sz w:val="22"/>
          <w:szCs w:val="22"/>
        </w:rPr>
        <w:t>, those records will be available</w:t>
      </w:r>
      <w:r w:rsidR="001E4AC0">
        <w:rPr>
          <w:rFonts w:asciiTheme="minorHAnsi" w:hAnsiTheme="minorHAnsi" w:cstheme="minorHAnsi"/>
          <w:sz w:val="22"/>
          <w:szCs w:val="22"/>
        </w:rPr>
        <w:t>, but there is no reason to require</w:t>
      </w:r>
      <w:r w:rsidR="00835471">
        <w:rPr>
          <w:rFonts w:asciiTheme="minorHAnsi" w:hAnsiTheme="minorHAnsi" w:cstheme="minorHAnsi"/>
          <w:sz w:val="22"/>
          <w:szCs w:val="22"/>
        </w:rPr>
        <w:t xml:space="preserve"> their submission every year.</w:t>
      </w:r>
    </w:p>
    <w:p w14:paraId="0DD3796B" w14:textId="522EF611" w:rsidR="00481B82" w:rsidRDefault="00F7300F" w:rsidP="00CD374C">
      <w:pPr>
        <w:pStyle w:val="Default"/>
        <w:spacing w:line="360" w:lineRule="auto"/>
        <w:ind w:firstLine="720"/>
        <w:rPr>
          <w:rFonts w:asciiTheme="minorHAnsi" w:hAnsiTheme="minorHAnsi" w:cstheme="minorHAnsi"/>
          <w:sz w:val="22"/>
          <w:szCs w:val="22"/>
        </w:rPr>
      </w:pPr>
      <w:r>
        <w:rPr>
          <w:rFonts w:asciiTheme="minorHAnsi" w:hAnsiTheme="minorHAnsi" w:cstheme="minorHAnsi"/>
          <w:sz w:val="22"/>
          <w:szCs w:val="22"/>
        </w:rPr>
        <w:t xml:space="preserve">Thus, whether the rationale is enforcement or </w:t>
      </w:r>
      <w:r w:rsidR="00865826">
        <w:rPr>
          <w:rFonts w:asciiTheme="minorHAnsi" w:hAnsiTheme="minorHAnsi" w:cstheme="minorHAnsi"/>
          <w:sz w:val="22"/>
          <w:szCs w:val="22"/>
        </w:rPr>
        <w:t>evaluating the presence of heavy Class 5</w:t>
      </w:r>
      <w:r w:rsidR="0075575A">
        <w:rPr>
          <w:rFonts w:asciiTheme="minorHAnsi" w:hAnsiTheme="minorHAnsi" w:cstheme="minorHAnsi"/>
          <w:sz w:val="22"/>
          <w:szCs w:val="22"/>
        </w:rPr>
        <w:t xml:space="preserve"> LSI</w:t>
      </w:r>
      <w:r w:rsidR="00865826">
        <w:rPr>
          <w:rFonts w:asciiTheme="minorHAnsi" w:hAnsiTheme="minorHAnsi" w:cstheme="minorHAnsi"/>
          <w:sz w:val="22"/>
          <w:szCs w:val="22"/>
        </w:rPr>
        <w:t xml:space="preserve"> forklifts for</w:t>
      </w:r>
      <w:r w:rsidR="00965B1D">
        <w:rPr>
          <w:rFonts w:asciiTheme="minorHAnsi" w:hAnsiTheme="minorHAnsi" w:cstheme="minorHAnsi"/>
          <w:sz w:val="22"/>
          <w:szCs w:val="22"/>
        </w:rPr>
        <w:t xml:space="preserve"> purposes of</w:t>
      </w:r>
      <w:r w:rsidR="00865826">
        <w:rPr>
          <w:rFonts w:asciiTheme="minorHAnsi" w:hAnsiTheme="minorHAnsi" w:cstheme="minorHAnsi"/>
          <w:sz w:val="22"/>
          <w:szCs w:val="22"/>
        </w:rPr>
        <w:t xml:space="preserve"> future rulemaking, CARB will gain no additional benefit by requiring forklift manufacturers to submit detailed information for every forklift they produce for California.</w:t>
      </w:r>
      <w:r w:rsidR="007D07C6">
        <w:rPr>
          <w:rFonts w:asciiTheme="minorHAnsi" w:hAnsiTheme="minorHAnsi" w:cstheme="minorHAnsi"/>
          <w:sz w:val="22"/>
          <w:szCs w:val="22"/>
        </w:rPr>
        <w:t xml:space="preserve">  </w:t>
      </w:r>
      <w:r w:rsidR="000D2B9F">
        <w:rPr>
          <w:rFonts w:asciiTheme="minorHAnsi" w:hAnsiTheme="minorHAnsi" w:cstheme="minorHAnsi"/>
          <w:sz w:val="22"/>
          <w:szCs w:val="22"/>
        </w:rPr>
        <w:t>It is reasonable to require m</w:t>
      </w:r>
      <w:r w:rsidR="007D07C6">
        <w:rPr>
          <w:rFonts w:asciiTheme="minorHAnsi" w:hAnsiTheme="minorHAnsi" w:cstheme="minorHAnsi"/>
          <w:sz w:val="22"/>
          <w:szCs w:val="22"/>
        </w:rPr>
        <w:t>anufacturers</w:t>
      </w:r>
      <w:r w:rsidR="000D2B9F">
        <w:rPr>
          <w:rFonts w:asciiTheme="minorHAnsi" w:hAnsiTheme="minorHAnsi" w:cstheme="minorHAnsi"/>
          <w:sz w:val="22"/>
          <w:szCs w:val="22"/>
        </w:rPr>
        <w:t xml:space="preserve"> to</w:t>
      </w:r>
      <w:r w:rsidR="007D07C6">
        <w:rPr>
          <w:rFonts w:asciiTheme="minorHAnsi" w:hAnsiTheme="minorHAnsi" w:cstheme="minorHAnsi"/>
          <w:sz w:val="22"/>
          <w:szCs w:val="22"/>
        </w:rPr>
        <w:t xml:space="preserve"> provide entity information</w:t>
      </w:r>
      <w:r w:rsidR="000D2B9F">
        <w:rPr>
          <w:rFonts w:asciiTheme="minorHAnsi" w:hAnsiTheme="minorHAnsi" w:cstheme="minorHAnsi"/>
          <w:sz w:val="22"/>
          <w:szCs w:val="22"/>
        </w:rPr>
        <w:t xml:space="preserve"> under §3009(k)(1)</w:t>
      </w:r>
      <w:r w:rsidR="006602E3">
        <w:rPr>
          <w:rFonts w:asciiTheme="minorHAnsi" w:hAnsiTheme="minorHAnsi" w:cstheme="minorHAnsi"/>
          <w:sz w:val="22"/>
          <w:szCs w:val="22"/>
        </w:rPr>
        <w:t xml:space="preserve"> so that CARB will have all relevant contact information.  </w:t>
      </w:r>
      <w:r w:rsidR="00142BB5">
        <w:rPr>
          <w:rFonts w:asciiTheme="minorHAnsi" w:hAnsiTheme="minorHAnsi" w:cstheme="minorHAnsi"/>
          <w:sz w:val="22"/>
          <w:szCs w:val="22"/>
        </w:rPr>
        <w:t>Manufacturers</w:t>
      </w:r>
      <w:r w:rsidR="006602E3">
        <w:rPr>
          <w:rFonts w:asciiTheme="minorHAnsi" w:hAnsiTheme="minorHAnsi" w:cstheme="minorHAnsi"/>
          <w:sz w:val="22"/>
          <w:szCs w:val="22"/>
        </w:rPr>
        <w:t xml:space="preserve"> can also inform</w:t>
      </w:r>
      <w:r w:rsidR="00F2272F">
        <w:rPr>
          <w:rFonts w:asciiTheme="minorHAnsi" w:hAnsiTheme="minorHAnsi" w:cstheme="minorHAnsi"/>
          <w:sz w:val="22"/>
          <w:szCs w:val="22"/>
        </w:rPr>
        <w:t xml:space="preserve"> </w:t>
      </w:r>
      <w:r w:rsidR="00797840">
        <w:rPr>
          <w:rFonts w:asciiTheme="minorHAnsi" w:hAnsiTheme="minorHAnsi" w:cstheme="minorHAnsi"/>
          <w:sz w:val="22"/>
          <w:szCs w:val="22"/>
        </w:rPr>
        <w:t>CARB of the total number of</w:t>
      </w:r>
      <w:r w:rsidR="00EB586C">
        <w:rPr>
          <w:rFonts w:asciiTheme="minorHAnsi" w:hAnsiTheme="minorHAnsi" w:cstheme="minorHAnsi"/>
          <w:sz w:val="22"/>
          <w:szCs w:val="22"/>
        </w:rPr>
        <w:t xml:space="preserve"> LSI forklifts sold or produced for sale</w:t>
      </w:r>
      <w:r w:rsidR="000D2B9F">
        <w:rPr>
          <w:rFonts w:asciiTheme="minorHAnsi" w:hAnsiTheme="minorHAnsi" w:cstheme="minorHAnsi"/>
          <w:sz w:val="22"/>
          <w:szCs w:val="22"/>
        </w:rPr>
        <w:t xml:space="preserve"> in California for the previous year under §</w:t>
      </w:r>
      <w:r w:rsidR="00404D13">
        <w:rPr>
          <w:rFonts w:asciiTheme="minorHAnsi" w:hAnsiTheme="minorHAnsi" w:cstheme="minorHAnsi"/>
          <w:sz w:val="22"/>
          <w:szCs w:val="22"/>
        </w:rPr>
        <w:t xml:space="preserve">3009(k)(3), </w:t>
      </w:r>
      <w:r w:rsidR="003E512A">
        <w:rPr>
          <w:rFonts w:asciiTheme="minorHAnsi" w:hAnsiTheme="minorHAnsi" w:cstheme="minorHAnsi"/>
          <w:sz w:val="22"/>
          <w:szCs w:val="22"/>
        </w:rPr>
        <w:t>to</w:t>
      </w:r>
      <w:r w:rsidR="00404D13">
        <w:rPr>
          <w:rFonts w:asciiTheme="minorHAnsi" w:hAnsiTheme="minorHAnsi" w:cstheme="minorHAnsi"/>
          <w:sz w:val="22"/>
          <w:szCs w:val="22"/>
        </w:rPr>
        <w:t xml:space="preserve"> assist in </w:t>
      </w:r>
      <w:r w:rsidR="00C23D64">
        <w:rPr>
          <w:rFonts w:asciiTheme="minorHAnsi" w:hAnsiTheme="minorHAnsi" w:cstheme="minorHAnsi"/>
          <w:sz w:val="22"/>
          <w:szCs w:val="22"/>
        </w:rPr>
        <w:t>various CARB analyses.</w:t>
      </w:r>
      <w:r w:rsidR="00E90EC5">
        <w:rPr>
          <w:rFonts w:asciiTheme="minorHAnsi" w:hAnsiTheme="minorHAnsi" w:cstheme="minorHAnsi"/>
          <w:sz w:val="22"/>
          <w:szCs w:val="22"/>
        </w:rPr>
        <w:t xml:space="preserve">  As for the detailed forklift information in</w:t>
      </w:r>
      <w:r w:rsidR="00615976">
        <w:rPr>
          <w:rFonts w:asciiTheme="minorHAnsi" w:hAnsiTheme="minorHAnsi" w:cstheme="minorHAnsi"/>
          <w:sz w:val="22"/>
          <w:szCs w:val="22"/>
        </w:rPr>
        <w:t xml:space="preserve"> §3009(k)(2)</w:t>
      </w:r>
      <w:r w:rsidR="00C15783">
        <w:rPr>
          <w:rFonts w:asciiTheme="minorHAnsi" w:hAnsiTheme="minorHAnsi" w:cstheme="minorHAnsi"/>
          <w:sz w:val="22"/>
          <w:szCs w:val="22"/>
        </w:rPr>
        <w:t xml:space="preserve">, the Proposed Regulation should require that manufacturers retain the information in </w:t>
      </w:r>
      <w:r w:rsidR="002F0172">
        <w:rPr>
          <w:rFonts w:asciiTheme="minorHAnsi" w:hAnsiTheme="minorHAnsi" w:cstheme="minorHAnsi"/>
          <w:sz w:val="22"/>
          <w:szCs w:val="22"/>
        </w:rPr>
        <w:t>case</w:t>
      </w:r>
      <w:r w:rsidR="00C15783">
        <w:rPr>
          <w:rFonts w:asciiTheme="minorHAnsi" w:hAnsiTheme="minorHAnsi" w:cstheme="minorHAnsi"/>
          <w:sz w:val="22"/>
          <w:szCs w:val="22"/>
        </w:rPr>
        <w:t xml:space="preserve"> CARB requests </w:t>
      </w:r>
      <w:r w:rsidR="00DA64B6">
        <w:rPr>
          <w:rFonts w:asciiTheme="minorHAnsi" w:hAnsiTheme="minorHAnsi" w:cstheme="minorHAnsi"/>
          <w:sz w:val="22"/>
          <w:szCs w:val="22"/>
        </w:rPr>
        <w:t>it but</w:t>
      </w:r>
      <w:r w:rsidR="00C15783">
        <w:rPr>
          <w:rFonts w:asciiTheme="minorHAnsi" w:hAnsiTheme="minorHAnsi" w:cstheme="minorHAnsi"/>
          <w:sz w:val="22"/>
          <w:szCs w:val="22"/>
        </w:rPr>
        <w:t xml:space="preserve"> should not require that it be submitted annually.</w:t>
      </w:r>
    </w:p>
    <w:p w14:paraId="79F6FED4" w14:textId="77777777" w:rsidR="00481B82" w:rsidRDefault="00481B82" w:rsidP="00CD374C">
      <w:pPr>
        <w:pStyle w:val="Default"/>
        <w:spacing w:line="360" w:lineRule="auto"/>
        <w:ind w:firstLine="720"/>
        <w:rPr>
          <w:rFonts w:asciiTheme="minorHAnsi" w:hAnsiTheme="minorHAnsi" w:cstheme="minorHAnsi"/>
          <w:sz w:val="22"/>
          <w:szCs w:val="22"/>
        </w:rPr>
      </w:pPr>
    </w:p>
    <w:p w14:paraId="2E5A71CD" w14:textId="59A1F7D5" w:rsidR="00F7300F" w:rsidRDefault="00481B82" w:rsidP="00481B82">
      <w:pPr>
        <w:pStyle w:val="Default"/>
        <w:spacing w:line="360" w:lineRule="auto"/>
        <w:ind w:firstLine="720"/>
        <w:jc w:val="center"/>
        <w:rPr>
          <w:rFonts w:asciiTheme="minorHAnsi" w:hAnsiTheme="minorHAnsi" w:cstheme="minorHAnsi"/>
          <w:sz w:val="22"/>
          <w:szCs w:val="22"/>
          <w:u w:val="single"/>
        </w:rPr>
      </w:pPr>
      <w:r w:rsidRPr="00481B82">
        <w:rPr>
          <w:rFonts w:asciiTheme="minorHAnsi" w:hAnsiTheme="minorHAnsi" w:cstheme="minorHAnsi"/>
          <w:sz w:val="22"/>
          <w:szCs w:val="22"/>
          <w:u w:val="single"/>
        </w:rPr>
        <w:t>CONCLUSION</w:t>
      </w:r>
    </w:p>
    <w:p w14:paraId="5E41190A" w14:textId="77777777" w:rsidR="00352163" w:rsidRDefault="00D92FFF" w:rsidP="00481B82">
      <w:pPr>
        <w:pStyle w:val="Default"/>
        <w:spacing w:line="360" w:lineRule="auto"/>
        <w:ind w:firstLine="720"/>
        <w:rPr>
          <w:rFonts w:asciiTheme="minorHAnsi" w:hAnsiTheme="minorHAnsi" w:cstheme="minorHAnsi"/>
          <w:sz w:val="22"/>
          <w:szCs w:val="22"/>
        </w:rPr>
      </w:pPr>
      <w:r>
        <w:rPr>
          <w:rFonts w:asciiTheme="minorHAnsi" w:hAnsiTheme="minorHAnsi" w:cstheme="minorHAnsi"/>
          <w:sz w:val="22"/>
          <w:szCs w:val="22"/>
        </w:rPr>
        <w:t>ITA appreciates CARB’s consideration of these comments</w:t>
      </w:r>
      <w:r w:rsidR="00352163">
        <w:rPr>
          <w:rFonts w:asciiTheme="minorHAnsi" w:hAnsiTheme="minorHAnsi" w:cstheme="minorHAnsi"/>
          <w:sz w:val="22"/>
          <w:szCs w:val="22"/>
        </w:rPr>
        <w:t>.  Any questions or requests for additional information should be directed to:</w:t>
      </w:r>
    </w:p>
    <w:p w14:paraId="68268965" w14:textId="77777777" w:rsidR="00352163" w:rsidRDefault="00352163" w:rsidP="00C15561">
      <w:pPr>
        <w:pStyle w:val="Default"/>
        <w:ind w:firstLine="720"/>
        <w:rPr>
          <w:rFonts w:asciiTheme="minorHAnsi" w:hAnsiTheme="minorHAnsi" w:cstheme="minorHAnsi"/>
          <w:sz w:val="22"/>
          <w:szCs w:val="22"/>
        </w:rPr>
      </w:pPr>
      <w:r>
        <w:rPr>
          <w:rFonts w:asciiTheme="minorHAnsi" w:hAnsiTheme="minorHAnsi" w:cstheme="minorHAnsi"/>
          <w:sz w:val="22"/>
          <w:szCs w:val="22"/>
        </w:rPr>
        <w:t>Gary Cross</w:t>
      </w:r>
    </w:p>
    <w:p w14:paraId="797CC990" w14:textId="77777777" w:rsidR="00352163" w:rsidRDefault="00352163" w:rsidP="00C15561">
      <w:pPr>
        <w:pStyle w:val="Default"/>
        <w:ind w:firstLine="720"/>
        <w:rPr>
          <w:rFonts w:asciiTheme="minorHAnsi" w:hAnsiTheme="minorHAnsi" w:cstheme="minorHAnsi"/>
          <w:sz w:val="22"/>
          <w:szCs w:val="22"/>
        </w:rPr>
      </w:pPr>
      <w:r>
        <w:rPr>
          <w:rFonts w:asciiTheme="minorHAnsi" w:hAnsiTheme="minorHAnsi" w:cstheme="minorHAnsi"/>
          <w:sz w:val="22"/>
          <w:szCs w:val="22"/>
        </w:rPr>
        <w:t>Dunaway &amp; Cross, Counsel to the Industrial Truck Association</w:t>
      </w:r>
    </w:p>
    <w:p w14:paraId="735953BF" w14:textId="77777777" w:rsidR="00352163" w:rsidRDefault="00352163" w:rsidP="00C15561">
      <w:pPr>
        <w:pStyle w:val="Default"/>
        <w:ind w:firstLine="720"/>
        <w:rPr>
          <w:rFonts w:asciiTheme="minorHAnsi" w:hAnsiTheme="minorHAnsi" w:cstheme="minorHAnsi"/>
          <w:sz w:val="22"/>
          <w:szCs w:val="22"/>
        </w:rPr>
      </w:pPr>
      <w:r>
        <w:rPr>
          <w:rFonts w:asciiTheme="minorHAnsi" w:hAnsiTheme="minorHAnsi" w:cstheme="minorHAnsi"/>
          <w:sz w:val="22"/>
          <w:szCs w:val="22"/>
        </w:rPr>
        <w:t>202-415-0540</w:t>
      </w:r>
    </w:p>
    <w:p w14:paraId="49557F53" w14:textId="5D6BED6D" w:rsidR="00437814" w:rsidRPr="00437814" w:rsidRDefault="00E566E8" w:rsidP="0056151E">
      <w:pPr>
        <w:pStyle w:val="Default"/>
        <w:ind w:firstLine="720"/>
        <w:rPr>
          <w:rFonts w:cstheme="minorHAnsi"/>
        </w:rPr>
      </w:pPr>
      <w:hyperlink r:id="rId10" w:history="1">
        <w:r w:rsidR="00C15561" w:rsidRPr="00C110FD">
          <w:rPr>
            <w:rStyle w:val="Hyperlink"/>
            <w:rFonts w:asciiTheme="minorHAnsi" w:hAnsiTheme="minorHAnsi" w:cstheme="minorHAnsi"/>
            <w:sz w:val="22"/>
            <w:szCs w:val="22"/>
          </w:rPr>
          <w:t>Gcross27103@earthlink.net</w:t>
        </w:r>
      </w:hyperlink>
      <w:r w:rsidR="00FD5A82">
        <w:t xml:space="preserve"> </w:t>
      </w:r>
      <w:bookmarkStart w:id="12" w:name="e_1_B"/>
      <w:bookmarkEnd w:id="12"/>
      <w:r w:rsidR="00EB0D46">
        <w:t>8060</w:t>
      </w:r>
    </w:p>
    <w:sectPr w:rsidR="00437814" w:rsidRPr="00437814" w:rsidSect="002864F2">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7A56" w14:textId="77777777" w:rsidR="001544C3" w:rsidRDefault="001544C3" w:rsidP="00AA62FB">
      <w:pPr>
        <w:spacing w:after="0" w:line="240" w:lineRule="auto"/>
      </w:pPr>
      <w:r>
        <w:separator/>
      </w:r>
    </w:p>
  </w:endnote>
  <w:endnote w:type="continuationSeparator" w:id="0">
    <w:p w14:paraId="62FC4A6F" w14:textId="77777777" w:rsidR="001544C3" w:rsidRDefault="001544C3" w:rsidP="00AA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58411"/>
      <w:docPartObj>
        <w:docPartGallery w:val="Page Numbers (Bottom of Page)"/>
        <w:docPartUnique/>
      </w:docPartObj>
    </w:sdtPr>
    <w:sdtEndPr>
      <w:rPr>
        <w:noProof/>
      </w:rPr>
    </w:sdtEndPr>
    <w:sdtContent>
      <w:p w14:paraId="0DDA6774" w14:textId="31F5D473" w:rsidR="003E7A0B" w:rsidRDefault="003E7A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3B069" w14:textId="77777777" w:rsidR="003E7A0B" w:rsidRDefault="003E7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3426" w14:textId="77777777" w:rsidR="001544C3" w:rsidRDefault="001544C3" w:rsidP="00AA62FB">
      <w:pPr>
        <w:spacing w:after="0" w:line="240" w:lineRule="auto"/>
      </w:pPr>
      <w:r>
        <w:separator/>
      </w:r>
    </w:p>
  </w:footnote>
  <w:footnote w:type="continuationSeparator" w:id="0">
    <w:p w14:paraId="7387420C" w14:textId="77777777" w:rsidR="001544C3" w:rsidRDefault="001544C3" w:rsidP="00AA62FB">
      <w:pPr>
        <w:spacing w:after="0" w:line="240" w:lineRule="auto"/>
      </w:pPr>
      <w:r>
        <w:continuationSeparator/>
      </w:r>
    </w:p>
  </w:footnote>
  <w:footnote w:id="1">
    <w:p w14:paraId="7ECC8FEC" w14:textId="58B492ED" w:rsidR="000B66A0" w:rsidRPr="001650B7" w:rsidRDefault="000B66A0">
      <w:pPr>
        <w:pStyle w:val="FootnoteText"/>
        <w:rPr>
          <w:sz w:val="22"/>
          <w:szCs w:val="22"/>
        </w:rPr>
      </w:pPr>
      <w:r w:rsidRPr="001650B7">
        <w:rPr>
          <w:rStyle w:val="FootnoteReference"/>
          <w:sz w:val="22"/>
          <w:szCs w:val="22"/>
        </w:rPr>
        <w:footnoteRef/>
      </w:r>
      <w:r w:rsidRPr="001650B7">
        <w:rPr>
          <w:sz w:val="22"/>
          <w:szCs w:val="22"/>
        </w:rPr>
        <w:t xml:space="preserve"> </w:t>
      </w:r>
      <w:r w:rsidR="00AF3D69" w:rsidRPr="001650B7">
        <w:rPr>
          <w:sz w:val="22"/>
          <w:szCs w:val="22"/>
        </w:rPr>
        <w:t xml:space="preserve">ITA uses </w:t>
      </w:r>
      <w:r w:rsidR="00AD4872" w:rsidRPr="001650B7">
        <w:rPr>
          <w:sz w:val="22"/>
          <w:szCs w:val="22"/>
        </w:rPr>
        <w:t xml:space="preserve">English numbers rather than </w:t>
      </w:r>
      <w:r w:rsidR="00F04551" w:rsidRPr="001650B7">
        <w:rPr>
          <w:sz w:val="22"/>
          <w:szCs w:val="22"/>
        </w:rPr>
        <w:t>R</w:t>
      </w:r>
      <w:r w:rsidR="00AD4872" w:rsidRPr="001650B7">
        <w:rPr>
          <w:sz w:val="22"/>
          <w:szCs w:val="22"/>
        </w:rPr>
        <w:t xml:space="preserve">oman </w:t>
      </w:r>
      <w:r w:rsidR="00CA0A35" w:rsidRPr="001650B7">
        <w:rPr>
          <w:sz w:val="22"/>
          <w:szCs w:val="22"/>
        </w:rPr>
        <w:t>n</w:t>
      </w:r>
      <w:r w:rsidR="00AD4872" w:rsidRPr="001650B7">
        <w:rPr>
          <w:sz w:val="22"/>
          <w:szCs w:val="22"/>
        </w:rPr>
        <w:t>umerals to designate forklift classes</w:t>
      </w:r>
      <w:r w:rsidR="00683285" w:rsidRPr="001650B7">
        <w:rPr>
          <w:sz w:val="22"/>
          <w:szCs w:val="22"/>
        </w:rPr>
        <w:t xml:space="preserve"> in these comments</w:t>
      </w:r>
      <w:r w:rsidR="00AD4872" w:rsidRPr="001650B7">
        <w:rPr>
          <w:sz w:val="22"/>
          <w:szCs w:val="22"/>
        </w:rPr>
        <w:t>.</w:t>
      </w:r>
      <w:r w:rsidR="00A447DE" w:rsidRPr="001650B7">
        <w:rPr>
          <w:sz w:val="22"/>
          <w:szCs w:val="22"/>
        </w:rPr>
        <w:t xml:space="preserve">  </w:t>
      </w:r>
      <w:r w:rsidR="00683285" w:rsidRPr="001650B7">
        <w:rPr>
          <w:sz w:val="22"/>
          <w:szCs w:val="22"/>
        </w:rPr>
        <w:t>(</w:t>
      </w:r>
      <w:r w:rsidR="00A447DE" w:rsidRPr="001650B7">
        <w:rPr>
          <w:sz w:val="22"/>
          <w:szCs w:val="22"/>
        </w:rPr>
        <w:t xml:space="preserve">Contrary to the </w:t>
      </w:r>
      <w:r w:rsidR="00B95665">
        <w:rPr>
          <w:sz w:val="22"/>
          <w:szCs w:val="22"/>
        </w:rPr>
        <w:t>ISOR</w:t>
      </w:r>
      <w:r w:rsidR="00683285" w:rsidRPr="001650B7">
        <w:rPr>
          <w:sz w:val="22"/>
          <w:szCs w:val="22"/>
        </w:rPr>
        <w:t xml:space="preserve">, </w:t>
      </w:r>
      <w:r w:rsidR="00A447DE" w:rsidRPr="001650B7">
        <w:rPr>
          <w:sz w:val="22"/>
          <w:szCs w:val="22"/>
        </w:rPr>
        <w:t>p. 5, the forklift classification system predates OSHA, who</w:t>
      </w:r>
      <w:r w:rsidR="00CA0A35" w:rsidRPr="001650B7">
        <w:rPr>
          <w:sz w:val="22"/>
          <w:szCs w:val="22"/>
        </w:rPr>
        <w:t xml:space="preserve"> adopted it from ITA.</w:t>
      </w:r>
      <w:r w:rsidR="001650B7" w:rsidRPr="001650B7">
        <w:rPr>
          <w:sz w:val="22"/>
          <w:szCs w:val="22"/>
        </w:rPr>
        <w:t>)</w:t>
      </w:r>
    </w:p>
  </w:footnote>
  <w:footnote w:id="2">
    <w:p w14:paraId="7AA05BB6" w14:textId="476C01D6" w:rsidR="00AA62FB" w:rsidRDefault="00AA62FB" w:rsidP="00811A11">
      <w:pPr>
        <w:spacing w:line="240" w:lineRule="auto"/>
        <w:rPr>
          <w:rFonts w:cstheme="minorHAnsi"/>
        </w:rPr>
      </w:pPr>
      <w:r>
        <w:rPr>
          <w:rStyle w:val="FootnoteReference"/>
        </w:rPr>
        <w:footnoteRef/>
      </w:r>
      <w:r w:rsidR="00F94FD8">
        <w:t>A</w:t>
      </w:r>
      <w:r w:rsidR="00F94FD8">
        <w:rPr>
          <w:rFonts w:cstheme="minorHAnsi"/>
        </w:rPr>
        <w:t xml:space="preserve"> non-ITA member listed </w:t>
      </w:r>
      <w:r w:rsidR="008F29D9">
        <w:rPr>
          <w:rFonts w:cstheme="minorHAnsi"/>
        </w:rPr>
        <w:t>on CARB’s ZEF spreadsheet</w:t>
      </w:r>
      <w:r w:rsidR="00F94FD8">
        <w:rPr>
          <w:rFonts w:cstheme="minorHAnsi"/>
        </w:rPr>
        <w:t xml:space="preserve"> </w:t>
      </w:r>
      <w:r>
        <w:rPr>
          <w:rFonts w:cstheme="minorHAnsi"/>
        </w:rPr>
        <w:t xml:space="preserve">appears to manufacture one 13,000-pound capacity electric model and one 15,000-pound capacity electric model that may </w:t>
      </w:r>
      <w:r w:rsidR="002E5EC0">
        <w:rPr>
          <w:rFonts w:cstheme="minorHAnsi"/>
        </w:rPr>
        <w:t>be available with</w:t>
      </w:r>
      <w:r>
        <w:rPr>
          <w:rFonts w:cstheme="minorHAnsi"/>
        </w:rPr>
        <w:t xml:space="preserve"> optional cushion tires</w:t>
      </w:r>
      <w:r w:rsidR="008C58DA">
        <w:rPr>
          <w:rFonts w:cstheme="minorHAnsi"/>
        </w:rPr>
        <w:t>.</w:t>
      </w:r>
      <w:r>
        <w:rPr>
          <w:rFonts w:cstheme="minorHAnsi"/>
        </w:rPr>
        <w:t xml:space="preserve">  </w:t>
      </w:r>
      <w:r w:rsidR="003830A7">
        <w:rPr>
          <w:rFonts w:cstheme="minorHAnsi"/>
        </w:rPr>
        <w:t xml:space="preserve">Even </w:t>
      </w:r>
      <w:r w:rsidR="002C47E6">
        <w:rPr>
          <w:rFonts w:cstheme="minorHAnsi"/>
        </w:rPr>
        <w:t>if so</w:t>
      </w:r>
      <w:r w:rsidR="003830A7">
        <w:rPr>
          <w:rFonts w:cstheme="minorHAnsi"/>
        </w:rPr>
        <w:t>, w</w:t>
      </w:r>
      <w:r>
        <w:rPr>
          <w:rFonts w:cstheme="minorHAnsi"/>
        </w:rPr>
        <w:t>hether</w:t>
      </w:r>
      <w:r w:rsidR="00BD2E2E">
        <w:rPr>
          <w:rFonts w:cstheme="minorHAnsi"/>
        </w:rPr>
        <w:t xml:space="preserve"> either of</w:t>
      </w:r>
      <w:r>
        <w:rPr>
          <w:rFonts w:cstheme="minorHAnsi"/>
        </w:rPr>
        <w:t xml:space="preserve"> these models could </w:t>
      </w:r>
      <w:r w:rsidR="00DD144B">
        <w:rPr>
          <w:rFonts w:cstheme="minorHAnsi"/>
        </w:rPr>
        <w:t>replace</w:t>
      </w:r>
      <w:r>
        <w:rPr>
          <w:rFonts w:cstheme="minorHAnsi"/>
        </w:rPr>
        <w:t xml:space="preserve"> Class 4</w:t>
      </w:r>
      <w:r w:rsidR="004E68F9">
        <w:rPr>
          <w:rFonts w:cstheme="minorHAnsi"/>
        </w:rPr>
        <w:t xml:space="preserve"> LSI</w:t>
      </w:r>
      <w:r>
        <w:rPr>
          <w:rFonts w:cstheme="minorHAnsi"/>
        </w:rPr>
        <w:t xml:space="preserve"> forklifts</w:t>
      </w:r>
      <w:r w:rsidR="00D91A94">
        <w:rPr>
          <w:rFonts w:cstheme="minorHAnsi"/>
        </w:rPr>
        <w:t xml:space="preserve"> considering their dimensions and maneuverability </w:t>
      </w:r>
      <w:r w:rsidR="00FA74A4">
        <w:rPr>
          <w:rFonts w:cstheme="minorHAnsi"/>
        </w:rPr>
        <w:t>would require further evaluation,</w:t>
      </w:r>
      <w:r w:rsidR="009918E1">
        <w:rPr>
          <w:rFonts w:cstheme="minorHAnsi"/>
        </w:rPr>
        <w:t xml:space="preserve"> including a detailed comparison of length, width</w:t>
      </w:r>
      <w:r w:rsidR="000003E4">
        <w:rPr>
          <w:rFonts w:cstheme="minorHAnsi"/>
        </w:rPr>
        <w:t>,</w:t>
      </w:r>
      <w:r w:rsidR="009918E1">
        <w:rPr>
          <w:rFonts w:cstheme="minorHAnsi"/>
        </w:rPr>
        <w:t xml:space="preserve"> height</w:t>
      </w:r>
      <w:r w:rsidR="007B61AC">
        <w:rPr>
          <w:rFonts w:cstheme="minorHAnsi"/>
        </w:rPr>
        <w:t>,</w:t>
      </w:r>
      <w:r w:rsidR="000003E4">
        <w:rPr>
          <w:rFonts w:cstheme="minorHAnsi"/>
        </w:rPr>
        <w:t xml:space="preserve"> and turning radius</w:t>
      </w:r>
      <w:r w:rsidR="009918E1">
        <w:rPr>
          <w:rFonts w:cstheme="minorHAnsi"/>
        </w:rPr>
        <w:t xml:space="preserve"> specifications</w:t>
      </w:r>
      <w:r w:rsidR="004C39CC">
        <w:rPr>
          <w:rFonts w:cstheme="minorHAnsi"/>
        </w:rPr>
        <w:t>.</w:t>
      </w:r>
      <w:r w:rsidR="00C818E0">
        <w:rPr>
          <w:rFonts w:cstheme="minorHAnsi"/>
        </w:rPr>
        <w:t xml:space="preserve">  There is no indication that CARB has evaluated these factors</w:t>
      </w:r>
      <w:r w:rsidR="00BE7092">
        <w:rPr>
          <w:rFonts w:cstheme="minorHAnsi"/>
        </w:rPr>
        <w:t xml:space="preserve"> or </w:t>
      </w:r>
      <w:r w:rsidR="00C818E0">
        <w:rPr>
          <w:rFonts w:cstheme="minorHAnsi"/>
        </w:rPr>
        <w:t>that th</w:t>
      </w:r>
      <w:r w:rsidR="00176290">
        <w:rPr>
          <w:rFonts w:cstheme="minorHAnsi"/>
        </w:rPr>
        <w:t>ese</w:t>
      </w:r>
      <w:r w:rsidR="00C818E0">
        <w:rPr>
          <w:rFonts w:cstheme="minorHAnsi"/>
        </w:rPr>
        <w:t xml:space="preserve"> </w:t>
      </w:r>
      <w:r w:rsidR="00176290">
        <w:rPr>
          <w:rFonts w:cstheme="minorHAnsi"/>
        </w:rPr>
        <w:t>electric models</w:t>
      </w:r>
      <w:r w:rsidR="00431606">
        <w:rPr>
          <w:rFonts w:cstheme="minorHAnsi"/>
        </w:rPr>
        <w:t xml:space="preserve"> did not exist at the outset of the rulemaking process</w:t>
      </w:r>
      <w:r w:rsidR="005C62B3">
        <w:rPr>
          <w:rFonts w:cstheme="minorHAnsi"/>
        </w:rPr>
        <w:t>, when CARB concluded that “</w:t>
      </w:r>
      <w:r w:rsidR="005C62B3">
        <w:t>that there were few ZE options commercially available with a lift capacity greater than 12,000 pounds.</w:t>
      </w:r>
      <w:r w:rsidR="001348A2">
        <w:t>”</w:t>
      </w:r>
      <w:r w:rsidR="005C62B3">
        <w:t xml:space="preserve">  ISOR, p. </w:t>
      </w:r>
      <w:r w:rsidR="00B228A4">
        <w:t>110.</w:t>
      </w:r>
    </w:p>
    <w:p w14:paraId="5962FA53" w14:textId="74EB44D5" w:rsidR="00AA62FB" w:rsidRDefault="00AA62FB">
      <w:pPr>
        <w:pStyle w:val="FootnoteText"/>
      </w:pPr>
    </w:p>
  </w:footnote>
  <w:footnote w:id="3">
    <w:p w14:paraId="785FF575" w14:textId="7A2EC8CC" w:rsidR="00074E6D" w:rsidRPr="00DB4CE6" w:rsidRDefault="00074E6D">
      <w:pPr>
        <w:pStyle w:val="FootnoteText"/>
        <w:rPr>
          <w:sz w:val="22"/>
          <w:szCs w:val="22"/>
        </w:rPr>
      </w:pPr>
      <w:r>
        <w:rPr>
          <w:rStyle w:val="FootnoteReference"/>
        </w:rPr>
        <w:footnoteRef/>
      </w:r>
      <w:r>
        <w:t xml:space="preserve"> </w:t>
      </w:r>
      <w:r w:rsidR="003953AC" w:rsidRPr="00DB4CE6">
        <w:rPr>
          <w:sz w:val="22"/>
          <w:szCs w:val="22"/>
        </w:rPr>
        <w:t>ITA offered to</w:t>
      </w:r>
      <w:r w:rsidR="00D8690A" w:rsidRPr="00DB4CE6">
        <w:rPr>
          <w:sz w:val="22"/>
          <w:szCs w:val="22"/>
        </w:rPr>
        <w:t xml:space="preserve"> discuss</w:t>
      </w:r>
      <w:r w:rsidR="003953AC" w:rsidRPr="00DB4CE6">
        <w:rPr>
          <w:sz w:val="22"/>
          <w:szCs w:val="22"/>
        </w:rPr>
        <w:t xml:space="preserve"> shar</w:t>
      </w:r>
      <w:r w:rsidR="00D8690A" w:rsidRPr="00DB4CE6">
        <w:rPr>
          <w:sz w:val="22"/>
          <w:szCs w:val="22"/>
        </w:rPr>
        <w:t>ing</w:t>
      </w:r>
      <w:r w:rsidR="003953AC" w:rsidRPr="00DB4CE6">
        <w:rPr>
          <w:sz w:val="22"/>
          <w:szCs w:val="22"/>
        </w:rPr>
        <w:t xml:space="preserve"> this information on a confidential basis with CARB staff</w:t>
      </w:r>
      <w:r w:rsidR="00D8690A" w:rsidRPr="00DB4CE6">
        <w:rPr>
          <w:sz w:val="22"/>
          <w:szCs w:val="22"/>
        </w:rPr>
        <w:t xml:space="preserve"> and remains willing to do so</w:t>
      </w:r>
      <w:r w:rsidR="003953AC" w:rsidRPr="00DB4CE6">
        <w:rPr>
          <w:sz w:val="22"/>
          <w:szCs w:val="22"/>
        </w:rPr>
        <w:t>.</w:t>
      </w:r>
    </w:p>
  </w:footnote>
  <w:footnote w:id="4">
    <w:p w14:paraId="5025B0B1" w14:textId="26EBAE34" w:rsidR="005331B4" w:rsidRPr="001361FA" w:rsidRDefault="005331B4">
      <w:pPr>
        <w:pStyle w:val="FootnoteText"/>
        <w:rPr>
          <w:sz w:val="22"/>
          <w:szCs w:val="22"/>
        </w:rPr>
      </w:pPr>
      <w:r w:rsidRPr="001361FA">
        <w:rPr>
          <w:rStyle w:val="FootnoteReference"/>
          <w:sz w:val="22"/>
          <w:szCs w:val="22"/>
        </w:rPr>
        <w:footnoteRef/>
      </w:r>
      <w:r w:rsidRPr="001361FA">
        <w:rPr>
          <w:sz w:val="22"/>
          <w:szCs w:val="22"/>
        </w:rPr>
        <w:t xml:space="preserve"> ITA believes that its members’ shipments </w:t>
      </w:r>
      <w:r w:rsidR="00E334B3" w:rsidRPr="001361FA">
        <w:rPr>
          <w:sz w:val="22"/>
          <w:szCs w:val="22"/>
        </w:rPr>
        <w:t>represent</w:t>
      </w:r>
      <w:r w:rsidRPr="001361FA">
        <w:rPr>
          <w:sz w:val="22"/>
          <w:szCs w:val="22"/>
        </w:rPr>
        <w:t xml:space="preserve"> approximately 90% of the North America market for forklifts.</w:t>
      </w:r>
      <w:r w:rsidR="0068595A" w:rsidRPr="001361FA">
        <w:rPr>
          <w:sz w:val="22"/>
          <w:szCs w:val="22"/>
        </w:rPr>
        <w:t xml:space="preserve">  </w:t>
      </w:r>
      <w:r w:rsidR="0022107B">
        <w:rPr>
          <w:sz w:val="22"/>
          <w:szCs w:val="22"/>
        </w:rPr>
        <w:t xml:space="preserve">With one possible exception (see fn. </w:t>
      </w:r>
      <w:r w:rsidR="003855B4">
        <w:rPr>
          <w:sz w:val="22"/>
          <w:szCs w:val="22"/>
        </w:rPr>
        <w:t>2</w:t>
      </w:r>
      <w:r w:rsidR="0022107B">
        <w:rPr>
          <w:sz w:val="22"/>
          <w:szCs w:val="22"/>
        </w:rPr>
        <w:t>)</w:t>
      </w:r>
      <w:r w:rsidR="0068595A" w:rsidRPr="001361FA">
        <w:rPr>
          <w:sz w:val="22"/>
          <w:szCs w:val="22"/>
        </w:rPr>
        <w:t>, every manufacturer shown on CARB’s</w:t>
      </w:r>
      <w:r w:rsidR="008B41E4" w:rsidRPr="001361FA">
        <w:rPr>
          <w:sz w:val="22"/>
          <w:szCs w:val="22"/>
        </w:rPr>
        <w:t xml:space="preserve"> spreadsheet</w:t>
      </w:r>
      <w:r w:rsidR="00E334B3" w:rsidRPr="001361FA">
        <w:rPr>
          <w:sz w:val="22"/>
          <w:szCs w:val="22"/>
        </w:rPr>
        <w:t xml:space="preserve"> as offering an electric cushion-tired forklift exceeding 12,000 pounds capacity is an ITA member.</w:t>
      </w:r>
    </w:p>
  </w:footnote>
  <w:footnote w:id="5">
    <w:p w14:paraId="2840528F" w14:textId="39F8CDA7" w:rsidR="00866A13" w:rsidRDefault="00D164F4" w:rsidP="0068303F">
      <w:pPr>
        <w:spacing w:line="240" w:lineRule="auto"/>
      </w:pPr>
      <w:r>
        <w:rPr>
          <w:rStyle w:val="FootnoteReference"/>
        </w:rPr>
        <w:footnoteRef/>
      </w:r>
      <w:r>
        <w:t xml:space="preserve"> </w:t>
      </w:r>
      <w:r w:rsidR="00936BCF">
        <w:t xml:space="preserve">Nevertheless, cost considerations are always relevant.  </w:t>
      </w:r>
      <w:r w:rsidR="00866A13">
        <w:t>CARB estimates that</w:t>
      </w:r>
      <w:r w:rsidR="00AA50D2">
        <w:t xml:space="preserve"> the higher-capacity</w:t>
      </w:r>
      <w:r w:rsidR="00866A13">
        <w:t xml:space="preserve"> Class 4 forklift costs $153,975, whereas the equivalent</w:t>
      </w:r>
      <w:r w:rsidR="00A44F26">
        <w:t>-capacity</w:t>
      </w:r>
      <w:r w:rsidR="00866A13">
        <w:t xml:space="preserve"> battery electric with a lead-acid battery costs $256,701, 67% more, and the equivalent</w:t>
      </w:r>
      <w:r w:rsidR="00A44F26">
        <w:t>-capacity</w:t>
      </w:r>
      <w:r w:rsidR="00866A13">
        <w:t xml:space="preserve"> battery electric with a lithium-ion battery costs $330,229, 214% more.  </w:t>
      </w:r>
      <w:r w:rsidR="0071184F">
        <w:t>ISOR</w:t>
      </w:r>
      <w:r w:rsidR="00866A13">
        <w:t>, p. 128.  CARB’s data show that the purchase</w:t>
      </w:r>
      <w:r w:rsidR="006F406C">
        <w:t>-p</w:t>
      </w:r>
      <w:r w:rsidR="00866A13">
        <w:t xml:space="preserve">rice premium for lead-acid battery electric forklifts and </w:t>
      </w:r>
      <w:r w:rsidR="00137905">
        <w:t>the</w:t>
      </w:r>
      <w:r w:rsidR="00866A13">
        <w:t xml:space="preserve"> additional premium for lithium-ion batteries </w:t>
      </w:r>
      <w:r w:rsidR="006F7B79">
        <w:t>are highest</w:t>
      </w:r>
      <w:r w:rsidR="001666B7">
        <w:t>, by a considerable margin,</w:t>
      </w:r>
      <w:r w:rsidR="006F7B79">
        <w:t xml:space="preserve"> for these larger-capacity electric units.</w:t>
      </w:r>
    </w:p>
    <w:p w14:paraId="7B76B454" w14:textId="46AC032E" w:rsidR="00D164F4" w:rsidRPr="000F2BF4" w:rsidRDefault="00D164F4">
      <w:pPr>
        <w:pStyle w:val="FootnoteText"/>
        <w:rPr>
          <w:sz w:val="22"/>
          <w:szCs w:val="22"/>
        </w:rPr>
      </w:pPr>
    </w:p>
  </w:footnote>
  <w:footnote w:id="6">
    <w:p w14:paraId="7691B905" w14:textId="6A909F7B" w:rsidR="007C3D9E" w:rsidRPr="000F2BF4" w:rsidRDefault="002D67E0">
      <w:pPr>
        <w:pStyle w:val="FootnoteText"/>
        <w:rPr>
          <w:sz w:val="22"/>
          <w:szCs w:val="22"/>
        </w:rPr>
      </w:pPr>
      <w:r w:rsidRPr="000F2BF4">
        <w:rPr>
          <w:rStyle w:val="FootnoteReference"/>
          <w:sz w:val="22"/>
          <w:szCs w:val="22"/>
        </w:rPr>
        <w:footnoteRef/>
      </w:r>
      <w:r w:rsidRPr="000F2BF4">
        <w:rPr>
          <w:sz w:val="22"/>
          <w:szCs w:val="22"/>
        </w:rPr>
        <w:t xml:space="preserve"> </w:t>
      </w:r>
      <w:r w:rsidR="006445C2" w:rsidRPr="000F2BF4">
        <w:rPr>
          <w:sz w:val="22"/>
          <w:szCs w:val="22"/>
        </w:rPr>
        <w:t>CARB states that “</w:t>
      </w:r>
      <w:r w:rsidR="00B30BCF" w:rsidRPr="000F2BF4">
        <w:rPr>
          <w:sz w:val="22"/>
          <w:szCs w:val="22"/>
        </w:rPr>
        <w:t>Class IV forklifts greater than 12,000 pounds lift capacity account for approximately 1.3 percent of the forklifts that would be impacted by the Proposed Regulation.</w:t>
      </w:r>
      <w:r w:rsidR="006445C2" w:rsidRPr="000F2BF4">
        <w:rPr>
          <w:sz w:val="22"/>
          <w:szCs w:val="22"/>
        </w:rPr>
        <w:t xml:space="preserve">”  </w:t>
      </w:r>
      <w:r w:rsidR="004538E5">
        <w:rPr>
          <w:sz w:val="22"/>
          <w:szCs w:val="22"/>
        </w:rPr>
        <w:t>ISOR</w:t>
      </w:r>
      <w:r w:rsidR="006445C2" w:rsidRPr="000F2BF4">
        <w:rPr>
          <w:sz w:val="22"/>
          <w:szCs w:val="22"/>
        </w:rPr>
        <w:t>, p.</w:t>
      </w:r>
      <w:r w:rsidR="00A0622F" w:rsidRPr="000F2BF4">
        <w:rPr>
          <w:sz w:val="22"/>
          <w:szCs w:val="22"/>
        </w:rPr>
        <w:t xml:space="preserve"> 127.  If there are 95,000</w:t>
      </w:r>
      <w:r w:rsidR="00EB24D4" w:rsidRPr="000F2BF4">
        <w:rPr>
          <w:sz w:val="22"/>
          <w:szCs w:val="22"/>
        </w:rPr>
        <w:t xml:space="preserve"> affected forklift</w:t>
      </w:r>
      <w:r w:rsidR="00761B5F" w:rsidRPr="000F2BF4">
        <w:rPr>
          <w:sz w:val="22"/>
          <w:szCs w:val="22"/>
        </w:rPr>
        <w:t>s altogether</w:t>
      </w:r>
      <w:r w:rsidR="00EB24D4" w:rsidRPr="000F2BF4">
        <w:rPr>
          <w:sz w:val="22"/>
          <w:szCs w:val="22"/>
        </w:rPr>
        <w:t xml:space="preserve">, </w:t>
      </w:r>
      <w:r w:rsidR="00095AF9">
        <w:rPr>
          <w:sz w:val="22"/>
          <w:szCs w:val="22"/>
        </w:rPr>
        <w:t>ISOR</w:t>
      </w:r>
      <w:r w:rsidR="00EB24D4" w:rsidRPr="000F2BF4">
        <w:rPr>
          <w:sz w:val="22"/>
          <w:szCs w:val="22"/>
        </w:rPr>
        <w:t xml:space="preserve">, p. </w:t>
      </w:r>
      <w:r w:rsidR="00761B5F" w:rsidRPr="000F2BF4">
        <w:rPr>
          <w:sz w:val="22"/>
          <w:szCs w:val="22"/>
        </w:rPr>
        <w:t xml:space="preserve">91, this would mean </w:t>
      </w:r>
      <w:r w:rsidR="00A56FF0" w:rsidRPr="000F2BF4">
        <w:rPr>
          <w:sz w:val="22"/>
          <w:szCs w:val="22"/>
        </w:rPr>
        <w:t>1,235 forklifts</w:t>
      </w:r>
      <w:r w:rsidR="00DF13E1" w:rsidRPr="000F2BF4">
        <w:rPr>
          <w:sz w:val="22"/>
          <w:szCs w:val="22"/>
        </w:rPr>
        <w:t xml:space="preserve"> constitute the affected heavy Class 4 population</w:t>
      </w:r>
      <w:r w:rsidR="00AF3021" w:rsidRPr="000F2BF4">
        <w:rPr>
          <w:sz w:val="22"/>
          <w:szCs w:val="22"/>
        </w:rPr>
        <w:t xml:space="preserve">, with a </w:t>
      </w:r>
      <w:r w:rsidR="00FE5C70">
        <w:rPr>
          <w:sz w:val="22"/>
          <w:szCs w:val="22"/>
        </w:rPr>
        <w:t>subset</w:t>
      </w:r>
      <w:r w:rsidR="00AF3021" w:rsidRPr="000F2BF4">
        <w:rPr>
          <w:sz w:val="22"/>
          <w:szCs w:val="22"/>
        </w:rPr>
        <w:t xml:space="preserve"> of these </w:t>
      </w:r>
      <w:r w:rsidR="00FE5C70">
        <w:rPr>
          <w:sz w:val="22"/>
          <w:szCs w:val="22"/>
        </w:rPr>
        <w:t>retired and replaced</w:t>
      </w:r>
      <w:r w:rsidR="00AF3021" w:rsidRPr="000F2BF4">
        <w:rPr>
          <w:sz w:val="22"/>
          <w:szCs w:val="22"/>
        </w:rPr>
        <w:t xml:space="preserve"> each year. </w:t>
      </w:r>
      <w:r w:rsidR="00F26467" w:rsidRPr="000F2BF4">
        <w:rPr>
          <w:sz w:val="22"/>
          <w:szCs w:val="22"/>
        </w:rPr>
        <w:t xml:space="preserve"> ITA</w:t>
      </w:r>
      <w:r w:rsidR="00FF384C" w:rsidRPr="000F2BF4">
        <w:rPr>
          <w:sz w:val="22"/>
          <w:szCs w:val="22"/>
        </w:rPr>
        <w:t xml:space="preserve"> has</w:t>
      </w:r>
      <w:r w:rsidR="007C3D9E" w:rsidRPr="000F2BF4">
        <w:rPr>
          <w:sz w:val="22"/>
          <w:szCs w:val="22"/>
        </w:rPr>
        <w:t xml:space="preserve"> specific</w:t>
      </w:r>
      <w:r w:rsidR="00F26467" w:rsidRPr="000F2BF4">
        <w:rPr>
          <w:sz w:val="22"/>
          <w:szCs w:val="22"/>
        </w:rPr>
        <w:t xml:space="preserve"> data on</w:t>
      </w:r>
      <w:r w:rsidR="00B42663" w:rsidRPr="000F2BF4">
        <w:rPr>
          <w:sz w:val="22"/>
          <w:szCs w:val="22"/>
        </w:rPr>
        <w:t xml:space="preserve"> its members’</w:t>
      </w:r>
      <w:r w:rsidR="00F26467" w:rsidRPr="000F2BF4">
        <w:rPr>
          <w:sz w:val="22"/>
          <w:szCs w:val="22"/>
        </w:rPr>
        <w:t xml:space="preserve"> annual</w:t>
      </w:r>
      <w:r w:rsidR="004840AC" w:rsidRPr="000F2BF4">
        <w:rPr>
          <w:sz w:val="22"/>
          <w:szCs w:val="22"/>
        </w:rPr>
        <w:t xml:space="preserve"> California</w:t>
      </w:r>
      <w:r w:rsidR="00F26467" w:rsidRPr="000F2BF4">
        <w:rPr>
          <w:sz w:val="22"/>
          <w:szCs w:val="22"/>
        </w:rPr>
        <w:t xml:space="preserve"> shipments</w:t>
      </w:r>
      <w:r w:rsidR="004840AC" w:rsidRPr="000F2BF4">
        <w:rPr>
          <w:sz w:val="22"/>
          <w:szCs w:val="22"/>
        </w:rPr>
        <w:t xml:space="preserve"> of Class 4</w:t>
      </w:r>
      <w:r w:rsidR="00B42663" w:rsidRPr="000F2BF4">
        <w:rPr>
          <w:sz w:val="22"/>
          <w:szCs w:val="22"/>
        </w:rPr>
        <w:t xml:space="preserve"> </w:t>
      </w:r>
      <w:r w:rsidR="007C3D9E" w:rsidRPr="000F2BF4">
        <w:rPr>
          <w:sz w:val="22"/>
          <w:szCs w:val="22"/>
        </w:rPr>
        <w:t>Forklifts over 12,000 pounds capacity.</w:t>
      </w:r>
    </w:p>
  </w:footnote>
  <w:footnote w:id="7">
    <w:p w14:paraId="42063CFA" w14:textId="0F8A5AEC" w:rsidR="000A5862" w:rsidRDefault="00901B65" w:rsidP="009B58EE">
      <w:pPr>
        <w:spacing w:line="240" w:lineRule="auto"/>
      </w:pPr>
      <w:r>
        <w:rPr>
          <w:rStyle w:val="FootnoteReference"/>
        </w:rPr>
        <w:footnoteRef/>
      </w:r>
      <w:r w:rsidR="000A5862">
        <w:t xml:space="preserve"> </w:t>
      </w:r>
      <w:r w:rsidR="005752AD">
        <w:t>In fact, the manufacturer sale cut-off of January</w:t>
      </w:r>
      <w:r w:rsidR="004F1BC2">
        <w:t xml:space="preserve"> 1, 2026</w:t>
      </w:r>
      <w:r w:rsidR="005956BC">
        <w:t xml:space="preserve"> under the Proposed Regulation</w:t>
      </w:r>
      <w:r w:rsidR="004F1BC2">
        <w:t xml:space="preserve"> is </w:t>
      </w:r>
      <w:r w:rsidR="001C3D31">
        <w:t xml:space="preserve">not the actual deadline for manufacturers </w:t>
      </w:r>
      <w:r w:rsidR="000A5862">
        <w:t xml:space="preserve">because the fleet-operator requirements in </w:t>
      </w:r>
      <w:r w:rsidR="000A5862">
        <w:rPr>
          <w:rFonts w:cstheme="minorHAnsi"/>
        </w:rPr>
        <w:t>§</w:t>
      </w:r>
      <w:r w:rsidR="000A5862">
        <w:t>3002 prohibit the fleet operator from acquiring or taking possession of the forklift after that</w:t>
      </w:r>
      <w:r w:rsidR="00FF7383">
        <w:t xml:space="preserve"> same</w:t>
      </w:r>
      <w:r w:rsidR="000A5862">
        <w:t xml:space="preserve"> date.</w:t>
      </w:r>
      <w:r w:rsidR="00F848EE">
        <w:t xml:space="preserve">  If a forklift is to be delivered to the fleet operator before January 1, 2026, it</w:t>
      </w:r>
      <w:r w:rsidR="00425518">
        <w:t xml:space="preserve"> must be manufactured substantially before then to provide the time needed for distribution.</w:t>
      </w:r>
      <w:r w:rsidR="000A5862">
        <w:t xml:space="preserve">  </w:t>
      </w:r>
    </w:p>
    <w:p w14:paraId="77F7CC22" w14:textId="045E2AE6" w:rsidR="00901B65" w:rsidRDefault="00901B65">
      <w:pPr>
        <w:pStyle w:val="FootnoteText"/>
      </w:pPr>
    </w:p>
  </w:footnote>
  <w:footnote w:id="8">
    <w:p w14:paraId="3DBE6504" w14:textId="56A88DFD" w:rsidR="00C26F93" w:rsidRDefault="00C26F93" w:rsidP="00C32736">
      <w:pPr>
        <w:spacing w:line="240" w:lineRule="auto"/>
      </w:pPr>
      <w:r>
        <w:rPr>
          <w:rStyle w:val="FootnoteReference"/>
        </w:rPr>
        <w:footnoteRef/>
      </w:r>
      <w:r>
        <w:t xml:space="preserve"> The most obvious reason is pandemic-related supply and demand distortions.  Factory shutdowns and reductions in the workforce </w:t>
      </w:r>
      <w:r w:rsidR="00500029">
        <w:t xml:space="preserve">and </w:t>
      </w:r>
      <w:r>
        <w:t xml:space="preserve">the unavailability of components or extreme delays in their delivery decimated the supply side </w:t>
      </w:r>
      <w:r w:rsidR="002D5C11">
        <w:t>while</w:t>
      </w:r>
      <w:r>
        <w:t xml:space="preserve"> customers were ordering greater volumes in anticipation of these shortages.  The result was a huge backlog of orders and an unprecedented lengthening of lead time. </w:t>
      </w:r>
    </w:p>
    <w:p w14:paraId="7BE1629D" w14:textId="4C363035" w:rsidR="00C26F93" w:rsidRDefault="00C26F93">
      <w:pPr>
        <w:pStyle w:val="FootnoteText"/>
      </w:pPr>
    </w:p>
  </w:footnote>
  <w:footnote w:id="9">
    <w:p w14:paraId="60A30A36" w14:textId="0C3FD899" w:rsidR="001F1779" w:rsidRDefault="00946097" w:rsidP="001F1779">
      <w:pPr>
        <w:spacing w:line="240" w:lineRule="auto"/>
      </w:pPr>
      <w:r>
        <w:rPr>
          <w:rStyle w:val="FootnoteReference"/>
        </w:rPr>
        <w:footnoteRef/>
      </w:r>
      <w:r>
        <w:t xml:space="preserve"> </w:t>
      </w:r>
      <w:r w:rsidR="001F1779">
        <w:t xml:space="preserve">It would be neither factually accurate nor legally sufficient to say that the regulatory process itself provides adequate notice of the ultimate regulatory requirements. </w:t>
      </w:r>
      <w:r w:rsidR="00574407">
        <w:t xml:space="preserve"> </w:t>
      </w:r>
      <w:r w:rsidR="008149D5">
        <w:t>P</w:t>
      </w:r>
      <w:r w:rsidR="001F1779">
        <w:t>rudent businesses should not speculate</w:t>
      </w:r>
      <w:r w:rsidR="00A9743C">
        <w:t xml:space="preserve"> by</w:t>
      </w:r>
      <w:r w:rsidR="001F1779">
        <w:t xml:space="preserve"> assum</w:t>
      </w:r>
      <w:r w:rsidR="00A9743C">
        <w:t>ing</w:t>
      </w:r>
      <w:r w:rsidR="001F1779">
        <w:t xml:space="preserve"> that a regulatory proposal will become law without alteration</w:t>
      </w:r>
      <w:r w:rsidR="00B93892">
        <w:t>; therefore,</w:t>
      </w:r>
      <w:r w:rsidR="00EF655A">
        <w:t xml:space="preserve"> lead times cannot begin to run until a regulation </w:t>
      </w:r>
      <w:r w:rsidR="00533F3D">
        <w:t>is</w:t>
      </w:r>
      <w:r w:rsidR="00EF655A">
        <w:t xml:space="preserve"> final.</w:t>
      </w:r>
    </w:p>
    <w:p w14:paraId="32215FB3" w14:textId="69CB9840" w:rsidR="00946097" w:rsidRDefault="00946097">
      <w:pPr>
        <w:pStyle w:val="FootnoteText"/>
      </w:pPr>
    </w:p>
  </w:footnote>
  <w:footnote w:id="10">
    <w:p w14:paraId="6B85605B" w14:textId="55EFADA3" w:rsidR="00111D3E" w:rsidRPr="009B308A" w:rsidRDefault="00111D3E">
      <w:pPr>
        <w:pStyle w:val="FootnoteText"/>
        <w:rPr>
          <w:sz w:val="22"/>
          <w:szCs w:val="22"/>
        </w:rPr>
      </w:pPr>
      <w:r w:rsidRPr="009B308A">
        <w:rPr>
          <w:rStyle w:val="FootnoteReference"/>
          <w:sz w:val="22"/>
          <w:szCs w:val="22"/>
        </w:rPr>
        <w:footnoteRef/>
      </w:r>
      <w:r w:rsidRPr="009B308A">
        <w:rPr>
          <w:sz w:val="22"/>
          <w:szCs w:val="22"/>
        </w:rPr>
        <w:t xml:space="preserve"> </w:t>
      </w:r>
      <w:r w:rsidR="001417FC" w:rsidRPr="009B308A">
        <w:rPr>
          <w:sz w:val="22"/>
          <w:szCs w:val="22"/>
        </w:rPr>
        <w:t xml:space="preserve">ITA realizes that the Proposed Regulation does not prohibit the acquisition of </w:t>
      </w:r>
      <w:r w:rsidR="002E0769" w:rsidRPr="009B308A">
        <w:rPr>
          <w:sz w:val="22"/>
          <w:szCs w:val="22"/>
        </w:rPr>
        <w:t xml:space="preserve">all </w:t>
      </w:r>
      <w:r w:rsidR="001417FC" w:rsidRPr="009B308A">
        <w:rPr>
          <w:sz w:val="22"/>
          <w:szCs w:val="22"/>
        </w:rPr>
        <w:t>new diesel forklifts</w:t>
      </w:r>
      <w:r w:rsidR="002E0769" w:rsidRPr="009B308A">
        <w:rPr>
          <w:sz w:val="22"/>
          <w:szCs w:val="22"/>
        </w:rPr>
        <w:t>, only those that</w:t>
      </w:r>
      <w:r w:rsidR="001417FC" w:rsidRPr="009B308A">
        <w:rPr>
          <w:sz w:val="22"/>
          <w:szCs w:val="22"/>
        </w:rPr>
        <w:t xml:space="preserve"> </w:t>
      </w:r>
      <w:r w:rsidR="008C394D" w:rsidRPr="009B308A">
        <w:rPr>
          <w:sz w:val="22"/>
          <w:szCs w:val="22"/>
        </w:rPr>
        <w:t xml:space="preserve">are deemed to be </w:t>
      </w:r>
      <w:r w:rsidR="008D0DA2" w:rsidRPr="009B308A">
        <w:rPr>
          <w:sz w:val="22"/>
          <w:szCs w:val="22"/>
        </w:rPr>
        <w:t>a replacement for an LSI forklift.</w:t>
      </w:r>
      <w:r w:rsidR="00360D44" w:rsidRPr="009B308A">
        <w:rPr>
          <w:sz w:val="22"/>
          <w:szCs w:val="22"/>
        </w:rPr>
        <w:t xml:space="preserve">  It is only new diesel forklifts which are deemed to be replacements that raise the preemption issue.</w:t>
      </w:r>
    </w:p>
  </w:footnote>
  <w:footnote w:id="11">
    <w:p w14:paraId="70F2E156" w14:textId="6DF5E20F" w:rsidR="00C36EC9" w:rsidRPr="00B06614" w:rsidRDefault="00C36EC9">
      <w:pPr>
        <w:pStyle w:val="FootnoteText"/>
        <w:rPr>
          <w:sz w:val="22"/>
          <w:szCs w:val="22"/>
        </w:rPr>
      </w:pPr>
      <w:r w:rsidRPr="00B06614">
        <w:rPr>
          <w:rStyle w:val="FootnoteReference"/>
          <w:sz w:val="22"/>
          <w:szCs w:val="22"/>
        </w:rPr>
        <w:footnoteRef/>
      </w:r>
      <w:r w:rsidRPr="00B06614">
        <w:rPr>
          <w:sz w:val="22"/>
          <w:szCs w:val="22"/>
        </w:rPr>
        <w:t xml:space="preserve"> </w:t>
      </w:r>
      <w:r w:rsidR="00F84817" w:rsidRPr="00B06614">
        <w:rPr>
          <w:sz w:val="22"/>
          <w:szCs w:val="22"/>
        </w:rPr>
        <w:t xml:space="preserve">If CARB agrees with ITA </w:t>
      </w:r>
      <w:r w:rsidR="0066043E" w:rsidRPr="00B06614">
        <w:rPr>
          <w:sz w:val="22"/>
          <w:szCs w:val="22"/>
        </w:rPr>
        <w:t>concerning Class 4</w:t>
      </w:r>
      <w:r w:rsidR="00C0113A">
        <w:rPr>
          <w:sz w:val="22"/>
          <w:szCs w:val="22"/>
        </w:rPr>
        <w:t xml:space="preserve"> LSI</w:t>
      </w:r>
      <w:r w:rsidR="0066043E" w:rsidRPr="00B06614">
        <w:rPr>
          <w:sz w:val="22"/>
          <w:szCs w:val="22"/>
        </w:rPr>
        <w:t xml:space="preserve"> forklifts having capacities greater than 12,000 pounds, </w:t>
      </w:r>
      <w:r w:rsidR="00504C6D" w:rsidRPr="00B06614">
        <w:rPr>
          <w:sz w:val="22"/>
          <w:szCs w:val="22"/>
        </w:rPr>
        <w:t xml:space="preserve">reporting for those forklifts might be added to </w:t>
      </w:r>
      <w:r w:rsidR="00504C6D" w:rsidRPr="00B06614">
        <w:rPr>
          <w:rFonts w:cstheme="minorHAnsi"/>
          <w:sz w:val="22"/>
          <w:szCs w:val="22"/>
        </w:rPr>
        <w:t>§</w:t>
      </w:r>
      <w:r w:rsidR="00504C6D" w:rsidRPr="00B06614">
        <w:rPr>
          <w:sz w:val="22"/>
          <w:szCs w:val="22"/>
        </w:rPr>
        <w:t>3009(h).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3C9"/>
    <w:multiLevelType w:val="hybridMultilevel"/>
    <w:tmpl w:val="6E46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D751E"/>
    <w:multiLevelType w:val="hybridMultilevel"/>
    <w:tmpl w:val="8D9E6FD4"/>
    <w:lvl w:ilvl="0" w:tplc="986620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EC1F5B"/>
    <w:multiLevelType w:val="multilevel"/>
    <w:tmpl w:val="4D7AC21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60655352"/>
    <w:multiLevelType w:val="hybridMultilevel"/>
    <w:tmpl w:val="5DA05072"/>
    <w:lvl w:ilvl="0" w:tplc="EF36A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2551329">
    <w:abstractNumId w:val="3"/>
  </w:num>
  <w:num w:numId="2" w16cid:durableId="816141709">
    <w:abstractNumId w:val="0"/>
  </w:num>
  <w:num w:numId="3" w16cid:durableId="1377121351">
    <w:abstractNumId w:val="1"/>
  </w:num>
  <w:num w:numId="4" w16cid:durableId="1066494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51"/>
    <w:rsid w:val="000003E4"/>
    <w:rsid w:val="000005C6"/>
    <w:rsid w:val="00000AFE"/>
    <w:rsid w:val="00001847"/>
    <w:rsid w:val="00001CAF"/>
    <w:rsid w:val="00001D24"/>
    <w:rsid w:val="00005D43"/>
    <w:rsid w:val="00006956"/>
    <w:rsid w:val="0000732F"/>
    <w:rsid w:val="00007797"/>
    <w:rsid w:val="00007B13"/>
    <w:rsid w:val="00007B55"/>
    <w:rsid w:val="000103C5"/>
    <w:rsid w:val="00011AE0"/>
    <w:rsid w:val="000138FD"/>
    <w:rsid w:val="0001431C"/>
    <w:rsid w:val="00014479"/>
    <w:rsid w:val="00014EE5"/>
    <w:rsid w:val="000151BE"/>
    <w:rsid w:val="0001548F"/>
    <w:rsid w:val="00015F26"/>
    <w:rsid w:val="00016444"/>
    <w:rsid w:val="0001665E"/>
    <w:rsid w:val="00017C41"/>
    <w:rsid w:val="00020886"/>
    <w:rsid w:val="000218D0"/>
    <w:rsid w:val="000229AD"/>
    <w:rsid w:val="000244F4"/>
    <w:rsid w:val="00024B31"/>
    <w:rsid w:val="00025619"/>
    <w:rsid w:val="00026AB2"/>
    <w:rsid w:val="00031838"/>
    <w:rsid w:val="00032426"/>
    <w:rsid w:val="00032827"/>
    <w:rsid w:val="000339CA"/>
    <w:rsid w:val="00033B09"/>
    <w:rsid w:val="00035585"/>
    <w:rsid w:val="000369F9"/>
    <w:rsid w:val="00036C34"/>
    <w:rsid w:val="000376C8"/>
    <w:rsid w:val="00037D77"/>
    <w:rsid w:val="0004259E"/>
    <w:rsid w:val="00042663"/>
    <w:rsid w:val="0004270E"/>
    <w:rsid w:val="00042DD4"/>
    <w:rsid w:val="000436F2"/>
    <w:rsid w:val="00043C26"/>
    <w:rsid w:val="00044277"/>
    <w:rsid w:val="00045997"/>
    <w:rsid w:val="00046E8D"/>
    <w:rsid w:val="00047377"/>
    <w:rsid w:val="00051C68"/>
    <w:rsid w:val="000536BA"/>
    <w:rsid w:val="000540F3"/>
    <w:rsid w:val="000547A1"/>
    <w:rsid w:val="00055DC6"/>
    <w:rsid w:val="000560AC"/>
    <w:rsid w:val="000604D0"/>
    <w:rsid w:val="0006175C"/>
    <w:rsid w:val="00061D82"/>
    <w:rsid w:val="00064F88"/>
    <w:rsid w:val="00064FCB"/>
    <w:rsid w:val="00065F37"/>
    <w:rsid w:val="00066EC0"/>
    <w:rsid w:val="00067662"/>
    <w:rsid w:val="000706FD"/>
    <w:rsid w:val="00072980"/>
    <w:rsid w:val="000738CE"/>
    <w:rsid w:val="00074E6D"/>
    <w:rsid w:val="00077502"/>
    <w:rsid w:val="00080693"/>
    <w:rsid w:val="00080900"/>
    <w:rsid w:val="00080CC5"/>
    <w:rsid w:val="00083FAD"/>
    <w:rsid w:val="00084714"/>
    <w:rsid w:val="000849E6"/>
    <w:rsid w:val="00085E9B"/>
    <w:rsid w:val="00086D5F"/>
    <w:rsid w:val="00090253"/>
    <w:rsid w:val="00090AB6"/>
    <w:rsid w:val="000918E8"/>
    <w:rsid w:val="00092BF7"/>
    <w:rsid w:val="00092FCB"/>
    <w:rsid w:val="00093A83"/>
    <w:rsid w:val="00095AF9"/>
    <w:rsid w:val="00096944"/>
    <w:rsid w:val="00097218"/>
    <w:rsid w:val="00097A2F"/>
    <w:rsid w:val="00097C99"/>
    <w:rsid w:val="000A1DF2"/>
    <w:rsid w:val="000A3F60"/>
    <w:rsid w:val="000A3F9C"/>
    <w:rsid w:val="000A5862"/>
    <w:rsid w:val="000A5AEF"/>
    <w:rsid w:val="000A5BCB"/>
    <w:rsid w:val="000A7021"/>
    <w:rsid w:val="000A7EA1"/>
    <w:rsid w:val="000B2755"/>
    <w:rsid w:val="000B447C"/>
    <w:rsid w:val="000B4B0E"/>
    <w:rsid w:val="000B5C6F"/>
    <w:rsid w:val="000B5EC5"/>
    <w:rsid w:val="000B66A0"/>
    <w:rsid w:val="000B673A"/>
    <w:rsid w:val="000B6DB1"/>
    <w:rsid w:val="000C05F1"/>
    <w:rsid w:val="000C3BB7"/>
    <w:rsid w:val="000C3ECB"/>
    <w:rsid w:val="000C4F68"/>
    <w:rsid w:val="000C5F36"/>
    <w:rsid w:val="000C71A9"/>
    <w:rsid w:val="000D0213"/>
    <w:rsid w:val="000D07D2"/>
    <w:rsid w:val="000D0867"/>
    <w:rsid w:val="000D0B4D"/>
    <w:rsid w:val="000D2B9F"/>
    <w:rsid w:val="000D307A"/>
    <w:rsid w:val="000D30A5"/>
    <w:rsid w:val="000D387B"/>
    <w:rsid w:val="000D3EED"/>
    <w:rsid w:val="000D4309"/>
    <w:rsid w:val="000D5369"/>
    <w:rsid w:val="000D57D4"/>
    <w:rsid w:val="000D5A69"/>
    <w:rsid w:val="000D5EDF"/>
    <w:rsid w:val="000D643F"/>
    <w:rsid w:val="000D6ADD"/>
    <w:rsid w:val="000D76F6"/>
    <w:rsid w:val="000D7F6F"/>
    <w:rsid w:val="000E13E6"/>
    <w:rsid w:val="000E2ED7"/>
    <w:rsid w:val="000E47F6"/>
    <w:rsid w:val="000E4F9C"/>
    <w:rsid w:val="000E56B0"/>
    <w:rsid w:val="000E5D9B"/>
    <w:rsid w:val="000E61C4"/>
    <w:rsid w:val="000E6771"/>
    <w:rsid w:val="000F27B1"/>
    <w:rsid w:val="000F2BF4"/>
    <w:rsid w:val="000F3DA1"/>
    <w:rsid w:val="000F3F33"/>
    <w:rsid w:val="000F4DF7"/>
    <w:rsid w:val="000F5007"/>
    <w:rsid w:val="000F54CA"/>
    <w:rsid w:val="000F7747"/>
    <w:rsid w:val="000F7873"/>
    <w:rsid w:val="000F7F5B"/>
    <w:rsid w:val="001001E4"/>
    <w:rsid w:val="0010062F"/>
    <w:rsid w:val="00100D04"/>
    <w:rsid w:val="00101CEE"/>
    <w:rsid w:val="00102034"/>
    <w:rsid w:val="0010270D"/>
    <w:rsid w:val="00105D84"/>
    <w:rsid w:val="00106963"/>
    <w:rsid w:val="00106EB3"/>
    <w:rsid w:val="001073B0"/>
    <w:rsid w:val="0011184D"/>
    <w:rsid w:val="00111D3E"/>
    <w:rsid w:val="0011245F"/>
    <w:rsid w:val="00112DA6"/>
    <w:rsid w:val="0011319B"/>
    <w:rsid w:val="00114041"/>
    <w:rsid w:val="001149A8"/>
    <w:rsid w:val="00114CB8"/>
    <w:rsid w:val="00115407"/>
    <w:rsid w:val="00115555"/>
    <w:rsid w:val="00115EB5"/>
    <w:rsid w:val="00116500"/>
    <w:rsid w:val="00116B77"/>
    <w:rsid w:val="00117269"/>
    <w:rsid w:val="00121535"/>
    <w:rsid w:val="001225B9"/>
    <w:rsid w:val="001227D1"/>
    <w:rsid w:val="0012327F"/>
    <w:rsid w:val="00123A33"/>
    <w:rsid w:val="00124195"/>
    <w:rsid w:val="00124419"/>
    <w:rsid w:val="00125F15"/>
    <w:rsid w:val="001324FB"/>
    <w:rsid w:val="001348A2"/>
    <w:rsid w:val="0013579B"/>
    <w:rsid w:val="001359F4"/>
    <w:rsid w:val="00135F64"/>
    <w:rsid w:val="001361FA"/>
    <w:rsid w:val="001363B8"/>
    <w:rsid w:val="00137905"/>
    <w:rsid w:val="00137A70"/>
    <w:rsid w:val="00140EC4"/>
    <w:rsid w:val="001415DA"/>
    <w:rsid w:val="001417FC"/>
    <w:rsid w:val="00141F28"/>
    <w:rsid w:val="00142923"/>
    <w:rsid w:val="00142BB5"/>
    <w:rsid w:val="00142EDD"/>
    <w:rsid w:val="00142F72"/>
    <w:rsid w:val="001472FB"/>
    <w:rsid w:val="00147310"/>
    <w:rsid w:val="00147D5C"/>
    <w:rsid w:val="00150E60"/>
    <w:rsid w:val="00150EA5"/>
    <w:rsid w:val="00151B51"/>
    <w:rsid w:val="00151C35"/>
    <w:rsid w:val="001527F3"/>
    <w:rsid w:val="001544C3"/>
    <w:rsid w:val="00154AB0"/>
    <w:rsid w:val="001563DE"/>
    <w:rsid w:val="0015662F"/>
    <w:rsid w:val="00156A7F"/>
    <w:rsid w:val="00156BF3"/>
    <w:rsid w:val="001608A0"/>
    <w:rsid w:val="0016204B"/>
    <w:rsid w:val="0016371C"/>
    <w:rsid w:val="0016373B"/>
    <w:rsid w:val="00163F05"/>
    <w:rsid w:val="001643CF"/>
    <w:rsid w:val="001650B7"/>
    <w:rsid w:val="001666B7"/>
    <w:rsid w:val="00166C63"/>
    <w:rsid w:val="00166D0B"/>
    <w:rsid w:val="00172A50"/>
    <w:rsid w:val="0017557F"/>
    <w:rsid w:val="001758DC"/>
    <w:rsid w:val="00176290"/>
    <w:rsid w:val="00176776"/>
    <w:rsid w:val="00176A31"/>
    <w:rsid w:val="00176AC5"/>
    <w:rsid w:val="0017790C"/>
    <w:rsid w:val="00181376"/>
    <w:rsid w:val="00181498"/>
    <w:rsid w:val="001824DC"/>
    <w:rsid w:val="00182EAA"/>
    <w:rsid w:val="001835DE"/>
    <w:rsid w:val="00184110"/>
    <w:rsid w:val="00184348"/>
    <w:rsid w:val="00185573"/>
    <w:rsid w:val="00185B8F"/>
    <w:rsid w:val="00186BFA"/>
    <w:rsid w:val="00187576"/>
    <w:rsid w:val="00190BBB"/>
    <w:rsid w:val="00191179"/>
    <w:rsid w:val="00192458"/>
    <w:rsid w:val="00194C33"/>
    <w:rsid w:val="00195045"/>
    <w:rsid w:val="0019615A"/>
    <w:rsid w:val="00196740"/>
    <w:rsid w:val="00196C1F"/>
    <w:rsid w:val="001972DC"/>
    <w:rsid w:val="001A1470"/>
    <w:rsid w:val="001A325B"/>
    <w:rsid w:val="001A389C"/>
    <w:rsid w:val="001A38EB"/>
    <w:rsid w:val="001A4628"/>
    <w:rsid w:val="001A593C"/>
    <w:rsid w:val="001A5B10"/>
    <w:rsid w:val="001A5D15"/>
    <w:rsid w:val="001A6D72"/>
    <w:rsid w:val="001A6D93"/>
    <w:rsid w:val="001A7D64"/>
    <w:rsid w:val="001B0719"/>
    <w:rsid w:val="001B10C4"/>
    <w:rsid w:val="001B169C"/>
    <w:rsid w:val="001B2A99"/>
    <w:rsid w:val="001B44F3"/>
    <w:rsid w:val="001B516C"/>
    <w:rsid w:val="001B5F60"/>
    <w:rsid w:val="001C0BD4"/>
    <w:rsid w:val="001C3D31"/>
    <w:rsid w:val="001C62AD"/>
    <w:rsid w:val="001C69A5"/>
    <w:rsid w:val="001C733E"/>
    <w:rsid w:val="001C7E62"/>
    <w:rsid w:val="001D0EB7"/>
    <w:rsid w:val="001D2087"/>
    <w:rsid w:val="001D346A"/>
    <w:rsid w:val="001D4876"/>
    <w:rsid w:val="001D4B6A"/>
    <w:rsid w:val="001E0EE0"/>
    <w:rsid w:val="001E0FA7"/>
    <w:rsid w:val="001E31FC"/>
    <w:rsid w:val="001E4373"/>
    <w:rsid w:val="001E450B"/>
    <w:rsid w:val="001E4AC0"/>
    <w:rsid w:val="001E64C2"/>
    <w:rsid w:val="001E6629"/>
    <w:rsid w:val="001E76CD"/>
    <w:rsid w:val="001F0DFB"/>
    <w:rsid w:val="001F1779"/>
    <w:rsid w:val="001F2E23"/>
    <w:rsid w:val="001F3400"/>
    <w:rsid w:val="001F5156"/>
    <w:rsid w:val="001F5D36"/>
    <w:rsid w:val="001F692F"/>
    <w:rsid w:val="00200174"/>
    <w:rsid w:val="002002B8"/>
    <w:rsid w:val="00201955"/>
    <w:rsid w:val="00202C49"/>
    <w:rsid w:val="0020415C"/>
    <w:rsid w:val="002049D3"/>
    <w:rsid w:val="00206BA1"/>
    <w:rsid w:val="00206F70"/>
    <w:rsid w:val="002111B0"/>
    <w:rsid w:val="0021253E"/>
    <w:rsid w:val="00212950"/>
    <w:rsid w:val="002131A6"/>
    <w:rsid w:val="0021350D"/>
    <w:rsid w:val="002154A6"/>
    <w:rsid w:val="00216D56"/>
    <w:rsid w:val="00216E11"/>
    <w:rsid w:val="002201A5"/>
    <w:rsid w:val="0022107B"/>
    <w:rsid w:val="00222D78"/>
    <w:rsid w:val="00224EB6"/>
    <w:rsid w:val="00227100"/>
    <w:rsid w:val="00227BA5"/>
    <w:rsid w:val="00234091"/>
    <w:rsid w:val="002360A6"/>
    <w:rsid w:val="00236D49"/>
    <w:rsid w:val="00236F0F"/>
    <w:rsid w:val="002402A7"/>
    <w:rsid w:val="002412BB"/>
    <w:rsid w:val="00241BAE"/>
    <w:rsid w:val="002436C3"/>
    <w:rsid w:val="00244654"/>
    <w:rsid w:val="00244798"/>
    <w:rsid w:val="00246862"/>
    <w:rsid w:val="00247879"/>
    <w:rsid w:val="002520FC"/>
    <w:rsid w:val="002528BC"/>
    <w:rsid w:val="00253917"/>
    <w:rsid w:val="00253995"/>
    <w:rsid w:val="0025487F"/>
    <w:rsid w:val="00257E7C"/>
    <w:rsid w:val="00257F5C"/>
    <w:rsid w:val="0026054F"/>
    <w:rsid w:val="0026427A"/>
    <w:rsid w:val="002646B0"/>
    <w:rsid w:val="0026575C"/>
    <w:rsid w:val="00265961"/>
    <w:rsid w:val="0026633C"/>
    <w:rsid w:val="00266B1E"/>
    <w:rsid w:val="00267418"/>
    <w:rsid w:val="00271692"/>
    <w:rsid w:val="002732A7"/>
    <w:rsid w:val="00280986"/>
    <w:rsid w:val="002809F4"/>
    <w:rsid w:val="002826BE"/>
    <w:rsid w:val="00282C77"/>
    <w:rsid w:val="00284E68"/>
    <w:rsid w:val="00286297"/>
    <w:rsid w:val="00286386"/>
    <w:rsid w:val="002864F2"/>
    <w:rsid w:val="00290F27"/>
    <w:rsid w:val="00291D63"/>
    <w:rsid w:val="002936C3"/>
    <w:rsid w:val="00295320"/>
    <w:rsid w:val="00297396"/>
    <w:rsid w:val="002A29AE"/>
    <w:rsid w:val="002A3428"/>
    <w:rsid w:val="002A3CD4"/>
    <w:rsid w:val="002A67CF"/>
    <w:rsid w:val="002A6A00"/>
    <w:rsid w:val="002A6EBE"/>
    <w:rsid w:val="002B113F"/>
    <w:rsid w:val="002B127B"/>
    <w:rsid w:val="002B3553"/>
    <w:rsid w:val="002B35E5"/>
    <w:rsid w:val="002B72D5"/>
    <w:rsid w:val="002B7884"/>
    <w:rsid w:val="002B79DE"/>
    <w:rsid w:val="002C0638"/>
    <w:rsid w:val="002C169B"/>
    <w:rsid w:val="002C178F"/>
    <w:rsid w:val="002C30EB"/>
    <w:rsid w:val="002C47E6"/>
    <w:rsid w:val="002C4CFD"/>
    <w:rsid w:val="002C4E32"/>
    <w:rsid w:val="002C523B"/>
    <w:rsid w:val="002C5328"/>
    <w:rsid w:val="002C5DE1"/>
    <w:rsid w:val="002C61E2"/>
    <w:rsid w:val="002C61F6"/>
    <w:rsid w:val="002C7CF9"/>
    <w:rsid w:val="002D0331"/>
    <w:rsid w:val="002D0D4A"/>
    <w:rsid w:val="002D114D"/>
    <w:rsid w:val="002D128E"/>
    <w:rsid w:val="002D17BD"/>
    <w:rsid w:val="002D1B86"/>
    <w:rsid w:val="002D2776"/>
    <w:rsid w:val="002D2839"/>
    <w:rsid w:val="002D34A3"/>
    <w:rsid w:val="002D4228"/>
    <w:rsid w:val="002D474E"/>
    <w:rsid w:val="002D5574"/>
    <w:rsid w:val="002D5C11"/>
    <w:rsid w:val="002D5D16"/>
    <w:rsid w:val="002D67E0"/>
    <w:rsid w:val="002E0769"/>
    <w:rsid w:val="002E2835"/>
    <w:rsid w:val="002E2D96"/>
    <w:rsid w:val="002E4001"/>
    <w:rsid w:val="002E4A20"/>
    <w:rsid w:val="002E5E6A"/>
    <w:rsid w:val="002E5EC0"/>
    <w:rsid w:val="002E6705"/>
    <w:rsid w:val="002E7AD5"/>
    <w:rsid w:val="002F0172"/>
    <w:rsid w:val="002F6CFA"/>
    <w:rsid w:val="002F6D0A"/>
    <w:rsid w:val="002F7578"/>
    <w:rsid w:val="002F77A2"/>
    <w:rsid w:val="002F787B"/>
    <w:rsid w:val="00302BC5"/>
    <w:rsid w:val="00304051"/>
    <w:rsid w:val="003051CF"/>
    <w:rsid w:val="00305A09"/>
    <w:rsid w:val="003101D0"/>
    <w:rsid w:val="00311502"/>
    <w:rsid w:val="00311AD3"/>
    <w:rsid w:val="00311F23"/>
    <w:rsid w:val="00313A3C"/>
    <w:rsid w:val="003149C0"/>
    <w:rsid w:val="00315DA9"/>
    <w:rsid w:val="003171FA"/>
    <w:rsid w:val="0032117D"/>
    <w:rsid w:val="00322DE5"/>
    <w:rsid w:val="003233B9"/>
    <w:rsid w:val="003259A5"/>
    <w:rsid w:val="00325C75"/>
    <w:rsid w:val="00327DFE"/>
    <w:rsid w:val="0033130B"/>
    <w:rsid w:val="00331D8E"/>
    <w:rsid w:val="00332926"/>
    <w:rsid w:val="003331CF"/>
    <w:rsid w:val="00334B31"/>
    <w:rsid w:val="00334EAF"/>
    <w:rsid w:val="00341442"/>
    <w:rsid w:val="0034411E"/>
    <w:rsid w:val="00345023"/>
    <w:rsid w:val="003458FB"/>
    <w:rsid w:val="00346A8A"/>
    <w:rsid w:val="00346F38"/>
    <w:rsid w:val="0034797F"/>
    <w:rsid w:val="00350C76"/>
    <w:rsid w:val="00352163"/>
    <w:rsid w:val="00354385"/>
    <w:rsid w:val="00354547"/>
    <w:rsid w:val="0035526B"/>
    <w:rsid w:val="003607AD"/>
    <w:rsid w:val="00360D44"/>
    <w:rsid w:val="00362583"/>
    <w:rsid w:val="00362657"/>
    <w:rsid w:val="0036284E"/>
    <w:rsid w:val="00363050"/>
    <w:rsid w:val="003630C9"/>
    <w:rsid w:val="00366433"/>
    <w:rsid w:val="003739C2"/>
    <w:rsid w:val="0037405B"/>
    <w:rsid w:val="00374ABA"/>
    <w:rsid w:val="003768CB"/>
    <w:rsid w:val="003772CC"/>
    <w:rsid w:val="00382608"/>
    <w:rsid w:val="00382720"/>
    <w:rsid w:val="003830A7"/>
    <w:rsid w:val="003855B4"/>
    <w:rsid w:val="00386694"/>
    <w:rsid w:val="003904CD"/>
    <w:rsid w:val="003924C6"/>
    <w:rsid w:val="00394117"/>
    <w:rsid w:val="003947AE"/>
    <w:rsid w:val="003953AC"/>
    <w:rsid w:val="003A0D15"/>
    <w:rsid w:val="003A1706"/>
    <w:rsid w:val="003A4F1F"/>
    <w:rsid w:val="003A5463"/>
    <w:rsid w:val="003A56D3"/>
    <w:rsid w:val="003A61FC"/>
    <w:rsid w:val="003A622E"/>
    <w:rsid w:val="003A716D"/>
    <w:rsid w:val="003B0D22"/>
    <w:rsid w:val="003B1A45"/>
    <w:rsid w:val="003B350F"/>
    <w:rsid w:val="003B3FE2"/>
    <w:rsid w:val="003B4E3D"/>
    <w:rsid w:val="003B6296"/>
    <w:rsid w:val="003B71E7"/>
    <w:rsid w:val="003B7222"/>
    <w:rsid w:val="003C318E"/>
    <w:rsid w:val="003C3859"/>
    <w:rsid w:val="003C4896"/>
    <w:rsid w:val="003C5E36"/>
    <w:rsid w:val="003D1010"/>
    <w:rsid w:val="003D29EE"/>
    <w:rsid w:val="003D2E92"/>
    <w:rsid w:val="003D3602"/>
    <w:rsid w:val="003D3EEE"/>
    <w:rsid w:val="003D6056"/>
    <w:rsid w:val="003D68D3"/>
    <w:rsid w:val="003D76EA"/>
    <w:rsid w:val="003E0649"/>
    <w:rsid w:val="003E1CEE"/>
    <w:rsid w:val="003E371C"/>
    <w:rsid w:val="003E512A"/>
    <w:rsid w:val="003E61BB"/>
    <w:rsid w:val="003E76B4"/>
    <w:rsid w:val="003E7A0B"/>
    <w:rsid w:val="003F0A12"/>
    <w:rsid w:val="003F1684"/>
    <w:rsid w:val="003F1D62"/>
    <w:rsid w:val="003F20AB"/>
    <w:rsid w:val="003F5FB2"/>
    <w:rsid w:val="003F7FEF"/>
    <w:rsid w:val="00400013"/>
    <w:rsid w:val="00401E59"/>
    <w:rsid w:val="004022A6"/>
    <w:rsid w:val="0040267F"/>
    <w:rsid w:val="00403115"/>
    <w:rsid w:val="00403FA5"/>
    <w:rsid w:val="004043CE"/>
    <w:rsid w:val="0040498E"/>
    <w:rsid w:val="00404D13"/>
    <w:rsid w:val="00405184"/>
    <w:rsid w:val="0040540B"/>
    <w:rsid w:val="004074A2"/>
    <w:rsid w:val="0041034E"/>
    <w:rsid w:val="0041353F"/>
    <w:rsid w:val="004139D8"/>
    <w:rsid w:val="00414A8E"/>
    <w:rsid w:val="00416136"/>
    <w:rsid w:val="00420A22"/>
    <w:rsid w:val="00422848"/>
    <w:rsid w:val="004239FF"/>
    <w:rsid w:val="00423A6F"/>
    <w:rsid w:val="00423AA2"/>
    <w:rsid w:val="0042400D"/>
    <w:rsid w:val="00424246"/>
    <w:rsid w:val="004245A9"/>
    <w:rsid w:val="00424F08"/>
    <w:rsid w:val="00425126"/>
    <w:rsid w:val="00425518"/>
    <w:rsid w:val="004257BB"/>
    <w:rsid w:val="0042753D"/>
    <w:rsid w:val="0043068D"/>
    <w:rsid w:val="00430E0C"/>
    <w:rsid w:val="00431606"/>
    <w:rsid w:val="004356C5"/>
    <w:rsid w:val="00435901"/>
    <w:rsid w:val="00435BA2"/>
    <w:rsid w:val="00435FA1"/>
    <w:rsid w:val="00437814"/>
    <w:rsid w:val="00437F0B"/>
    <w:rsid w:val="00441087"/>
    <w:rsid w:val="00442915"/>
    <w:rsid w:val="00443F04"/>
    <w:rsid w:val="00444C0B"/>
    <w:rsid w:val="00445907"/>
    <w:rsid w:val="0044601D"/>
    <w:rsid w:val="0044718C"/>
    <w:rsid w:val="00447A29"/>
    <w:rsid w:val="00447D41"/>
    <w:rsid w:val="00451252"/>
    <w:rsid w:val="00451BA3"/>
    <w:rsid w:val="0045216C"/>
    <w:rsid w:val="00452ACE"/>
    <w:rsid w:val="00453253"/>
    <w:rsid w:val="004538E5"/>
    <w:rsid w:val="00453D18"/>
    <w:rsid w:val="00454BE2"/>
    <w:rsid w:val="00454F95"/>
    <w:rsid w:val="0045509B"/>
    <w:rsid w:val="004556E1"/>
    <w:rsid w:val="00461D8F"/>
    <w:rsid w:val="00463C1C"/>
    <w:rsid w:val="00464158"/>
    <w:rsid w:val="00464364"/>
    <w:rsid w:val="004670F1"/>
    <w:rsid w:val="004674EE"/>
    <w:rsid w:val="00467BDC"/>
    <w:rsid w:val="00470423"/>
    <w:rsid w:val="004705BC"/>
    <w:rsid w:val="00470EB7"/>
    <w:rsid w:val="00472BE9"/>
    <w:rsid w:val="004739A6"/>
    <w:rsid w:val="00473EE2"/>
    <w:rsid w:val="0047490D"/>
    <w:rsid w:val="00475B33"/>
    <w:rsid w:val="00475C8B"/>
    <w:rsid w:val="00477266"/>
    <w:rsid w:val="004773FD"/>
    <w:rsid w:val="00477875"/>
    <w:rsid w:val="00480CBF"/>
    <w:rsid w:val="00481B82"/>
    <w:rsid w:val="0048289F"/>
    <w:rsid w:val="004831BD"/>
    <w:rsid w:val="0048382B"/>
    <w:rsid w:val="00483DE2"/>
    <w:rsid w:val="004840AC"/>
    <w:rsid w:val="00484D87"/>
    <w:rsid w:val="00486E58"/>
    <w:rsid w:val="00486EB0"/>
    <w:rsid w:val="004924AD"/>
    <w:rsid w:val="00493304"/>
    <w:rsid w:val="00493E7F"/>
    <w:rsid w:val="00495492"/>
    <w:rsid w:val="00497D68"/>
    <w:rsid w:val="004A22B2"/>
    <w:rsid w:val="004A3851"/>
    <w:rsid w:val="004A45E1"/>
    <w:rsid w:val="004A502B"/>
    <w:rsid w:val="004A70AA"/>
    <w:rsid w:val="004A70B4"/>
    <w:rsid w:val="004B1A6C"/>
    <w:rsid w:val="004B2668"/>
    <w:rsid w:val="004B2DB9"/>
    <w:rsid w:val="004B3682"/>
    <w:rsid w:val="004B3F29"/>
    <w:rsid w:val="004B4C90"/>
    <w:rsid w:val="004B72CC"/>
    <w:rsid w:val="004B7951"/>
    <w:rsid w:val="004C064D"/>
    <w:rsid w:val="004C39CC"/>
    <w:rsid w:val="004C4A93"/>
    <w:rsid w:val="004C4F78"/>
    <w:rsid w:val="004C6C16"/>
    <w:rsid w:val="004C6F7F"/>
    <w:rsid w:val="004C7352"/>
    <w:rsid w:val="004D05EC"/>
    <w:rsid w:val="004D1A9A"/>
    <w:rsid w:val="004D3336"/>
    <w:rsid w:val="004D3BBB"/>
    <w:rsid w:val="004D3DBC"/>
    <w:rsid w:val="004D6350"/>
    <w:rsid w:val="004D65D2"/>
    <w:rsid w:val="004D6B41"/>
    <w:rsid w:val="004E22F1"/>
    <w:rsid w:val="004E2A2A"/>
    <w:rsid w:val="004E341B"/>
    <w:rsid w:val="004E35FB"/>
    <w:rsid w:val="004E3C6D"/>
    <w:rsid w:val="004E518E"/>
    <w:rsid w:val="004E533B"/>
    <w:rsid w:val="004E5F15"/>
    <w:rsid w:val="004E68F9"/>
    <w:rsid w:val="004E75F4"/>
    <w:rsid w:val="004E7A56"/>
    <w:rsid w:val="004F0199"/>
    <w:rsid w:val="004F04E1"/>
    <w:rsid w:val="004F062B"/>
    <w:rsid w:val="004F136D"/>
    <w:rsid w:val="004F1704"/>
    <w:rsid w:val="004F1BC2"/>
    <w:rsid w:val="004F2E88"/>
    <w:rsid w:val="004F3097"/>
    <w:rsid w:val="004F335B"/>
    <w:rsid w:val="004F55D0"/>
    <w:rsid w:val="004F56FF"/>
    <w:rsid w:val="004F641C"/>
    <w:rsid w:val="004F7522"/>
    <w:rsid w:val="00500029"/>
    <w:rsid w:val="00502DB5"/>
    <w:rsid w:val="00502DC9"/>
    <w:rsid w:val="00503A65"/>
    <w:rsid w:val="00504C6D"/>
    <w:rsid w:val="00505330"/>
    <w:rsid w:val="00505C5D"/>
    <w:rsid w:val="00506068"/>
    <w:rsid w:val="0050684B"/>
    <w:rsid w:val="005074E5"/>
    <w:rsid w:val="00507600"/>
    <w:rsid w:val="00507CEB"/>
    <w:rsid w:val="00507E3C"/>
    <w:rsid w:val="005104CE"/>
    <w:rsid w:val="00510BD2"/>
    <w:rsid w:val="00512902"/>
    <w:rsid w:val="00512EB0"/>
    <w:rsid w:val="00513511"/>
    <w:rsid w:val="00513A8E"/>
    <w:rsid w:val="00513CB4"/>
    <w:rsid w:val="005162E5"/>
    <w:rsid w:val="00521D8A"/>
    <w:rsid w:val="00523210"/>
    <w:rsid w:val="00524680"/>
    <w:rsid w:val="00524C15"/>
    <w:rsid w:val="00524C8A"/>
    <w:rsid w:val="00525F4D"/>
    <w:rsid w:val="00526284"/>
    <w:rsid w:val="00526C9F"/>
    <w:rsid w:val="00527A62"/>
    <w:rsid w:val="0053001B"/>
    <w:rsid w:val="005304DF"/>
    <w:rsid w:val="005306D2"/>
    <w:rsid w:val="005314E7"/>
    <w:rsid w:val="00531A48"/>
    <w:rsid w:val="00531B36"/>
    <w:rsid w:val="005331B4"/>
    <w:rsid w:val="00533F3D"/>
    <w:rsid w:val="0053430E"/>
    <w:rsid w:val="00534D26"/>
    <w:rsid w:val="00535006"/>
    <w:rsid w:val="005358E1"/>
    <w:rsid w:val="005365B1"/>
    <w:rsid w:val="00536FF6"/>
    <w:rsid w:val="00537594"/>
    <w:rsid w:val="00541F97"/>
    <w:rsid w:val="00542BD5"/>
    <w:rsid w:val="005461D5"/>
    <w:rsid w:val="00546B23"/>
    <w:rsid w:val="005510E6"/>
    <w:rsid w:val="005542F5"/>
    <w:rsid w:val="0055493D"/>
    <w:rsid w:val="00554D82"/>
    <w:rsid w:val="00555DC4"/>
    <w:rsid w:val="00557FAD"/>
    <w:rsid w:val="005601C8"/>
    <w:rsid w:val="0056151E"/>
    <w:rsid w:val="00561F5A"/>
    <w:rsid w:val="00562688"/>
    <w:rsid w:val="00562E13"/>
    <w:rsid w:val="00562F48"/>
    <w:rsid w:val="005630F3"/>
    <w:rsid w:val="00563B74"/>
    <w:rsid w:val="00563FB9"/>
    <w:rsid w:val="00564BED"/>
    <w:rsid w:val="00565DC5"/>
    <w:rsid w:val="00565F6A"/>
    <w:rsid w:val="00570753"/>
    <w:rsid w:val="00571550"/>
    <w:rsid w:val="00571FED"/>
    <w:rsid w:val="00573D55"/>
    <w:rsid w:val="00574407"/>
    <w:rsid w:val="00574D92"/>
    <w:rsid w:val="005752AD"/>
    <w:rsid w:val="00576219"/>
    <w:rsid w:val="00576F12"/>
    <w:rsid w:val="005775FF"/>
    <w:rsid w:val="00580588"/>
    <w:rsid w:val="00581F9E"/>
    <w:rsid w:val="0058239A"/>
    <w:rsid w:val="00583EFB"/>
    <w:rsid w:val="005844C5"/>
    <w:rsid w:val="005853DA"/>
    <w:rsid w:val="00586725"/>
    <w:rsid w:val="0058704A"/>
    <w:rsid w:val="0059010C"/>
    <w:rsid w:val="005902EF"/>
    <w:rsid w:val="0059167D"/>
    <w:rsid w:val="0059178C"/>
    <w:rsid w:val="00591DC2"/>
    <w:rsid w:val="00593599"/>
    <w:rsid w:val="0059468E"/>
    <w:rsid w:val="00594B61"/>
    <w:rsid w:val="005956BC"/>
    <w:rsid w:val="0059579A"/>
    <w:rsid w:val="00595E9C"/>
    <w:rsid w:val="00595F38"/>
    <w:rsid w:val="0059616C"/>
    <w:rsid w:val="005965F9"/>
    <w:rsid w:val="005A063F"/>
    <w:rsid w:val="005A11FB"/>
    <w:rsid w:val="005A1419"/>
    <w:rsid w:val="005A1503"/>
    <w:rsid w:val="005A204C"/>
    <w:rsid w:val="005A2794"/>
    <w:rsid w:val="005A30C5"/>
    <w:rsid w:val="005A7EBF"/>
    <w:rsid w:val="005B300C"/>
    <w:rsid w:val="005B5D3C"/>
    <w:rsid w:val="005B661B"/>
    <w:rsid w:val="005B686B"/>
    <w:rsid w:val="005B777C"/>
    <w:rsid w:val="005B7CB6"/>
    <w:rsid w:val="005C11A2"/>
    <w:rsid w:val="005C1D63"/>
    <w:rsid w:val="005C30E3"/>
    <w:rsid w:val="005C363F"/>
    <w:rsid w:val="005C402F"/>
    <w:rsid w:val="005C419A"/>
    <w:rsid w:val="005C47A0"/>
    <w:rsid w:val="005C62B3"/>
    <w:rsid w:val="005D1175"/>
    <w:rsid w:val="005D35C3"/>
    <w:rsid w:val="005D3EC8"/>
    <w:rsid w:val="005D53C5"/>
    <w:rsid w:val="005D686A"/>
    <w:rsid w:val="005D7C2C"/>
    <w:rsid w:val="005D7D1D"/>
    <w:rsid w:val="005D7EA7"/>
    <w:rsid w:val="005E020C"/>
    <w:rsid w:val="005E12CC"/>
    <w:rsid w:val="005E4B8D"/>
    <w:rsid w:val="005E586A"/>
    <w:rsid w:val="005E5D01"/>
    <w:rsid w:val="005E607B"/>
    <w:rsid w:val="005E7447"/>
    <w:rsid w:val="005E7DBB"/>
    <w:rsid w:val="005F01B5"/>
    <w:rsid w:val="005F05E4"/>
    <w:rsid w:val="005F2C3E"/>
    <w:rsid w:val="005F401B"/>
    <w:rsid w:val="005F4302"/>
    <w:rsid w:val="005F51CB"/>
    <w:rsid w:val="005F6112"/>
    <w:rsid w:val="005F6DEE"/>
    <w:rsid w:val="005F6F57"/>
    <w:rsid w:val="005F7A1F"/>
    <w:rsid w:val="005F7F1C"/>
    <w:rsid w:val="00600C96"/>
    <w:rsid w:val="00601840"/>
    <w:rsid w:val="00601DCB"/>
    <w:rsid w:val="0060317B"/>
    <w:rsid w:val="00603206"/>
    <w:rsid w:val="00604C4C"/>
    <w:rsid w:val="006055F5"/>
    <w:rsid w:val="00611C7D"/>
    <w:rsid w:val="00612D06"/>
    <w:rsid w:val="0061441D"/>
    <w:rsid w:val="00615976"/>
    <w:rsid w:val="00616999"/>
    <w:rsid w:val="00620D97"/>
    <w:rsid w:val="0062131F"/>
    <w:rsid w:val="0062284E"/>
    <w:rsid w:val="006229D7"/>
    <w:rsid w:val="00624CC2"/>
    <w:rsid w:val="00625BB1"/>
    <w:rsid w:val="00625E41"/>
    <w:rsid w:val="00627211"/>
    <w:rsid w:val="00631771"/>
    <w:rsid w:val="00631D70"/>
    <w:rsid w:val="0063216C"/>
    <w:rsid w:val="0063282A"/>
    <w:rsid w:val="00633EDB"/>
    <w:rsid w:val="00636263"/>
    <w:rsid w:val="006373CF"/>
    <w:rsid w:val="0064037B"/>
    <w:rsid w:val="006420BE"/>
    <w:rsid w:val="00642842"/>
    <w:rsid w:val="0064306D"/>
    <w:rsid w:val="006445C2"/>
    <w:rsid w:val="0064543F"/>
    <w:rsid w:val="00646788"/>
    <w:rsid w:val="00646C37"/>
    <w:rsid w:val="00646C8E"/>
    <w:rsid w:val="0064768C"/>
    <w:rsid w:val="00650442"/>
    <w:rsid w:val="00650C34"/>
    <w:rsid w:val="00651C48"/>
    <w:rsid w:val="00654E23"/>
    <w:rsid w:val="00655545"/>
    <w:rsid w:val="00655762"/>
    <w:rsid w:val="00656CED"/>
    <w:rsid w:val="0065799F"/>
    <w:rsid w:val="006602E3"/>
    <w:rsid w:val="0066043E"/>
    <w:rsid w:val="00662917"/>
    <w:rsid w:val="0066292B"/>
    <w:rsid w:val="00662F1A"/>
    <w:rsid w:val="006636C1"/>
    <w:rsid w:val="006652D5"/>
    <w:rsid w:val="00665605"/>
    <w:rsid w:val="00666855"/>
    <w:rsid w:val="00666EC6"/>
    <w:rsid w:val="00667BE9"/>
    <w:rsid w:val="00670750"/>
    <w:rsid w:val="0067097F"/>
    <w:rsid w:val="006713FD"/>
    <w:rsid w:val="00671FA8"/>
    <w:rsid w:val="00672CA9"/>
    <w:rsid w:val="00673CA8"/>
    <w:rsid w:val="00674087"/>
    <w:rsid w:val="006749DD"/>
    <w:rsid w:val="00674D7A"/>
    <w:rsid w:val="006774CB"/>
    <w:rsid w:val="006802FB"/>
    <w:rsid w:val="0068303F"/>
    <w:rsid w:val="00683249"/>
    <w:rsid w:val="00683285"/>
    <w:rsid w:val="00683F9F"/>
    <w:rsid w:val="0068499D"/>
    <w:rsid w:val="00684D13"/>
    <w:rsid w:val="0068595A"/>
    <w:rsid w:val="006864FC"/>
    <w:rsid w:val="00686B74"/>
    <w:rsid w:val="00686F95"/>
    <w:rsid w:val="00690A62"/>
    <w:rsid w:val="006911C6"/>
    <w:rsid w:val="00692B2C"/>
    <w:rsid w:val="00693054"/>
    <w:rsid w:val="0069335D"/>
    <w:rsid w:val="0069784C"/>
    <w:rsid w:val="006A0F2B"/>
    <w:rsid w:val="006A1BE3"/>
    <w:rsid w:val="006A2F82"/>
    <w:rsid w:val="006A3C77"/>
    <w:rsid w:val="006A5C24"/>
    <w:rsid w:val="006A6E5B"/>
    <w:rsid w:val="006B02EF"/>
    <w:rsid w:val="006B1DEB"/>
    <w:rsid w:val="006B5CC7"/>
    <w:rsid w:val="006C0166"/>
    <w:rsid w:val="006C05DA"/>
    <w:rsid w:val="006C1218"/>
    <w:rsid w:val="006C2319"/>
    <w:rsid w:val="006C419A"/>
    <w:rsid w:val="006C462F"/>
    <w:rsid w:val="006C4C4A"/>
    <w:rsid w:val="006C5436"/>
    <w:rsid w:val="006C5D3D"/>
    <w:rsid w:val="006C5E13"/>
    <w:rsid w:val="006C7A57"/>
    <w:rsid w:val="006D13DA"/>
    <w:rsid w:val="006D1A03"/>
    <w:rsid w:val="006D2DCB"/>
    <w:rsid w:val="006D46DE"/>
    <w:rsid w:val="006D61C0"/>
    <w:rsid w:val="006D61E9"/>
    <w:rsid w:val="006D67E1"/>
    <w:rsid w:val="006D704D"/>
    <w:rsid w:val="006E0DC1"/>
    <w:rsid w:val="006E1B7B"/>
    <w:rsid w:val="006E299F"/>
    <w:rsid w:val="006E3032"/>
    <w:rsid w:val="006E45DE"/>
    <w:rsid w:val="006F07DF"/>
    <w:rsid w:val="006F1064"/>
    <w:rsid w:val="006F1D2A"/>
    <w:rsid w:val="006F24AD"/>
    <w:rsid w:val="006F29FD"/>
    <w:rsid w:val="006F3E36"/>
    <w:rsid w:val="006F406C"/>
    <w:rsid w:val="006F6062"/>
    <w:rsid w:val="006F7B79"/>
    <w:rsid w:val="00700201"/>
    <w:rsid w:val="0070324B"/>
    <w:rsid w:val="00704476"/>
    <w:rsid w:val="00705377"/>
    <w:rsid w:val="00706E3E"/>
    <w:rsid w:val="00707761"/>
    <w:rsid w:val="0071056B"/>
    <w:rsid w:val="0071084F"/>
    <w:rsid w:val="007114F7"/>
    <w:rsid w:val="007117B5"/>
    <w:rsid w:val="0071184F"/>
    <w:rsid w:val="00711E68"/>
    <w:rsid w:val="00712A4F"/>
    <w:rsid w:val="00712AFF"/>
    <w:rsid w:val="007138E8"/>
    <w:rsid w:val="00713BB6"/>
    <w:rsid w:val="00713C10"/>
    <w:rsid w:val="00715CBE"/>
    <w:rsid w:val="00717A42"/>
    <w:rsid w:val="007207E1"/>
    <w:rsid w:val="0072117E"/>
    <w:rsid w:val="0072307D"/>
    <w:rsid w:val="00723344"/>
    <w:rsid w:val="00725364"/>
    <w:rsid w:val="00726793"/>
    <w:rsid w:val="00726C1C"/>
    <w:rsid w:val="00727509"/>
    <w:rsid w:val="0072755A"/>
    <w:rsid w:val="007277CE"/>
    <w:rsid w:val="00727FB4"/>
    <w:rsid w:val="0073115B"/>
    <w:rsid w:val="00734EBC"/>
    <w:rsid w:val="00735684"/>
    <w:rsid w:val="00735C79"/>
    <w:rsid w:val="00736B40"/>
    <w:rsid w:val="007373FB"/>
    <w:rsid w:val="0073764A"/>
    <w:rsid w:val="007427AA"/>
    <w:rsid w:val="00746794"/>
    <w:rsid w:val="00750352"/>
    <w:rsid w:val="007510AD"/>
    <w:rsid w:val="007515A4"/>
    <w:rsid w:val="00753C3C"/>
    <w:rsid w:val="00754D98"/>
    <w:rsid w:val="0075575A"/>
    <w:rsid w:val="00755DBF"/>
    <w:rsid w:val="007577AE"/>
    <w:rsid w:val="00760052"/>
    <w:rsid w:val="00761B5F"/>
    <w:rsid w:val="0076292E"/>
    <w:rsid w:val="00763884"/>
    <w:rsid w:val="0076420A"/>
    <w:rsid w:val="00764D28"/>
    <w:rsid w:val="007665E8"/>
    <w:rsid w:val="00767A3E"/>
    <w:rsid w:val="00767C2D"/>
    <w:rsid w:val="00770B14"/>
    <w:rsid w:val="007712B2"/>
    <w:rsid w:val="00781DD6"/>
    <w:rsid w:val="007820BA"/>
    <w:rsid w:val="0078289C"/>
    <w:rsid w:val="00782B46"/>
    <w:rsid w:val="0079061F"/>
    <w:rsid w:val="00790A8E"/>
    <w:rsid w:val="0079227B"/>
    <w:rsid w:val="0079370C"/>
    <w:rsid w:val="00795BD8"/>
    <w:rsid w:val="00797727"/>
    <w:rsid w:val="00797840"/>
    <w:rsid w:val="00797CF2"/>
    <w:rsid w:val="007A03D5"/>
    <w:rsid w:val="007A26AD"/>
    <w:rsid w:val="007A320C"/>
    <w:rsid w:val="007A3EB0"/>
    <w:rsid w:val="007A67A4"/>
    <w:rsid w:val="007A718D"/>
    <w:rsid w:val="007B2832"/>
    <w:rsid w:val="007B3A1E"/>
    <w:rsid w:val="007B4E23"/>
    <w:rsid w:val="007B58B6"/>
    <w:rsid w:val="007B6102"/>
    <w:rsid w:val="007B61AC"/>
    <w:rsid w:val="007B6D07"/>
    <w:rsid w:val="007B7A40"/>
    <w:rsid w:val="007C0BA5"/>
    <w:rsid w:val="007C14F6"/>
    <w:rsid w:val="007C3D9E"/>
    <w:rsid w:val="007C3EE9"/>
    <w:rsid w:val="007C44D5"/>
    <w:rsid w:val="007C7439"/>
    <w:rsid w:val="007D07C6"/>
    <w:rsid w:val="007D1638"/>
    <w:rsid w:val="007D1BF7"/>
    <w:rsid w:val="007D22D1"/>
    <w:rsid w:val="007D2483"/>
    <w:rsid w:val="007D3846"/>
    <w:rsid w:val="007D4B34"/>
    <w:rsid w:val="007D5B61"/>
    <w:rsid w:val="007D69DB"/>
    <w:rsid w:val="007D7FEB"/>
    <w:rsid w:val="007E05DB"/>
    <w:rsid w:val="007E332C"/>
    <w:rsid w:val="007E4729"/>
    <w:rsid w:val="007E4AC3"/>
    <w:rsid w:val="007E6E63"/>
    <w:rsid w:val="007F00CB"/>
    <w:rsid w:val="007F0F34"/>
    <w:rsid w:val="007F18C9"/>
    <w:rsid w:val="007F5218"/>
    <w:rsid w:val="007F7E5F"/>
    <w:rsid w:val="007F7F62"/>
    <w:rsid w:val="00800415"/>
    <w:rsid w:val="00801A57"/>
    <w:rsid w:val="00802838"/>
    <w:rsid w:val="00802DD0"/>
    <w:rsid w:val="00803858"/>
    <w:rsid w:val="008058DD"/>
    <w:rsid w:val="008059D3"/>
    <w:rsid w:val="00805D05"/>
    <w:rsid w:val="00806EEB"/>
    <w:rsid w:val="008102C4"/>
    <w:rsid w:val="0081158A"/>
    <w:rsid w:val="00811A11"/>
    <w:rsid w:val="00811DFD"/>
    <w:rsid w:val="008122B0"/>
    <w:rsid w:val="00812CF3"/>
    <w:rsid w:val="00812D77"/>
    <w:rsid w:val="00812E41"/>
    <w:rsid w:val="00813218"/>
    <w:rsid w:val="008136C0"/>
    <w:rsid w:val="008149D5"/>
    <w:rsid w:val="00814B77"/>
    <w:rsid w:val="00815B8A"/>
    <w:rsid w:val="0081704D"/>
    <w:rsid w:val="0082067A"/>
    <w:rsid w:val="0082349A"/>
    <w:rsid w:val="00823A52"/>
    <w:rsid w:val="00823F65"/>
    <w:rsid w:val="00824BAD"/>
    <w:rsid w:val="00825A75"/>
    <w:rsid w:val="00825CC6"/>
    <w:rsid w:val="00826646"/>
    <w:rsid w:val="00827BD7"/>
    <w:rsid w:val="00832847"/>
    <w:rsid w:val="008332CE"/>
    <w:rsid w:val="0083362A"/>
    <w:rsid w:val="0083397B"/>
    <w:rsid w:val="0083509C"/>
    <w:rsid w:val="00835471"/>
    <w:rsid w:val="00835B07"/>
    <w:rsid w:val="00835D3D"/>
    <w:rsid w:val="00835D7F"/>
    <w:rsid w:val="008365C2"/>
    <w:rsid w:val="00836754"/>
    <w:rsid w:val="008367A0"/>
    <w:rsid w:val="008370AE"/>
    <w:rsid w:val="008377CA"/>
    <w:rsid w:val="0083786E"/>
    <w:rsid w:val="0084081A"/>
    <w:rsid w:val="00840A5D"/>
    <w:rsid w:val="008413DB"/>
    <w:rsid w:val="00841F9A"/>
    <w:rsid w:val="0084263D"/>
    <w:rsid w:val="008454DB"/>
    <w:rsid w:val="00845A4A"/>
    <w:rsid w:val="00850583"/>
    <w:rsid w:val="00850BE0"/>
    <w:rsid w:val="0085367A"/>
    <w:rsid w:val="00854F0D"/>
    <w:rsid w:val="0085551F"/>
    <w:rsid w:val="00855FC6"/>
    <w:rsid w:val="00856D23"/>
    <w:rsid w:val="00856E03"/>
    <w:rsid w:val="008607A0"/>
    <w:rsid w:val="00860F45"/>
    <w:rsid w:val="008631C0"/>
    <w:rsid w:val="008636C5"/>
    <w:rsid w:val="008649D9"/>
    <w:rsid w:val="0086574C"/>
    <w:rsid w:val="00865826"/>
    <w:rsid w:val="00866405"/>
    <w:rsid w:val="00866A13"/>
    <w:rsid w:val="0087052B"/>
    <w:rsid w:val="0087110C"/>
    <w:rsid w:val="00871DEA"/>
    <w:rsid w:val="00872CFE"/>
    <w:rsid w:val="00872EDD"/>
    <w:rsid w:val="00873580"/>
    <w:rsid w:val="00873849"/>
    <w:rsid w:val="008739A0"/>
    <w:rsid w:val="0087540A"/>
    <w:rsid w:val="0087719A"/>
    <w:rsid w:val="00877D97"/>
    <w:rsid w:val="00881412"/>
    <w:rsid w:val="00882432"/>
    <w:rsid w:val="00884A75"/>
    <w:rsid w:val="00884BBB"/>
    <w:rsid w:val="00886E3E"/>
    <w:rsid w:val="00886EDF"/>
    <w:rsid w:val="008875AF"/>
    <w:rsid w:val="00887837"/>
    <w:rsid w:val="00887D8B"/>
    <w:rsid w:val="00891FAE"/>
    <w:rsid w:val="00892D72"/>
    <w:rsid w:val="00893CD9"/>
    <w:rsid w:val="00894A89"/>
    <w:rsid w:val="00894C66"/>
    <w:rsid w:val="00897F10"/>
    <w:rsid w:val="008A1717"/>
    <w:rsid w:val="008A26DB"/>
    <w:rsid w:val="008A26FB"/>
    <w:rsid w:val="008A32EB"/>
    <w:rsid w:val="008A370C"/>
    <w:rsid w:val="008A48B5"/>
    <w:rsid w:val="008A4BD2"/>
    <w:rsid w:val="008B16A8"/>
    <w:rsid w:val="008B1A1A"/>
    <w:rsid w:val="008B2C8A"/>
    <w:rsid w:val="008B2F8E"/>
    <w:rsid w:val="008B3213"/>
    <w:rsid w:val="008B41E4"/>
    <w:rsid w:val="008B4ED8"/>
    <w:rsid w:val="008B56EC"/>
    <w:rsid w:val="008B5EB1"/>
    <w:rsid w:val="008B6683"/>
    <w:rsid w:val="008B7DA3"/>
    <w:rsid w:val="008C05DE"/>
    <w:rsid w:val="008C394D"/>
    <w:rsid w:val="008C3A78"/>
    <w:rsid w:val="008C58DA"/>
    <w:rsid w:val="008C709B"/>
    <w:rsid w:val="008C783A"/>
    <w:rsid w:val="008D0DA2"/>
    <w:rsid w:val="008D1714"/>
    <w:rsid w:val="008D18BF"/>
    <w:rsid w:val="008D1B9C"/>
    <w:rsid w:val="008D23C3"/>
    <w:rsid w:val="008D396E"/>
    <w:rsid w:val="008D6720"/>
    <w:rsid w:val="008D74DE"/>
    <w:rsid w:val="008D7D66"/>
    <w:rsid w:val="008E320F"/>
    <w:rsid w:val="008E42D0"/>
    <w:rsid w:val="008E6254"/>
    <w:rsid w:val="008E6451"/>
    <w:rsid w:val="008E6564"/>
    <w:rsid w:val="008E6D0A"/>
    <w:rsid w:val="008E7D1C"/>
    <w:rsid w:val="008E7D67"/>
    <w:rsid w:val="008F11A7"/>
    <w:rsid w:val="008F1D53"/>
    <w:rsid w:val="008F235E"/>
    <w:rsid w:val="008F2743"/>
    <w:rsid w:val="008F29D9"/>
    <w:rsid w:val="008F2AB9"/>
    <w:rsid w:val="008F324A"/>
    <w:rsid w:val="008F3AFA"/>
    <w:rsid w:val="008F45AC"/>
    <w:rsid w:val="008F4659"/>
    <w:rsid w:val="00900925"/>
    <w:rsid w:val="00900E0D"/>
    <w:rsid w:val="00901333"/>
    <w:rsid w:val="00901B65"/>
    <w:rsid w:val="00902AEB"/>
    <w:rsid w:val="00902EBD"/>
    <w:rsid w:val="00904256"/>
    <w:rsid w:val="0090441D"/>
    <w:rsid w:val="00905B82"/>
    <w:rsid w:val="00906B42"/>
    <w:rsid w:val="00906C01"/>
    <w:rsid w:val="00907EA2"/>
    <w:rsid w:val="00910238"/>
    <w:rsid w:val="00910261"/>
    <w:rsid w:val="00910A76"/>
    <w:rsid w:val="00910BD9"/>
    <w:rsid w:val="00912580"/>
    <w:rsid w:val="00914C2B"/>
    <w:rsid w:val="0091502F"/>
    <w:rsid w:val="00916F57"/>
    <w:rsid w:val="00917158"/>
    <w:rsid w:val="009225ED"/>
    <w:rsid w:val="0092350B"/>
    <w:rsid w:val="0092390C"/>
    <w:rsid w:val="00924E15"/>
    <w:rsid w:val="00925121"/>
    <w:rsid w:val="009252BC"/>
    <w:rsid w:val="009271B0"/>
    <w:rsid w:val="0092720B"/>
    <w:rsid w:val="0092732D"/>
    <w:rsid w:val="00930681"/>
    <w:rsid w:val="009329BD"/>
    <w:rsid w:val="00933274"/>
    <w:rsid w:val="00933B2D"/>
    <w:rsid w:val="00933E5A"/>
    <w:rsid w:val="009365E4"/>
    <w:rsid w:val="0093698A"/>
    <w:rsid w:val="00936BCF"/>
    <w:rsid w:val="0094030C"/>
    <w:rsid w:val="00941CBD"/>
    <w:rsid w:val="00943888"/>
    <w:rsid w:val="00944B3F"/>
    <w:rsid w:val="00945227"/>
    <w:rsid w:val="00946097"/>
    <w:rsid w:val="00946262"/>
    <w:rsid w:val="009477F9"/>
    <w:rsid w:val="00953A78"/>
    <w:rsid w:val="00954BE9"/>
    <w:rsid w:val="009553B9"/>
    <w:rsid w:val="009563EF"/>
    <w:rsid w:val="00956ACB"/>
    <w:rsid w:val="00957261"/>
    <w:rsid w:val="00957ADC"/>
    <w:rsid w:val="0096021F"/>
    <w:rsid w:val="00962030"/>
    <w:rsid w:val="00963C16"/>
    <w:rsid w:val="009649AB"/>
    <w:rsid w:val="00965B1D"/>
    <w:rsid w:val="00965F42"/>
    <w:rsid w:val="00966D9B"/>
    <w:rsid w:val="009705B8"/>
    <w:rsid w:val="0097140F"/>
    <w:rsid w:val="00973C1F"/>
    <w:rsid w:val="009741D9"/>
    <w:rsid w:val="00975E6E"/>
    <w:rsid w:val="009777FF"/>
    <w:rsid w:val="00977E5B"/>
    <w:rsid w:val="009803F1"/>
    <w:rsid w:val="0098126B"/>
    <w:rsid w:val="00983527"/>
    <w:rsid w:val="00984576"/>
    <w:rsid w:val="00984593"/>
    <w:rsid w:val="00985DBF"/>
    <w:rsid w:val="009901F8"/>
    <w:rsid w:val="00990239"/>
    <w:rsid w:val="0099029A"/>
    <w:rsid w:val="009906B4"/>
    <w:rsid w:val="009918E1"/>
    <w:rsid w:val="00993F6D"/>
    <w:rsid w:val="00997B34"/>
    <w:rsid w:val="009A0B68"/>
    <w:rsid w:val="009A3134"/>
    <w:rsid w:val="009A4311"/>
    <w:rsid w:val="009A494E"/>
    <w:rsid w:val="009A4EB0"/>
    <w:rsid w:val="009A54CC"/>
    <w:rsid w:val="009A5A93"/>
    <w:rsid w:val="009A6389"/>
    <w:rsid w:val="009A64A8"/>
    <w:rsid w:val="009A69FE"/>
    <w:rsid w:val="009A6ED6"/>
    <w:rsid w:val="009A7233"/>
    <w:rsid w:val="009A737C"/>
    <w:rsid w:val="009A745A"/>
    <w:rsid w:val="009B2F89"/>
    <w:rsid w:val="009B308A"/>
    <w:rsid w:val="009B44EB"/>
    <w:rsid w:val="009B4996"/>
    <w:rsid w:val="009B58EE"/>
    <w:rsid w:val="009B7154"/>
    <w:rsid w:val="009C01E6"/>
    <w:rsid w:val="009C170D"/>
    <w:rsid w:val="009C2856"/>
    <w:rsid w:val="009C3C56"/>
    <w:rsid w:val="009C4A34"/>
    <w:rsid w:val="009C4F34"/>
    <w:rsid w:val="009D0169"/>
    <w:rsid w:val="009D39D0"/>
    <w:rsid w:val="009D3A2B"/>
    <w:rsid w:val="009D3D3C"/>
    <w:rsid w:val="009D4193"/>
    <w:rsid w:val="009D568D"/>
    <w:rsid w:val="009D6133"/>
    <w:rsid w:val="009D6430"/>
    <w:rsid w:val="009E2BD9"/>
    <w:rsid w:val="009E32DA"/>
    <w:rsid w:val="009E3B1C"/>
    <w:rsid w:val="009E42AC"/>
    <w:rsid w:val="009E50CE"/>
    <w:rsid w:val="009F30E1"/>
    <w:rsid w:val="009F3AAF"/>
    <w:rsid w:val="009F44E0"/>
    <w:rsid w:val="009F4FAE"/>
    <w:rsid w:val="00A00257"/>
    <w:rsid w:val="00A002F2"/>
    <w:rsid w:val="00A0129C"/>
    <w:rsid w:val="00A016DD"/>
    <w:rsid w:val="00A028A0"/>
    <w:rsid w:val="00A04D71"/>
    <w:rsid w:val="00A0515A"/>
    <w:rsid w:val="00A05206"/>
    <w:rsid w:val="00A05E29"/>
    <w:rsid w:val="00A0622F"/>
    <w:rsid w:val="00A07F21"/>
    <w:rsid w:val="00A1299C"/>
    <w:rsid w:val="00A13958"/>
    <w:rsid w:val="00A14A03"/>
    <w:rsid w:val="00A1642B"/>
    <w:rsid w:val="00A20F3F"/>
    <w:rsid w:val="00A2377C"/>
    <w:rsid w:val="00A26802"/>
    <w:rsid w:val="00A30537"/>
    <w:rsid w:val="00A30DE5"/>
    <w:rsid w:val="00A34568"/>
    <w:rsid w:val="00A350FD"/>
    <w:rsid w:val="00A35D3E"/>
    <w:rsid w:val="00A40050"/>
    <w:rsid w:val="00A41E21"/>
    <w:rsid w:val="00A42D75"/>
    <w:rsid w:val="00A447DE"/>
    <w:rsid w:val="00A44F26"/>
    <w:rsid w:val="00A4557F"/>
    <w:rsid w:val="00A469E0"/>
    <w:rsid w:val="00A46C91"/>
    <w:rsid w:val="00A47F6A"/>
    <w:rsid w:val="00A47F83"/>
    <w:rsid w:val="00A501C4"/>
    <w:rsid w:val="00A5067B"/>
    <w:rsid w:val="00A5314A"/>
    <w:rsid w:val="00A537C3"/>
    <w:rsid w:val="00A543F8"/>
    <w:rsid w:val="00A54B6A"/>
    <w:rsid w:val="00A55B62"/>
    <w:rsid w:val="00A55FE5"/>
    <w:rsid w:val="00A56554"/>
    <w:rsid w:val="00A56FF0"/>
    <w:rsid w:val="00A57848"/>
    <w:rsid w:val="00A60942"/>
    <w:rsid w:val="00A61291"/>
    <w:rsid w:val="00A616EE"/>
    <w:rsid w:val="00A625ED"/>
    <w:rsid w:val="00A6264D"/>
    <w:rsid w:val="00A64428"/>
    <w:rsid w:val="00A66638"/>
    <w:rsid w:val="00A66F5D"/>
    <w:rsid w:val="00A702C1"/>
    <w:rsid w:val="00A754B9"/>
    <w:rsid w:val="00A76939"/>
    <w:rsid w:val="00A76A78"/>
    <w:rsid w:val="00A778D0"/>
    <w:rsid w:val="00A77DDF"/>
    <w:rsid w:val="00A804CA"/>
    <w:rsid w:val="00A817B7"/>
    <w:rsid w:val="00A825F7"/>
    <w:rsid w:val="00A825FD"/>
    <w:rsid w:val="00A83142"/>
    <w:rsid w:val="00A832BD"/>
    <w:rsid w:val="00A8360A"/>
    <w:rsid w:val="00A83B43"/>
    <w:rsid w:val="00A858E0"/>
    <w:rsid w:val="00A92126"/>
    <w:rsid w:val="00A9386C"/>
    <w:rsid w:val="00A94F1E"/>
    <w:rsid w:val="00A95568"/>
    <w:rsid w:val="00A95587"/>
    <w:rsid w:val="00A95C24"/>
    <w:rsid w:val="00A96105"/>
    <w:rsid w:val="00A9743C"/>
    <w:rsid w:val="00AA08C7"/>
    <w:rsid w:val="00AA09EB"/>
    <w:rsid w:val="00AA20AC"/>
    <w:rsid w:val="00AA50D2"/>
    <w:rsid w:val="00AA5729"/>
    <w:rsid w:val="00AA6088"/>
    <w:rsid w:val="00AA62FB"/>
    <w:rsid w:val="00AA7CBC"/>
    <w:rsid w:val="00AB2C28"/>
    <w:rsid w:val="00AB35D9"/>
    <w:rsid w:val="00AB3AEB"/>
    <w:rsid w:val="00AB4EBD"/>
    <w:rsid w:val="00AB5EE5"/>
    <w:rsid w:val="00AB7028"/>
    <w:rsid w:val="00AC0076"/>
    <w:rsid w:val="00AC1411"/>
    <w:rsid w:val="00AC1F03"/>
    <w:rsid w:val="00AC1FF6"/>
    <w:rsid w:val="00AC310F"/>
    <w:rsid w:val="00AC32D3"/>
    <w:rsid w:val="00AC5F88"/>
    <w:rsid w:val="00AC6116"/>
    <w:rsid w:val="00AC6191"/>
    <w:rsid w:val="00AC702C"/>
    <w:rsid w:val="00AC7162"/>
    <w:rsid w:val="00AC7B28"/>
    <w:rsid w:val="00AD0952"/>
    <w:rsid w:val="00AD1486"/>
    <w:rsid w:val="00AD4872"/>
    <w:rsid w:val="00AD4F9E"/>
    <w:rsid w:val="00AD5FF3"/>
    <w:rsid w:val="00AE0167"/>
    <w:rsid w:val="00AE28E2"/>
    <w:rsid w:val="00AE2FE5"/>
    <w:rsid w:val="00AE42C1"/>
    <w:rsid w:val="00AE4F97"/>
    <w:rsid w:val="00AF1BFB"/>
    <w:rsid w:val="00AF2521"/>
    <w:rsid w:val="00AF3021"/>
    <w:rsid w:val="00AF3D69"/>
    <w:rsid w:val="00AF657C"/>
    <w:rsid w:val="00AF75C7"/>
    <w:rsid w:val="00B00380"/>
    <w:rsid w:val="00B02BB6"/>
    <w:rsid w:val="00B02EFD"/>
    <w:rsid w:val="00B04CEB"/>
    <w:rsid w:val="00B05207"/>
    <w:rsid w:val="00B06614"/>
    <w:rsid w:val="00B070A5"/>
    <w:rsid w:val="00B07BF2"/>
    <w:rsid w:val="00B103E6"/>
    <w:rsid w:val="00B112B7"/>
    <w:rsid w:val="00B112DC"/>
    <w:rsid w:val="00B11AC3"/>
    <w:rsid w:val="00B11DD4"/>
    <w:rsid w:val="00B12C95"/>
    <w:rsid w:val="00B14340"/>
    <w:rsid w:val="00B14580"/>
    <w:rsid w:val="00B228A4"/>
    <w:rsid w:val="00B23181"/>
    <w:rsid w:val="00B25B83"/>
    <w:rsid w:val="00B27EE1"/>
    <w:rsid w:val="00B302B4"/>
    <w:rsid w:val="00B30883"/>
    <w:rsid w:val="00B30BCF"/>
    <w:rsid w:val="00B30CEC"/>
    <w:rsid w:val="00B3202E"/>
    <w:rsid w:val="00B32509"/>
    <w:rsid w:val="00B34E6C"/>
    <w:rsid w:val="00B35ED6"/>
    <w:rsid w:val="00B366BC"/>
    <w:rsid w:val="00B36A0A"/>
    <w:rsid w:val="00B36A66"/>
    <w:rsid w:val="00B4053E"/>
    <w:rsid w:val="00B4084B"/>
    <w:rsid w:val="00B40D51"/>
    <w:rsid w:val="00B40E6D"/>
    <w:rsid w:val="00B413C1"/>
    <w:rsid w:val="00B42397"/>
    <w:rsid w:val="00B42663"/>
    <w:rsid w:val="00B42F91"/>
    <w:rsid w:val="00B43E5B"/>
    <w:rsid w:val="00B44622"/>
    <w:rsid w:val="00B4665E"/>
    <w:rsid w:val="00B46A96"/>
    <w:rsid w:val="00B51073"/>
    <w:rsid w:val="00B51B92"/>
    <w:rsid w:val="00B520B6"/>
    <w:rsid w:val="00B533B7"/>
    <w:rsid w:val="00B537BD"/>
    <w:rsid w:val="00B54211"/>
    <w:rsid w:val="00B54F37"/>
    <w:rsid w:val="00B55C23"/>
    <w:rsid w:val="00B578EF"/>
    <w:rsid w:val="00B62738"/>
    <w:rsid w:val="00B6392B"/>
    <w:rsid w:val="00B63C9C"/>
    <w:rsid w:val="00B63D67"/>
    <w:rsid w:val="00B6527F"/>
    <w:rsid w:val="00B6750D"/>
    <w:rsid w:val="00B67AD1"/>
    <w:rsid w:val="00B70582"/>
    <w:rsid w:val="00B7136A"/>
    <w:rsid w:val="00B71606"/>
    <w:rsid w:val="00B72A30"/>
    <w:rsid w:val="00B7470B"/>
    <w:rsid w:val="00B74B44"/>
    <w:rsid w:val="00B760CA"/>
    <w:rsid w:val="00B77E3B"/>
    <w:rsid w:val="00B77ED5"/>
    <w:rsid w:val="00B8086B"/>
    <w:rsid w:val="00B80A4B"/>
    <w:rsid w:val="00B8133E"/>
    <w:rsid w:val="00B81B64"/>
    <w:rsid w:val="00B82DC4"/>
    <w:rsid w:val="00B836C9"/>
    <w:rsid w:val="00B841EC"/>
    <w:rsid w:val="00B843A7"/>
    <w:rsid w:val="00B84D0E"/>
    <w:rsid w:val="00B91D39"/>
    <w:rsid w:val="00B92179"/>
    <w:rsid w:val="00B93892"/>
    <w:rsid w:val="00B93C2B"/>
    <w:rsid w:val="00B94066"/>
    <w:rsid w:val="00B94230"/>
    <w:rsid w:val="00B94866"/>
    <w:rsid w:val="00B95665"/>
    <w:rsid w:val="00B95BBA"/>
    <w:rsid w:val="00B96F2E"/>
    <w:rsid w:val="00B973B3"/>
    <w:rsid w:val="00BA076B"/>
    <w:rsid w:val="00BA0AAE"/>
    <w:rsid w:val="00BA0C09"/>
    <w:rsid w:val="00BA1230"/>
    <w:rsid w:val="00BA1C02"/>
    <w:rsid w:val="00BA329E"/>
    <w:rsid w:val="00BA3E4B"/>
    <w:rsid w:val="00BA448F"/>
    <w:rsid w:val="00BA4D3B"/>
    <w:rsid w:val="00BA54CE"/>
    <w:rsid w:val="00BA5502"/>
    <w:rsid w:val="00BA764D"/>
    <w:rsid w:val="00BA779E"/>
    <w:rsid w:val="00BB1710"/>
    <w:rsid w:val="00BB24C7"/>
    <w:rsid w:val="00BB2F97"/>
    <w:rsid w:val="00BB459F"/>
    <w:rsid w:val="00BB47D6"/>
    <w:rsid w:val="00BB56C1"/>
    <w:rsid w:val="00BB5B58"/>
    <w:rsid w:val="00BB6A5D"/>
    <w:rsid w:val="00BC2C7C"/>
    <w:rsid w:val="00BC31D3"/>
    <w:rsid w:val="00BC3830"/>
    <w:rsid w:val="00BC460B"/>
    <w:rsid w:val="00BC7BD2"/>
    <w:rsid w:val="00BD0811"/>
    <w:rsid w:val="00BD0CD8"/>
    <w:rsid w:val="00BD16E8"/>
    <w:rsid w:val="00BD2E2E"/>
    <w:rsid w:val="00BD49B0"/>
    <w:rsid w:val="00BD5BEA"/>
    <w:rsid w:val="00BD7412"/>
    <w:rsid w:val="00BE0822"/>
    <w:rsid w:val="00BE10C8"/>
    <w:rsid w:val="00BE2346"/>
    <w:rsid w:val="00BE2DE2"/>
    <w:rsid w:val="00BE394E"/>
    <w:rsid w:val="00BE7092"/>
    <w:rsid w:val="00BF2235"/>
    <w:rsid w:val="00BF46BD"/>
    <w:rsid w:val="00BF488F"/>
    <w:rsid w:val="00BF4DB3"/>
    <w:rsid w:val="00BF66A2"/>
    <w:rsid w:val="00BF70D5"/>
    <w:rsid w:val="00BF7889"/>
    <w:rsid w:val="00C00F25"/>
    <w:rsid w:val="00C00FA2"/>
    <w:rsid w:val="00C0113A"/>
    <w:rsid w:val="00C029C3"/>
    <w:rsid w:val="00C02A72"/>
    <w:rsid w:val="00C02A85"/>
    <w:rsid w:val="00C02FDD"/>
    <w:rsid w:val="00C032BE"/>
    <w:rsid w:val="00C04E8A"/>
    <w:rsid w:val="00C05B54"/>
    <w:rsid w:val="00C10390"/>
    <w:rsid w:val="00C11A83"/>
    <w:rsid w:val="00C14AE9"/>
    <w:rsid w:val="00C15561"/>
    <w:rsid w:val="00C15783"/>
    <w:rsid w:val="00C157F8"/>
    <w:rsid w:val="00C17B00"/>
    <w:rsid w:val="00C20414"/>
    <w:rsid w:val="00C204A4"/>
    <w:rsid w:val="00C22004"/>
    <w:rsid w:val="00C23D64"/>
    <w:rsid w:val="00C23E38"/>
    <w:rsid w:val="00C24832"/>
    <w:rsid w:val="00C2514C"/>
    <w:rsid w:val="00C26802"/>
    <w:rsid w:val="00C26F93"/>
    <w:rsid w:val="00C27058"/>
    <w:rsid w:val="00C2743E"/>
    <w:rsid w:val="00C31C8D"/>
    <w:rsid w:val="00C32140"/>
    <w:rsid w:val="00C32736"/>
    <w:rsid w:val="00C32910"/>
    <w:rsid w:val="00C34498"/>
    <w:rsid w:val="00C34983"/>
    <w:rsid w:val="00C3555B"/>
    <w:rsid w:val="00C355CA"/>
    <w:rsid w:val="00C36EC9"/>
    <w:rsid w:val="00C375A4"/>
    <w:rsid w:val="00C37783"/>
    <w:rsid w:val="00C40A20"/>
    <w:rsid w:val="00C4155F"/>
    <w:rsid w:val="00C4184E"/>
    <w:rsid w:val="00C42259"/>
    <w:rsid w:val="00C43F76"/>
    <w:rsid w:val="00C4411D"/>
    <w:rsid w:val="00C459E4"/>
    <w:rsid w:val="00C45EFB"/>
    <w:rsid w:val="00C46A98"/>
    <w:rsid w:val="00C47392"/>
    <w:rsid w:val="00C47F8B"/>
    <w:rsid w:val="00C50EEE"/>
    <w:rsid w:val="00C50F43"/>
    <w:rsid w:val="00C5140F"/>
    <w:rsid w:val="00C53173"/>
    <w:rsid w:val="00C550C2"/>
    <w:rsid w:val="00C551E5"/>
    <w:rsid w:val="00C56C74"/>
    <w:rsid w:val="00C617D0"/>
    <w:rsid w:val="00C61AAA"/>
    <w:rsid w:val="00C65E9B"/>
    <w:rsid w:val="00C66F81"/>
    <w:rsid w:val="00C713F4"/>
    <w:rsid w:val="00C71AC5"/>
    <w:rsid w:val="00C71F4C"/>
    <w:rsid w:val="00C72304"/>
    <w:rsid w:val="00C726E7"/>
    <w:rsid w:val="00C730FA"/>
    <w:rsid w:val="00C7318C"/>
    <w:rsid w:val="00C74B25"/>
    <w:rsid w:val="00C760B1"/>
    <w:rsid w:val="00C76787"/>
    <w:rsid w:val="00C77512"/>
    <w:rsid w:val="00C77C0D"/>
    <w:rsid w:val="00C80109"/>
    <w:rsid w:val="00C80568"/>
    <w:rsid w:val="00C81219"/>
    <w:rsid w:val="00C81503"/>
    <w:rsid w:val="00C8155A"/>
    <w:rsid w:val="00C818E0"/>
    <w:rsid w:val="00C822CC"/>
    <w:rsid w:val="00C826CC"/>
    <w:rsid w:val="00C83323"/>
    <w:rsid w:val="00C86025"/>
    <w:rsid w:val="00C86E89"/>
    <w:rsid w:val="00C87CA4"/>
    <w:rsid w:val="00C90C17"/>
    <w:rsid w:val="00C93BB2"/>
    <w:rsid w:val="00C9424D"/>
    <w:rsid w:val="00C96AE6"/>
    <w:rsid w:val="00C97434"/>
    <w:rsid w:val="00C97B89"/>
    <w:rsid w:val="00CA0A35"/>
    <w:rsid w:val="00CA0F20"/>
    <w:rsid w:val="00CA10DF"/>
    <w:rsid w:val="00CA32B2"/>
    <w:rsid w:val="00CA3481"/>
    <w:rsid w:val="00CA419B"/>
    <w:rsid w:val="00CA57A6"/>
    <w:rsid w:val="00CA59F6"/>
    <w:rsid w:val="00CA5CE8"/>
    <w:rsid w:val="00CA5E22"/>
    <w:rsid w:val="00CA6FF4"/>
    <w:rsid w:val="00CB0325"/>
    <w:rsid w:val="00CB072C"/>
    <w:rsid w:val="00CB46C9"/>
    <w:rsid w:val="00CB5D61"/>
    <w:rsid w:val="00CB7621"/>
    <w:rsid w:val="00CC048F"/>
    <w:rsid w:val="00CC14AE"/>
    <w:rsid w:val="00CC233B"/>
    <w:rsid w:val="00CC291A"/>
    <w:rsid w:val="00CC2EF3"/>
    <w:rsid w:val="00CC4447"/>
    <w:rsid w:val="00CC5349"/>
    <w:rsid w:val="00CC5779"/>
    <w:rsid w:val="00CC5F49"/>
    <w:rsid w:val="00CC60EF"/>
    <w:rsid w:val="00CC6544"/>
    <w:rsid w:val="00CC69AF"/>
    <w:rsid w:val="00CC7059"/>
    <w:rsid w:val="00CC7239"/>
    <w:rsid w:val="00CD00B8"/>
    <w:rsid w:val="00CD09C5"/>
    <w:rsid w:val="00CD0A9F"/>
    <w:rsid w:val="00CD311B"/>
    <w:rsid w:val="00CD374C"/>
    <w:rsid w:val="00CD44C8"/>
    <w:rsid w:val="00CD5BA8"/>
    <w:rsid w:val="00CD5D22"/>
    <w:rsid w:val="00CD5E2D"/>
    <w:rsid w:val="00CD6D9D"/>
    <w:rsid w:val="00CD7779"/>
    <w:rsid w:val="00CE00DA"/>
    <w:rsid w:val="00CE0A82"/>
    <w:rsid w:val="00CE0B40"/>
    <w:rsid w:val="00CE0CBD"/>
    <w:rsid w:val="00CE295C"/>
    <w:rsid w:val="00CE2BBB"/>
    <w:rsid w:val="00CE3A08"/>
    <w:rsid w:val="00CE3B5D"/>
    <w:rsid w:val="00CE3C36"/>
    <w:rsid w:val="00CE3DDF"/>
    <w:rsid w:val="00CE5970"/>
    <w:rsid w:val="00CE5F2F"/>
    <w:rsid w:val="00CE717C"/>
    <w:rsid w:val="00CE72DE"/>
    <w:rsid w:val="00CF1869"/>
    <w:rsid w:val="00CF1AC9"/>
    <w:rsid w:val="00CF3511"/>
    <w:rsid w:val="00CF3DC4"/>
    <w:rsid w:val="00CF4E27"/>
    <w:rsid w:val="00CF78B5"/>
    <w:rsid w:val="00CF79D9"/>
    <w:rsid w:val="00D017AC"/>
    <w:rsid w:val="00D01DB3"/>
    <w:rsid w:val="00D027FA"/>
    <w:rsid w:val="00D032D3"/>
    <w:rsid w:val="00D03AF8"/>
    <w:rsid w:val="00D07D83"/>
    <w:rsid w:val="00D109F1"/>
    <w:rsid w:val="00D10C52"/>
    <w:rsid w:val="00D11609"/>
    <w:rsid w:val="00D11F5E"/>
    <w:rsid w:val="00D13CC1"/>
    <w:rsid w:val="00D1548E"/>
    <w:rsid w:val="00D164F4"/>
    <w:rsid w:val="00D16AFE"/>
    <w:rsid w:val="00D2033C"/>
    <w:rsid w:val="00D204B1"/>
    <w:rsid w:val="00D21503"/>
    <w:rsid w:val="00D21E73"/>
    <w:rsid w:val="00D2543E"/>
    <w:rsid w:val="00D31059"/>
    <w:rsid w:val="00D31BE4"/>
    <w:rsid w:val="00D34DC5"/>
    <w:rsid w:val="00D36BB4"/>
    <w:rsid w:val="00D36DD9"/>
    <w:rsid w:val="00D405B6"/>
    <w:rsid w:val="00D40AEA"/>
    <w:rsid w:val="00D41D56"/>
    <w:rsid w:val="00D430FF"/>
    <w:rsid w:val="00D43903"/>
    <w:rsid w:val="00D4543C"/>
    <w:rsid w:val="00D45A81"/>
    <w:rsid w:val="00D473F8"/>
    <w:rsid w:val="00D5140E"/>
    <w:rsid w:val="00D51792"/>
    <w:rsid w:val="00D518F8"/>
    <w:rsid w:val="00D526CE"/>
    <w:rsid w:val="00D52DA4"/>
    <w:rsid w:val="00D53C45"/>
    <w:rsid w:val="00D54056"/>
    <w:rsid w:val="00D545B8"/>
    <w:rsid w:val="00D54B40"/>
    <w:rsid w:val="00D56820"/>
    <w:rsid w:val="00D60AF7"/>
    <w:rsid w:val="00D6172B"/>
    <w:rsid w:val="00D63305"/>
    <w:rsid w:val="00D64D3B"/>
    <w:rsid w:val="00D70753"/>
    <w:rsid w:val="00D70811"/>
    <w:rsid w:val="00D72AB1"/>
    <w:rsid w:val="00D73B11"/>
    <w:rsid w:val="00D753B1"/>
    <w:rsid w:val="00D80386"/>
    <w:rsid w:val="00D810D0"/>
    <w:rsid w:val="00D829E3"/>
    <w:rsid w:val="00D83BF9"/>
    <w:rsid w:val="00D84F67"/>
    <w:rsid w:val="00D852E6"/>
    <w:rsid w:val="00D85E15"/>
    <w:rsid w:val="00D85E52"/>
    <w:rsid w:val="00D8690A"/>
    <w:rsid w:val="00D86F13"/>
    <w:rsid w:val="00D91A94"/>
    <w:rsid w:val="00D92917"/>
    <w:rsid w:val="00D929F4"/>
    <w:rsid w:val="00D92B84"/>
    <w:rsid w:val="00D92FFF"/>
    <w:rsid w:val="00D94051"/>
    <w:rsid w:val="00D959CB"/>
    <w:rsid w:val="00D96D8A"/>
    <w:rsid w:val="00DA004E"/>
    <w:rsid w:val="00DA2BFB"/>
    <w:rsid w:val="00DA3172"/>
    <w:rsid w:val="00DA3D57"/>
    <w:rsid w:val="00DA3F71"/>
    <w:rsid w:val="00DA5423"/>
    <w:rsid w:val="00DA64B6"/>
    <w:rsid w:val="00DA6D61"/>
    <w:rsid w:val="00DB004B"/>
    <w:rsid w:val="00DB241D"/>
    <w:rsid w:val="00DB2761"/>
    <w:rsid w:val="00DB4788"/>
    <w:rsid w:val="00DB4CE6"/>
    <w:rsid w:val="00DB6074"/>
    <w:rsid w:val="00DB67DD"/>
    <w:rsid w:val="00DB7CC3"/>
    <w:rsid w:val="00DC0EFD"/>
    <w:rsid w:val="00DC18FA"/>
    <w:rsid w:val="00DC2147"/>
    <w:rsid w:val="00DC25E3"/>
    <w:rsid w:val="00DC3BCA"/>
    <w:rsid w:val="00DC4546"/>
    <w:rsid w:val="00DC47A9"/>
    <w:rsid w:val="00DC4DCA"/>
    <w:rsid w:val="00DC7D6B"/>
    <w:rsid w:val="00DD1309"/>
    <w:rsid w:val="00DD144B"/>
    <w:rsid w:val="00DD25CE"/>
    <w:rsid w:val="00DD3757"/>
    <w:rsid w:val="00DD5A34"/>
    <w:rsid w:val="00DD667D"/>
    <w:rsid w:val="00DD6AB8"/>
    <w:rsid w:val="00DE00F7"/>
    <w:rsid w:val="00DE0D8C"/>
    <w:rsid w:val="00DE31D9"/>
    <w:rsid w:val="00DE3298"/>
    <w:rsid w:val="00DE34DE"/>
    <w:rsid w:val="00DE54DC"/>
    <w:rsid w:val="00DE6FC7"/>
    <w:rsid w:val="00DE7463"/>
    <w:rsid w:val="00DF0B26"/>
    <w:rsid w:val="00DF13E1"/>
    <w:rsid w:val="00DF36B4"/>
    <w:rsid w:val="00DF4602"/>
    <w:rsid w:val="00DF550D"/>
    <w:rsid w:val="00DF5E24"/>
    <w:rsid w:val="00DF60CA"/>
    <w:rsid w:val="00DF7471"/>
    <w:rsid w:val="00DF7B89"/>
    <w:rsid w:val="00E0328E"/>
    <w:rsid w:val="00E03DEF"/>
    <w:rsid w:val="00E03EE9"/>
    <w:rsid w:val="00E043C8"/>
    <w:rsid w:val="00E047F8"/>
    <w:rsid w:val="00E05849"/>
    <w:rsid w:val="00E0693E"/>
    <w:rsid w:val="00E07333"/>
    <w:rsid w:val="00E1007D"/>
    <w:rsid w:val="00E100B1"/>
    <w:rsid w:val="00E102D7"/>
    <w:rsid w:val="00E10417"/>
    <w:rsid w:val="00E11F84"/>
    <w:rsid w:val="00E12239"/>
    <w:rsid w:val="00E13D10"/>
    <w:rsid w:val="00E1489C"/>
    <w:rsid w:val="00E155D5"/>
    <w:rsid w:val="00E15FD1"/>
    <w:rsid w:val="00E16B81"/>
    <w:rsid w:val="00E17D6C"/>
    <w:rsid w:val="00E20F21"/>
    <w:rsid w:val="00E21749"/>
    <w:rsid w:val="00E22588"/>
    <w:rsid w:val="00E23DD2"/>
    <w:rsid w:val="00E25290"/>
    <w:rsid w:val="00E25796"/>
    <w:rsid w:val="00E27784"/>
    <w:rsid w:val="00E27D01"/>
    <w:rsid w:val="00E321B2"/>
    <w:rsid w:val="00E334B3"/>
    <w:rsid w:val="00E33739"/>
    <w:rsid w:val="00E34881"/>
    <w:rsid w:val="00E34FBB"/>
    <w:rsid w:val="00E35EF8"/>
    <w:rsid w:val="00E40FF6"/>
    <w:rsid w:val="00E41CB0"/>
    <w:rsid w:val="00E4269F"/>
    <w:rsid w:val="00E42A22"/>
    <w:rsid w:val="00E433B6"/>
    <w:rsid w:val="00E44712"/>
    <w:rsid w:val="00E44F4B"/>
    <w:rsid w:val="00E451EC"/>
    <w:rsid w:val="00E46200"/>
    <w:rsid w:val="00E469D3"/>
    <w:rsid w:val="00E50052"/>
    <w:rsid w:val="00E517DF"/>
    <w:rsid w:val="00E52576"/>
    <w:rsid w:val="00E526D8"/>
    <w:rsid w:val="00E54EDE"/>
    <w:rsid w:val="00E566E8"/>
    <w:rsid w:val="00E57F02"/>
    <w:rsid w:val="00E61183"/>
    <w:rsid w:val="00E64D86"/>
    <w:rsid w:val="00E66584"/>
    <w:rsid w:val="00E675FF"/>
    <w:rsid w:val="00E71CB9"/>
    <w:rsid w:val="00E71FF5"/>
    <w:rsid w:val="00E72547"/>
    <w:rsid w:val="00E7355E"/>
    <w:rsid w:val="00E73760"/>
    <w:rsid w:val="00E75344"/>
    <w:rsid w:val="00E76BCF"/>
    <w:rsid w:val="00E76BD4"/>
    <w:rsid w:val="00E77887"/>
    <w:rsid w:val="00E77AF4"/>
    <w:rsid w:val="00E80256"/>
    <w:rsid w:val="00E8216C"/>
    <w:rsid w:val="00E82316"/>
    <w:rsid w:val="00E826CF"/>
    <w:rsid w:val="00E82CFB"/>
    <w:rsid w:val="00E849D9"/>
    <w:rsid w:val="00E84C51"/>
    <w:rsid w:val="00E8502A"/>
    <w:rsid w:val="00E85AD0"/>
    <w:rsid w:val="00E867C5"/>
    <w:rsid w:val="00E86ED9"/>
    <w:rsid w:val="00E90EC5"/>
    <w:rsid w:val="00E9182D"/>
    <w:rsid w:val="00E96C51"/>
    <w:rsid w:val="00E97CF8"/>
    <w:rsid w:val="00EA0B83"/>
    <w:rsid w:val="00EA13F4"/>
    <w:rsid w:val="00EA2CF9"/>
    <w:rsid w:val="00EA3C0F"/>
    <w:rsid w:val="00EA4C6B"/>
    <w:rsid w:val="00EA4C8B"/>
    <w:rsid w:val="00EA722C"/>
    <w:rsid w:val="00EB0D46"/>
    <w:rsid w:val="00EB2345"/>
    <w:rsid w:val="00EB24D4"/>
    <w:rsid w:val="00EB586C"/>
    <w:rsid w:val="00EB61DD"/>
    <w:rsid w:val="00EB70D5"/>
    <w:rsid w:val="00EC00F1"/>
    <w:rsid w:val="00EC099C"/>
    <w:rsid w:val="00EC0F7B"/>
    <w:rsid w:val="00EC152F"/>
    <w:rsid w:val="00EC28FF"/>
    <w:rsid w:val="00EC367A"/>
    <w:rsid w:val="00EC5080"/>
    <w:rsid w:val="00EC79BC"/>
    <w:rsid w:val="00ED0C1F"/>
    <w:rsid w:val="00ED2BDD"/>
    <w:rsid w:val="00ED301E"/>
    <w:rsid w:val="00ED3B9C"/>
    <w:rsid w:val="00ED4399"/>
    <w:rsid w:val="00ED5B71"/>
    <w:rsid w:val="00ED5C0E"/>
    <w:rsid w:val="00ED77DE"/>
    <w:rsid w:val="00ED7D41"/>
    <w:rsid w:val="00ED7EE5"/>
    <w:rsid w:val="00EE0931"/>
    <w:rsid w:val="00EE0F4A"/>
    <w:rsid w:val="00EE1794"/>
    <w:rsid w:val="00EE352B"/>
    <w:rsid w:val="00EE53C7"/>
    <w:rsid w:val="00EE6A73"/>
    <w:rsid w:val="00EE6F96"/>
    <w:rsid w:val="00EE7C20"/>
    <w:rsid w:val="00EF150A"/>
    <w:rsid w:val="00EF28D3"/>
    <w:rsid w:val="00EF3DAE"/>
    <w:rsid w:val="00EF403E"/>
    <w:rsid w:val="00EF58AF"/>
    <w:rsid w:val="00EF655A"/>
    <w:rsid w:val="00EF6A22"/>
    <w:rsid w:val="00EF6BA1"/>
    <w:rsid w:val="00EF6ED5"/>
    <w:rsid w:val="00EF7B77"/>
    <w:rsid w:val="00EF7DE0"/>
    <w:rsid w:val="00F00557"/>
    <w:rsid w:val="00F0248D"/>
    <w:rsid w:val="00F038B1"/>
    <w:rsid w:val="00F04551"/>
    <w:rsid w:val="00F06E10"/>
    <w:rsid w:val="00F06E5B"/>
    <w:rsid w:val="00F07C01"/>
    <w:rsid w:val="00F102D7"/>
    <w:rsid w:val="00F1156F"/>
    <w:rsid w:val="00F128B3"/>
    <w:rsid w:val="00F13704"/>
    <w:rsid w:val="00F14780"/>
    <w:rsid w:val="00F14A46"/>
    <w:rsid w:val="00F21AD3"/>
    <w:rsid w:val="00F225FD"/>
    <w:rsid w:val="00F2272F"/>
    <w:rsid w:val="00F22D44"/>
    <w:rsid w:val="00F22FD9"/>
    <w:rsid w:val="00F23D96"/>
    <w:rsid w:val="00F24287"/>
    <w:rsid w:val="00F24AED"/>
    <w:rsid w:val="00F25854"/>
    <w:rsid w:val="00F26467"/>
    <w:rsid w:val="00F277B2"/>
    <w:rsid w:val="00F27FE3"/>
    <w:rsid w:val="00F310F0"/>
    <w:rsid w:val="00F340A4"/>
    <w:rsid w:val="00F348C5"/>
    <w:rsid w:val="00F35425"/>
    <w:rsid w:val="00F362EC"/>
    <w:rsid w:val="00F370E6"/>
    <w:rsid w:val="00F376F0"/>
    <w:rsid w:val="00F42011"/>
    <w:rsid w:val="00F427D1"/>
    <w:rsid w:val="00F437EF"/>
    <w:rsid w:val="00F43B3E"/>
    <w:rsid w:val="00F43EB7"/>
    <w:rsid w:val="00F444E3"/>
    <w:rsid w:val="00F45775"/>
    <w:rsid w:val="00F467CA"/>
    <w:rsid w:val="00F47285"/>
    <w:rsid w:val="00F47E48"/>
    <w:rsid w:val="00F51106"/>
    <w:rsid w:val="00F54032"/>
    <w:rsid w:val="00F542B8"/>
    <w:rsid w:val="00F54B8D"/>
    <w:rsid w:val="00F551E7"/>
    <w:rsid w:val="00F553D5"/>
    <w:rsid w:val="00F55BA3"/>
    <w:rsid w:val="00F56C34"/>
    <w:rsid w:val="00F56F97"/>
    <w:rsid w:val="00F57637"/>
    <w:rsid w:val="00F610C9"/>
    <w:rsid w:val="00F61756"/>
    <w:rsid w:val="00F6630D"/>
    <w:rsid w:val="00F6644E"/>
    <w:rsid w:val="00F677D1"/>
    <w:rsid w:val="00F7005F"/>
    <w:rsid w:val="00F7124F"/>
    <w:rsid w:val="00F7277A"/>
    <w:rsid w:val="00F7287E"/>
    <w:rsid w:val="00F7300F"/>
    <w:rsid w:val="00F73CFD"/>
    <w:rsid w:val="00F74916"/>
    <w:rsid w:val="00F75760"/>
    <w:rsid w:val="00F76702"/>
    <w:rsid w:val="00F811DB"/>
    <w:rsid w:val="00F81433"/>
    <w:rsid w:val="00F8456C"/>
    <w:rsid w:val="00F84593"/>
    <w:rsid w:val="00F84817"/>
    <w:rsid w:val="00F848EE"/>
    <w:rsid w:val="00F853C9"/>
    <w:rsid w:val="00F865BD"/>
    <w:rsid w:val="00F86C3B"/>
    <w:rsid w:val="00F86D74"/>
    <w:rsid w:val="00F872F9"/>
    <w:rsid w:val="00F87E5E"/>
    <w:rsid w:val="00F90203"/>
    <w:rsid w:val="00F9103E"/>
    <w:rsid w:val="00F9118A"/>
    <w:rsid w:val="00F912F8"/>
    <w:rsid w:val="00F91CC3"/>
    <w:rsid w:val="00F94FD8"/>
    <w:rsid w:val="00F9547F"/>
    <w:rsid w:val="00F9581F"/>
    <w:rsid w:val="00F96E76"/>
    <w:rsid w:val="00F96EE4"/>
    <w:rsid w:val="00F97F85"/>
    <w:rsid w:val="00FA1371"/>
    <w:rsid w:val="00FA13B3"/>
    <w:rsid w:val="00FA25C0"/>
    <w:rsid w:val="00FA38DF"/>
    <w:rsid w:val="00FA5038"/>
    <w:rsid w:val="00FA57DE"/>
    <w:rsid w:val="00FA5FC1"/>
    <w:rsid w:val="00FA74A4"/>
    <w:rsid w:val="00FB00E4"/>
    <w:rsid w:val="00FB19D9"/>
    <w:rsid w:val="00FB21CA"/>
    <w:rsid w:val="00FB2924"/>
    <w:rsid w:val="00FB3114"/>
    <w:rsid w:val="00FB3924"/>
    <w:rsid w:val="00FB46F7"/>
    <w:rsid w:val="00FB49D8"/>
    <w:rsid w:val="00FB4D64"/>
    <w:rsid w:val="00FB70AD"/>
    <w:rsid w:val="00FB7328"/>
    <w:rsid w:val="00FB7567"/>
    <w:rsid w:val="00FB757E"/>
    <w:rsid w:val="00FC1EBC"/>
    <w:rsid w:val="00FC1FB3"/>
    <w:rsid w:val="00FC2A12"/>
    <w:rsid w:val="00FC352D"/>
    <w:rsid w:val="00FC4209"/>
    <w:rsid w:val="00FC6A64"/>
    <w:rsid w:val="00FC6C63"/>
    <w:rsid w:val="00FC7290"/>
    <w:rsid w:val="00FD1618"/>
    <w:rsid w:val="00FD1D17"/>
    <w:rsid w:val="00FD1F5D"/>
    <w:rsid w:val="00FD45DF"/>
    <w:rsid w:val="00FD4B52"/>
    <w:rsid w:val="00FD5973"/>
    <w:rsid w:val="00FD5A82"/>
    <w:rsid w:val="00FD5D24"/>
    <w:rsid w:val="00FD5D64"/>
    <w:rsid w:val="00FD6276"/>
    <w:rsid w:val="00FD6566"/>
    <w:rsid w:val="00FD7464"/>
    <w:rsid w:val="00FD7F1F"/>
    <w:rsid w:val="00FE30B9"/>
    <w:rsid w:val="00FE384D"/>
    <w:rsid w:val="00FE5C70"/>
    <w:rsid w:val="00FE63CA"/>
    <w:rsid w:val="00FE6E25"/>
    <w:rsid w:val="00FE6FA6"/>
    <w:rsid w:val="00FF0DA7"/>
    <w:rsid w:val="00FF0FF0"/>
    <w:rsid w:val="00FF193B"/>
    <w:rsid w:val="00FF1D6C"/>
    <w:rsid w:val="00FF2041"/>
    <w:rsid w:val="00FF2D6A"/>
    <w:rsid w:val="00FF384C"/>
    <w:rsid w:val="00FF68B9"/>
    <w:rsid w:val="00FF6DDC"/>
    <w:rsid w:val="00FF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F9AA"/>
  <w15:chartTrackingRefBased/>
  <w15:docId w15:val="{7EFC181F-E44C-4154-AE57-A4050E50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233"/>
    <w:pPr>
      <w:ind w:left="720"/>
      <w:contextualSpacing/>
    </w:pPr>
  </w:style>
  <w:style w:type="character" w:styleId="Strong">
    <w:name w:val="Strong"/>
    <w:basedOn w:val="DefaultParagraphFont"/>
    <w:uiPriority w:val="22"/>
    <w:qFormat/>
    <w:rsid w:val="009225ED"/>
    <w:rPr>
      <w:b/>
      <w:bCs/>
    </w:rPr>
  </w:style>
  <w:style w:type="paragraph" w:styleId="FootnoteText">
    <w:name w:val="footnote text"/>
    <w:basedOn w:val="Normal"/>
    <w:link w:val="FootnoteTextChar"/>
    <w:uiPriority w:val="99"/>
    <w:semiHidden/>
    <w:unhideWhenUsed/>
    <w:rsid w:val="00AA6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2FB"/>
    <w:rPr>
      <w:sz w:val="20"/>
      <w:szCs w:val="20"/>
    </w:rPr>
  </w:style>
  <w:style w:type="character" w:styleId="FootnoteReference">
    <w:name w:val="footnote reference"/>
    <w:basedOn w:val="DefaultParagraphFont"/>
    <w:uiPriority w:val="99"/>
    <w:semiHidden/>
    <w:unhideWhenUsed/>
    <w:rsid w:val="00AA62FB"/>
    <w:rPr>
      <w:vertAlign w:val="superscript"/>
    </w:rPr>
  </w:style>
  <w:style w:type="paragraph" w:styleId="Header">
    <w:name w:val="header"/>
    <w:basedOn w:val="Normal"/>
    <w:link w:val="HeaderChar"/>
    <w:uiPriority w:val="99"/>
    <w:unhideWhenUsed/>
    <w:rsid w:val="003E7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0B"/>
  </w:style>
  <w:style w:type="paragraph" w:styleId="Footer">
    <w:name w:val="footer"/>
    <w:basedOn w:val="Normal"/>
    <w:link w:val="FooterChar"/>
    <w:uiPriority w:val="99"/>
    <w:unhideWhenUsed/>
    <w:rsid w:val="003E7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0B"/>
  </w:style>
  <w:style w:type="character" w:styleId="Hyperlink">
    <w:name w:val="Hyperlink"/>
    <w:basedOn w:val="DefaultParagraphFont"/>
    <w:uiPriority w:val="99"/>
    <w:unhideWhenUsed/>
    <w:rsid w:val="00A95568"/>
    <w:rPr>
      <w:color w:val="0000FF"/>
      <w:u w:val="single"/>
    </w:rPr>
  </w:style>
  <w:style w:type="character" w:styleId="UnresolvedMention">
    <w:name w:val="Unresolved Mention"/>
    <w:basedOn w:val="DefaultParagraphFont"/>
    <w:uiPriority w:val="99"/>
    <w:semiHidden/>
    <w:unhideWhenUsed/>
    <w:rsid w:val="0076420A"/>
    <w:rPr>
      <w:color w:val="605E5C"/>
      <w:shd w:val="clear" w:color="auto" w:fill="E1DFDD"/>
    </w:rPr>
  </w:style>
  <w:style w:type="paragraph" w:styleId="NormalWeb">
    <w:name w:val="Normal (Web)"/>
    <w:basedOn w:val="Normal"/>
    <w:uiPriority w:val="99"/>
    <w:semiHidden/>
    <w:unhideWhenUsed/>
    <w:rsid w:val="00ED77DE"/>
    <w:rPr>
      <w:rFonts w:ascii="Times New Roman" w:hAnsi="Times New Roman" w:cs="Times New Roman"/>
      <w:sz w:val="24"/>
      <w:szCs w:val="24"/>
    </w:rPr>
  </w:style>
  <w:style w:type="paragraph" w:customStyle="1" w:styleId="Default">
    <w:name w:val="Default"/>
    <w:rsid w:val="00A57848"/>
    <w:pPr>
      <w:autoSpaceDE w:val="0"/>
      <w:autoSpaceDN w:val="0"/>
      <w:adjustRightInd w:val="0"/>
      <w:spacing w:after="0" w:line="240" w:lineRule="auto"/>
    </w:pPr>
    <w:rPr>
      <w:rFonts w:ascii="Avenir Next LT Pro" w:hAnsi="Avenir Next LT Pro" w:cs="Avenir Next LT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499318">
      <w:bodyDiv w:val="1"/>
      <w:marLeft w:val="0"/>
      <w:marRight w:val="0"/>
      <w:marTop w:val="0"/>
      <w:marBottom w:val="0"/>
      <w:divBdr>
        <w:top w:val="none" w:sz="0" w:space="0" w:color="auto"/>
        <w:left w:val="none" w:sz="0" w:space="0" w:color="auto"/>
        <w:bottom w:val="none" w:sz="0" w:space="0" w:color="auto"/>
        <w:right w:val="none" w:sz="0" w:space="0" w:color="auto"/>
      </w:divBdr>
    </w:div>
    <w:div w:id="1252466470">
      <w:bodyDiv w:val="1"/>
      <w:marLeft w:val="0"/>
      <w:marRight w:val="0"/>
      <w:marTop w:val="0"/>
      <w:marBottom w:val="0"/>
      <w:divBdr>
        <w:top w:val="none" w:sz="0" w:space="0" w:color="auto"/>
        <w:left w:val="none" w:sz="0" w:space="0" w:color="auto"/>
        <w:bottom w:val="none" w:sz="0" w:space="0" w:color="auto"/>
        <w:right w:val="none" w:sz="0" w:space="0" w:color="auto"/>
      </w:divBdr>
    </w:div>
    <w:div w:id="1434282100">
      <w:bodyDiv w:val="1"/>
      <w:marLeft w:val="0"/>
      <w:marRight w:val="0"/>
      <w:marTop w:val="0"/>
      <w:marBottom w:val="0"/>
      <w:divBdr>
        <w:top w:val="none" w:sz="0" w:space="0" w:color="auto"/>
        <w:left w:val="none" w:sz="0" w:space="0" w:color="auto"/>
        <w:bottom w:val="none" w:sz="0" w:space="0" w:color="auto"/>
        <w:right w:val="none" w:sz="0" w:space="0" w:color="auto"/>
      </w:divBdr>
      <w:divsChild>
        <w:div w:id="994845994">
          <w:marLeft w:val="240"/>
          <w:marRight w:val="0"/>
          <w:marTop w:val="60"/>
          <w:marBottom w:val="60"/>
          <w:divBdr>
            <w:top w:val="none" w:sz="0" w:space="0" w:color="auto"/>
            <w:left w:val="none" w:sz="0" w:space="0" w:color="auto"/>
            <w:bottom w:val="none" w:sz="0" w:space="0" w:color="auto"/>
            <w:right w:val="none" w:sz="0" w:space="0" w:color="auto"/>
          </w:divBdr>
          <w:divsChild>
            <w:div w:id="921069131">
              <w:marLeft w:val="240"/>
              <w:marRight w:val="0"/>
              <w:marTop w:val="60"/>
              <w:marBottom w:val="60"/>
              <w:divBdr>
                <w:top w:val="none" w:sz="0" w:space="0" w:color="auto"/>
                <w:left w:val="none" w:sz="0" w:space="0" w:color="auto"/>
                <w:bottom w:val="none" w:sz="0" w:space="0" w:color="auto"/>
                <w:right w:val="none" w:sz="0" w:space="0" w:color="auto"/>
              </w:divBdr>
              <w:divsChild>
                <w:div w:id="1326471232">
                  <w:marLeft w:val="0"/>
                  <w:marRight w:val="0"/>
                  <w:marTop w:val="0"/>
                  <w:marBottom w:val="0"/>
                  <w:divBdr>
                    <w:top w:val="none" w:sz="0" w:space="0" w:color="auto"/>
                    <w:left w:val="none" w:sz="0" w:space="0" w:color="auto"/>
                    <w:bottom w:val="none" w:sz="0" w:space="0" w:color="auto"/>
                    <w:right w:val="none" w:sz="0" w:space="0" w:color="auto"/>
                  </w:divBdr>
                </w:div>
              </w:divsChild>
            </w:div>
            <w:div w:id="2084331020">
              <w:marLeft w:val="240"/>
              <w:marRight w:val="0"/>
              <w:marTop w:val="60"/>
              <w:marBottom w:val="60"/>
              <w:divBdr>
                <w:top w:val="none" w:sz="0" w:space="0" w:color="auto"/>
                <w:left w:val="none" w:sz="0" w:space="0" w:color="auto"/>
                <w:bottom w:val="none" w:sz="0" w:space="0" w:color="auto"/>
                <w:right w:val="none" w:sz="0" w:space="0" w:color="auto"/>
              </w:divBdr>
              <w:divsChild>
                <w:div w:id="2029943459">
                  <w:marLeft w:val="0"/>
                  <w:marRight w:val="0"/>
                  <w:marTop w:val="0"/>
                  <w:marBottom w:val="0"/>
                  <w:divBdr>
                    <w:top w:val="none" w:sz="0" w:space="0" w:color="auto"/>
                    <w:left w:val="none" w:sz="0" w:space="0" w:color="auto"/>
                    <w:bottom w:val="none" w:sz="0" w:space="0" w:color="auto"/>
                    <w:right w:val="none" w:sz="0" w:space="0" w:color="auto"/>
                  </w:divBdr>
                </w:div>
              </w:divsChild>
            </w:div>
            <w:div w:id="86273370">
              <w:marLeft w:val="3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42-USC-80204913-1186899451&amp;term_occur=999&amp;term_src=title:42:chapter:85:subchapter:II:part:A:section:75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cross27103@earthlink.net" TargetMode="External"/><Relationship Id="rId4" Type="http://schemas.openxmlformats.org/officeDocument/2006/relationships/settings" Target="settings.xml"/><Relationship Id="rId9" Type="http://schemas.openxmlformats.org/officeDocument/2006/relationships/hyperlink" Target="https://ww2.arb.ca.gov/list-determine-preempt-road-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44C8-8C9D-4E13-9E34-86E94480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7207</TotalTime>
  <Pages>18</Pages>
  <Words>7029</Words>
  <Characters>40068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Cross</dc:creator>
  <cp:keywords/>
  <dc:description/>
  <cp:lastModifiedBy>Gary Cross</cp:lastModifiedBy>
  <cp:revision>2106</cp:revision>
  <cp:lastPrinted>2023-12-21T15:31:00Z</cp:lastPrinted>
  <dcterms:created xsi:type="dcterms:W3CDTF">2023-11-20T00:46:00Z</dcterms:created>
  <dcterms:modified xsi:type="dcterms:W3CDTF">2023-12-22T17:34:00Z</dcterms:modified>
</cp:coreProperties>
</file>