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B7897" w14:textId="2D8C1A20" w:rsidR="00C360CD" w:rsidRDefault="002254BE" w:rsidP="002254BE">
      <w:r>
        <w:rPr>
          <w:noProof/>
        </w:rPr>
        <w:drawing>
          <wp:inline distT="0" distB="0" distL="0" distR="0" wp14:anchorId="72D31BE2" wp14:editId="2C5004C3">
            <wp:extent cx="1743456" cy="822960"/>
            <wp:effectExtent l="0" t="0" r="9525"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F_tm_CMYK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456" cy="822960"/>
                    </a:xfrm>
                    <a:prstGeom prst="rect">
                      <a:avLst/>
                    </a:prstGeom>
                  </pic:spPr>
                </pic:pic>
              </a:graphicData>
            </a:graphic>
          </wp:inline>
        </w:drawing>
      </w:r>
    </w:p>
    <w:p w14:paraId="2AB04027" w14:textId="77777777" w:rsidR="00C360CD" w:rsidRPr="00C360CD" w:rsidRDefault="00C360CD" w:rsidP="00C360CD">
      <w:pPr>
        <w:ind w:left="360"/>
        <w:rPr>
          <w:rFonts w:eastAsia="Times New Roman"/>
        </w:rPr>
      </w:pPr>
    </w:p>
    <w:p w14:paraId="550411A8" w14:textId="5D882249" w:rsidR="009201FC" w:rsidRPr="0095150C" w:rsidRDefault="009201FC" w:rsidP="00746B8B">
      <w:pPr>
        <w:rPr>
          <w:rFonts w:ascii="Arial" w:hAnsi="Arial" w:cs="Arial"/>
        </w:rPr>
      </w:pPr>
    </w:p>
    <w:p w14:paraId="5B7C5AEE" w14:textId="77777777" w:rsidR="00746B8B" w:rsidRDefault="00746B8B" w:rsidP="00EA0C8A">
      <w:pPr>
        <w:rPr>
          <w:rFonts w:ascii="Arial" w:hAnsi="Arial" w:cs="Arial"/>
        </w:rPr>
      </w:pPr>
    </w:p>
    <w:p w14:paraId="18AD9B36" w14:textId="08E6B07B" w:rsidR="00746B8B" w:rsidRDefault="00746B8B" w:rsidP="00EA0C8A">
      <w:pPr>
        <w:rPr>
          <w:rFonts w:ascii="Arial" w:eastAsia="Times New Roman" w:hAnsi="Arial" w:cs="Arial"/>
        </w:rPr>
      </w:pPr>
      <w:r w:rsidRPr="0095150C">
        <w:rPr>
          <w:rFonts w:ascii="Arial" w:eastAsia="Times New Roman" w:hAnsi="Arial" w:cs="Arial"/>
        </w:rPr>
        <w:t>November 6, 2020</w:t>
      </w:r>
    </w:p>
    <w:p w14:paraId="150D0E1E" w14:textId="21BB9537" w:rsidR="00746B8B" w:rsidRDefault="00746B8B" w:rsidP="00EA0C8A">
      <w:pPr>
        <w:rPr>
          <w:rFonts w:ascii="Arial" w:eastAsia="Times New Roman" w:hAnsi="Arial" w:cs="Arial"/>
        </w:rPr>
      </w:pPr>
    </w:p>
    <w:p w14:paraId="34582FD4" w14:textId="5FF033F4" w:rsidR="00746B8B" w:rsidRDefault="00746B8B" w:rsidP="00EA0C8A">
      <w:pPr>
        <w:rPr>
          <w:rFonts w:ascii="Arial" w:eastAsia="Times New Roman" w:hAnsi="Arial" w:cs="Arial"/>
        </w:rPr>
      </w:pPr>
      <w:r>
        <w:rPr>
          <w:rFonts w:ascii="Arial" w:eastAsia="Times New Roman" w:hAnsi="Arial" w:cs="Arial"/>
        </w:rPr>
        <w:t>Mr. Gavin McCabe</w:t>
      </w:r>
    </w:p>
    <w:p w14:paraId="1D05FC59" w14:textId="44D48C73" w:rsidR="00746B8B" w:rsidRDefault="00746B8B" w:rsidP="00EA0C8A">
      <w:pPr>
        <w:rPr>
          <w:rFonts w:ascii="Arial" w:eastAsia="Times New Roman" w:hAnsi="Arial" w:cs="Arial"/>
        </w:rPr>
      </w:pPr>
      <w:r>
        <w:rPr>
          <w:rFonts w:ascii="Arial" w:eastAsia="Times New Roman" w:hAnsi="Arial" w:cs="Arial"/>
        </w:rPr>
        <w:t>Chair, Compliance Offsets Protocol Task Force</w:t>
      </w:r>
    </w:p>
    <w:p w14:paraId="291CE089" w14:textId="2D3201F4" w:rsidR="00746B8B" w:rsidRDefault="00746B8B" w:rsidP="00EA0C8A">
      <w:pPr>
        <w:rPr>
          <w:rFonts w:ascii="Arial" w:eastAsia="Times New Roman" w:hAnsi="Arial" w:cs="Arial"/>
        </w:rPr>
      </w:pPr>
      <w:r>
        <w:rPr>
          <w:rFonts w:ascii="Arial" w:eastAsia="Times New Roman" w:hAnsi="Arial" w:cs="Arial"/>
        </w:rPr>
        <w:t>California Air Resources Board</w:t>
      </w:r>
    </w:p>
    <w:p w14:paraId="7281B87E" w14:textId="5A9149A1" w:rsidR="00746B8B" w:rsidRDefault="00746B8B" w:rsidP="00EA0C8A">
      <w:pPr>
        <w:rPr>
          <w:rFonts w:ascii="Arial" w:eastAsia="Times New Roman" w:hAnsi="Arial" w:cs="Arial"/>
          <w:i/>
        </w:rPr>
      </w:pPr>
      <w:r w:rsidRPr="00746B8B">
        <w:rPr>
          <w:rFonts w:ascii="Arial" w:eastAsia="Times New Roman" w:hAnsi="Arial" w:cs="Arial"/>
          <w:i/>
        </w:rPr>
        <w:t xml:space="preserve">Submitted via: </w:t>
      </w:r>
      <w:hyperlink r:id="rId12" w:history="1">
        <w:r w:rsidRPr="00EA0C8A">
          <w:rPr>
            <w:rStyle w:val="Hyperlink"/>
            <w:rFonts w:ascii="Arial" w:eastAsia="Times New Roman" w:hAnsi="Arial" w:cs="Arial"/>
          </w:rPr>
          <w:t>https://www.arb.ca.gov/lispub/comm2/bcsubform.php?listname=ab398offsetreport-ws&amp;comm_period=1</w:t>
        </w:r>
      </w:hyperlink>
    </w:p>
    <w:p w14:paraId="655456CA" w14:textId="77777777" w:rsidR="00746B8B" w:rsidRPr="00EA0C8A" w:rsidRDefault="00746B8B" w:rsidP="00EA0C8A">
      <w:pPr>
        <w:rPr>
          <w:rFonts w:ascii="Arial" w:eastAsia="Times New Roman" w:hAnsi="Arial" w:cs="Arial"/>
          <w:i/>
        </w:rPr>
      </w:pPr>
    </w:p>
    <w:p w14:paraId="4BCB661E" w14:textId="5487ED5C" w:rsidR="00746B8B" w:rsidRDefault="00746B8B" w:rsidP="00EA0C8A">
      <w:pPr>
        <w:rPr>
          <w:rFonts w:ascii="Arial" w:eastAsia="Times New Roman" w:hAnsi="Arial" w:cs="Arial"/>
        </w:rPr>
      </w:pPr>
    </w:p>
    <w:p w14:paraId="7DA9D00A" w14:textId="73FA696D" w:rsidR="00746B8B" w:rsidRPr="00FA19F5" w:rsidRDefault="00746B8B" w:rsidP="00EA0C8A">
      <w:pPr>
        <w:rPr>
          <w:rFonts w:ascii="Arial" w:eastAsia="Times New Roman" w:hAnsi="Arial" w:cs="Arial"/>
          <w:sz w:val="24"/>
        </w:rPr>
      </w:pPr>
      <w:r w:rsidRPr="00FA19F5">
        <w:rPr>
          <w:rFonts w:ascii="Arial" w:eastAsia="Times New Roman" w:hAnsi="Arial" w:cs="Arial"/>
          <w:sz w:val="24"/>
        </w:rPr>
        <w:t xml:space="preserve">Re: Recommendations from </w:t>
      </w:r>
      <w:r w:rsidRPr="00FA19F5">
        <w:rPr>
          <w:rFonts w:ascii="Arial" w:hAnsi="Arial" w:cs="Arial"/>
          <w:sz w:val="24"/>
        </w:rPr>
        <w:t>Subgroup C/D: Livestock, Agriculture and Rangelands</w:t>
      </w:r>
    </w:p>
    <w:p w14:paraId="086E14B1" w14:textId="0E2BF85E" w:rsidR="00746B8B" w:rsidRPr="00FA19F5" w:rsidRDefault="00746B8B" w:rsidP="009201FC">
      <w:pPr>
        <w:rPr>
          <w:rFonts w:ascii="Arial" w:hAnsi="Arial" w:cs="Arial"/>
          <w:sz w:val="24"/>
        </w:rPr>
      </w:pPr>
    </w:p>
    <w:p w14:paraId="47E3F1F5" w14:textId="40905821" w:rsidR="00746B8B" w:rsidRPr="00FA19F5" w:rsidRDefault="00746B8B" w:rsidP="009201FC">
      <w:pPr>
        <w:rPr>
          <w:rFonts w:ascii="Arial" w:hAnsi="Arial" w:cs="Arial"/>
          <w:sz w:val="24"/>
        </w:rPr>
      </w:pPr>
    </w:p>
    <w:p w14:paraId="7C91C519" w14:textId="77221747" w:rsidR="00746B8B" w:rsidRPr="00384F7A" w:rsidRDefault="00746B8B" w:rsidP="009201FC">
      <w:pPr>
        <w:rPr>
          <w:rFonts w:ascii="Arial" w:hAnsi="Arial" w:cs="Arial"/>
          <w:sz w:val="24"/>
        </w:rPr>
      </w:pPr>
      <w:r w:rsidRPr="00384F7A">
        <w:rPr>
          <w:rFonts w:ascii="Arial" w:hAnsi="Arial" w:cs="Arial"/>
          <w:sz w:val="24"/>
        </w:rPr>
        <w:t xml:space="preserve">Dear Mr. McCabe, </w:t>
      </w:r>
    </w:p>
    <w:p w14:paraId="6DC2B491" w14:textId="77777777" w:rsidR="00C360CD" w:rsidRPr="00384F7A" w:rsidRDefault="00C360CD" w:rsidP="00C360CD">
      <w:pPr>
        <w:ind w:left="360"/>
        <w:rPr>
          <w:rFonts w:ascii="Arial" w:eastAsia="Times New Roman" w:hAnsi="Arial" w:cs="Arial"/>
        </w:rPr>
      </w:pPr>
    </w:p>
    <w:p w14:paraId="39042917" w14:textId="75637EC3" w:rsidR="00E9368E" w:rsidRPr="00384F7A" w:rsidRDefault="006874BD" w:rsidP="00A2304C">
      <w:pPr>
        <w:rPr>
          <w:rFonts w:ascii="Arial" w:hAnsi="Arial" w:cs="Arial"/>
          <w:sz w:val="24"/>
          <w:szCs w:val="24"/>
        </w:rPr>
      </w:pPr>
      <w:r w:rsidRPr="00384F7A">
        <w:rPr>
          <w:rFonts w:ascii="Arial" w:hAnsi="Arial" w:cs="Arial"/>
          <w:sz w:val="24"/>
          <w:szCs w:val="24"/>
        </w:rPr>
        <w:t xml:space="preserve">EDF </w:t>
      </w:r>
      <w:r w:rsidR="00E9368E" w:rsidRPr="00384F7A">
        <w:rPr>
          <w:rFonts w:ascii="Arial" w:hAnsi="Arial" w:cs="Arial"/>
          <w:sz w:val="24"/>
          <w:szCs w:val="24"/>
        </w:rPr>
        <w:t>thank</w:t>
      </w:r>
      <w:r w:rsidRPr="00384F7A">
        <w:rPr>
          <w:rFonts w:ascii="Arial" w:hAnsi="Arial" w:cs="Arial"/>
          <w:sz w:val="24"/>
          <w:szCs w:val="24"/>
        </w:rPr>
        <w:t>s</w:t>
      </w:r>
      <w:r w:rsidR="00E9368E" w:rsidRPr="00384F7A">
        <w:rPr>
          <w:rFonts w:ascii="Arial" w:hAnsi="Arial" w:cs="Arial"/>
          <w:sz w:val="24"/>
          <w:szCs w:val="24"/>
        </w:rPr>
        <w:t xml:space="preserve"> the </w:t>
      </w:r>
      <w:r w:rsidRPr="00384F7A">
        <w:rPr>
          <w:rFonts w:ascii="Arial" w:hAnsi="Arial" w:cs="Arial"/>
          <w:sz w:val="24"/>
          <w:szCs w:val="24"/>
        </w:rPr>
        <w:t>California Air and Resources Board’s Compliance Offsets Protocol Task Force</w:t>
      </w:r>
      <w:r w:rsidR="00E9368E" w:rsidRPr="00384F7A">
        <w:rPr>
          <w:rFonts w:ascii="Arial" w:hAnsi="Arial" w:cs="Arial"/>
          <w:sz w:val="24"/>
          <w:szCs w:val="24"/>
        </w:rPr>
        <w:t xml:space="preserve"> for the opportunity to provide comments on its </w:t>
      </w:r>
      <w:r w:rsidRPr="00384F7A">
        <w:rPr>
          <w:rFonts w:ascii="Arial" w:hAnsi="Arial" w:cs="Arial"/>
          <w:sz w:val="24"/>
          <w:szCs w:val="24"/>
        </w:rPr>
        <w:t xml:space="preserve">initial </w:t>
      </w:r>
      <w:r w:rsidR="00E9368E" w:rsidRPr="00384F7A">
        <w:rPr>
          <w:rFonts w:ascii="Arial" w:hAnsi="Arial" w:cs="Arial"/>
          <w:sz w:val="24"/>
          <w:szCs w:val="24"/>
        </w:rPr>
        <w:t xml:space="preserve">draft </w:t>
      </w:r>
      <w:r w:rsidRPr="00384F7A">
        <w:rPr>
          <w:rFonts w:ascii="Arial" w:hAnsi="Arial" w:cs="Arial"/>
          <w:sz w:val="24"/>
          <w:szCs w:val="24"/>
        </w:rPr>
        <w:t>recommendations</w:t>
      </w:r>
      <w:r w:rsidR="00E9368E" w:rsidRPr="00384F7A">
        <w:rPr>
          <w:rFonts w:ascii="Arial" w:hAnsi="Arial" w:cs="Arial"/>
          <w:sz w:val="24"/>
          <w:szCs w:val="24"/>
        </w:rPr>
        <w:t>. The role of agriculture in mitigating climate change is important not only for its direct impact on climate gases but also indirectly through the development of resilience to climate change impacts predicted over the coming decades.</w:t>
      </w:r>
    </w:p>
    <w:p w14:paraId="4901FAA3" w14:textId="77777777" w:rsidR="00E9368E" w:rsidRPr="00384F7A" w:rsidRDefault="00E9368E" w:rsidP="00A2304C">
      <w:pPr>
        <w:rPr>
          <w:rFonts w:ascii="Arial" w:hAnsi="Arial" w:cs="Arial"/>
          <w:sz w:val="24"/>
          <w:szCs w:val="24"/>
        </w:rPr>
      </w:pPr>
    </w:p>
    <w:p w14:paraId="0138F333" w14:textId="138372B2" w:rsidR="00D00365" w:rsidRPr="00384F7A" w:rsidRDefault="00B60282" w:rsidP="0095150C">
      <w:pPr>
        <w:rPr>
          <w:rFonts w:ascii="Arial" w:hAnsi="Arial" w:cs="Arial"/>
          <w:b/>
          <w:sz w:val="24"/>
          <w:szCs w:val="24"/>
        </w:rPr>
      </w:pPr>
      <w:r w:rsidRPr="00384F7A">
        <w:rPr>
          <w:rFonts w:ascii="Arial" w:hAnsi="Arial" w:cs="Arial"/>
          <w:b/>
          <w:sz w:val="24"/>
          <w:szCs w:val="24"/>
        </w:rPr>
        <w:t>Overa</w:t>
      </w:r>
      <w:r w:rsidR="0095150C" w:rsidRPr="00384F7A">
        <w:rPr>
          <w:rFonts w:ascii="Arial" w:hAnsi="Arial" w:cs="Arial"/>
          <w:b/>
          <w:sz w:val="24"/>
          <w:szCs w:val="24"/>
        </w:rPr>
        <w:t xml:space="preserve">rching </w:t>
      </w:r>
      <w:r w:rsidR="00EE3918" w:rsidRPr="00384F7A">
        <w:rPr>
          <w:rFonts w:ascii="Arial" w:hAnsi="Arial" w:cs="Arial"/>
          <w:b/>
          <w:sz w:val="24"/>
          <w:szCs w:val="24"/>
        </w:rPr>
        <w:t xml:space="preserve">EDF </w:t>
      </w:r>
      <w:r w:rsidRPr="00384F7A">
        <w:rPr>
          <w:rFonts w:ascii="Arial" w:hAnsi="Arial" w:cs="Arial"/>
          <w:b/>
          <w:sz w:val="24"/>
          <w:szCs w:val="24"/>
        </w:rPr>
        <w:t>Philosoph</w:t>
      </w:r>
      <w:r w:rsidR="00EE3918" w:rsidRPr="00384F7A">
        <w:rPr>
          <w:rFonts w:ascii="Arial" w:hAnsi="Arial" w:cs="Arial"/>
          <w:b/>
          <w:sz w:val="24"/>
          <w:szCs w:val="24"/>
        </w:rPr>
        <w:t>y</w:t>
      </w:r>
      <w:r w:rsidR="0095150C" w:rsidRPr="00384F7A">
        <w:rPr>
          <w:rFonts w:ascii="Arial" w:hAnsi="Arial" w:cs="Arial"/>
          <w:b/>
          <w:sz w:val="24"/>
          <w:szCs w:val="24"/>
        </w:rPr>
        <w:t xml:space="preserve"> </w:t>
      </w:r>
      <w:r w:rsidR="00D00365" w:rsidRPr="00384F7A">
        <w:rPr>
          <w:rFonts w:ascii="Arial" w:hAnsi="Arial" w:cs="Arial"/>
          <w:b/>
          <w:sz w:val="24"/>
          <w:szCs w:val="24"/>
        </w:rPr>
        <w:t>–</w:t>
      </w:r>
      <w:r w:rsidR="0095150C" w:rsidRPr="00384F7A">
        <w:rPr>
          <w:rFonts w:ascii="Arial" w:hAnsi="Arial" w:cs="Arial"/>
          <w:b/>
          <w:sz w:val="24"/>
          <w:szCs w:val="24"/>
        </w:rPr>
        <w:t xml:space="preserve"> </w:t>
      </w:r>
    </w:p>
    <w:p w14:paraId="05351776" w14:textId="0FD0765E" w:rsidR="00D00365" w:rsidRPr="00384F7A" w:rsidRDefault="00D00365" w:rsidP="0095150C">
      <w:pPr>
        <w:rPr>
          <w:rFonts w:ascii="Arial" w:hAnsi="Arial" w:cs="Arial"/>
          <w:b/>
          <w:sz w:val="24"/>
          <w:szCs w:val="24"/>
        </w:rPr>
      </w:pPr>
    </w:p>
    <w:p w14:paraId="3FA18FCD" w14:textId="5271781B" w:rsidR="00384F7A" w:rsidRPr="00384F7A" w:rsidRDefault="00FA19F5" w:rsidP="00FA19F5">
      <w:pPr>
        <w:pStyle w:val="ListParagraph"/>
        <w:numPr>
          <w:ilvl w:val="0"/>
          <w:numId w:val="12"/>
        </w:numPr>
        <w:rPr>
          <w:rFonts w:ascii="Arial" w:hAnsi="Arial" w:cs="Arial"/>
          <w:sz w:val="24"/>
          <w:szCs w:val="24"/>
        </w:rPr>
      </w:pPr>
      <w:r w:rsidRPr="00384F7A">
        <w:rPr>
          <w:rFonts w:ascii="Arial" w:hAnsi="Arial" w:cs="Arial"/>
          <w:sz w:val="24"/>
          <w:szCs w:val="24"/>
        </w:rPr>
        <w:t>These new agricultural protocols (avoided conversion of grasslands; feed additives to reduce enteric emissions of methane from cattle; diversion of manure storage from anaerobic systems (“alternative manure management”)) are w</w:t>
      </w:r>
      <w:r w:rsidR="00B1619A" w:rsidRPr="00384F7A">
        <w:rPr>
          <w:rFonts w:ascii="Arial" w:hAnsi="Arial" w:cs="Arial"/>
          <w:sz w:val="24"/>
          <w:szCs w:val="24"/>
        </w:rPr>
        <w:t xml:space="preserve">orth considering if </w:t>
      </w:r>
      <w:r w:rsidRPr="00384F7A">
        <w:rPr>
          <w:rFonts w:ascii="Arial" w:hAnsi="Arial" w:cs="Arial"/>
          <w:sz w:val="24"/>
          <w:szCs w:val="24"/>
        </w:rPr>
        <w:t>they</w:t>
      </w:r>
      <w:r w:rsidR="00384F7A" w:rsidRPr="00384F7A">
        <w:rPr>
          <w:rFonts w:ascii="Arial" w:hAnsi="Arial" w:cs="Arial"/>
          <w:sz w:val="24"/>
          <w:szCs w:val="24"/>
        </w:rPr>
        <w:t>:</w:t>
      </w:r>
      <w:r w:rsidRPr="00384F7A">
        <w:rPr>
          <w:rFonts w:ascii="Arial" w:hAnsi="Arial" w:cs="Arial"/>
          <w:sz w:val="24"/>
          <w:szCs w:val="24"/>
        </w:rPr>
        <w:t xml:space="preserve"> </w:t>
      </w:r>
    </w:p>
    <w:p w14:paraId="23D94201" w14:textId="14D3115F" w:rsidR="00384F7A" w:rsidRPr="00384F7A" w:rsidRDefault="00B1619A" w:rsidP="00384F7A">
      <w:pPr>
        <w:pStyle w:val="ListParagraph"/>
        <w:numPr>
          <w:ilvl w:val="2"/>
          <w:numId w:val="12"/>
        </w:numPr>
        <w:ind w:left="1620"/>
        <w:rPr>
          <w:rFonts w:ascii="Arial" w:hAnsi="Arial" w:cs="Arial"/>
          <w:sz w:val="24"/>
          <w:szCs w:val="24"/>
        </w:rPr>
      </w:pPr>
      <w:r w:rsidRPr="00384F7A">
        <w:rPr>
          <w:rFonts w:ascii="Arial" w:hAnsi="Arial" w:cs="Arial"/>
          <w:sz w:val="24"/>
          <w:szCs w:val="24"/>
        </w:rPr>
        <w:t>generate more environmental benefits than programs already encouraging these activities (</w:t>
      </w:r>
      <w:r w:rsidR="00FA19F5" w:rsidRPr="00384F7A">
        <w:rPr>
          <w:rFonts w:ascii="Arial" w:hAnsi="Arial" w:cs="Arial"/>
          <w:sz w:val="24"/>
          <w:szCs w:val="24"/>
        </w:rPr>
        <w:t xml:space="preserve">i.e., </w:t>
      </w:r>
      <w:r w:rsidR="00384F7A" w:rsidRPr="00384F7A">
        <w:rPr>
          <w:rFonts w:ascii="Arial" w:hAnsi="Arial" w:cs="Arial"/>
          <w:sz w:val="24"/>
          <w:szCs w:val="24"/>
        </w:rPr>
        <w:t>California Department of Food and Agriculture (</w:t>
      </w:r>
      <w:r w:rsidRPr="00384F7A">
        <w:rPr>
          <w:rFonts w:ascii="Arial" w:hAnsi="Arial" w:cs="Arial"/>
          <w:sz w:val="24"/>
          <w:szCs w:val="24"/>
        </w:rPr>
        <w:t>CDFA)</w:t>
      </w:r>
      <w:r w:rsidR="00384F7A" w:rsidRPr="00384F7A">
        <w:rPr>
          <w:rFonts w:ascii="Arial" w:hAnsi="Arial" w:cs="Arial"/>
          <w:sz w:val="24"/>
          <w:szCs w:val="24"/>
        </w:rPr>
        <w:t>)</w:t>
      </w:r>
      <w:r w:rsidRPr="00384F7A">
        <w:rPr>
          <w:rFonts w:ascii="Arial" w:hAnsi="Arial" w:cs="Arial"/>
          <w:sz w:val="24"/>
          <w:szCs w:val="24"/>
        </w:rPr>
        <w:t xml:space="preserve"> </w:t>
      </w:r>
      <w:r w:rsidR="00FA19F5" w:rsidRPr="00384F7A">
        <w:rPr>
          <w:rFonts w:ascii="Arial" w:hAnsi="Arial" w:cs="Arial"/>
          <w:sz w:val="24"/>
          <w:szCs w:val="24"/>
        </w:rPr>
        <w:t xml:space="preserve">or </w:t>
      </w:r>
      <w:r w:rsidRPr="00384F7A">
        <w:rPr>
          <w:rFonts w:ascii="Arial" w:hAnsi="Arial" w:cs="Arial"/>
          <w:sz w:val="24"/>
          <w:szCs w:val="24"/>
        </w:rPr>
        <w:t>agricultural protocols already included in the compliance market</w:t>
      </w:r>
      <w:r w:rsidR="00FA19F5" w:rsidRPr="00384F7A">
        <w:rPr>
          <w:rFonts w:ascii="Arial" w:hAnsi="Arial" w:cs="Arial"/>
          <w:sz w:val="24"/>
          <w:szCs w:val="24"/>
        </w:rPr>
        <w:t xml:space="preserve"> (e.g., livestock </w:t>
      </w:r>
      <w:r w:rsidR="00384F7A" w:rsidRPr="00384F7A">
        <w:rPr>
          <w:rFonts w:ascii="Arial" w:hAnsi="Arial" w:cs="Arial"/>
          <w:sz w:val="24"/>
          <w:szCs w:val="24"/>
        </w:rPr>
        <w:t xml:space="preserve">biogas control </w:t>
      </w:r>
      <w:r w:rsidR="00FA19F5" w:rsidRPr="00384F7A">
        <w:rPr>
          <w:rFonts w:ascii="Arial" w:hAnsi="Arial" w:cs="Arial"/>
          <w:sz w:val="24"/>
          <w:szCs w:val="24"/>
        </w:rPr>
        <w:t>projects)</w:t>
      </w:r>
      <w:r w:rsidRPr="00384F7A">
        <w:rPr>
          <w:rFonts w:ascii="Arial" w:hAnsi="Arial" w:cs="Arial"/>
          <w:sz w:val="24"/>
          <w:szCs w:val="24"/>
        </w:rPr>
        <w:t xml:space="preserve">, or </w:t>
      </w:r>
    </w:p>
    <w:p w14:paraId="56215C25" w14:textId="2BE95B78" w:rsidR="00384F7A" w:rsidRPr="00384F7A" w:rsidRDefault="00384F7A" w:rsidP="00384F7A">
      <w:pPr>
        <w:pStyle w:val="ListParagraph"/>
        <w:numPr>
          <w:ilvl w:val="2"/>
          <w:numId w:val="12"/>
        </w:numPr>
        <w:ind w:left="1620"/>
        <w:rPr>
          <w:rFonts w:ascii="Arial" w:hAnsi="Arial" w:cs="Arial"/>
          <w:sz w:val="24"/>
          <w:szCs w:val="24"/>
        </w:rPr>
      </w:pPr>
      <w:r w:rsidRPr="00384F7A">
        <w:rPr>
          <w:rFonts w:ascii="Arial" w:hAnsi="Arial" w:cs="Arial"/>
          <w:sz w:val="24"/>
          <w:szCs w:val="24"/>
        </w:rPr>
        <w:t>p</w:t>
      </w:r>
      <w:r w:rsidR="00B1619A" w:rsidRPr="00384F7A">
        <w:rPr>
          <w:rFonts w:ascii="Arial" w:hAnsi="Arial" w:cs="Arial"/>
          <w:sz w:val="24"/>
          <w:szCs w:val="24"/>
        </w:rPr>
        <w:t xml:space="preserve">rovide </w:t>
      </w:r>
      <w:r w:rsidRPr="00384F7A">
        <w:rPr>
          <w:rFonts w:ascii="Arial" w:hAnsi="Arial" w:cs="Arial"/>
          <w:sz w:val="24"/>
          <w:szCs w:val="24"/>
        </w:rPr>
        <w:t xml:space="preserve">unique, direct environmental benefits within California that other programs or protocols do not, or </w:t>
      </w:r>
    </w:p>
    <w:p w14:paraId="2185848E" w14:textId="3117A313" w:rsidR="00B1619A" w:rsidRPr="00384F7A" w:rsidRDefault="00B1619A" w:rsidP="00384F7A">
      <w:pPr>
        <w:pStyle w:val="ListParagraph"/>
        <w:numPr>
          <w:ilvl w:val="2"/>
          <w:numId w:val="12"/>
        </w:numPr>
        <w:ind w:left="1620"/>
        <w:rPr>
          <w:rFonts w:ascii="Arial" w:hAnsi="Arial" w:cs="Arial"/>
          <w:sz w:val="24"/>
          <w:szCs w:val="24"/>
        </w:rPr>
      </w:pPr>
      <w:r w:rsidRPr="00384F7A">
        <w:rPr>
          <w:rFonts w:ascii="Arial" w:hAnsi="Arial" w:cs="Arial"/>
          <w:sz w:val="24"/>
          <w:szCs w:val="24"/>
        </w:rPr>
        <w:t xml:space="preserve">provide </w:t>
      </w:r>
      <w:r w:rsidR="00384F7A" w:rsidRPr="00384F7A">
        <w:rPr>
          <w:rFonts w:ascii="Arial" w:hAnsi="Arial" w:cs="Arial"/>
          <w:sz w:val="24"/>
          <w:szCs w:val="24"/>
        </w:rPr>
        <w:t xml:space="preserve">unique </w:t>
      </w:r>
      <w:r w:rsidRPr="00384F7A">
        <w:rPr>
          <w:rFonts w:ascii="Arial" w:hAnsi="Arial" w:cs="Arial"/>
          <w:sz w:val="24"/>
          <w:szCs w:val="24"/>
        </w:rPr>
        <w:t>opportunity to address systemic inequality identified by CARB.</w:t>
      </w:r>
    </w:p>
    <w:p w14:paraId="04F6C3C3" w14:textId="56FDECAA" w:rsidR="00FA19F5" w:rsidRPr="00384F7A" w:rsidRDefault="00EC57E1" w:rsidP="009C256C">
      <w:pPr>
        <w:pStyle w:val="ListParagraph"/>
        <w:numPr>
          <w:ilvl w:val="0"/>
          <w:numId w:val="12"/>
        </w:numPr>
        <w:rPr>
          <w:rFonts w:ascii="Arial" w:hAnsi="Arial" w:cs="Arial"/>
          <w:sz w:val="24"/>
          <w:szCs w:val="24"/>
        </w:rPr>
      </w:pPr>
      <w:r w:rsidRPr="00384F7A">
        <w:rPr>
          <w:rFonts w:ascii="Arial" w:hAnsi="Arial" w:cs="Arial"/>
          <w:sz w:val="24"/>
          <w:szCs w:val="24"/>
        </w:rPr>
        <w:t xml:space="preserve">If CARB decides to introduce </w:t>
      </w:r>
      <w:r w:rsidR="00FA19F5" w:rsidRPr="00384F7A">
        <w:rPr>
          <w:rFonts w:ascii="Arial" w:hAnsi="Arial" w:cs="Arial"/>
          <w:sz w:val="24"/>
          <w:szCs w:val="24"/>
        </w:rPr>
        <w:t xml:space="preserve">these new agricultural </w:t>
      </w:r>
      <w:r w:rsidRPr="00384F7A">
        <w:rPr>
          <w:rFonts w:ascii="Arial" w:hAnsi="Arial" w:cs="Arial"/>
          <w:sz w:val="24"/>
          <w:szCs w:val="24"/>
        </w:rPr>
        <w:t xml:space="preserve">protocols </w:t>
      </w:r>
      <w:r w:rsidR="00FA19F5" w:rsidRPr="00384F7A">
        <w:rPr>
          <w:rFonts w:ascii="Arial" w:hAnsi="Arial" w:cs="Arial"/>
          <w:sz w:val="24"/>
          <w:szCs w:val="24"/>
        </w:rPr>
        <w:t>(</w:t>
      </w:r>
      <w:r w:rsidRPr="00384F7A">
        <w:rPr>
          <w:rFonts w:ascii="Arial" w:hAnsi="Arial" w:cs="Arial"/>
          <w:sz w:val="24"/>
          <w:szCs w:val="24"/>
        </w:rPr>
        <w:t>avoided conversion of grasslands</w:t>
      </w:r>
      <w:r w:rsidR="00FA19F5" w:rsidRPr="00384F7A">
        <w:rPr>
          <w:rFonts w:ascii="Arial" w:hAnsi="Arial" w:cs="Arial"/>
          <w:sz w:val="24"/>
          <w:szCs w:val="24"/>
        </w:rPr>
        <w:t>;</w:t>
      </w:r>
      <w:r w:rsidRPr="00384F7A">
        <w:rPr>
          <w:rFonts w:ascii="Arial" w:hAnsi="Arial" w:cs="Arial"/>
          <w:sz w:val="24"/>
          <w:szCs w:val="24"/>
        </w:rPr>
        <w:t xml:space="preserve"> feed additives to reduce enteric emissions of methane from cattle</w:t>
      </w:r>
      <w:r w:rsidR="00FA19F5" w:rsidRPr="00384F7A">
        <w:rPr>
          <w:rFonts w:ascii="Arial" w:hAnsi="Arial" w:cs="Arial"/>
          <w:sz w:val="24"/>
          <w:szCs w:val="24"/>
        </w:rPr>
        <w:t>;</w:t>
      </w:r>
      <w:r w:rsidRPr="00384F7A">
        <w:rPr>
          <w:rFonts w:ascii="Arial" w:hAnsi="Arial" w:cs="Arial"/>
          <w:sz w:val="24"/>
          <w:szCs w:val="24"/>
        </w:rPr>
        <w:t xml:space="preserve"> diversion of manure storage from anaerobic systems (“alternative manure management”)</w:t>
      </w:r>
      <w:r w:rsidR="00FA19F5" w:rsidRPr="00384F7A">
        <w:rPr>
          <w:rFonts w:ascii="Arial" w:hAnsi="Arial" w:cs="Arial"/>
          <w:sz w:val="24"/>
          <w:szCs w:val="24"/>
        </w:rPr>
        <w:t>)</w:t>
      </w:r>
      <w:r w:rsidRPr="00384F7A">
        <w:rPr>
          <w:rFonts w:ascii="Arial" w:hAnsi="Arial" w:cs="Arial"/>
          <w:sz w:val="24"/>
          <w:szCs w:val="24"/>
        </w:rPr>
        <w:t>, they need to devel</w:t>
      </w:r>
      <w:r w:rsidR="00FA19F5" w:rsidRPr="00384F7A">
        <w:rPr>
          <w:rFonts w:ascii="Arial" w:hAnsi="Arial" w:cs="Arial"/>
          <w:sz w:val="24"/>
          <w:szCs w:val="24"/>
        </w:rPr>
        <w:t xml:space="preserve">op clear and stringent guidelines with California’s Department of Food and Agriculture (CDFA) </w:t>
      </w:r>
      <w:r w:rsidRPr="00384F7A">
        <w:rPr>
          <w:rFonts w:ascii="Arial" w:hAnsi="Arial" w:cs="Arial"/>
          <w:sz w:val="24"/>
          <w:szCs w:val="24"/>
        </w:rPr>
        <w:t>to ensure addit</w:t>
      </w:r>
      <w:r w:rsidR="00384F7A">
        <w:rPr>
          <w:rFonts w:ascii="Arial" w:hAnsi="Arial" w:cs="Arial"/>
          <w:sz w:val="24"/>
          <w:szCs w:val="24"/>
        </w:rPr>
        <w:t>i</w:t>
      </w:r>
      <w:r w:rsidRPr="00384F7A">
        <w:rPr>
          <w:rFonts w:ascii="Arial" w:hAnsi="Arial" w:cs="Arial"/>
          <w:sz w:val="24"/>
          <w:szCs w:val="24"/>
        </w:rPr>
        <w:t xml:space="preserve">onality </w:t>
      </w:r>
      <w:r w:rsidRPr="00384F7A">
        <w:rPr>
          <w:rFonts w:ascii="Arial" w:hAnsi="Arial" w:cs="Arial"/>
          <w:sz w:val="24"/>
          <w:szCs w:val="24"/>
        </w:rPr>
        <w:lastRenderedPageBreak/>
        <w:t>and avoid double counting of emission reductions</w:t>
      </w:r>
      <w:r w:rsidR="00FA19F5" w:rsidRPr="00384F7A">
        <w:rPr>
          <w:rFonts w:ascii="Arial" w:hAnsi="Arial" w:cs="Arial"/>
          <w:sz w:val="24"/>
          <w:szCs w:val="24"/>
        </w:rPr>
        <w:t>.</w:t>
      </w:r>
      <w:r w:rsidRPr="00384F7A">
        <w:rPr>
          <w:rFonts w:ascii="Arial" w:hAnsi="Arial" w:cs="Arial"/>
          <w:sz w:val="24"/>
          <w:szCs w:val="24"/>
        </w:rPr>
        <w:t xml:space="preserve"> </w:t>
      </w:r>
      <w:r w:rsidR="00FA19F5" w:rsidRPr="00384F7A">
        <w:rPr>
          <w:rFonts w:ascii="Arial" w:hAnsi="Arial" w:cs="Arial"/>
          <w:sz w:val="24"/>
          <w:szCs w:val="24"/>
        </w:rPr>
        <w:t xml:space="preserve">CDFA’s </w:t>
      </w:r>
      <w:r w:rsidRPr="00384F7A">
        <w:rPr>
          <w:rFonts w:ascii="Arial" w:hAnsi="Arial" w:cs="Arial"/>
          <w:sz w:val="24"/>
          <w:szCs w:val="24"/>
        </w:rPr>
        <w:t>Healthy Soils and Alternative Manure Management Programs</w:t>
      </w:r>
      <w:r w:rsidR="00FA19F5" w:rsidRPr="00384F7A">
        <w:rPr>
          <w:rFonts w:ascii="Arial" w:hAnsi="Arial" w:cs="Arial"/>
          <w:sz w:val="24"/>
          <w:szCs w:val="24"/>
        </w:rPr>
        <w:t xml:space="preserve"> incentivize some of the same practices and we</w:t>
      </w:r>
      <w:r w:rsidRPr="00384F7A">
        <w:rPr>
          <w:rFonts w:ascii="Arial" w:hAnsi="Arial" w:cs="Arial"/>
          <w:sz w:val="24"/>
          <w:szCs w:val="24"/>
        </w:rPr>
        <w:t xml:space="preserve"> are concerned about additionality issues </w:t>
      </w:r>
      <w:r w:rsidR="00FA19F5" w:rsidRPr="00384F7A">
        <w:rPr>
          <w:rFonts w:ascii="Arial" w:hAnsi="Arial" w:cs="Arial"/>
          <w:sz w:val="24"/>
          <w:szCs w:val="24"/>
        </w:rPr>
        <w:t xml:space="preserve">that these new protocols </w:t>
      </w:r>
      <w:r w:rsidRPr="00384F7A">
        <w:rPr>
          <w:rFonts w:ascii="Arial" w:hAnsi="Arial" w:cs="Arial"/>
          <w:sz w:val="24"/>
          <w:szCs w:val="24"/>
        </w:rPr>
        <w:t>might incur</w:t>
      </w:r>
      <w:r w:rsidR="00FA19F5" w:rsidRPr="00384F7A">
        <w:rPr>
          <w:rFonts w:ascii="Arial" w:hAnsi="Arial" w:cs="Arial"/>
          <w:sz w:val="24"/>
          <w:szCs w:val="24"/>
        </w:rPr>
        <w:t xml:space="preserve">. </w:t>
      </w:r>
    </w:p>
    <w:p w14:paraId="1859958F" w14:textId="3758F3E9" w:rsidR="00383282" w:rsidRPr="00383282" w:rsidRDefault="00746B8B" w:rsidP="00C33ADA">
      <w:pPr>
        <w:pStyle w:val="ListParagraph"/>
        <w:numPr>
          <w:ilvl w:val="0"/>
          <w:numId w:val="12"/>
        </w:numPr>
        <w:rPr>
          <w:rFonts w:ascii="Arial" w:hAnsi="Arial" w:cs="Arial"/>
          <w:sz w:val="24"/>
          <w:szCs w:val="24"/>
        </w:rPr>
      </w:pPr>
      <w:r w:rsidRPr="00383282">
        <w:rPr>
          <w:rFonts w:ascii="Arial" w:hAnsi="Arial" w:cs="Arial"/>
          <w:sz w:val="24"/>
          <w:szCs w:val="24"/>
        </w:rPr>
        <w:t xml:space="preserve">EDF believes that offsets are an important tool for mitigating greenhouse gas emissions, but offsets </w:t>
      </w:r>
      <w:r w:rsidR="00937428" w:rsidRPr="00383282">
        <w:rPr>
          <w:rFonts w:ascii="Arial" w:hAnsi="Arial" w:cs="Arial"/>
          <w:sz w:val="24"/>
          <w:szCs w:val="24"/>
        </w:rPr>
        <w:t>cannot completely</w:t>
      </w:r>
      <w:r w:rsidRPr="00383282">
        <w:rPr>
          <w:rFonts w:ascii="Arial" w:hAnsi="Arial" w:cs="Arial"/>
          <w:sz w:val="24"/>
          <w:szCs w:val="24"/>
        </w:rPr>
        <w:t xml:space="preserve"> substitute for direct emission reductions at the </w:t>
      </w:r>
      <w:r w:rsidR="00296D80" w:rsidRPr="00383282">
        <w:rPr>
          <w:rFonts w:ascii="Arial" w:hAnsi="Arial" w:cs="Arial"/>
          <w:sz w:val="24"/>
          <w:szCs w:val="24"/>
        </w:rPr>
        <w:t>capped</w:t>
      </w:r>
      <w:r w:rsidRPr="00383282">
        <w:rPr>
          <w:rFonts w:ascii="Arial" w:hAnsi="Arial" w:cs="Arial"/>
          <w:sz w:val="24"/>
          <w:szCs w:val="24"/>
        </w:rPr>
        <w:t xml:space="preserve"> source. </w:t>
      </w:r>
      <w:r w:rsidR="00987B1D" w:rsidRPr="00383282">
        <w:rPr>
          <w:rFonts w:ascii="Arial" w:hAnsi="Arial" w:cs="Arial"/>
          <w:sz w:val="24"/>
          <w:szCs w:val="24"/>
        </w:rPr>
        <w:t xml:space="preserve">By their very nature, offsets do not provide co-benefits in the form of reducing co-pollutants at the </w:t>
      </w:r>
      <w:r w:rsidR="00296D80" w:rsidRPr="00383282">
        <w:rPr>
          <w:rFonts w:ascii="Arial" w:hAnsi="Arial" w:cs="Arial"/>
          <w:sz w:val="24"/>
          <w:szCs w:val="24"/>
        </w:rPr>
        <w:t xml:space="preserve">capped </w:t>
      </w:r>
      <w:r w:rsidR="00987B1D" w:rsidRPr="00383282">
        <w:rPr>
          <w:rFonts w:ascii="Arial" w:hAnsi="Arial" w:cs="Arial"/>
          <w:sz w:val="24"/>
          <w:szCs w:val="24"/>
        </w:rPr>
        <w:t xml:space="preserve">emissions source, and these co-pollutants can be a major source of local air </w:t>
      </w:r>
      <w:r w:rsidR="00296D80" w:rsidRPr="00383282">
        <w:rPr>
          <w:rFonts w:ascii="Arial" w:hAnsi="Arial" w:cs="Arial"/>
          <w:sz w:val="24"/>
          <w:szCs w:val="24"/>
        </w:rPr>
        <w:t xml:space="preserve">and water </w:t>
      </w:r>
      <w:r w:rsidR="00987B1D" w:rsidRPr="00383282">
        <w:rPr>
          <w:rFonts w:ascii="Arial" w:hAnsi="Arial" w:cs="Arial"/>
          <w:sz w:val="24"/>
          <w:szCs w:val="24"/>
        </w:rPr>
        <w:t>pollution</w:t>
      </w:r>
      <w:r w:rsidR="00296D80" w:rsidRPr="00383282">
        <w:rPr>
          <w:rFonts w:ascii="Arial" w:hAnsi="Arial" w:cs="Arial"/>
          <w:sz w:val="24"/>
          <w:szCs w:val="24"/>
        </w:rPr>
        <w:t>, with environmental justice implications</w:t>
      </w:r>
      <w:r w:rsidR="00987B1D" w:rsidRPr="00383282">
        <w:rPr>
          <w:rFonts w:ascii="Arial" w:hAnsi="Arial" w:cs="Arial"/>
          <w:sz w:val="24"/>
          <w:szCs w:val="24"/>
        </w:rPr>
        <w:t>. D</w:t>
      </w:r>
      <w:r w:rsidR="008170E0" w:rsidRPr="00383282">
        <w:rPr>
          <w:rFonts w:ascii="Arial" w:hAnsi="Arial" w:cs="Arial"/>
          <w:sz w:val="24"/>
          <w:szCs w:val="24"/>
        </w:rPr>
        <w:t>ue</w:t>
      </w:r>
      <w:r w:rsidR="00987B1D" w:rsidRPr="00383282">
        <w:rPr>
          <w:rFonts w:ascii="Arial" w:hAnsi="Arial" w:cs="Arial"/>
          <w:sz w:val="24"/>
          <w:szCs w:val="24"/>
        </w:rPr>
        <w:t xml:space="preserve"> to th</w:t>
      </w:r>
      <w:r w:rsidR="00296D80" w:rsidRPr="00383282">
        <w:rPr>
          <w:rFonts w:ascii="Arial" w:hAnsi="Arial" w:cs="Arial"/>
          <w:sz w:val="24"/>
          <w:szCs w:val="24"/>
        </w:rPr>
        <w:t>ese issues</w:t>
      </w:r>
      <w:r w:rsidR="00987B1D" w:rsidRPr="00383282">
        <w:rPr>
          <w:rFonts w:ascii="Arial" w:hAnsi="Arial" w:cs="Arial"/>
          <w:sz w:val="24"/>
          <w:szCs w:val="24"/>
        </w:rPr>
        <w:t>, and the reality that offset usage limits in California’s cap-and-trade program will be reduced beginning in 2021,</w:t>
      </w:r>
      <w:r w:rsidR="00476878" w:rsidRPr="00383282">
        <w:rPr>
          <w:rFonts w:ascii="Arial" w:hAnsi="Arial" w:cs="Arial"/>
          <w:sz w:val="24"/>
          <w:szCs w:val="24"/>
        </w:rPr>
        <w:t xml:space="preserve"> and that the available offset supply is sufficient to meet demand during the program’s fourth compliance period (2021-2023), farmers and the environment could be better served </w:t>
      </w:r>
      <w:r w:rsidR="00383282" w:rsidRPr="00383282">
        <w:rPr>
          <w:rFonts w:ascii="Arial" w:hAnsi="Arial" w:cs="Arial"/>
          <w:sz w:val="24"/>
          <w:szCs w:val="24"/>
        </w:rPr>
        <w:t>if the</w:t>
      </w:r>
      <w:r w:rsidR="00476878" w:rsidRPr="00383282">
        <w:rPr>
          <w:rFonts w:ascii="Arial" w:hAnsi="Arial" w:cs="Arial"/>
          <w:sz w:val="24"/>
          <w:szCs w:val="24"/>
        </w:rPr>
        <w:t xml:space="preserve"> recommended practices were instead embedded within CA’s Climate Smart Agriculture (CSA) programs. As the CSA programs invest in farmers’ ability to transition toward conservation practices without offering others the opportunity to offset their own continued emissions, we encourage CARB to consider supporting the CSA pathway vs. bringing these practices onto the cap and trade market. </w:t>
      </w:r>
      <w:r w:rsidR="00383282" w:rsidRPr="00383282">
        <w:rPr>
          <w:rFonts w:ascii="Arial" w:hAnsi="Arial" w:cs="Arial"/>
          <w:sz w:val="24"/>
          <w:szCs w:val="24"/>
        </w:rPr>
        <w:t>T</w:t>
      </w:r>
      <w:r w:rsidR="00D72F36" w:rsidRPr="00383282">
        <w:rPr>
          <w:rFonts w:ascii="Arial" w:hAnsi="Arial" w:cs="Arial"/>
          <w:sz w:val="24"/>
          <w:szCs w:val="24"/>
        </w:rPr>
        <w:t xml:space="preserve">he total opportunity for new offsets may be minimal. </w:t>
      </w:r>
    </w:p>
    <w:p w14:paraId="613FB566" w14:textId="639580CF" w:rsidR="006E722E" w:rsidRPr="00384F7A" w:rsidRDefault="00383282" w:rsidP="00383282">
      <w:pPr>
        <w:pStyle w:val="ListParagraph"/>
        <w:numPr>
          <w:ilvl w:val="0"/>
          <w:numId w:val="12"/>
        </w:numPr>
        <w:rPr>
          <w:rFonts w:ascii="Arial" w:hAnsi="Arial" w:cs="Arial"/>
          <w:sz w:val="24"/>
          <w:szCs w:val="24"/>
        </w:rPr>
      </w:pPr>
      <w:r>
        <w:rPr>
          <w:rFonts w:ascii="Arial" w:hAnsi="Arial" w:cs="Arial"/>
          <w:sz w:val="24"/>
          <w:szCs w:val="24"/>
        </w:rPr>
        <w:t xml:space="preserve">If </w:t>
      </w:r>
      <w:r w:rsidRPr="00383282">
        <w:rPr>
          <w:rFonts w:ascii="Arial" w:hAnsi="Arial" w:cs="Arial"/>
          <w:sz w:val="24"/>
          <w:szCs w:val="24"/>
        </w:rPr>
        <w:t xml:space="preserve">CARB decides to pursue </w:t>
      </w:r>
      <w:r>
        <w:rPr>
          <w:rFonts w:ascii="Arial" w:hAnsi="Arial" w:cs="Arial"/>
          <w:sz w:val="24"/>
          <w:szCs w:val="24"/>
        </w:rPr>
        <w:t xml:space="preserve">the generation of </w:t>
      </w:r>
      <w:r w:rsidRPr="00383282">
        <w:rPr>
          <w:rFonts w:ascii="Arial" w:hAnsi="Arial" w:cs="Arial"/>
          <w:sz w:val="24"/>
          <w:szCs w:val="24"/>
        </w:rPr>
        <w:t xml:space="preserve">new agricultural offsets, we support </w:t>
      </w:r>
      <w:r>
        <w:rPr>
          <w:rFonts w:ascii="Arial" w:hAnsi="Arial" w:cs="Arial"/>
          <w:sz w:val="24"/>
          <w:szCs w:val="24"/>
        </w:rPr>
        <w:t xml:space="preserve">them </w:t>
      </w:r>
      <w:r w:rsidRPr="00383282">
        <w:rPr>
          <w:rFonts w:ascii="Arial" w:hAnsi="Arial" w:cs="Arial"/>
          <w:sz w:val="24"/>
          <w:szCs w:val="24"/>
        </w:rPr>
        <w:t xml:space="preserve">considering new and better protocols that adhere to the quality assurance principles stated throughout the recommendations report. We support examination and consideration of broader enrollment and participation from a variety of agricultural activities, as long as the total volume of offsets allowed does not increase, and the offsets follow the </w:t>
      </w:r>
      <w:r w:rsidR="008D7DD2">
        <w:rPr>
          <w:rFonts w:ascii="Arial" w:hAnsi="Arial" w:cs="Arial"/>
          <w:sz w:val="24"/>
          <w:szCs w:val="24"/>
        </w:rPr>
        <w:t>q</w:t>
      </w:r>
      <w:r w:rsidRPr="00383282">
        <w:rPr>
          <w:rFonts w:ascii="Arial" w:hAnsi="Arial" w:cs="Arial"/>
          <w:sz w:val="24"/>
          <w:szCs w:val="24"/>
        </w:rPr>
        <w:t>uality criteria and consideration of local impacts</w:t>
      </w:r>
      <w:r w:rsidR="008D7DD2">
        <w:rPr>
          <w:rFonts w:ascii="Arial" w:hAnsi="Arial" w:cs="Arial"/>
          <w:sz w:val="24"/>
          <w:szCs w:val="24"/>
        </w:rPr>
        <w:t xml:space="preserve"> listed below</w:t>
      </w:r>
      <w:r w:rsidRPr="00383282">
        <w:rPr>
          <w:rFonts w:ascii="Arial" w:hAnsi="Arial" w:cs="Arial"/>
          <w:sz w:val="24"/>
          <w:szCs w:val="24"/>
        </w:rPr>
        <w:t>.</w:t>
      </w:r>
      <w:r w:rsidR="008D7DD2">
        <w:rPr>
          <w:rFonts w:ascii="Arial" w:hAnsi="Arial" w:cs="Arial"/>
          <w:sz w:val="24"/>
          <w:szCs w:val="24"/>
        </w:rPr>
        <w:t xml:space="preserve"> </w:t>
      </w:r>
      <w:r>
        <w:rPr>
          <w:rFonts w:ascii="Arial" w:hAnsi="Arial" w:cs="Arial"/>
          <w:sz w:val="24"/>
          <w:szCs w:val="24"/>
        </w:rPr>
        <w:t xml:space="preserve">Given </w:t>
      </w:r>
      <w:r w:rsidR="00D7747A" w:rsidRPr="00384F7A">
        <w:rPr>
          <w:rFonts w:ascii="Arial" w:hAnsi="Arial" w:cs="Arial"/>
          <w:sz w:val="24"/>
          <w:szCs w:val="24"/>
        </w:rPr>
        <w:t xml:space="preserve">the risks associated with low-quality carbon credits, practical and trusted guidance is critical to help carbon credit </w:t>
      </w:r>
      <w:r>
        <w:rPr>
          <w:rFonts w:ascii="Arial" w:hAnsi="Arial" w:cs="Arial"/>
          <w:sz w:val="24"/>
          <w:szCs w:val="24"/>
        </w:rPr>
        <w:t xml:space="preserve">generators, facilitators, and </w:t>
      </w:r>
      <w:r w:rsidR="00D7747A" w:rsidRPr="00384F7A">
        <w:rPr>
          <w:rFonts w:ascii="Arial" w:hAnsi="Arial" w:cs="Arial"/>
          <w:sz w:val="24"/>
          <w:szCs w:val="24"/>
        </w:rPr>
        <w:t>buyers navigate the complicated landscape. Environmental Defense Fund, World Wildlife Fund, and Oeko-Institut are therefore developing a “Carbon Credit Guidance for Buyers</w:t>
      </w:r>
      <w:r w:rsidR="00EA0C8A" w:rsidRPr="00384F7A">
        <w:rPr>
          <w:rFonts w:ascii="Arial" w:hAnsi="Arial" w:cs="Arial"/>
          <w:sz w:val="24"/>
          <w:szCs w:val="24"/>
        </w:rPr>
        <w:t>.</w:t>
      </w:r>
      <w:r w:rsidR="00D7747A" w:rsidRPr="00384F7A">
        <w:rPr>
          <w:rFonts w:ascii="Arial" w:hAnsi="Arial" w:cs="Arial"/>
          <w:sz w:val="24"/>
          <w:szCs w:val="24"/>
        </w:rPr>
        <w:t xml:space="preserve">” As Phase 1 of this project, EDF, WWF, and Oeko-Institut have authored a paper that identifies six “quality objectives” for </w:t>
      </w:r>
      <w:r w:rsidR="00993493" w:rsidRPr="00384F7A">
        <w:rPr>
          <w:rFonts w:ascii="Arial" w:hAnsi="Arial" w:cs="Arial"/>
          <w:sz w:val="24"/>
          <w:szCs w:val="24"/>
        </w:rPr>
        <w:t xml:space="preserve">any type of </w:t>
      </w:r>
      <w:r w:rsidR="00D7747A" w:rsidRPr="00384F7A">
        <w:rPr>
          <w:rFonts w:ascii="Arial" w:hAnsi="Arial" w:cs="Arial"/>
          <w:sz w:val="24"/>
          <w:szCs w:val="24"/>
        </w:rPr>
        <w:t>carbon credits, and elaborates specific criteria that can be used to evaluate credits against ea</w:t>
      </w:r>
      <w:r w:rsidR="006E722E" w:rsidRPr="00384F7A">
        <w:rPr>
          <w:rFonts w:ascii="Arial" w:hAnsi="Arial" w:cs="Arial"/>
          <w:sz w:val="24"/>
          <w:szCs w:val="24"/>
        </w:rPr>
        <w:t xml:space="preserve">ch of these quality objectives: </w:t>
      </w:r>
    </w:p>
    <w:p w14:paraId="5B3031FF" w14:textId="11714431" w:rsidR="006E722E" w:rsidRPr="00384F7A" w:rsidRDefault="006E722E" w:rsidP="006E722E">
      <w:pPr>
        <w:pStyle w:val="ListParagraph"/>
        <w:numPr>
          <w:ilvl w:val="3"/>
          <w:numId w:val="12"/>
        </w:numPr>
        <w:ind w:left="1710" w:hanging="450"/>
        <w:rPr>
          <w:rFonts w:ascii="Arial" w:hAnsi="Arial" w:cs="Arial"/>
          <w:sz w:val="24"/>
          <w:szCs w:val="24"/>
        </w:rPr>
      </w:pPr>
      <w:r w:rsidRPr="00384F7A">
        <w:rPr>
          <w:rFonts w:ascii="Arial" w:hAnsi="Arial" w:cs="Arial"/>
          <w:b/>
          <w:sz w:val="24"/>
          <w:szCs w:val="24"/>
        </w:rPr>
        <w:t xml:space="preserve">Robust determination of the GHG emissions impact of the mitigation activity </w:t>
      </w:r>
      <w:r w:rsidRPr="00384F7A">
        <w:rPr>
          <w:rFonts w:ascii="Arial" w:hAnsi="Arial" w:cs="Arial"/>
          <w:sz w:val="24"/>
          <w:szCs w:val="24"/>
        </w:rPr>
        <w:t xml:space="preserve">(criteria: additionality, vulnerability, and robust quantification of emission reductions and removals) </w:t>
      </w:r>
    </w:p>
    <w:p w14:paraId="534D332C" w14:textId="41AB72E0" w:rsidR="006E722E" w:rsidRPr="00384F7A" w:rsidRDefault="006E722E" w:rsidP="006E722E">
      <w:pPr>
        <w:pStyle w:val="ListParagraph"/>
        <w:numPr>
          <w:ilvl w:val="3"/>
          <w:numId w:val="12"/>
        </w:numPr>
        <w:ind w:left="1710" w:hanging="450"/>
        <w:rPr>
          <w:rFonts w:ascii="Arial" w:hAnsi="Arial" w:cs="Arial"/>
          <w:b/>
          <w:sz w:val="24"/>
          <w:szCs w:val="24"/>
        </w:rPr>
      </w:pPr>
      <w:r w:rsidRPr="00384F7A">
        <w:rPr>
          <w:rFonts w:ascii="Arial" w:hAnsi="Arial" w:cs="Arial"/>
          <w:b/>
          <w:sz w:val="24"/>
          <w:szCs w:val="24"/>
        </w:rPr>
        <w:t xml:space="preserve">Avoided double counting of emission </w:t>
      </w:r>
      <w:r w:rsidR="00935B59" w:rsidRPr="00384F7A">
        <w:rPr>
          <w:rFonts w:ascii="Arial" w:hAnsi="Arial" w:cs="Arial"/>
          <w:b/>
          <w:sz w:val="24"/>
          <w:szCs w:val="24"/>
        </w:rPr>
        <w:t>reductions</w:t>
      </w:r>
      <w:r w:rsidRPr="00384F7A">
        <w:rPr>
          <w:rFonts w:ascii="Arial" w:hAnsi="Arial" w:cs="Arial"/>
          <w:b/>
          <w:sz w:val="24"/>
          <w:szCs w:val="24"/>
        </w:rPr>
        <w:t xml:space="preserve"> or removals </w:t>
      </w:r>
      <w:r w:rsidRPr="00384F7A">
        <w:rPr>
          <w:rFonts w:ascii="Arial" w:hAnsi="Arial" w:cs="Arial"/>
          <w:sz w:val="24"/>
          <w:szCs w:val="24"/>
        </w:rPr>
        <w:t xml:space="preserve">(criteria: avoiding double issuance, </w:t>
      </w:r>
      <w:r w:rsidR="00935B59" w:rsidRPr="00384F7A">
        <w:rPr>
          <w:rFonts w:ascii="Arial" w:hAnsi="Arial" w:cs="Arial"/>
          <w:sz w:val="24"/>
          <w:szCs w:val="24"/>
        </w:rPr>
        <w:t xml:space="preserve">double </w:t>
      </w:r>
      <w:r w:rsidRPr="00384F7A">
        <w:rPr>
          <w:rFonts w:ascii="Arial" w:hAnsi="Arial" w:cs="Arial"/>
          <w:sz w:val="24"/>
          <w:szCs w:val="24"/>
        </w:rPr>
        <w:t xml:space="preserve">use, </w:t>
      </w:r>
      <w:r w:rsidR="00935B59" w:rsidRPr="00384F7A">
        <w:rPr>
          <w:rFonts w:ascii="Arial" w:hAnsi="Arial" w:cs="Arial"/>
          <w:sz w:val="24"/>
          <w:szCs w:val="24"/>
        </w:rPr>
        <w:t xml:space="preserve">double </w:t>
      </w:r>
      <w:r w:rsidRPr="00384F7A">
        <w:rPr>
          <w:rFonts w:ascii="Arial" w:hAnsi="Arial" w:cs="Arial"/>
          <w:sz w:val="24"/>
          <w:szCs w:val="24"/>
        </w:rPr>
        <w:t xml:space="preserve">claiming with international mitigation targets, and </w:t>
      </w:r>
      <w:r w:rsidR="00935B59" w:rsidRPr="00384F7A">
        <w:rPr>
          <w:rFonts w:ascii="Arial" w:hAnsi="Arial" w:cs="Arial"/>
          <w:sz w:val="24"/>
          <w:szCs w:val="24"/>
        </w:rPr>
        <w:t xml:space="preserve">double </w:t>
      </w:r>
      <w:r w:rsidRPr="00384F7A">
        <w:rPr>
          <w:rFonts w:ascii="Arial" w:hAnsi="Arial" w:cs="Arial"/>
          <w:sz w:val="24"/>
          <w:szCs w:val="24"/>
        </w:rPr>
        <w:t>claiming with domestic mitigation targets or emission trading systems)</w:t>
      </w:r>
      <w:r w:rsidRPr="00384F7A">
        <w:rPr>
          <w:rFonts w:ascii="Arial" w:hAnsi="Arial" w:cs="Arial"/>
          <w:b/>
          <w:sz w:val="24"/>
          <w:szCs w:val="24"/>
        </w:rPr>
        <w:t xml:space="preserve"> </w:t>
      </w:r>
    </w:p>
    <w:p w14:paraId="1A4EAC10" w14:textId="6E742AFE" w:rsidR="006E722E" w:rsidRPr="00384F7A" w:rsidRDefault="006E722E" w:rsidP="006E722E">
      <w:pPr>
        <w:pStyle w:val="ListParagraph"/>
        <w:numPr>
          <w:ilvl w:val="3"/>
          <w:numId w:val="12"/>
        </w:numPr>
        <w:ind w:left="1710" w:hanging="450"/>
        <w:rPr>
          <w:rFonts w:ascii="Arial" w:hAnsi="Arial" w:cs="Arial"/>
          <w:b/>
          <w:sz w:val="24"/>
          <w:szCs w:val="24"/>
        </w:rPr>
      </w:pPr>
      <w:r w:rsidRPr="00384F7A">
        <w:rPr>
          <w:rFonts w:ascii="Arial" w:hAnsi="Arial" w:cs="Arial"/>
          <w:b/>
          <w:sz w:val="24"/>
          <w:szCs w:val="24"/>
        </w:rPr>
        <w:t xml:space="preserve">Addressing non-permanence </w:t>
      </w:r>
      <w:r w:rsidRPr="00384F7A">
        <w:rPr>
          <w:rFonts w:ascii="Arial" w:hAnsi="Arial" w:cs="Arial"/>
          <w:sz w:val="24"/>
          <w:szCs w:val="24"/>
        </w:rPr>
        <w:t xml:space="preserve">(criteria: </w:t>
      </w:r>
      <w:r w:rsidR="00935B59" w:rsidRPr="00384F7A">
        <w:rPr>
          <w:rFonts w:ascii="Arial" w:hAnsi="Arial" w:cs="Arial"/>
          <w:sz w:val="24"/>
          <w:szCs w:val="24"/>
        </w:rPr>
        <w:t>s</w:t>
      </w:r>
      <w:r w:rsidRPr="00384F7A">
        <w:rPr>
          <w:rFonts w:ascii="Arial" w:hAnsi="Arial" w:cs="Arial"/>
          <w:sz w:val="24"/>
          <w:szCs w:val="24"/>
        </w:rPr>
        <w:t xml:space="preserve">ignificance of non-permanence risks and </w:t>
      </w:r>
      <w:r w:rsidR="00935B59" w:rsidRPr="00384F7A">
        <w:rPr>
          <w:rFonts w:ascii="Arial" w:hAnsi="Arial" w:cs="Arial"/>
          <w:sz w:val="24"/>
          <w:szCs w:val="24"/>
        </w:rPr>
        <w:t>r</w:t>
      </w:r>
      <w:r w:rsidRPr="00384F7A">
        <w:rPr>
          <w:rFonts w:ascii="Arial" w:hAnsi="Arial" w:cs="Arial"/>
          <w:sz w:val="24"/>
          <w:szCs w:val="24"/>
        </w:rPr>
        <w:t>obustness of approaches for addressing non-permanence risks)</w:t>
      </w:r>
    </w:p>
    <w:p w14:paraId="39D994BE" w14:textId="77777777" w:rsidR="006E722E" w:rsidRPr="00384F7A" w:rsidRDefault="006E722E" w:rsidP="006E722E">
      <w:pPr>
        <w:pStyle w:val="ListParagraph"/>
        <w:numPr>
          <w:ilvl w:val="3"/>
          <w:numId w:val="12"/>
        </w:numPr>
        <w:ind w:left="1710" w:hanging="450"/>
        <w:rPr>
          <w:rFonts w:ascii="Arial" w:hAnsi="Arial" w:cs="Arial"/>
          <w:b/>
          <w:sz w:val="24"/>
          <w:szCs w:val="24"/>
        </w:rPr>
      </w:pPr>
      <w:r w:rsidRPr="00384F7A">
        <w:rPr>
          <w:rFonts w:ascii="Arial" w:hAnsi="Arial" w:cs="Arial"/>
          <w:b/>
          <w:sz w:val="24"/>
          <w:szCs w:val="24"/>
        </w:rPr>
        <w:t xml:space="preserve">Facilitating transition towards net zero emissions </w:t>
      </w:r>
      <w:r w:rsidRPr="00384F7A">
        <w:rPr>
          <w:rFonts w:ascii="Arial" w:hAnsi="Arial" w:cs="Arial"/>
          <w:sz w:val="24"/>
          <w:szCs w:val="24"/>
        </w:rPr>
        <w:t xml:space="preserve">(criteria: enhancing adoption of low, zero or negative emissions technologies </w:t>
      </w:r>
      <w:r w:rsidRPr="00384F7A">
        <w:rPr>
          <w:rFonts w:ascii="Arial" w:hAnsi="Arial" w:cs="Arial"/>
          <w:sz w:val="24"/>
          <w:szCs w:val="24"/>
        </w:rPr>
        <w:lastRenderedPageBreak/>
        <w:t>and demonstration of host country commitment to the global temperature goals)</w:t>
      </w:r>
    </w:p>
    <w:p w14:paraId="0EEC833E" w14:textId="61E3BB12" w:rsidR="006E722E" w:rsidRPr="00384F7A" w:rsidRDefault="006E722E" w:rsidP="006E722E">
      <w:pPr>
        <w:pStyle w:val="ListParagraph"/>
        <w:numPr>
          <w:ilvl w:val="3"/>
          <w:numId w:val="12"/>
        </w:numPr>
        <w:ind w:left="1710" w:hanging="450"/>
        <w:rPr>
          <w:rFonts w:ascii="Arial" w:hAnsi="Arial" w:cs="Arial"/>
          <w:sz w:val="24"/>
          <w:szCs w:val="24"/>
        </w:rPr>
      </w:pPr>
      <w:r w:rsidRPr="00384F7A">
        <w:rPr>
          <w:rFonts w:ascii="Arial" w:hAnsi="Arial" w:cs="Arial"/>
          <w:b/>
          <w:sz w:val="24"/>
          <w:szCs w:val="24"/>
        </w:rPr>
        <w:t xml:space="preserve">Strong institutional arrangements and processes of the crediting program </w:t>
      </w:r>
      <w:r w:rsidRPr="00384F7A">
        <w:rPr>
          <w:rFonts w:ascii="Arial" w:hAnsi="Arial" w:cs="Arial"/>
          <w:sz w:val="24"/>
          <w:szCs w:val="24"/>
        </w:rPr>
        <w:t xml:space="preserve">(criteria: </w:t>
      </w:r>
      <w:r w:rsidR="00935B59" w:rsidRPr="00384F7A">
        <w:rPr>
          <w:rFonts w:ascii="Arial" w:hAnsi="Arial" w:cs="Arial"/>
          <w:sz w:val="24"/>
          <w:szCs w:val="24"/>
        </w:rPr>
        <w:t>o</w:t>
      </w:r>
      <w:r w:rsidRPr="00384F7A">
        <w:rPr>
          <w:rFonts w:ascii="Arial" w:hAnsi="Arial" w:cs="Arial"/>
          <w:sz w:val="24"/>
          <w:szCs w:val="24"/>
        </w:rPr>
        <w:t xml:space="preserve">verall program governance, robust third-party auditing, and transparency and stakeholder consultation) </w:t>
      </w:r>
    </w:p>
    <w:p w14:paraId="05226CFB" w14:textId="73B23B4E" w:rsidR="006E722E" w:rsidRPr="00384F7A" w:rsidRDefault="006E722E" w:rsidP="006E722E">
      <w:pPr>
        <w:pStyle w:val="ListParagraph"/>
        <w:numPr>
          <w:ilvl w:val="3"/>
          <w:numId w:val="12"/>
        </w:numPr>
        <w:ind w:left="1710" w:hanging="450"/>
        <w:rPr>
          <w:rFonts w:ascii="Arial" w:hAnsi="Arial" w:cs="Arial"/>
          <w:b/>
          <w:sz w:val="24"/>
          <w:szCs w:val="24"/>
        </w:rPr>
      </w:pPr>
      <w:r w:rsidRPr="00384F7A">
        <w:rPr>
          <w:rFonts w:ascii="Arial" w:hAnsi="Arial" w:cs="Arial"/>
          <w:b/>
          <w:sz w:val="24"/>
          <w:szCs w:val="24"/>
        </w:rPr>
        <w:t xml:space="preserve">Enhancing positive and preventing negative environmental and social impacts </w:t>
      </w:r>
      <w:r w:rsidRPr="00384F7A">
        <w:rPr>
          <w:rFonts w:ascii="Arial" w:hAnsi="Arial" w:cs="Arial"/>
          <w:sz w:val="24"/>
          <w:szCs w:val="24"/>
        </w:rPr>
        <w:t>(criteria:</w:t>
      </w:r>
      <w:r w:rsidR="00935B59" w:rsidRPr="00384F7A">
        <w:rPr>
          <w:rFonts w:ascii="Arial" w:hAnsi="Arial" w:cs="Arial"/>
          <w:sz w:val="24"/>
          <w:szCs w:val="24"/>
        </w:rPr>
        <w:t xml:space="preserve"> a</w:t>
      </w:r>
      <w:r w:rsidRPr="00384F7A">
        <w:rPr>
          <w:rFonts w:ascii="Arial" w:hAnsi="Arial" w:cs="Arial"/>
          <w:sz w:val="24"/>
          <w:szCs w:val="24"/>
        </w:rPr>
        <w:t xml:space="preserve">ssessment of environmental and social impacts, </w:t>
      </w:r>
      <w:r w:rsidR="00935B59" w:rsidRPr="00384F7A">
        <w:rPr>
          <w:rFonts w:ascii="Arial" w:hAnsi="Arial" w:cs="Arial"/>
          <w:sz w:val="24"/>
          <w:szCs w:val="24"/>
        </w:rPr>
        <w:t>c</w:t>
      </w:r>
      <w:r w:rsidRPr="00384F7A">
        <w:rPr>
          <w:rFonts w:ascii="Arial" w:hAnsi="Arial" w:cs="Arial"/>
          <w:sz w:val="24"/>
          <w:szCs w:val="24"/>
        </w:rPr>
        <w:t xml:space="preserve">ontribution to improving adaptation and resilience and </w:t>
      </w:r>
      <w:r w:rsidR="00935B59" w:rsidRPr="00384F7A">
        <w:rPr>
          <w:rFonts w:ascii="Arial" w:hAnsi="Arial" w:cs="Arial"/>
          <w:sz w:val="24"/>
          <w:szCs w:val="24"/>
        </w:rPr>
        <w:t>s</w:t>
      </w:r>
      <w:r w:rsidRPr="00384F7A">
        <w:rPr>
          <w:rFonts w:ascii="Arial" w:hAnsi="Arial" w:cs="Arial"/>
          <w:sz w:val="24"/>
          <w:szCs w:val="24"/>
        </w:rPr>
        <w:t>upporting the poorest and most vulnerable and affected by climate change</w:t>
      </w:r>
      <w:r w:rsidR="00935B59" w:rsidRPr="00384F7A">
        <w:rPr>
          <w:rFonts w:ascii="Arial" w:hAnsi="Arial" w:cs="Arial"/>
          <w:sz w:val="24"/>
          <w:szCs w:val="24"/>
        </w:rPr>
        <w:t>)</w:t>
      </w:r>
    </w:p>
    <w:p w14:paraId="5E86C47B" w14:textId="510E14D6" w:rsidR="00935B59" w:rsidRPr="00384F7A" w:rsidRDefault="00935B59" w:rsidP="00935B59">
      <w:pPr>
        <w:pStyle w:val="ListParagraph"/>
        <w:rPr>
          <w:rFonts w:ascii="Arial" w:hAnsi="Arial" w:cs="Arial"/>
          <w:sz w:val="24"/>
          <w:szCs w:val="24"/>
        </w:rPr>
      </w:pPr>
      <w:r w:rsidRPr="00384F7A">
        <w:rPr>
          <w:rFonts w:ascii="Arial" w:hAnsi="Arial" w:cs="Arial"/>
          <w:b/>
          <w:sz w:val="24"/>
          <w:szCs w:val="24"/>
        </w:rPr>
        <w:br/>
      </w:r>
      <w:r w:rsidRPr="00384F7A">
        <w:rPr>
          <w:rFonts w:ascii="Arial" w:hAnsi="Arial" w:cs="Arial"/>
          <w:sz w:val="24"/>
          <w:szCs w:val="24"/>
        </w:rPr>
        <w:t>Objectives 4-6 and their criteria add the most value to the AB 32 Criteria.</w:t>
      </w:r>
      <w:r w:rsidRPr="00384F7A">
        <w:rPr>
          <w:rFonts w:ascii="Arial" w:hAnsi="Arial" w:cs="Arial"/>
          <w:b/>
          <w:sz w:val="24"/>
          <w:szCs w:val="24"/>
        </w:rPr>
        <w:t xml:space="preserve"> </w:t>
      </w:r>
      <w:r w:rsidR="00D7747A" w:rsidRPr="00384F7A">
        <w:rPr>
          <w:rFonts w:ascii="Arial" w:hAnsi="Arial" w:cs="Arial"/>
          <w:sz w:val="24"/>
          <w:szCs w:val="24"/>
        </w:rPr>
        <w:t xml:space="preserve">In advance of the guide’s release, </w:t>
      </w:r>
      <w:r w:rsidRPr="00384F7A">
        <w:rPr>
          <w:rFonts w:ascii="Arial" w:hAnsi="Arial" w:cs="Arial"/>
          <w:sz w:val="24"/>
          <w:szCs w:val="24"/>
        </w:rPr>
        <w:t xml:space="preserve">details can be found </w:t>
      </w:r>
      <w:hyperlink r:id="rId13" w:history="1">
        <w:r w:rsidRPr="00384F7A">
          <w:rPr>
            <w:rStyle w:val="Hyperlink"/>
            <w:rFonts w:ascii="Arial" w:hAnsi="Arial" w:cs="Arial"/>
            <w:sz w:val="24"/>
            <w:szCs w:val="24"/>
          </w:rPr>
          <w:t>here</w:t>
        </w:r>
      </w:hyperlink>
      <w:r w:rsidR="00D7747A" w:rsidRPr="00384F7A">
        <w:rPr>
          <w:rFonts w:ascii="Arial" w:hAnsi="Arial" w:cs="Arial"/>
          <w:sz w:val="24"/>
          <w:szCs w:val="24"/>
        </w:rPr>
        <w:t xml:space="preserve"> </w:t>
      </w:r>
      <w:r w:rsidRPr="00384F7A">
        <w:rPr>
          <w:rFonts w:ascii="Arial" w:hAnsi="Arial" w:cs="Arial"/>
          <w:sz w:val="24"/>
          <w:szCs w:val="24"/>
        </w:rPr>
        <w:t>t</w:t>
      </w:r>
      <w:r w:rsidR="00D7747A" w:rsidRPr="00384F7A">
        <w:rPr>
          <w:rFonts w:ascii="Arial" w:hAnsi="Arial" w:cs="Arial"/>
          <w:sz w:val="24"/>
          <w:szCs w:val="24"/>
        </w:rPr>
        <w:t xml:space="preserve">o serve as high-level guidance for current and potential carbon credit </w:t>
      </w:r>
      <w:r w:rsidRPr="00384F7A">
        <w:rPr>
          <w:rFonts w:ascii="Arial" w:hAnsi="Arial" w:cs="Arial"/>
          <w:sz w:val="24"/>
          <w:szCs w:val="24"/>
        </w:rPr>
        <w:t xml:space="preserve">generators and </w:t>
      </w:r>
      <w:r w:rsidR="00D7747A" w:rsidRPr="00384F7A">
        <w:rPr>
          <w:rFonts w:ascii="Arial" w:hAnsi="Arial" w:cs="Arial"/>
          <w:sz w:val="24"/>
          <w:szCs w:val="24"/>
        </w:rPr>
        <w:t xml:space="preserve">buyers. </w:t>
      </w:r>
    </w:p>
    <w:p w14:paraId="375ADB31" w14:textId="77777777" w:rsidR="00935B59" w:rsidRPr="00384F7A" w:rsidRDefault="00935B59" w:rsidP="00935B59">
      <w:pPr>
        <w:pStyle w:val="ListParagraph"/>
        <w:rPr>
          <w:rFonts w:ascii="Arial" w:hAnsi="Arial" w:cs="Arial"/>
          <w:b/>
          <w:sz w:val="24"/>
          <w:szCs w:val="24"/>
        </w:rPr>
      </w:pPr>
    </w:p>
    <w:p w14:paraId="1E27DD48" w14:textId="4BFB42FC" w:rsidR="00F54BF5" w:rsidRPr="00384F7A" w:rsidRDefault="00355913" w:rsidP="00FA19F5">
      <w:pPr>
        <w:pStyle w:val="ListParagraph"/>
        <w:numPr>
          <w:ilvl w:val="0"/>
          <w:numId w:val="12"/>
        </w:numPr>
        <w:rPr>
          <w:rFonts w:ascii="Arial" w:hAnsi="Arial" w:cs="Arial"/>
          <w:sz w:val="24"/>
          <w:szCs w:val="24"/>
        </w:rPr>
      </w:pPr>
      <w:r>
        <w:rPr>
          <w:rFonts w:ascii="Arial" w:hAnsi="Arial" w:cs="Arial"/>
          <w:sz w:val="24"/>
          <w:szCs w:val="24"/>
        </w:rPr>
        <w:t>Insurance Buffers &amp;</w:t>
      </w:r>
      <w:r w:rsidR="00D00365" w:rsidRPr="00384F7A">
        <w:rPr>
          <w:rFonts w:ascii="Arial" w:hAnsi="Arial" w:cs="Arial"/>
          <w:sz w:val="24"/>
          <w:szCs w:val="24"/>
        </w:rPr>
        <w:t xml:space="preserve"> Jurisdictional Governance</w:t>
      </w:r>
      <w:r w:rsidR="003D51D7" w:rsidRPr="00384F7A">
        <w:rPr>
          <w:rFonts w:ascii="Arial" w:hAnsi="Arial" w:cs="Arial"/>
          <w:sz w:val="24"/>
          <w:szCs w:val="24"/>
        </w:rPr>
        <w:t>: A</w:t>
      </w:r>
      <w:r w:rsidR="00993493" w:rsidRPr="00384F7A">
        <w:rPr>
          <w:rFonts w:ascii="Arial" w:hAnsi="Arial" w:cs="Arial"/>
          <w:sz w:val="24"/>
          <w:szCs w:val="24"/>
        </w:rPr>
        <w:t xml:space="preserve">s </w:t>
      </w:r>
      <w:r w:rsidR="00935B59" w:rsidRPr="00384F7A">
        <w:rPr>
          <w:rFonts w:ascii="Arial" w:hAnsi="Arial" w:cs="Arial"/>
          <w:sz w:val="24"/>
          <w:szCs w:val="24"/>
        </w:rPr>
        <w:t xml:space="preserve">members of </w:t>
      </w:r>
      <w:r w:rsidR="00C864DE" w:rsidRPr="00384F7A">
        <w:rPr>
          <w:rFonts w:ascii="Arial" w:hAnsi="Arial" w:cs="Arial"/>
          <w:sz w:val="24"/>
          <w:szCs w:val="24"/>
        </w:rPr>
        <w:t>the task force know well</w:t>
      </w:r>
      <w:r w:rsidR="00E74454" w:rsidRPr="00384F7A">
        <w:rPr>
          <w:rFonts w:ascii="Arial" w:hAnsi="Arial" w:cs="Arial"/>
          <w:sz w:val="24"/>
          <w:szCs w:val="24"/>
        </w:rPr>
        <w:t xml:space="preserve">, </w:t>
      </w:r>
      <w:r w:rsidR="00993493" w:rsidRPr="00384F7A">
        <w:rPr>
          <w:rFonts w:ascii="Arial" w:hAnsi="Arial" w:cs="Arial"/>
          <w:sz w:val="24"/>
          <w:szCs w:val="24"/>
        </w:rPr>
        <w:t xml:space="preserve">selling </w:t>
      </w:r>
      <w:r w:rsidR="00BC0EFC" w:rsidRPr="00384F7A">
        <w:rPr>
          <w:rFonts w:ascii="Arial" w:hAnsi="Arial" w:cs="Arial"/>
          <w:sz w:val="24"/>
          <w:szCs w:val="24"/>
        </w:rPr>
        <w:t xml:space="preserve">GHG credits in an agricultural offset program requires a high level of certainty and </w:t>
      </w:r>
      <w:r w:rsidR="00FD1A41" w:rsidRPr="00384F7A">
        <w:rPr>
          <w:rFonts w:ascii="Arial" w:hAnsi="Arial" w:cs="Arial"/>
          <w:sz w:val="24"/>
          <w:szCs w:val="24"/>
        </w:rPr>
        <w:t xml:space="preserve">a robust </w:t>
      </w:r>
      <w:r w:rsidR="00BC0EFC" w:rsidRPr="00384F7A">
        <w:rPr>
          <w:rFonts w:ascii="Arial" w:hAnsi="Arial" w:cs="Arial"/>
          <w:sz w:val="24"/>
          <w:szCs w:val="24"/>
        </w:rPr>
        <w:t>risk management account</w:t>
      </w:r>
      <w:r w:rsidR="00EE3918" w:rsidRPr="00384F7A">
        <w:rPr>
          <w:rFonts w:ascii="Arial" w:hAnsi="Arial" w:cs="Arial"/>
          <w:sz w:val="24"/>
          <w:szCs w:val="24"/>
        </w:rPr>
        <w:t>ing</w:t>
      </w:r>
      <w:r w:rsidR="00BC0EFC" w:rsidRPr="00384F7A">
        <w:rPr>
          <w:rFonts w:ascii="Arial" w:hAnsi="Arial" w:cs="Arial"/>
          <w:sz w:val="24"/>
          <w:szCs w:val="24"/>
        </w:rPr>
        <w:t xml:space="preserve"> system</w:t>
      </w:r>
      <w:r w:rsidR="00935B59" w:rsidRPr="00384F7A">
        <w:rPr>
          <w:rFonts w:ascii="Arial" w:hAnsi="Arial" w:cs="Arial"/>
          <w:sz w:val="24"/>
          <w:szCs w:val="24"/>
        </w:rPr>
        <w:t>,</w:t>
      </w:r>
      <w:r w:rsidR="00BC0EFC" w:rsidRPr="00384F7A">
        <w:rPr>
          <w:rFonts w:ascii="Arial" w:hAnsi="Arial" w:cs="Arial"/>
          <w:sz w:val="24"/>
          <w:szCs w:val="24"/>
        </w:rPr>
        <w:t xml:space="preserve"> as </w:t>
      </w:r>
      <w:r w:rsidR="00FD1A41" w:rsidRPr="00384F7A">
        <w:rPr>
          <w:rFonts w:ascii="Arial" w:hAnsi="Arial" w:cs="Arial"/>
          <w:sz w:val="24"/>
          <w:szCs w:val="24"/>
        </w:rPr>
        <w:t>offset</w:t>
      </w:r>
      <w:r w:rsidR="00BC0EFC" w:rsidRPr="00384F7A">
        <w:rPr>
          <w:rFonts w:ascii="Arial" w:hAnsi="Arial" w:cs="Arial"/>
          <w:sz w:val="24"/>
          <w:szCs w:val="24"/>
        </w:rPr>
        <w:t xml:space="preserve"> sales result in GHG emissions to the atmosphere</w:t>
      </w:r>
      <w:r w:rsidR="00FD1A41" w:rsidRPr="00384F7A">
        <w:rPr>
          <w:rFonts w:ascii="Arial" w:hAnsi="Arial" w:cs="Arial"/>
          <w:sz w:val="24"/>
          <w:szCs w:val="24"/>
        </w:rPr>
        <w:t xml:space="preserve"> elsewhere</w:t>
      </w:r>
      <w:r w:rsidR="00E9368E" w:rsidRPr="00384F7A">
        <w:rPr>
          <w:rFonts w:ascii="Arial" w:hAnsi="Arial" w:cs="Arial"/>
          <w:sz w:val="24"/>
          <w:szCs w:val="24"/>
        </w:rPr>
        <w:t xml:space="preserve"> and many credits are reversible</w:t>
      </w:r>
      <w:r w:rsidR="00BC0EFC" w:rsidRPr="00384F7A">
        <w:rPr>
          <w:rFonts w:ascii="Arial" w:hAnsi="Arial" w:cs="Arial"/>
          <w:sz w:val="24"/>
          <w:szCs w:val="24"/>
        </w:rPr>
        <w:t xml:space="preserve">. Regional </w:t>
      </w:r>
      <w:r w:rsidR="004D69F1" w:rsidRPr="00384F7A">
        <w:rPr>
          <w:rFonts w:ascii="Arial" w:hAnsi="Arial" w:cs="Arial"/>
          <w:sz w:val="24"/>
          <w:szCs w:val="24"/>
        </w:rPr>
        <w:t xml:space="preserve">project aggregation, and associated larger scale monitoring, reporting and verification (MRV) activities </w:t>
      </w:r>
      <w:r w:rsidR="00BC0EFC" w:rsidRPr="00384F7A">
        <w:rPr>
          <w:rFonts w:ascii="Arial" w:hAnsi="Arial" w:cs="Arial"/>
          <w:sz w:val="24"/>
          <w:szCs w:val="24"/>
        </w:rPr>
        <w:t xml:space="preserve">will be required to ensure that there are </w:t>
      </w:r>
      <w:r w:rsidR="00A2304C" w:rsidRPr="00384F7A">
        <w:rPr>
          <w:rFonts w:ascii="Arial" w:hAnsi="Arial" w:cs="Arial"/>
          <w:sz w:val="24"/>
          <w:szCs w:val="24"/>
        </w:rPr>
        <w:t xml:space="preserve">real </w:t>
      </w:r>
      <w:r w:rsidR="00BC0EFC" w:rsidRPr="00384F7A">
        <w:rPr>
          <w:rFonts w:ascii="Arial" w:hAnsi="Arial" w:cs="Arial"/>
          <w:sz w:val="24"/>
          <w:szCs w:val="24"/>
        </w:rPr>
        <w:t>net changes in carbon stocks and reductions in other GHG emissions</w:t>
      </w:r>
      <w:r w:rsidR="00A2304C" w:rsidRPr="00384F7A">
        <w:rPr>
          <w:rFonts w:ascii="Arial" w:hAnsi="Arial" w:cs="Arial"/>
          <w:sz w:val="24"/>
          <w:szCs w:val="24"/>
        </w:rPr>
        <w:t xml:space="preserve">. </w:t>
      </w:r>
      <w:r w:rsidR="00A7337E" w:rsidRPr="00384F7A">
        <w:rPr>
          <w:rFonts w:ascii="Arial" w:hAnsi="Arial" w:cs="Arial"/>
          <w:sz w:val="24"/>
          <w:szCs w:val="24"/>
        </w:rPr>
        <w:t>This</w:t>
      </w:r>
      <w:r w:rsidR="00065520" w:rsidRPr="00384F7A">
        <w:rPr>
          <w:rFonts w:ascii="Arial" w:hAnsi="Arial" w:cs="Arial"/>
          <w:sz w:val="24"/>
          <w:szCs w:val="24"/>
        </w:rPr>
        <w:t xml:space="preserve"> approach</w:t>
      </w:r>
      <w:r w:rsidR="00A7337E" w:rsidRPr="00384F7A">
        <w:rPr>
          <w:rFonts w:ascii="Arial" w:hAnsi="Arial" w:cs="Arial"/>
          <w:sz w:val="24"/>
          <w:szCs w:val="24"/>
        </w:rPr>
        <w:t xml:space="preserve"> relates to recommendations on page 25 </w:t>
      </w:r>
      <w:r w:rsidR="003D51D7" w:rsidRPr="00384F7A">
        <w:rPr>
          <w:rFonts w:ascii="Arial" w:hAnsi="Arial" w:cs="Arial"/>
          <w:sz w:val="24"/>
          <w:szCs w:val="24"/>
        </w:rPr>
        <w:t>and 112</w:t>
      </w:r>
      <w:r w:rsidR="006E722E" w:rsidRPr="00384F7A">
        <w:rPr>
          <w:rStyle w:val="FootnoteReference"/>
          <w:rFonts w:ascii="Arial" w:hAnsi="Arial" w:cs="Arial"/>
          <w:sz w:val="24"/>
          <w:szCs w:val="24"/>
        </w:rPr>
        <w:footnoteReference w:id="1"/>
      </w:r>
      <w:r w:rsidR="003D51D7" w:rsidRPr="00384F7A">
        <w:rPr>
          <w:rFonts w:ascii="Arial" w:hAnsi="Arial" w:cs="Arial"/>
          <w:sz w:val="24"/>
          <w:szCs w:val="24"/>
        </w:rPr>
        <w:t xml:space="preserve"> </w:t>
      </w:r>
      <w:r w:rsidR="00A7337E" w:rsidRPr="00384F7A">
        <w:rPr>
          <w:rFonts w:ascii="Arial" w:hAnsi="Arial" w:cs="Arial"/>
          <w:sz w:val="24"/>
          <w:szCs w:val="24"/>
        </w:rPr>
        <w:t>for aggregation of project participants, which discusses efficiencies of scale</w:t>
      </w:r>
      <w:r w:rsidR="003D51D7" w:rsidRPr="00384F7A">
        <w:rPr>
          <w:rFonts w:ascii="Arial" w:hAnsi="Arial" w:cs="Arial"/>
          <w:sz w:val="24"/>
          <w:szCs w:val="24"/>
        </w:rPr>
        <w:t xml:space="preserve">. However, it does not address what EDF also </w:t>
      </w:r>
      <w:r w:rsidR="006202BE" w:rsidRPr="00384F7A">
        <w:rPr>
          <w:rFonts w:ascii="Arial" w:hAnsi="Arial" w:cs="Arial"/>
          <w:sz w:val="24"/>
          <w:szCs w:val="24"/>
        </w:rPr>
        <w:t>prefers</w:t>
      </w:r>
      <w:r w:rsidR="003D51D7" w:rsidRPr="00384F7A">
        <w:rPr>
          <w:rFonts w:ascii="Arial" w:hAnsi="Arial" w:cs="Arial"/>
          <w:sz w:val="24"/>
          <w:szCs w:val="24"/>
        </w:rPr>
        <w:t xml:space="preserve"> about a jurisdictional approach, which is ri</w:t>
      </w:r>
      <w:r w:rsidR="00A7337E" w:rsidRPr="00384F7A">
        <w:rPr>
          <w:rFonts w:ascii="Arial" w:hAnsi="Arial" w:cs="Arial"/>
          <w:sz w:val="24"/>
          <w:szCs w:val="24"/>
        </w:rPr>
        <w:t xml:space="preserve">sk </w:t>
      </w:r>
      <w:r w:rsidR="003D51D7" w:rsidRPr="00384F7A">
        <w:rPr>
          <w:rFonts w:ascii="Arial" w:hAnsi="Arial" w:cs="Arial"/>
          <w:sz w:val="24"/>
          <w:szCs w:val="24"/>
        </w:rPr>
        <w:t xml:space="preserve">diversification in pursuit of EDF’s quality assurance objectives. </w:t>
      </w:r>
      <w:r w:rsidR="00A7337E" w:rsidRPr="00384F7A">
        <w:rPr>
          <w:rFonts w:ascii="Arial" w:hAnsi="Arial" w:cs="Arial"/>
          <w:sz w:val="24"/>
          <w:szCs w:val="24"/>
        </w:rPr>
        <w:t xml:space="preserve"> </w:t>
      </w:r>
      <w:r w:rsidR="004D69F1" w:rsidRPr="00384F7A">
        <w:rPr>
          <w:rFonts w:ascii="Arial" w:hAnsi="Arial" w:cs="Arial"/>
          <w:sz w:val="24"/>
          <w:szCs w:val="24"/>
        </w:rPr>
        <w:t xml:space="preserve">We anticipate that this approach will also benefit enrollment by reducing barriers to entry and transaction costs for credit suppliers. </w:t>
      </w:r>
      <w:r>
        <w:rPr>
          <w:rFonts w:ascii="Arial" w:hAnsi="Arial" w:cs="Arial"/>
          <w:sz w:val="24"/>
          <w:szCs w:val="24"/>
        </w:rPr>
        <w:t xml:space="preserve">As an example, subgroup C/D should incorporate buffer insurance mechanisms similar to the Forestry subgroup, discussed on page 90. </w:t>
      </w:r>
      <w:r w:rsidR="004D69F1" w:rsidRPr="00384F7A">
        <w:rPr>
          <w:rFonts w:ascii="Arial" w:hAnsi="Arial" w:cs="Arial"/>
          <w:sz w:val="24"/>
          <w:szCs w:val="24"/>
        </w:rPr>
        <w:br/>
      </w:r>
      <w:r w:rsidR="0095150C" w:rsidRPr="00384F7A">
        <w:rPr>
          <w:rFonts w:ascii="Arial" w:hAnsi="Arial" w:cs="Arial"/>
          <w:sz w:val="24"/>
          <w:szCs w:val="24"/>
        </w:rPr>
        <w:br/>
      </w:r>
    </w:p>
    <w:p w14:paraId="26BFF518" w14:textId="50F4FF28" w:rsidR="007A6906" w:rsidRPr="00384F7A" w:rsidRDefault="007A6906" w:rsidP="00522BC6">
      <w:pPr>
        <w:rPr>
          <w:rFonts w:ascii="Arial" w:hAnsi="Arial" w:cs="Arial"/>
          <w:b/>
          <w:sz w:val="24"/>
          <w:szCs w:val="24"/>
        </w:rPr>
      </w:pPr>
      <w:r w:rsidRPr="00384F7A">
        <w:rPr>
          <w:rFonts w:ascii="Arial" w:hAnsi="Arial" w:cs="Arial"/>
          <w:b/>
          <w:sz w:val="24"/>
          <w:szCs w:val="24"/>
        </w:rPr>
        <w:t xml:space="preserve">Detailed Comments </w:t>
      </w:r>
      <w:r w:rsidR="00522BC6" w:rsidRPr="00384F7A">
        <w:rPr>
          <w:rFonts w:ascii="Arial" w:hAnsi="Arial" w:cs="Arial"/>
          <w:b/>
          <w:sz w:val="24"/>
          <w:szCs w:val="24"/>
        </w:rPr>
        <w:t xml:space="preserve">– </w:t>
      </w:r>
    </w:p>
    <w:p w14:paraId="45CDF9E1" w14:textId="737C3985" w:rsidR="007A6906" w:rsidRPr="00384F7A" w:rsidRDefault="007A6906" w:rsidP="007A6906">
      <w:pPr>
        <w:rPr>
          <w:rFonts w:ascii="Arial" w:hAnsi="Arial" w:cs="Arial"/>
          <w:b/>
          <w:sz w:val="24"/>
          <w:szCs w:val="24"/>
        </w:rPr>
      </w:pPr>
    </w:p>
    <w:p w14:paraId="34487BC4" w14:textId="5F629CA1" w:rsidR="00B80E66" w:rsidRPr="00106A56" w:rsidRDefault="00B80E66" w:rsidP="00A7337E">
      <w:pPr>
        <w:rPr>
          <w:rFonts w:ascii="Arial" w:hAnsi="Arial" w:cs="Arial"/>
          <w:sz w:val="20"/>
          <w:szCs w:val="24"/>
        </w:rPr>
      </w:pPr>
      <w:r w:rsidRPr="00384F7A">
        <w:rPr>
          <w:rFonts w:ascii="Arial" w:hAnsi="Arial" w:cs="Arial"/>
          <w:b/>
          <w:sz w:val="24"/>
          <w:szCs w:val="24"/>
        </w:rPr>
        <w:t>Page 24</w:t>
      </w:r>
      <w:r w:rsidR="00384F7A" w:rsidRPr="00384F7A">
        <w:rPr>
          <w:rFonts w:ascii="Arial" w:hAnsi="Arial" w:cs="Arial"/>
          <w:b/>
          <w:sz w:val="24"/>
          <w:szCs w:val="24"/>
        </w:rPr>
        <w:t>:</w:t>
      </w:r>
      <w:r w:rsidRPr="00384F7A">
        <w:rPr>
          <w:rFonts w:ascii="Arial" w:hAnsi="Arial" w:cs="Arial"/>
          <w:b/>
          <w:sz w:val="24"/>
          <w:szCs w:val="24"/>
        </w:rPr>
        <w:t xml:space="preserve"> </w:t>
      </w:r>
      <w:r w:rsidRPr="00106A56">
        <w:rPr>
          <w:rFonts w:ascii="Arial" w:hAnsi="Arial" w:cs="Arial"/>
          <w:sz w:val="20"/>
          <w:szCs w:val="24"/>
        </w:rPr>
        <w:t>Air Quality and Environmental Justice Considerations</w:t>
      </w:r>
      <w:r w:rsidR="00A7337E" w:rsidRPr="00106A56">
        <w:rPr>
          <w:rFonts w:ascii="Arial" w:hAnsi="Arial" w:cs="Arial"/>
          <w:sz w:val="20"/>
          <w:szCs w:val="24"/>
        </w:rPr>
        <w:t xml:space="preserve"> AND </w:t>
      </w:r>
      <w:r w:rsidR="00384F7A" w:rsidRPr="00384F7A">
        <w:rPr>
          <w:rFonts w:ascii="Arial" w:hAnsi="Arial" w:cs="Arial"/>
          <w:sz w:val="24"/>
          <w:szCs w:val="24"/>
        </w:rPr>
        <w:br/>
      </w:r>
      <w:r w:rsidR="00A7337E" w:rsidRPr="00384F7A">
        <w:rPr>
          <w:rFonts w:ascii="Arial" w:hAnsi="Arial" w:cs="Arial"/>
          <w:b/>
          <w:sz w:val="24"/>
          <w:szCs w:val="24"/>
        </w:rPr>
        <w:t>Page 35</w:t>
      </w:r>
      <w:r w:rsidR="00384F7A" w:rsidRPr="00384F7A">
        <w:rPr>
          <w:rFonts w:ascii="Arial" w:hAnsi="Arial" w:cs="Arial"/>
          <w:b/>
          <w:sz w:val="24"/>
          <w:szCs w:val="24"/>
        </w:rPr>
        <w:t>:</w:t>
      </w:r>
      <w:r w:rsidR="00A7337E" w:rsidRPr="00384F7A">
        <w:rPr>
          <w:rFonts w:ascii="Arial" w:hAnsi="Arial" w:cs="Arial"/>
          <w:sz w:val="24"/>
          <w:szCs w:val="24"/>
        </w:rPr>
        <w:t xml:space="preserve"> </w:t>
      </w:r>
      <w:r w:rsidR="00A7337E" w:rsidRPr="00106A56">
        <w:rPr>
          <w:rFonts w:ascii="Arial" w:hAnsi="Arial" w:cs="Arial"/>
          <w:sz w:val="20"/>
          <w:szCs w:val="24"/>
        </w:rPr>
        <w:t>Disadvantaged communities, Native American or tribal lands, and rural and</w:t>
      </w:r>
      <w:r w:rsidR="008D7DD2">
        <w:rPr>
          <w:rFonts w:ascii="Arial" w:hAnsi="Arial" w:cs="Arial"/>
          <w:sz w:val="20"/>
          <w:szCs w:val="24"/>
        </w:rPr>
        <w:t xml:space="preserve"> </w:t>
      </w:r>
      <w:r w:rsidR="00A7337E" w:rsidRPr="00106A56">
        <w:rPr>
          <w:rFonts w:ascii="Arial" w:hAnsi="Arial" w:cs="Arial"/>
          <w:sz w:val="20"/>
          <w:szCs w:val="24"/>
        </w:rPr>
        <w:t>agricultural regions</w:t>
      </w:r>
      <w:r w:rsidR="00881883" w:rsidRPr="00106A56">
        <w:rPr>
          <w:rFonts w:ascii="Arial" w:hAnsi="Arial" w:cs="Arial"/>
          <w:sz w:val="20"/>
          <w:szCs w:val="24"/>
        </w:rPr>
        <w:t>.</w:t>
      </w:r>
    </w:p>
    <w:p w14:paraId="0510D4BC" w14:textId="77777777" w:rsidR="00B80E66" w:rsidRPr="00384F7A" w:rsidRDefault="00B80E66" w:rsidP="00B80E66">
      <w:pPr>
        <w:rPr>
          <w:rFonts w:ascii="Arial" w:hAnsi="Arial" w:cs="Arial"/>
          <w:sz w:val="24"/>
          <w:szCs w:val="24"/>
        </w:rPr>
      </w:pPr>
    </w:p>
    <w:p w14:paraId="0F3C8F9D" w14:textId="1A91A63C" w:rsidR="006202BE" w:rsidRPr="00384F7A" w:rsidRDefault="00B80E66" w:rsidP="00B80E66">
      <w:pPr>
        <w:rPr>
          <w:rFonts w:ascii="Arial" w:hAnsi="Arial" w:cs="Arial"/>
          <w:i/>
          <w:sz w:val="24"/>
          <w:szCs w:val="24"/>
        </w:rPr>
      </w:pPr>
      <w:r w:rsidRPr="00384F7A">
        <w:rPr>
          <w:rFonts w:ascii="Arial" w:hAnsi="Arial" w:cs="Arial"/>
          <w:i/>
          <w:sz w:val="24"/>
          <w:szCs w:val="24"/>
        </w:rPr>
        <w:t xml:space="preserve">Comment: </w:t>
      </w:r>
      <w:r w:rsidRPr="00384F7A">
        <w:rPr>
          <w:rFonts w:ascii="Arial" w:hAnsi="Arial" w:cs="Arial"/>
          <w:i/>
          <w:sz w:val="24"/>
          <w:szCs w:val="24"/>
        </w:rPr>
        <w:br/>
        <w:t>In addition to air quality, issues with odor</w:t>
      </w:r>
      <w:r w:rsidR="00EB1D28" w:rsidRPr="00384F7A">
        <w:rPr>
          <w:rFonts w:ascii="Arial" w:hAnsi="Arial" w:cs="Arial"/>
          <w:i/>
          <w:sz w:val="24"/>
          <w:szCs w:val="24"/>
        </w:rPr>
        <w:t xml:space="preserve"> and</w:t>
      </w:r>
      <w:r w:rsidRPr="00384F7A">
        <w:rPr>
          <w:rFonts w:ascii="Arial" w:hAnsi="Arial" w:cs="Arial"/>
          <w:i/>
          <w:sz w:val="24"/>
          <w:szCs w:val="24"/>
        </w:rPr>
        <w:t xml:space="preserve"> water quality are also of great concern to communities </w:t>
      </w:r>
      <w:r w:rsidR="00EB1D28" w:rsidRPr="00384F7A">
        <w:rPr>
          <w:rFonts w:ascii="Arial" w:hAnsi="Arial" w:cs="Arial"/>
          <w:i/>
          <w:sz w:val="24"/>
          <w:szCs w:val="24"/>
        </w:rPr>
        <w:t>with</w:t>
      </w:r>
      <w:r w:rsidR="00F77E79" w:rsidRPr="00384F7A">
        <w:rPr>
          <w:rFonts w:ascii="Arial" w:hAnsi="Arial" w:cs="Arial"/>
          <w:i/>
          <w:sz w:val="24"/>
          <w:szCs w:val="24"/>
        </w:rPr>
        <w:t xml:space="preserve"> dairies and other</w:t>
      </w:r>
      <w:r w:rsidR="00EB1D28" w:rsidRPr="00384F7A">
        <w:rPr>
          <w:rFonts w:ascii="Arial" w:hAnsi="Arial" w:cs="Arial"/>
          <w:i/>
          <w:sz w:val="24"/>
          <w:szCs w:val="24"/>
        </w:rPr>
        <w:t xml:space="preserve"> </w:t>
      </w:r>
      <w:r w:rsidR="00065520" w:rsidRPr="00384F7A">
        <w:rPr>
          <w:rFonts w:ascii="Arial" w:hAnsi="Arial" w:cs="Arial"/>
          <w:i/>
          <w:sz w:val="24"/>
          <w:szCs w:val="24"/>
        </w:rPr>
        <w:t>highly concentrated</w:t>
      </w:r>
      <w:r w:rsidRPr="00384F7A">
        <w:rPr>
          <w:rFonts w:ascii="Arial" w:hAnsi="Arial" w:cs="Arial"/>
          <w:i/>
          <w:sz w:val="24"/>
          <w:szCs w:val="24"/>
        </w:rPr>
        <w:t xml:space="preserve"> animal operations as neighbors. </w:t>
      </w:r>
      <w:r w:rsidR="00F77E79" w:rsidRPr="00384F7A">
        <w:rPr>
          <w:rFonts w:ascii="Arial" w:hAnsi="Arial" w:cs="Arial"/>
          <w:i/>
          <w:sz w:val="24"/>
          <w:szCs w:val="24"/>
        </w:rPr>
        <w:t>The</w:t>
      </w:r>
      <w:r w:rsidRPr="00384F7A">
        <w:rPr>
          <w:rFonts w:ascii="Arial" w:hAnsi="Arial" w:cs="Arial"/>
          <w:i/>
          <w:sz w:val="24"/>
          <w:szCs w:val="24"/>
        </w:rPr>
        <w:t xml:space="preserve"> 2017 AB 32 E</w:t>
      </w:r>
      <w:r w:rsidR="00F77E79" w:rsidRPr="00384F7A">
        <w:rPr>
          <w:rFonts w:ascii="Arial" w:hAnsi="Arial" w:cs="Arial"/>
          <w:i/>
          <w:sz w:val="24"/>
          <w:szCs w:val="24"/>
        </w:rPr>
        <w:t>nvironmental Justice Advisory Committee</w:t>
      </w:r>
      <w:r w:rsidRPr="00384F7A">
        <w:rPr>
          <w:rFonts w:ascii="Arial" w:hAnsi="Arial" w:cs="Arial"/>
          <w:i/>
          <w:sz w:val="24"/>
          <w:szCs w:val="24"/>
        </w:rPr>
        <w:t xml:space="preserve"> recommendations includ</w:t>
      </w:r>
      <w:r w:rsidR="00F77E79" w:rsidRPr="00384F7A">
        <w:rPr>
          <w:rFonts w:ascii="Arial" w:hAnsi="Arial" w:cs="Arial"/>
          <w:i/>
          <w:sz w:val="24"/>
          <w:szCs w:val="24"/>
        </w:rPr>
        <w:t>e</w:t>
      </w:r>
      <w:r w:rsidRPr="00384F7A">
        <w:rPr>
          <w:rFonts w:ascii="Arial" w:hAnsi="Arial" w:cs="Arial"/>
          <w:i/>
          <w:sz w:val="24"/>
          <w:szCs w:val="24"/>
        </w:rPr>
        <w:t xml:space="preserve"> guidance that reductions associated with offset projects should be located in</w:t>
      </w:r>
      <w:r w:rsidR="00096F70" w:rsidRPr="00384F7A">
        <w:rPr>
          <w:rFonts w:ascii="Arial" w:hAnsi="Arial" w:cs="Arial"/>
          <w:i/>
          <w:sz w:val="24"/>
          <w:szCs w:val="24"/>
        </w:rPr>
        <w:t xml:space="preserve"> </w:t>
      </w:r>
      <w:r w:rsidRPr="00384F7A">
        <w:rPr>
          <w:rFonts w:ascii="Arial" w:hAnsi="Arial" w:cs="Arial"/>
          <w:i/>
          <w:sz w:val="24"/>
          <w:szCs w:val="24"/>
        </w:rPr>
        <w:t xml:space="preserve">those communities </w:t>
      </w:r>
      <w:r w:rsidR="00096F70" w:rsidRPr="00384F7A">
        <w:rPr>
          <w:rFonts w:ascii="Arial" w:hAnsi="Arial" w:cs="Arial"/>
          <w:i/>
          <w:sz w:val="24"/>
          <w:szCs w:val="24"/>
        </w:rPr>
        <w:t xml:space="preserve">in proximity to </w:t>
      </w:r>
      <w:r w:rsidRPr="00384F7A">
        <w:rPr>
          <w:rFonts w:ascii="Arial" w:hAnsi="Arial" w:cs="Arial"/>
          <w:i/>
          <w:sz w:val="24"/>
          <w:szCs w:val="24"/>
        </w:rPr>
        <w:t xml:space="preserve">the emissions, and that investments related to the </w:t>
      </w:r>
      <w:r w:rsidRPr="00384F7A">
        <w:rPr>
          <w:rFonts w:ascii="Arial" w:hAnsi="Arial" w:cs="Arial"/>
          <w:i/>
          <w:sz w:val="24"/>
          <w:szCs w:val="24"/>
        </w:rPr>
        <w:lastRenderedPageBreak/>
        <w:t xml:space="preserve">development of offset projects should occur in those communities. To expand on those recommendations, it is our position that for those crediting projects that do occur in proximity to communities experiencing the impacts listed, </w:t>
      </w:r>
      <w:r w:rsidR="00F77E79" w:rsidRPr="00384F7A">
        <w:rPr>
          <w:rFonts w:ascii="Arial" w:hAnsi="Arial" w:cs="Arial"/>
          <w:i/>
          <w:sz w:val="24"/>
          <w:szCs w:val="24"/>
        </w:rPr>
        <w:t xml:space="preserve">there </w:t>
      </w:r>
      <w:r w:rsidR="00601B5D" w:rsidRPr="00384F7A">
        <w:rPr>
          <w:rFonts w:ascii="Arial" w:hAnsi="Arial" w:cs="Arial"/>
          <w:i/>
          <w:sz w:val="24"/>
          <w:szCs w:val="24"/>
        </w:rPr>
        <w:t>must</w:t>
      </w:r>
      <w:r w:rsidR="00F77E79" w:rsidRPr="00384F7A">
        <w:rPr>
          <w:rFonts w:ascii="Arial" w:hAnsi="Arial" w:cs="Arial"/>
          <w:i/>
          <w:sz w:val="24"/>
          <w:szCs w:val="24"/>
        </w:rPr>
        <w:t xml:space="preserve"> also be measurable improvement in </w:t>
      </w:r>
      <w:r w:rsidRPr="00384F7A">
        <w:rPr>
          <w:rFonts w:ascii="Arial" w:hAnsi="Arial" w:cs="Arial"/>
          <w:i/>
          <w:sz w:val="24"/>
          <w:szCs w:val="24"/>
        </w:rPr>
        <w:t>odor</w:t>
      </w:r>
      <w:r w:rsidR="00D471A4" w:rsidRPr="00384F7A">
        <w:rPr>
          <w:rFonts w:ascii="Arial" w:hAnsi="Arial" w:cs="Arial"/>
          <w:i/>
          <w:sz w:val="24"/>
          <w:szCs w:val="24"/>
        </w:rPr>
        <w:t>, air quality,</w:t>
      </w:r>
      <w:r w:rsidRPr="00384F7A">
        <w:rPr>
          <w:rFonts w:ascii="Arial" w:hAnsi="Arial" w:cs="Arial"/>
          <w:i/>
          <w:sz w:val="24"/>
          <w:szCs w:val="24"/>
        </w:rPr>
        <w:t xml:space="preserve"> and water quality. Concerning large dairy operations in C</w:t>
      </w:r>
      <w:r w:rsidR="00D471A4" w:rsidRPr="00384F7A">
        <w:rPr>
          <w:rFonts w:ascii="Arial" w:hAnsi="Arial" w:cs="Arial"/>
          <w:i/>
          <w:sz w:val="24"/>
          <w:szCs w:val="24"/>
        </w:rPr>
        <w:t>alifornia</w:t>
      </w:r>
      <w:r w:rsidRPr="00384F7A">
        <w:rPr>
          <w:rFonts w:ascii="Arial" w:hAnsi="Arial" w:cs="Arial"/>
          <w:i/>
          <w:sz w:val="24"/>
          <w:szCs w:val="24"/>
        </w:rPr>
        <w:t xml:space="preserve">, for example, local communities need to see these additional issues addressed in order to ensure equitable outcomes as dairy producers are rewarded for reducing their emissions. </w:t>
      </w:r>
      <w:r w:rsidR="00A7337E" w:rsidRPr="00384F7A">
        <w:rPr>
          <w:rFonts w:ascii="Arial" w:hAnsi="Arial" w:cs="Arial"/>
          <w:i/>
          <w:sz w:val="24"/>
          <w:szCs w:val="24"/>
        </w:rPr>
        <w:t>This relates to the recommendations on page 25 to prioritize offset projects with direct environmental benefits in the state while prioritizing disadvantaged communities, Native American or tribal lands, and rural and agricultural regions—but goes one step further to also address odor</w:t>
      </w:r>
      <w:r w:rsidR="00D471A4" w:rsidRPr="00384F7A">
        <w:rPr>
          <w:rFonts w:ascii="Arial" w:hAnsi="Arial" w:cs="Arial"/>
          <w:i/>
          <w:sz w:val="24"/>
          <w:szCs w:val="24"/>
        </w:rPr>
        <w:t xml:space="preserve">, air quality and </w:t>
      </w:r>
      <w:r w:rsidR="00EB1D28" w:rsidRPr="00384F7A">
        <w:rPr>
          <w:rFonts w:ascii="Arial" w:hAnsi="Arial" w:cs="Arial"/>
          <w:i/>
          <w:sz w:val="24"/>
          <w:szCs w:val="24"/>
        </w:rPr>
        <w:t xml:space="preserve">water quality </w:t>
      </w:r>
      <w:r w:rsidR="00D471A4" w:rsidRPr="00384F7A">
        <w:rPr>
          <w:rFonts w:ascii="Arial" w:hAnsi="Arial" w:cs="Arial"/>
          <w:i/>
          <w:sz w:val="24"/>
          <w:szCs w:val="24"/>
        </w:rPr>
        <w:t>concerns</w:t>
      </w:r>
      <w:r w:rsidR="00A7337E" w:rsidRPr="00384F7A">
        <w:rPr>
          <w:rFonts w:ascii="Arial" w:hAnsi="Arial" w:cs="Arial"/>
          <w:i/>
          <w:sz w:val="24"/>
          <w:szCs w:val="24"/>
        </w:rPr>
        <w:t>.</w:t>
      </w:r>
      <w:r w:rsidR="00D471A4" w:rsidRPr="00384F7A">
        <w:rPr>
          <w:rFonts w:ascii="Arial" w:hAnsi="Arial" w:cs="Arial"/>
          <w:i/>
          <w:sz w:val="24"/>
          <w:szCs w:val="24"/>
        </w:rPr>
        <w:t xml:space="preserve"> The use of offsets should never allow other environmental or health hazards to go unaddressed or worsen. </w:t>
      </w:r>
      <w:r w:rsidR="00A7337E" w:rsidRPr="00384F7A">
        <w:rPr>
          <w:rFonts w:ascii="Arial" w:hAnsi="Arial" w:cs="Arial"/>
          <w:i/>
          <w:sz w:val="24"/>
          <w:szCs w:val="24"/>
        </w:rPr>
        <w:t xml:space="preserve"> </w:t>
      </w:r>
    </w:p>
    <w:p w14:paraId="4DF06485" w14:textId="77777777" w:rsidR="006202BE" w:rsidRPr="00384F7A" w:rsidRDefault="006202BE" w:rsidP="00B80E66">
      <w:pPr>
        <w:rPr>
          <w:rFonts w:ascii="Arial" w:hAnsi="Arial" w:cs="Arial"/>
          <w:i/>
          <w:sz w:val="24"/>
          <w:szCs w:val="24"/>
        </w:rPr>
      </w:pPr>
    </w:p>
    <w:p w14:paraId="1DC3AA00" w14:textId="3449841F" w:rsidR="00C071AD" w:rsidRPr="00384F7A" w:rsidRDefault="008D7DD2" w:rsidP="00B80E66">
      <w:pPr>
        <w:rPr>
          <w:rFonts w:ascii="Arial" w:hAnsi="Arial" w:cs="Arial"/>
          <w:i/>
          <w:sz w:val="24"/>
          <w:szCs w:val="24"/>
        </w:rPr>
      </w:pPr>
      <w:r w:rsidRPr="00384F7A">
        <w:rPr>
          <w:rFonts w:ascii="Arial" w:hAnsi="Arial" w:cs="Arial"/>
          <w:i/>
          <w:sz w:val="24"/>
          <w:szCs w:val="24"/>
        </w:rPr>
        <w:t>In addition</w:t>
      </w:r>
      <w:r w:rsidR="003914FE" w:rsidRPr="00384F7A">
        <w:rPr>
          <w:rFonts w:ascii="Arial" w:hAnsi="Arial" w:cs="Arial"/>
          <w:i/>
          <w:sz w:val="24"/>
          <w:szCs w:val="24"/>
        </w:rPr>
        <w:t xml:space="preserve">, if the program does introduce an alternative manure management protocol, </w:t>
      </w:r>
      <w:r w:rsidR="006202BE" w:rsidRPr="00384F7A">
        <w:rPr>
          <w:rFonts w:ascii="Arial" w:hAnsi="Arial" w:cs="Arial"/>
          <w:i/>
          <w:sz w:val="24"/>
          <w:szCs w:val="24"/>
        </w:rPr>
        <w:t xml:space="preserve">the program needs to ensure that all farmers can afford to install the </w:t>
      </w:r>
      <w:r w:rsidR="003914FE" w:rsidRPr="00384F7A">
        <w:rPr>
          <w:rFonts w:ascii="Arial" w:hAnsi="Arial" w:cs="Arial"/>
          <w:i/>
          <w:sz w:val="24"/>
          <w:szCs w:val="24"/>
        </w:rPr>
        <w:t xml:space="preserve">necessary </w:t>
      </w:r>
      <w:r w:rsidR="006202BE" w:rsidRPr="00384F7A">
        <w:rPr>
          <w:rFonts w:ascii="Arial" w:hAnsi="Arial" w:cs="Arial"/>
          <w:i/>
          <w:sz w:val="24"/>
          <w:szCs w:val="24"/>
        </w:rPr>
        <w:t>infrastructure</w:t>
      </w:r>
      <w:r w:rsidR="003914FE" w:rsidRPr="00384F7A">
        <w:rPr>
          <w:rFonts w:ascii="Arial" w:hAnsi="Arial" w:cs="Arial"/>
          <w:i/>
          <w:sz w:val="24"/>
          <w:szCs w:val="24"/>
        </w:rPr>
        <w:t xml:space="preserve">. </w:t>
      </w:r>
      <w:r w:rsidR="005E7E29" w:rsidRPr="00384F7A">
        <w:rPr>
          <w:rFonts w:ascii="Arial" w:hAnsi="Arial" w:cs="Arial"/>
          <w:i/>
          <w:sz w:val="24"/>
          <w:szCs w:val="24"/>
        </w:rPr>
        <w:t>This sh</w:t>
      </w:r>
      <w:r w:rsidR="003914FE" w:rsidRPr="00384F7A">
        <w:rPr>
          <w:rFonts w:ascii="Arial" w:hAnsi="Arial" w:cs="Arial"/>
          <w:i/>
          <w:sz w:val="24"/>
          <w:szCs w:val="24"/>
        </w:rPr>
        <w:t xml:space="preserve">ould </w:t>
      </w:r>
      <w:r w:rsidR="005E7E29" w:rsidRPr="00384F7A">
        <w:rPr>
          <w:rFonts w:ascii="Arial" w:hAnsi="Arial" w:cs="Arial"/>
          <w:i/>
          <w:sz w:val="24"/>
          <w:szCs w:val="24"/>
        </w:rPr>
        <w:t xml:space="preserve">not </w:t>
      </w:r>
      <w:r w:rsidR="003914FE" w:rsidRPr="00384F7A">
        <w:rPr>
          <w:rFonts w:ascii="Arial" w:hAnsi="Arial" w:cs="Arial"/>
          <w:i/>
          <w:sz w:val="24"/>
          <w:szCs w:val="24"/>
        </w:rPr>
        <w:t xml:space="preserve">become a compensatory mitigation pathway </w:t>
      </w:r>
      <w:r w:rsidR="005E7E29" w:rsidRPr="00384F7A">
        <w:rPr>
          <w:rFonts w:ascii="Arial" w:hAnsi="Arial" w:cs="Arial"/>
          <w:i/>
          <w:sz w:val="24"/>
          <w:szCs w:val="24"/>
        </w:rPr>
        <w:t xml:space="preserve">in which </w:t>
      </w:r>
      <w:r w:rsidR="003914FE" w:rsidRPr="00384F7A">
        <w:rPr>
          <w:rFonts w:ascii="Arial" w:hAnsi="Arial" w:cs="Arial"/>
          <w:i/>
          <w:sz w:val="24"/>
          <w:szCs w:val="24"/>
        </w:rPr>
        <w:t xml:space="preserve">only the larger operators </w:t>
      </w:r>
      <w:r w:rsidR="005E7E29" w:rsidRPr="00384F7A">
        <w:rPr>
          <w:rFonts w:ascii="Arial" w:hAnsi="Arial" w:cs="Arial"/>
          <w:i/>
          <w:sz w:val="24"/>
          <w:szCs w:val="24"/>
        </w:rPr>
        <w:t xml:space="preserve">can afford to participate. </w:t>
      </w:r>
    </w:p>
    <w:p w14:paraId="444F7F54" w14:textId="1C66A395" w:rsidR="00390E89" w:rsidRPr="00384F7A" w:rsidRDefault="00390E89" w:rsidP="00B80E66">
      <w:pPr>
        <w:rPr>
          <w:rFonts w:ascii="Arial" w:hAnsi="Arial" w:cs="Arial"/>
          <w:i/>
          <w:sz w:val="24"/>
          <w:szCs w:val="24"/>
        </w:rPr>
      </w:pPr>
    </w:p>
    <w:p w14:paraId="289E44C0" w14:textId="2FA80515" w:rsidR="00390E89" w:rsidRPr="00384F7A" w:rsidRDefault="00106A56" w:rsidP="00B80E66">
      <w:pPr>
        <w:rPr>
          <w:rFonts w:ascii="Arial" w:hAnsi="Arial" w:cs="Arial"/>
          <w:i/>
          <w:sz w:val="24"/>
          <w:szCs w:val="24"/>
        </w:rPr>
      </w:pPr>
      <w:r w:rsidRPr="0084475F">
        <w:rPr>
          <w:rFonts w:ascii="Arial" w:hAnsi="Arial" w:cs="Arial"/>
          <w:i/>
          <w:sz w:val="24"/>
          <w:szCs w:val="24"/>
        </w:rPr>
        <w:t>Finally,</w:t>
      </w:r>
      <w:r w:rsidR="0084475F">
        <w:rPr>
          <w:rFonts w:ascii="Arial" w:hAnsi="Arial" w:cs="Arial"/>
          <w:i/>
          <w:sz w:val="24"/>
          <w:szCs w:val="24"/>
        </w:rPr>
        <w:t xml:space="preserve"> rather than only considering avoided conversion of grasslands to ag lands, CARB should consider exploring </w:t>
      </w:r>
      <w:r w:rsidRPr="0084475F">
        <w:rPr>
          <w:rFonts w:ascii="Arial" w:hAnsi="Arial" w:cs="Arial"/>
          <w:i/>
          <w:sz w:val="24"/>
          <w:szCs w:val="24"/>
        </w:rPr>
        <w:t xml:space="preserve">Native American tribes </w:t>
      </w:r>
      <w:r w:rsidR="0084475F">
        <w:rPr>
          <w:rFonts w:ascii="Arial" w:hAnsi="Arial" w:cs="Arial"/>
          <w:i/>
          <w:sz w:val="24"/>
          <w:szCs w:val="24"/>
        </w:rPr>
        <w:t xml:space="preserve">that </w:t>
      </w:r>
      <w:r w:rsidRPr="0084475F">
        <w:rPr>
          <w:rFonts w:ascii="Arial" w:hAnsi="Arial" w:cs="Arial"/>
          <w:i/>
          <w:sz w:val="24"/>
          <w:szCs w:val="24"/>
        </w:rPr>
        <w:t>may pr</w:t>
      </w:r>
      <w:r w:rsidR="00390E89" w:rsidRPr="0084475F">
        <w:rPr>
          <w:rFonts w:ascii="Arial" w:hAnsi="Arial" w:cs="Arial"/>
          <w:i/>
          <w:sz w:val="24"/>
          <w:szCs w:val="24"/>
        </w:rPr>
        <w:t xml:space="preserve">efer </w:t>
      </w:r>
      <w:r w:rsidRPr="0084475F">
        <w:rPr>
          <w:rFonts w:ascii="Arial" w:hAnsi="Arial" w:cs="Arial"/>
          <w:i/>
          <w:sz w:val="24"/>
          <w:szCs w:val="24"/>
        </w:rPr>
        <w:t xml:space="preserve">that tribal </w:t>
      </w:r>
      <w:r w:rsidR="00390E89" w:rsidRPr="0084475F">
        <w:rPr>
          <w:rFonts w:ascii="Arial" w:hAnsi="Arial" w:cs="Arial"/>
          <w:i/>
          <w:sz w:val="24"/>
          <w:szCs w:val="24"/>
        </w:rPr>
        <w:t xml:space="preserve">lands </w:t>
      </w:r>
      <w:r w:rsidRPr="0084475F">
        <w:rPr>
          <w:rFonts w:ascii="Arial" w:hAnsi="Arial" w:cs="Arial"/>
          <w:i/>
          <w:sz w:val="24"/>
          <w:szCs w:val="24"/>
        </w:rPr>
        <w:t xml:space="preserve">currently leased by the federal government to non-tribal members for agricultural production </w:t>
      </w:r>
      <w:r w:rsidR="00390E89" w:rsidRPr="0084475F">
        <w:rPr>
          <w:rFonts w:ascii="Arial" w:hAnsi="Arial" w:cs="Arial"/>
          <w:i/>
          <w:sz w:val="24"/>
          <w:szCs w:val="24"/>
        </w:rPr>
        <w:t>be brought back under their control</w:t>
      </w:r>
      <w:r w:rsidRPr="0084475F">
        <w:rPr>
          <w:rFonts w:ascii="Arial" w:hAnsi="Arial" w:cs="Arial"/>
          <w:i/>
          <w:sz w:val="24"/>
          <w:szCs w:val="24"/>
        </w:rPr>
        <w:t xml:space="preserve">. CARB should consider a protocol that supports </w:t>
      </w:r>
      <w:r w:rsidR="0084475F">
        <w:rPr>
          <w:rFonts w:ascii="Arial" w:hAnsi="Arial" w:cs="Arial"/>
          <w:i/>
          <w:sz w:val="24"/>
          <w:szCs w:val="24"/>
        </w:rPr>
        <w:t xml:space="preserve">tribal lands </w:t>
      </w:r>
      <w:r w:rsidR="00390E89" w:rsidRPr="0084475F">
        <w:rPr>
          <w:rFonts w:ascii="Arial" w:hAnsi="Arial" w:cs="Arial"/>
          <w:i/>
          <w:sz w:val="24"/>
          <w:szCs w:val="24"/>
        </w:rPr>
        <w:t>restoration</w:t>
      </w:r>
      <w:r w:rsidRPr="0084475F">
        <w:rPr>
          <w:rFonts w:ascii="Arial" w:hAnsi="Arial" w:cs="Arial"/>
          <w:i/>
          <w:sz w:val="24"/>
          <w:szCs w:val="24"/>
        </w:rPr>
        <w:t xml:space="preserve"> projects </w:t>
      </w:r>
      <w:r w:rsidR="0084475F" w:rsidRPr="0084475F">
        <w:rPr>
          <w:rFonts w:ascii="Arial" w:hAnsi="Arial" w:cs="Arial"/>
          <w:i/>
          <w:sz w:val="24"/>
          <w:szCs w:val="24"/>
        </w:rPr>
        <w:t xml:space="preserve">that </w:t>
      </w:r>
      <w:r w:rsidR="00390E89" w:rsidRPr="0084475F">
        <w:rPr>
          <w:rFonts w:ascii="Arial" w:hAnsi="Arial" w:cs="Arial"/>
          <w:i/>
          <w:sz w:val="24"/>
          <w:szCs w:val="24"/>
        </w:rPr>
        <w:t xml:space="preserve">would help them </w:t>
      </w:r>
      <w:r w:rsidR="0084475F" w:rsidRPr="0084475F">
        <w:rPr>
          <w:rFonts w:ascii="Arial" w:hAnsi="Arial" w:cs="Arial"/>
          <w:i/>
          <w:sz w:val="24"/>
          <w:szCs w:val="24"/>
        </w:rPr>
        <w:t xml:space="preserve">achieve that goal and preserve the </w:t>
      </w:r>
      <w:r w:rsidR="0084475F">
        <w:rPr>
          <w:rFonts w:ascii="Arial" w:hAnsi="Arial" w:cs="Arial"/>
          <w:i/>
          <w:sz w:val="24"/>
          <w:szCs w:val="24"/>
        </w:rPr>
        <w:t xml:space="preserve">reintroduce </w:t>
      </w:r>
      <w:r w:rsidR="0084475F" w:rsidRPr="0084475F">
        <w:rPr>
          <w:rFonts w:ascii="Arial" w:hAnsi="Arial" w:cs="Arial"/>
          <w:i/>
          <w:sz w:val="24"/>
          <w:szCs w:val="24"/>
        </w:rPr>
        <w:t>natural habitat</w:t>
      </w:r>
      <w:r w:rsidR="0084475F">
        <w:rPr>
          <w:rFonts w:ascii="Arial" w:hAnsi="Arial" w:cs="Arial"/>
          <w:i/>
          <w:sz w:val="24"/>
          <w:szCs w:val="24"/>
        </w:rPr>
        <w:t xml:space="preserve"> that can provide many environmental benefits</w:t>
      </w:r>
      <w:r w:rsidR="0084475F" w:rsidRPr="0084475F">
        <w:rPr>
          <w:rFonts w:ascii="Arial" w:hAnsi="Arial" w:cs="Arial"/>
          <w:i/>
          <w:sz w:val="24"/>
          <w:szCs w:val="24"/>
        </w:rPr>
        <w:t xml:space="preserve">. </w:t>
      </w:r>
    </w:p>
    <w:p w14:paraId="17AE224A" w14:textId="42315356" w:rsidR="005E7E29" w:rsidRPr="00384F7A" w:rsidRDefault="005E7E29" w:rsidP="00B80E66">
      <w:pPr>
        <w:rPr>
          <w:rFonts w:ascii="Arial" w:hAnsi="Arial" w:cs="Arial"/>
          <w:i/>
          <w:sz w:val="24"/>
          <w:szCs w:val="24"/>
        </w:rPr>
      </w:pPr>
    </w:p>
    <w:p w14:paraId="18E1E335" w14:textId="071BFB99" w:rsidR="00B92B72" w:rsidRPr="00106A56" w:rsidRDefault="00C91037" w:rsidP="00C375D5">
      <w:pPr>
        <w:rPr>
          <w:rFonts w:ascii="Arial" w:hAnsi="Arial" w:cs="Arial"/>
          <w:b/>
          <w:sz w:val="20"/>
          <w:szCs w:val="24"/>
        </w:rPr>
      </w:pPr>
      <w:r w:rsidRPr="00384F7A">
        <w:rPr>
          <w:rFonts w:ascii="Arial" w:hAnsi="Arial" w:cs="Arial"/>
          <w:b/>
          <w:sz w:val="24"/>
          <w:szCs w:val="24"/>
        </w:rPr>
        <w:t xml:space="preserve">Page 106: </w:t>
      </w:r>
      <w:r w:rsidRPr="00106A56">
        <w:rPr>
          <w:rFonts w:ascii="Arial" w:hAnsi="Arial" w:cs="Arial"/>
          <w:sz w:val="20"/>
          <w:szCs w:val="24"/>
        </w:rPr>
        <w:t>Chapter 4: Analysis and Recommendations on Livestock, Agriculture and Rangeland</w:t>
      </w:r>
      <w:r w:rsidR="00B92B72" w:rsidRPr="00106A56">
        <w:rPr>
          <w:rFonts w:ascii="Arial" w:hAnsi="Arial" w:cs="Arial"/>
          <w:sz w:val="20"/>
          <w:szCs w:val="24"/>
        </w:rPr>
        <w:t xml:space="preserve"> – An important threshold question for the Subgroup was what constitutes “agricultural lands”?</w:t>
      </w:r>
      <w:r w:rsidR="00C375D5" w:rsidRPr="00106A56">
        <w:rPr>
          <w:rFonts w:ascii="Arial" w:hAnsi="Arial" w:cs="Arial"/>
          <w:sz w:val="20"/>
          <w:szCs w:val="24"/>
        </w:rPr>
        <w:t xml:space="preserve"> </w:t>
      </w:r>
      <w:r w:rsidR="008D7DD2">
        <w:rPr>
          <w:rFonts w:ascii="Arial" w:hAnsi="Arial" w:cs="Arial"/>
          <w:sz w:val="20"/>
          <w:szCs w:val="24"/>
        </w:rPr>
        <w:br/>
      </w:r>
      <w:r w:rsidR="00C375D5" w:rsidRPr="00106A56">
        <w:rPr>
          <w:rFonts w:ascii="Arial" w:hAnsi="Arial" w:cs="Arial"/>
          <w:sz w:val="20"/>
          <w:szCs w:val="24"/>
        </w:rPr>
        <w:t>We defined those lands as areas where ruminants</w:t>
      </w:r>
      <w:r w:rsidR="008D7DD2">
        <w:rPr>
          <w:rFonts w:ascii="Arial" w:hAnsi="Arial" w:cs="Arial"/>
          <w:sz w:val="20"/>
          <w:szCs w:val="24"/>
        </w:rPr>
        <w:t xml:space="preserve"> </w:t>
      </w:r>
      <w:r w:rsidR="00C375D5" w:rsidRPr="00106A56">
        <w:rPr>
          <w:rFonts w:ascii="Arial" w:hAnsi="Arial" w:cs="Arial"/>
          <w:sz w:val="20"/>
          <w:szCs w:val="24"/>
        </w:rPr>
        <w:t>graze, where irrigated and cultivated crops are grown, and confined livestock</w:t>
      </w:r>
      <w:r w:rsidR="008D7DD2">
        <w:rPr>
          <w:rFonts w:ascii="Arial" w:hAnsi="Arial" w:cs="Arial"/>
          <w:sz w:val="20"/>
          <w:szCs w:val="24"/>
        </w:rPr>
        <w:t xml:space="preserve"> </w:t>
      </w:r>
      <w:r w:rsidR="00C375D5" w:rsidRPr="00106A56">
        <w:rPr>
          <w:rFonts w:ascii="Arial" w:hAnsi="Arial" w:cs="Arial"/>
          <w:sz w:val="20"/>
          <w:szCs w:val="24"/>
        </w:rPr>
        <w:t>operations, including those that manage lands to grow forage crops for their animals.</w:t>
      </w:r>
    </w:p>
    <w:p w14:paraId="48BB6E66" w14:textId="14C4A0E1" w:rsidR="00C91037" w:rsidRPr="00384F7A" w:rsidRDefault="00C91037" w:rsidP="00C91037">
      <w:pPr>
        <w:rPr>
          <w:rFonts w:ascii="Arial" w:hAnsi="Arial" w:cs="Arial"/>
          <w:b/>
          <w:sz w:val="24"/>
          <w:szCs w:val="24"/>
        </w:rPr>
      </w:pPr>
    </w:p>
    <w:p w14:paraId="565C975A" w14:textId="37574C94" w:rsidR="00390E89" w:rsidRPr="00384F7A" w:rsidRDefault="00390E89" w:rsidP="00C91037">
      <w:pPr>
        <w:rPr>
          <w:rFonts w:ascii="Arial" w:hAnsi="Arial" w:cs="Arial"/>
          <w:sz w:val="24"/>
          <w:szCs w:val="24"/>
        </w:rPr>
      </w:pPr>
      <w:r w:rsidRPr="0084475F">
        <w:rPr>
          <w:rFonts w:ascii="Arial" w:hAnsi="Arial" w:cs="Arial"/>
          <w:i/>
          <w:sz w:val="24"/>
          <w:szCs w:val="24"/>
        </w:rPr>
        <w:t xml:space="preserve">Comment: </w:t>
      </w:r>
      <w:r w:rsidR="00C375D5" w:rsidRPr="0084475F">
        <w:rPr>
          <w:rFonts w:ascii="Arial" w:hAnsi="Arial" w:cs="Arial"/>
          <w:i/>
          <w:sz w:val="24"/>
          <w:szCs w:val="24"/>
        </w:rPr>
        <w:t xml:space="preserve">We suggest also including some buffer around the “field” or “pasture” where animals are raised and crops are grown, so that “agricultural lands” include </w:t>
      </w:r>
      <w:r w:rsidRPr="0084475F">
        <w:rPr>
          <w:rFonts w:ascii="Arial" w:hAnsi="Arial" w:cs="Arial"/>
          <w:i/>
          <w:sz w:val="24"/>
          <w:szCs w:val="24"/>
        </w:rPr>
        <w:t xml:space="preserve">the creeks running in between fields, </w:t>
      </w:r>
      <w:r w:rsidR="00C375D5" w:rsidRPr="0084475F">
        <w:rPr>
          <w:rFonts w:ascii="Arial" w:hAnsi="Arial" w:cs="Arial"/>
          <w:i/>
          <w:sz w:val="24"/>
          <w:szCs w:val="24"/>
        </w:rPr>
        <w:t>edges of fields, and other non-productive land</w:t>
      </w:r>
      <w:r w:rsidR="00233C6B">
        <w:rPr>
          <w:rFonts w:ascii="Arial" w:hAnsi="Arial" w:cs="Arial"/>
          <w:i/>
          <w:sz w:val="24"/>
          <w:szCs w:val="24"/>
        </w:rPr>
        <w:t>s</w:t>
      </w:r>
      <w:r w:rsidR="00C375D5" w:rsidRPr="0084475F">
        <w:rPr>
          <w:rFonts w:ascii="Arial" w:hAnsi="Arial" w:cs="Arial"/>
          <w:i/>
          <w:sz w:val="24"/>
          <w:szCs w:val="24"/>
        </w:rPr>
        <w:t xml:space="preserve"> in the same parcels that </w:t>
      </w:r>
      <w:r w:rsidR="00233C6B">
        <w:rPr>
          <w:rFonts w:ascii="Arial" w:hAnsi="Arial" w:cs="Arial"/>
          <w:i/>
          <w:sz w:val="24"/>
          <w:szCs w:val="24"/>
        </w:rPr>
        <w:t>are</w:t>
      </w:r>
      <w:r w:rsidR="00C375D5" w:rsidRPr="0084475F">
        <w:rPr>
          <w:rFonts w:ascii="Arial" w:hAnsi="Arial" w:cs="Arial"/>
          <w:i/>
          <w:sz w:val="24"/>
          <w:szCs w:val="24"/>
        </w:rPr>
        <w:t xml:space="preserve"> also managed by the same landowner and/or farmer. </w:t>
      </w:r>
      <w:r w:rsidRPr="0084475F">
        <w:rPr>
          <w:rFonts w:ascii="Arial" w:hAnsi="Arial" w:cs="Arial"/>
          <w:i/>
          <w:sz w:val="24"/>
          <w:szCs w:val="24"/>
        </w:rPr>
        <w:t>Th</w:t>
      </w:r>
      <w:r w:rsidR="00C375D5" w:rsidRPr="0084475F">
        <w:rPr>
          <w:rFonts w:ascii="Arial" w:hAnsi="Arial" w:cs="Arial"/>
          <w:i/>
          <w:sz w:val="24"/>
          <w:szCs w:val="24"/>
        </w:rPr>
        <w:t xml:space="preserve">ese </w:t>
      </w:r>
      <w:r w:rsidR="00355913">
        <w:rPr>
          <w:rFonts w:ascii="Arial" w:hAnsi="Arial" w:cs="Arial"/>
          <w:i/>
          <w:sz w:val="24"/>
          <w:szCs w:val="24"/>
        </w:rPr>
        <w:t>portions</w:t>
      </w:r>
      <w:r w:rsidRPr="0084475F">
        <w:rPr>
          <w:rFonts w:ascii="Arial" w:hAnsi="Arial" w:cs="Arial"/>
          <w:i/>
          <w:sz w:val="24"/>
          <w:szCs w:val="24"/>
        </w:rPr>
        <w:t xml:space="preserve"> of the land</w:t>
      </w:r>
      <w:r w:rsidR="00355913">
        <w:rPr>
          <w:rFonts w:ascii="Arial" w:hAnsi="Arial" w:cs="Arial"/>
          <w:i/>
          <w:sz w:val="24"/>
          <w:szCs w:val="24"/>
        </w:rPr>
        <w:t>scape</w:t>
      </w:r>
      <w:r w:rsidRPr="0084475F">
        <w:rPr>
          <w:rFonts w:ascii="Arial" w:hAnsi="Arial" w:cs="Arial"/>
          <w:i/>
          <w:sz w:val="24"/>
          <w:szCs w:val="24"/>
        </w:rPr>
        <w:t xml:space="preserve"> that provide significant environmental benefit are </w:t>
      </w:r>
      <w:r w:rsidR="00C375D5" w:rsidRPr="0084475F">
        <w:rPr>
          <w:rFonts w:ascii="Arial" w:hAnsi="Arial" w:cs="Arial"/>
          <w:i/>
          <w:sz w:val="24"/>
          <w:szCs w:val="24"/>
        </w:rPr>
        <w:t>often ignored</w:t>
      </w:r>
      <w:r w:rsidR="00355913">
        <w:rPr>
          <w:rFonts w:ascii="Arial" w:hAnsi="Arial" w:cs="Arial"/>
          <w:i/>
          <w:sz w:val="24"/>
          <w:szCs w:val="24"/>
        </w:rPr>
        <w:t xml:space="preserve"> in the agricultural context</w:t>
      </w:r>
      <w:r w:rsidR="00C375D5" w:rsidRPr="0084475F">
        <w:rPr>
          <w:rFonts w:ascii="Arial" w:hAnsi="Arial" w:cs="Arial"/>
          <w:i/>
          <w:sz w:val="24"/>
          <w:szCs w:val="24"/>
        </w:rPr>
        <w:t>, and if not acknowledged by agricultural/working lands efforts, they may be forgotten when designing environmental solutions.</w:t>
      </w:r>
      <w:r w:rsidR="00C375D5" w:rsidRPr="0084475F">
        <w:rPr>
          <w:rFonts w:ascii="Arial" w:hAnsi="Arial" w:cs="Arial"/>
          <w:sz w:val="24"/>
          <w:szCs w:val="24"/>
        </w:rPr>
        <w:t xml:space="preserve"> </w:t>
      </w:r>
      <w:r w:rsidRPr="00384F7A">
        <w:rPr>
          <w:rFonts w:ascii="Arial" w:hAnsi="Arial" w:cs="Arial"/>
          <w:sz w:val="24"/>
          <w:szCs w:val="24"/>
        </w:rPr>
        <w:t xml:space="preserve"> </w:t>
      </w:r>
      <w:bookmarkStart w:id="0" w:name="_GoBack"/>
      <w:bookmarkEnd w:id="0"/>
      <w:r w:rsidRPr="00384F7A">
        <w:rPr>
          <w:rFonts w:ascii="Arial" w:hAnsi="Arial" w:cs="Arial"/>
          <w:sz w:val="24"/>
          <w:szCs w:val="24"/>
        </w:rPr>
        <w:br/>
      </w:r>
    </w:p>
    <w:p w14:paraId="7323C424" w14:textId="2F6E702D" w:rsidR="00C375D5" w:rsidRPr="00384F7A" w:rsidRDefault="00C375D5" w:rsidP="00C375D5">
      <w:pPr>
        <w:rPr>
          <w:rFonts w:ascii="Arial" w:hAnsi="Arial" w:cs="Arial"/>
          <w:sz w:val="24"/>
          <w:szCs w:val="24"/>
        </w:rPr>
      </w:pPr>
      <w:r w:rsidRPr="00384F7A">
        <w:rPr>
          <w:rFonts w:ascii="Arial" w:hAnsi="Arial" w:cs="Arial"/>
          <w:b/>
          <w:sz w:val="24"/>
          <w:szCs w:val="24"/>
        </w:rPr>
        <w:t>Page 107:</w:t>
      </w:r>
      <w:r w:rsidRPr="00384F7A">
        <w:rPr>
          <w:rFonts w:ascii="Arial" w:hAnsi="Arial" w:cs="Arial"/>
          <w:sz w:val="24"/>
          <w:szCs w:val="24"/>
        </w:rPr>
        <w:t xml:space="preserve"> </w:t>
      </w:r>
      <w:r w:rsidRPr="00106A56">
        <w:rPr>
          <w:rFonts w:ascii="Arial" w:hAnsi="Arial" w:cs="Arial"/>
          <w:sz w:val="20"/>
          <w:szCs w:val="24"/>
        </w:rPr>
        <w:t>There were three chief findings that supported these conclusions. First, the scientific basis for quantification of emissions reductions or permanent carbon sequestration is strong in all three (3) cases.</w:t>
      </w:r>
    </w:p>
    <w:p w14:paraId="6EBFF0AE" w14:textId="7F88D3D4" w:rsidR="00C375D5" w:rsidRPr="00384F7A" w:rsidRDefault="00C375D5" w:rsidP="00C91037">
      <w:pPr>
        <w:rPr>
          <w:rFonts w:ascii="Arial" w:hAnsi="Arial" w:cs="Arial"/>
          <w:sz w:val="24"/>
          <w:szCs w:val="24"/>
        </w:rPr>
      </w:pPr>
    </w:p>
    <w:p w14:paraId="3F3369F8" w14:textId="3EB92EAA" w:rsidR="00C375D5" w:rsidRPr="00384F7A" w:rsidRDefault="00C375D5" w:rsidP="00C91037">
      <w:pPr>
        <w:rPr>
          <w:rFonts w:ascii="Arial" w:hAnsi="Arial" w:cs="Arial"/>
          <w:i/>
          <w:sz w:val="24"/>
          <w:szCs w:val="24"/>
        </w:rPr>
      </w:pPr>
      <w:r w:rsidRPr="00384F7A">
        <w:rPr>
          <w:rFonts w:ascii="Arial" w:hAnsi="Arial" w:cs="Arial"/>
          <w:i/>
          <w:sz w:val="24"/>
          <w:szCs w:val="24"/>
        </w:rPr>
        <w:t xml:space="preserve">Comment: Recommend changing to “net GHG emissions reductions.” In avoided conversion, we are keeping the soil organic carbon in the ground, not sequestering new carbon. Therefore, it is not “carbon sequestration” in the way this term is generally understood. </w:t>
      </w:r>
    </w:p>
    <w:p w14:paraId="7A685046" w14:textId="31E4F0BD" w:rsidR="00C375D5" w:rsidRPr="00384F7A" w:rsidRDefault="00C375D5" w:rsidP="00C91037">
      <w:pPr>
        <w:rPr>
          <w:rFonts w:ascii="Arial" w:hAnsi="Arial" w:cs="Arial"/>
          <w:sz w:val="24"/>
          <w:szCs w:val="24"/>
        </w:rPr>
      </w:pPr>
    </w:p>
    <w:p w14:paraId="36F443C6" w14:textId="68370612" w:rsidR="00C375D5" w:rsidRPr="00384F7A" w:rsidRDefault="00C375D5" w:rsidP="00C91037">
      <w:pPr>
        <w:rPr>
          <w:rFonts w:ascii="Arial" w:hAnsi="Arial" w:cs="Arial"/>
          <w:sz w:val="24"/>
          <w:szCs w:val="24"/>
        </w:rPr>
      </w:pPr>
      <w:r w:rsidRPr="00384F7A">
        <w:rPr>
          <w:rFonts w:ascii="Arial" w:hAnsi="Arial" w:cs="Arial"/>
          <w:b/>
          <w:sz w:val="24"/>
          <w:szCs w:val="24"/>
        </w:rPr>
        <w:t>Page 107:</w:t>
      </w:r>
      <w:r w:rsidRPr="00384F7A">
        <w:rPr>
          <w:rFonts w:ascii="Arial" w:hAnsi="Arial" w:cs="Arial"/>
          <w:sz w:val="24"/>
          <w:szCs w:val="24"/>
        </w:rPr>
        <w:t xml:space="preserve"> </w:t>
      </w:r>
      <w:r w:rsidRPr="00106A56">
        <w:rPr>
          <w:rFonts w:ascii="Arial" w:hAnsi="Arial" w:cs="Arial"/>
          <w:sz w:val="20"/>
          <w:szCs w:val="24"/>
        </w:rPr>
        <w:t>For example, although the Subgroup identified significant potential climate benefits for addition of compost to grazed grasslands, the cost of implementing this practice is much higher than the climate or other benefits realized.</w:t>
      </w:r>
    </w:p>
    <w:p w14:paraId="21F0BD01" w14:textId="317DAE61" w:rsidR="00C375D5" w:rsidRPr="00384F7A" w:rsidRDefault="00C375D5" w:rsidP="00C91037">
      <w:pPr>
        <w:rPr>
          <w:rFonts w:ascii="Arial" w:hAnsi="Arial" w:cs="Arial"/>
          <w:sz w:val="24"/>
          <w:szCs w:val="24"/>
        </w:rPr>
      </w:pPr>
    </w:p>
    <w:p w14:paraId="3D9788E5" w14:textId="38E492AB" w:rsidR="00C375D5" w:rsidRPr="00384F7A" w:rsidRDefault="00C375D5" w:rsidP="00C91037">
      <w:pPr>
        <w:rPr>
          <w:rFonts w:ascii="Arial" w:hAnsi="Arial" w:cs="Arial"/>
          <w:i/>
          <w:sz w:val="24"/>
          <w:szCs w:val="24"/>
        </w:rPr>
      </w:pPr>
      <w:r w:rsidRPr="00384F7A">
        <w:rPr>
          <w:rFonts w:ascii="Arial" w:hAnsi="Arial" w:cs="Arial"/>
          <w:i/>
          <w:sz w:val="24"/>
          <w:szCs w:val="24"/>
        </w:rPr>
        <w:t xml:space="preserve">Comment: Also, the net GHG benefits are uncertain due to lifecycle issues. </w:t>
      </w:r>
    </w:p>
    <w:p w14:paraId="11001C84" w14:textId="5C1B4491" w:rsidR="00C375D5" w:rsidRPr="00384F7A" w:rsidRDefault="00C375D5" w:rsidP="00C91037">
      <w:pPr>
        <w:rPr>
          <w:rFonts w:ascii="Arial" w:hAnsi="Arial" w:cs="Arial"/>
          <w:b/>
          <w:sz w:val="24"/>
          <w:szCs w:val="24"/>
        </w:rPr>
      </w:pPr>
    </w:p>
    <w:p w14:paraId="1AB66EEE" w14:textId="0F6315AC" w:rsidR="001B6A8D" w:rsidRPr="00106A56" w:rsidRDefault="00A31C1B" w:rsidP="00A31C1B">
      <w:pPr>
        <w:rPr>
          <w:rFonts w:ascii="Arial" w:hAnsi="Arial" w:cs="Arial"/>
          <w:sz w:val="20"/>
          <w:szCs w:val="24"/>
        </w:rPr>
      </w:pPr>
      <w:r w:rsidRPr="00384F7A">
        <w:rPr>
          <w:rFonts w:ascii="Arial" w:hAnsi="Arial" w:cs="Arial"/>
          <w:b/>
          <w:sz w:val="24"/>
          <w:szCs w:val="24"/>
        </w:rPr>
        <w:t>Page 109</w:t>
      </w:r>
      <w:r w:rsidR="001B6A8D" w:rsidRPr="00384F7A">
        <w:rPr>
          <w:rFonts w:ascii="Arial" w:hAnsi="Arial" w:cs="Arial"/>
          <w:b/>
          <w:sz w:val="24"/>
          <w:szCs w:val="24"/>
        </w:rPr>
        <w:t>:</w:t>
      </w:r>
      <w:r w:rsidR="001B6A8D" w:rsidRPr="00384F7A">
        <w:rPr>
          <w:rFonts w:ascii="Arial" w:hAnsi="Arial" w:cs="Arial"/>
          <w:sz w:val="24"/>
          <w:szCs w:val="24"/>
        </w:rPr>
        <w:t xml:space="preserve"> </w:t>
      </w:r>
      <w:r w:rsidRPr="00106A56">
        <w:rPr>
          <w:rFonts w:ascii="Arial" w:hAnsi="Arial" w:cs="Arial"/>
          <w:sz w:val="20"/>
          <w:szCs w:val="24"/>
        </w:rPr>
        <w:t>Based on interviews with scientists at UC Davis and carbon offset registries, the Subgroup identified three practices for potential inclusion in carbon offset protocols to be adopted by CARB:</w:t>
      </w:r>
    </w:p>
    <w:p w14:paraId="58A3F485" w14:textId="77777777" w:rsidR="00A31C1B" w:rsidRPr="00106A56" w:rsidRDefault="00A31C1B" w:rsidP="00A31C1B">
      <w:pPr>
        <w:rPr>
          <w:rFonts w:ascii="Arial" w:hAnsi="Arial" w:cs="Arial"/>
          <w:sz w:val="20"/>
          <w:szCs w:val="24"/>
        </w:rPr>
      </w:pPr>
      <w:r w:rsidRPr="00106A56">
        <w:rPr>
          <w:rFonts w:ascii="Arial" w:hAnsi="Arial" w:cs="Arial"/>
          <w:sz w:val="20"/>
          <w:szCs w:val="24"/>
        </w:rPr>
        <w:t xml:space="preserve">• Avoided conversion of grasslands </w:t>
      </w:r>
    </w:p>
    <w:p w14:paraId="673E114D" w14:textId="77777777" w:rsidR="00A31C1B" w:rsidRPr="00106A56" w:rsidRDefault="00A31C1B" w:rsidP="00A31C1B">
      <w:pPr>
        <w:rPr>
          <w:rFonts w:ascii="Arial" w:hAnsi="Arial" w:cs="Arial"/>
          <w:sz w:val="20"/>
          <w:szCs w:val="24"/>
        </w:rPr>
      </w:pPr>
      <w:r w:rsidRPr="00106A56">
        <w:rPr>
          <w:rFonts w:ascii="Arial" w:hAnsi="Arial" w:cs="Arial"/>
          <w:sz w:val="20"/>
          <w:szCs w:val="24"/>
        </w:rPr>
        <w:t xml:space="preserve">• Feed additives to reduce enteric emissions of methane from cattle </w:t>
      </w:r>
    </w:p>
    <w:p w14:paraId="67430F7E" w14:textId="2D0656D6" w:rsidR="00A31C1B" w:rsidRPr="00106A56" w:rsidRDefault="00A31C1B" w:rsidP="00A31C1B">
      <w:pPr>
        <w:rPr>
          <w:rFonts w:ascii="Arial" w:hAnsi="Arial" w:cs="Arial"/>
          <w:i/>
          <w:sz w:val="20"/>
          <w:szCs w:val="24"/>
        </w:rPr>
      </w:pPr>
      <w:r w:rsidRPr="00106A56">
        <w:rPr>
          <w:rFonts w:ascii="Arial" w:hAnsi="Arial" w:cs="Arial"/>
          <w:sz w:val="20"/>
          <w:szCs w:val="24"/>
        </w:rPr>
        <w:t>• Diversion of manure storage from anaerobic systems (“alternative manure management”).</w:t>
      </w:r>
    </w:p>
    <w:p w14:paraId="6A5F0737" w14:textId="77777777" w:rsidR="00A31C1B" w:rsidRPr="00384F7A" w:rsidRDefault="00A31C1B" w:rsidP="001B6A8D">
      <w:pPr>
        <w:rPr>
          <w:rFonts w:ascii="Arial" w:hAnsi="Arial" w:cs="Arial"/>
          <w:i/>
          <w:sz w:val="24"/>
          <w:szCs w:val="24"/>
        </w:rPr>
      </w:pPr>
    </w:p>
    <w:p w14:paraId="320160BA" w14:textId="43112657" w:rsidR="001B6A8D" w:rsidRPr="00384F7A" w:rsidRDefault="001B6A8D" w:rsidP="001B6A8D">
      <w:pPr>
        <w:rPr>
          <w:rFonts w:ascii="Arial" w:hAnsi="Arial" w:cs="Arial"/>
          <w:i/>
          <w:sz w:val="24"/>
          <w:szCs w:val="24"/>
        </w:rPr>
      </w:pPr>
      <w:r w:rsidRPr="00384F7A">
        <w:rPr>
          <w:rFonts w:ascii="Arial" w:hAnsi="Arial" w:cs="Arial"/>
          <w:i/>
          <w:sz w:val="24"/>
          <w:szCs w:val="24"/>
        </w:rPr>
        <w:t xml:space="preserve">Comment: We </w:t>
      </w:r>
      <w:r w:rsidR="00384F7A" w:rsidRPr="00384F7A">
        <w:rPr>
          <w:rFonts w:ascii="Arial" w:hAnsi="Arial" w:cs="Arial"/>
          <w:i/>
          <w:sz w:val="24"/>
          <w:szCs w:val="24"/>
        </w:rPr>
        <w:t xml:space="preserve">agree with the </w:t>
      </w:r>
      <w:r w:rsidRPr="00384F7A">
        <w:rPr>
          <w:rFonts w:ascii="Arial" w:hAnsi="Arial" w:cs="Arial"/>
          <w:i/>
          <w:sz w:val="24"/>
          <w:szCs w:val="24"/>
        </w:rPr>
        <w:t>three prioritized practices</w:t>
      </w:r>
      <w:r w:rsidR="00A31C1B" w:rsidRPr="00384F7A">
        <w:rPr>
          <w:rFonts w:ascii="Arial" w:hAnsi="Arial" w:cs="Arial"/>
          <w:i/>
          <w:sz w:val="24"/>
          <w:szCs w:val="24"/>
        </w:rPr>
        <w:t xml:space="preserve"> </w:t>
      </w:r>
      <w:r w:rsidR="00384F7A" w:rsidRPr="00384F7A">
        <w:rPr>
          <w:rFonts w:ascii="Arial" w:hAnsi="Arial" w:cs="Arial"/>
          <w:i/>
          <w:sz w:val="24"/>
          <w:szCs w:val="24"/>
        </w:rPr>
        <w:t xml:space="preserve">and have </w:t>
      </w:r>
      <w:r w:rsidR="00A31C1B" w:rsidRPr="00384F7A">
        <w:rPr>
          <w:rFonts w:ascii="Arial" w:hAnsi="Arial" w:cs="Arial"/>
          <w:i/>
          <w:sz w:val="24"/>
          <w:szCs w:val="24"/>
        </w:rPr>
        <w:t>the following feedback</w:t>
      </w:r>
      <w:r w:rsidR="00384F7A" w:rsidRPr="00384F7A">
        <w:rPr>
          <w:rFonts w:ascii="Arial" w:hAnsi="Arial" w:cs="Arial"/>
          <w:i/>
          <w:sz w:val="24"/>
          <w:szCs w:val="24"/>
        </w:rPr>
        <w:t>.</w:t>
      </w:r>
      <w:r w:rsidRPr="00384F7A">
        <w:rPr>
          <w:rFonts w:ascii="Arial" w:hAnsi="Arial" w:cs="Arial"/>
          <w:i/>
          <w:sz w:val="24"/>
          <w:szCs w:val="24"/>
        </w:rPr>
        <w:t xml:space="preserve">  </w:t>
      </w:r>
    </w:p>
    <w:p w14:paraId="79E888B2" w14:textId="6E3C6B4C" w:rsidR="001B6A8D" w:rsidRPr="00384F7A" w:rsidRDefault="001B6A8D" w:rsidP="001B6A8D">
      <w:pPr>
        <w:pStyle w:val="ListParagraph"/>
        <w:numPr>
          <w:ilvl w:val="0"/>
          <w:numId w:val="10"/>
        </w:numPr>
        <w:rPr>
          <w:rFonts w:ascii="Arial" w:hAnsi="Arial" w:cs="Arial"/>
          <w:i/>
          <w:sz w:val="24"/>
          <w:szCs w:val="24"/>
        </w:rPr>
      </w:pPr>
      <w:r w:rsidRPr="00384F7A">
        <w:rPr>
          <w:rFonts w:ascii="Arial" w:hAnsi="Arial" w:cs="Arial"/>
          <w:b/>
          <w:i/>
          <w:sz w:val="24"/>
          <w:szCs w:val="24"/>
        </w:rPr>
        <w:t>Avoided conversion of grasslands</w:t>
      </w:r>
      <w:r w:rsidRPr="00384F7A">
        <w:rPr>
          <w:rFonts w:ascii="Arial" w:hAnsi="Arial" w:cs="Arial"/>
          <w:i/>
          <w:sz w:val="24"/>
          <w:szCs w:val="24"/>
        </w:rPr>
        <w:t>: While a permanent Conservation Easement should be sufficient to protect those grasslands, pursuant to AB 32 criteria iv, “Permanent,” a buffer mechanism should be developed to offset any intentional or unintentional situations where grassland soil carbon is lost due to reversal.  Support for this practice also depends on how additionality parameters are treated and implemented, as these have shown themselves to be critical in determining program outcomes</w:t>
      </w:r>
      <w:r w:rsidRPr="00384F7A">
        <w:rPr>
          <w:rStyle w:val="FootnoteReference"/>
          <w:rFonts w:ascii="Arial" w:hAnsi="Arial" w:cs="Arial"/>
          <w:i/>
          <w:sz w:val="24"/>
          <w:szCs w:val="24"/>
        </w:rPr>
        <w:footnoteReference w:id="2"/>
      </w:r>
      <w:r w:rsidRPr="00384F7A">
        <w:rPr>
          <w:rFonts w:ascii="Arial" w:hAnsi="Arial" w:cs="Arial"/>
          <w:i/>
          <w:sz w:val="24"/>
          <w:szCs w:val="24"/>
        </w:rPr>
        <w:t>. If CARB consider</w:t>
      </w:r>
      <w:r w:rsidR="00476878">
        <w:rPr>
          <w:rFonts w:ascii="Arial" w:hAnsi="Arial" w:cs="Arial"/>
          <w:i/>
          <w:sz w:val="24"/>
          <w:szCs w:val="24"/>
        </w:rPr>
        <w:t>s</w:t>
      </w:r>
      <w:r w:rsidRPr="00384F7A">
        <w:rPr>
          <w:rFonts w:ascii="Arial" w:hAnsi="Arial" w:cs="Arial"/>
          <w:i/>
          <w:sz w:val="24"/>
          <w:szCs w:val="24"/>
        </w:rPr>
        <w:t xml:space="preserve"> introducing this practice as an offset protocol, it needs to ensure that the offset projects address imminent risk of conversion. Such considerations help reduce the cost of the emission reductions on a per tonne basis, otherwise individuals may be compensated without generating real environmental benefits. The conversion pressure for baselines needs to be periodically assessed on as local a basis as possible. </w:t>
      </w:r>
      <w:r w:rsidR="008D7DD2" w:rsidRPr="00384F7A">
        <w:rPr>
          <w:rFonts w:ascii="Arial" w:hAnsi="Arial" w:cs="Arial"/>
          <w:i/>
          <w:sz w:val="24"/>
          <w:szCs w:val="24"/>
        </w:rPr>
        <w:t>In addition</w:t>
      </w:r>
      <w:r w:rsidRPr="00384F7A">
        <w:rPr>
          <w:rFonts w:ascii="Arial" w:hAnsi="Arial" w:cs="Arial"/>
          <w:i/>
          <w:sz w:val="24"/>
          <w:szCs w:val="24"/>
        </w:rPr>
        <w:t xml:space="preserve">, the additionality threshold should be locally tailored </w:t>
      </w:r>
      <w:r w:rsidR="0084475F">
        <w:rPr>
          <w:rFonts w:ascii="Arial" w:hAnsi="Arial" w:cs="Arial"/>
          <w:i/>
          <w:sz w:val="24"/>
          <w:szCs w:val="24"/>
        </w:rPr>
        <w:t xml:space="preserve">to ensure desirable environmental outcomes. </w:t>
      </w:r>
    </w:p>
    <w:p w14:paraId="68D11FA7" w14:textId="6437BB6F" w:rsidR="001B6A8D" w:rsidRPr="00384F7A" w:rsidRDefault="001B6A8D" w:rsidP="001B6A8D">
      <w:pPr>
        <w:pStyle w:val="ListParagraph"/>
        <w:numPr>
          <w:ilvl w:val="0"/>
          <w:numId w:val="10"/>
        </w:numPr>
        <w:rPr>
          <w:rFonts w:ascii="Arial" w:hAnsi="Arial" w:cs="Arial"/>
          <w:i/>
          <w:sz w:val="24"/>
          <w:szCs w:val="24"/>
        </w:rPr>
      </w:pPr>
      <w:r w:rsidRPr="00384F7A">
        <w:rPr>
          <w:rFonts w:ascii="Arial" w:hAnsi="Arial" w:cs="Arial"/>
          <w:b/>
          <w:i/>
          <w:sz w:val="24"/>
          <w:szCs w:val="24"/>
        </w:rPr>
        <w:t>Feed additives to reduce enteric CH</w:t>
      </w:r>
      <w:r w:rsidRPr="00384F7A">
        <w:rPr>
          <w:rFonts w:ascii="Arial" w:hAnsi="Arial" w:cs="Arial"/>
          <w:b/>
          <w:i/>
          <w:sz w:val="24"/>
          <w:szCs w:val="24"/>
          <w:vertAlign w:val="subscript"/>
        </w:rPr>
        <w:t>4</w:t>
      </w:r>
      <w:r w:rsidRPr="00384F7A">
        <w:rPr>
          <w:rFonts w:ascii="Arial" w:hAnsi="Arial" w:cs="Arial"/>
          <w:b/>
          <w:i/>
          <w:sz w:val="24"/>
          <w:szCs w:val="24"/>
        </w:rPr>
        <w:t xml:space="preserve"> from cattle</w:t>
      </w:r>
      <w:r w:rsidRPr="00384F7A">
        <w:rPr>
          <w:rFonts w:ascii="Arial" w:hAnsi="Arial" w:cs="Arial"/>
          <w:i/>
          <w:sz w:val="24"/>
          <w:szCs w:val="24"/>
        </w:rPr>
        <w:t xml:space="preserve">: While this practice would result in permanent emissions reductions, there are concerns among the human health community that no data are publicly available that provide evidence that cattle feed supplements are truly safe as they pass through the cow and into humans. We oppose corporates using existing loopholes allowing a voluntary mechanism to inform the US Food and Drug Administration (FDA) that feed additives have been determined to be “generally recognized as safe”  circumventing FDA’s affirmative process to evaluate an additive’s safety. We are tracking this, as well as following research into the evaluation of impacts of feed supplements on cattle health and productivity. </w:t>
      </w:r>
    </w:p>
    <w:p w14:paraId="39B847C6" w14:textId="3AEBAC30" w:rsidR="001B6A8D" w:rsidRPr="00384F7A" w:rsidRDefault="001B6A8D" w:rsidP="001B6A8D">
      <w:pPr>
        <w:pStyle w:val="ListParagraph"/>
        <w:numPr>
          <w:ilvl w:val="0"/>
          <w:numId w:val="10"/>
        </w:numPr>
        <w:rPr>
          <w:rFonts w:ascii="Arial" w:hAnsi="Arial" w:cs="Arial"/>
          <w:i/>
          <w:sz w:val="24"/>
          <w:szCs w:val="24"/>
        </w:rPr>
      </w:pPr>
      <w:r w:rsidRPr="00384F7A">
        <w:rPr>
          <w:rFonts w:ascii="Arial" w:hAnsi="Arial" w:cs="Arial"/>
          <w:b/>
          <w:i/>
          <w:sz w:val="24"/>
          <w:szCs w:val="24"/>
        </w:rPr>
        <w:t>Alternative manure management</w:t>
      </w:r>
      <w:r w:rsidRPr="00384F7A">
        <w:rPr>
          <w:rFonts w:ascii="Arial" w:hAnsi="Arial" w:cs="Arial"/>
          <w:i/>
          <w:sz w:val="24"/>
          <w:szCs w:val="24"/>
        </w:rPr>
        <w:t xml:space="preserve">: Assuming that the manure treatment currently being used creates and releases methane, alternatives </w:t>
      </w:r>
      <w:r w:rsidR="008D7DD2" w:rsidRPr="00384F7A">
        <w:rPr>
          <w:rFonts w:ascii="Arial" w:hAnsi="Arial" w:cs="Arial"/>
          <w:i/>
          <w:sz w:val="24"/>
          <w:szCs w:val="24"/>
        </w:rPr>
        <w:t>that</w:t>
      </w:r>
      <w:r w:rsidRPr="00384F7A">
        <w:rPr>
          <w:rFonts w:ascii="Arial" w:hAnsi="Arial" w:cs="Arial"/>
          <w:i/>
          <w:sz w:val="24"/>
          <w:szCs w:val="24"/>
        </w:rPr>
        <w:t xml:space="preserve"> avoid methane emissions would result in permanent emissions reductions. However, if manure treatment</w:t>
      </w:r>
      <w:r w:rsidR="008D7DD2">
        <w:rPr>
          <w:rFonts w:ascii="Arial" w:hAnsi="Arial" w:cs="Arial"/>
          <w:i/>
          <w:sz w:val="24"/>
          <w:szCs w:val="24"/>
        </w:rPr>
        <w:t>s</w:t>
      </w:r>
      <w:r w:rsidRPr="00384F7A">
        <w:rPr>
          <w:rFonts w:ascii="Arial" w:hAnsi="Arial" w:cs="Arial"/>
          <w:i/>
          <w:sz w:val="24"/>
          <w:szCs w:val="24"/>
        </w:rPr>
        <w:t xml:space="preserve"> </w:t>
      </w:r>
      <w:r w:rsidR="008D7DD2" w:rsidRPr="00384F7A">
        <w:rPr>
          <w:rFonts w:ascii="Arial" w:hAnsi="Arial" w:cs="Arial"/>
          <w:i/>
          <w:sz w:val="24"/>
          <w:szCs w:val="24"/>
        </w:rPr>
        <w:t>were</w:t>
      </w:r>
      <w:r w:rsidRPr="00384F7A">
        <w:rPr>
          <w:rFonts w:ascii="Arial" w:hAnsi="Arial" w:cs="Arial"/>
          <w:i/>
          <w:sz w:val="24"/>
          <w:szCs w:val="24"/>
        </w:rPr>
        <w:t xml:space="preserve"> not currently creating and emitting methane, no GHG benefit would be gained by funding a switch in manure management.  An exception to this could be an alternate manure management system that </w:t>
      </w:r>
      <w:r w:rsidRPr="00384F7A">
        <w:rPr>
          <w:rFonts w:ascii="Arial" w:hAnsi="Arial" w:cs="Arial"/>
          <w:i/>
          <w:sz w:val="24"/>
          <w:szCs w:val="24"/>
        </w:rPr>
        <w:lastRenderedPageBreak/>
        <w:t xml:space="preserve">captures more of the resources in the manure to displace the use (and related production) of inorganic fertilizer.  </w:t>
      </w:r>
    </w:p>
    <w:p w14:paraId="334194EA" w14:textId="77777777" w:rsidR="001B6A8D" w:rsidRPr="00384F7A" w:rsidRDefault="001B6A8D" w:rsidP="00C91037">
      <w:pPr>
        <w:rPr>
          <w:rFonts w:ascii="Arial" w:hAnsi="Arial" w:cs="Arial"/>
          <w:b/>
          <w:sz w:val="24"/>
          <w:szCs w:val="24"/>
        </w:rPr>
      </w:pPr>
    </w:p>
    <w:p w14:paraId="1D224C90" w14:textId="20B8971A" w:rsidR="00C375D5" w:rsidRPr="00384F7A" w:rsidRDefault="00C375D5" w:rsidP="00C91037">
      <w:pPr>
        <w:rPr>
          <w:rFonts w:ascii="Arial" w:hAnsi="Arial" w:cs="Arial"/>
          <w:sz w:val="24"/>
          <w:szCs w:val="24"/>
        </w:rPr>
      </w:pPr>
      <w:r w:rsidRPr="00384F7A">
        <w:rPr>
          <w:rFonts w:ascii="Arial" w:hAnsi="Arial" w:cs="Arial"/>
          <w:b/>
          <w:sz w:val="24"/>
          <w:szCs w:val="24"/>
        </w:rPr>
        <w:t>Page 113:</w:t>
      </w:r>
      <w:r w:rsidRPr="00384F7A">
        <w:rPr>
          <w:rFonts w:ascii="Arial" w:hAnsi="Arial" w:cs="Arial"/>
          <w:sz w:val="24"/>
          <w:szCs w:val="24"/>
        </w:rPr>
        <w:t xml:space="preserve"> </w:t>
      </w:r>
      <w:r w:rsidRPr="00106A56">
        <w:rPr>
          <w:rFonts w:ascii="Arial" w:hAnsi="Arial" w:cs="Arial"/>
          <w:sz w:val="20"/>
          <w:szCs w:val="24"/>
        </w:rPr>
        <w:t>Aggregation may provide transaction cost efficiencies for initial inventory, monitoring, and verification, and may also diversify risk.</w:t>
      </w:r>
    </w:p>
    <w:p w14:paraId="4EAD4A9D" w14:textId="1D79DF28" w:rsidR="00C375D5" w:rsidRPr="00384F7A" w:rsidRDefault="00C375D5" w:rsidP="00C91037">
      <w:pPr>
        <w:rPr>
          <w:rFonts w:ascii="Arial" w:hAnsi="Arial" w:cs="Arial"/>
          <w:sz w:val="24"/>
          <w:szCs w:val="24"/>
        </w:rPr>
      </w:pPr>
    </w:p>
    <w:p w14:paraId="6772B5D4" w14:textId="0057F1C7" w:rsidR="00C375D5" w:rsidRPr="00384F7A" w:rsidRDefault="001B6A8D" w:rsidP="00C91037">
      <w:pPr>
        <w:rPr>
          <w:rFonts w:ascii="Arial" w:hAnsi="Arial" w:cs="Arial"/>
          <w:i/>
          <w:sz w:val="24"/>
          <w:szCs w:val="24"/>
        </w:rPr>
      </w:pPr>
      <w:r w:rsidRPr="00384F7A">
        <w:rPr>
          <w:rFonts w:ascii="Arial" w:hAnsi="Arial" w:cs="Arial"/>
          <w:i/>
          <w:sz w:val="24"/>
          <w:szCs w:val="24"/>
        </w:rPr>
        <w:t xml:space="preserve">Comment: </w:t>
      </w:r>
      <w:r w:rsidR="00C375D5" w:rsidRPr="00384F7A">
        <w:rPr>
          <w:rFonts w:ascii="Arial" w:hAnsi="Arial" w:cs="Arial"/>
          <w:i/>
          <w:sz w:val="24"/>
          <w:szCs w:val="24"/>
        </w:rPr>
        <w:t xml:space="preserve">Aggregation that encompasses a commonly governed jurisdiction can also address other important issues, such </w:t>
      </w:r>
      <w:r w:rsidR="008D7DD2" w:rsidRPr="00384F7A">
        <w:rPr>
          <w:rFonts w:ascii="Arial" w:hAnsi="Arial" w:cs="Arial"/>
          <w:i/>
          <w:sz w:val="24"/>
          <w:szCs w:val="24"/>
        </w:rPr>
        <w:t>as</w:t>
      </w:r>
      <w:r w:rsidR="00C375D5" w:rsidRPr="00384F7A">
        <w:rPr>
          <w:rFonts w:ascii="Arial" w:hAnsi="Arial" w:cs="Arial"/>
          <w:i/>
          <w:sz w:val="24"/>
          <w:szCs w:val="24"/>
        </w:rPr>
        <w:t xml:space="preserve"> reducing risk of reversals, improving social acceptability, and “cherry-picking”. </w:t>
      </w:r>
    </w:p>
    <w:p w14:paraId="7FE69B9D" w14:textId="0D17280A" w:rsidR="00C375D5" w:rsidRPr="00384F7A" w:rsidRDefault="00C375D5" w:rsidP="00C91037">
      <w:pPr>
        <w:rPr>
          <w:rFonts w:ascii="Arial" w:hAnsi="Arial" w:cs="Arial"/>
          <w:sz w:val="24"/>
          <w:szCs w:val="24"/>
        </w:rPr>
      </w:pPr>
    </w:p>
    <w:p w14:paraId="4C67C7FF" w14:textId="75F42BB9" w:rsidR="00C375D5" w:rsidRPr="00106A56" w:rsidRDefault="00C375D5" w:rsidP="00C375D5">
      <w:pPr>
        <w:rPr>
          <w:rFonts w:ascii="Arial" w:hAnsi="Arial" w:cs="Arial"/>
          <w:sz w:val="20"/>
          <w:szCs w:val="24"/>
        </w:rPr>
      </w:pPr>
      <w:r w:rsidRPr="00384F7A">
        <w:rPr>
          <w:rFonts w:ascii="Arial" w:hAnsi="Arial" w:cs="Arial"/>
          <w:b/>
          <w:sz w:val="24"/>
          <w:szCs w:val="24"/>
        </w:rPr>
        <w:t>Page 115:</w:t>
      </w:r>
      <w:r w:rsidRPr="00384F7A">
        <w:rPr>
          <w:rFonts w:ascii="Arial" w:hAnsi="Arial" w:cs="Arial"/>
          <w:sz w:val="24"/>
          <w:szCs w:val="24"/>
        </w:rPr>
        <w:t xml:space="preserve"> </w:t>
      </w:r>
      <w:r w:rsidRPr="00106A56">
        <w:rPr>
          <w:rFonts w:ascii="Arial" w:hAnsi="Arial" w:cs="Arial"/>
          <w:sz w:val="20"/>
          <w:szCs w:val="24"/>
        </w:rPr>
        <w:t>AB 32 Criteria: i. Real – GHG reductions or GHG enhancements result from a demonstrable action or set of actions, and are quantified using appropriate, accurate, and conservative methodologies that account for all GHG emissions sources, GHG sinks, and GHG reservoirs within the offset project boundary and account for uncertainty and the potential for</w:t>
      </w:r>
      <w:r w:rsidRPr="00106A56">
        <w:rPr>
          <w:rFonts w:ascii="Arial" w:hAnsi="Arial" w:cs="Arial"/>
          <w:sz w:val="18"/>
        </w:rPr>
        <w:t xml:space="preserve"> </w:t>
      </w:r>
      <w:r w:rsidRPr="00106A56">
        <w:rPr>
          <w:rFonts w:ascii="Arial" w:hAnsi="Arial" w:cs="Arial"/>
          <w:sz w:val="20"/>
          <w:szCs w:val="24"/>
        </w:rPr>
        <w:t>activity-shifting leakage and market-shifting leakage. The addition of compost to grasslands is a demonstrable action that increases the carbon sequestered in soils.</w:t>
      </w:r>
    </w:p>
    <w:p w14:paraId="7E944543" w14:textId="00E3F971" w:rsidR="00C375D5" w:rsidRPr="00384F7A" w:rsidRDefault="00C375D5" w:rsidP="00C91037">
      <w:pPr>
        <w:rPr>
          <w:rFonts w:ascii="Arial" w:hAnsi="Arial" w:cs="Arial"/>
          <w:sz w:val="24"/>
          <w:szCs w:val="24"/>
        </w:rPr>
      </w:pPr>
    </w:p>
    <w:p w14:paraId="23441D9C" w14:textId="3B78E988" w:rsidR="001B6A8D" w:rsidRPr="00384F7A" w:rsidRDefault="001B6A8D" w:rsidP="00C91037">
      <w:pPr>
        <w:rPr>
          <w:rFonts w:ascii="Arial" w:hAnsi="Arial" w:cs="Arial"/>
          <w:i/>
          <w:sz w:val="24"/>
          <w:szCs w:val="24"/>
        </w:rPr>
      </w:pPr>
      <w:r w:rsidRPr="00384F7A">
        <w:rPr>
          <w:rFonts w:ascii="Arial" w:hAnsi="Arial" w:cs="Arial"/>
          <w:i/>
          <w:sz w:val="24"/>
          <w:szCs w:val="24"/>
        </w:rPr>
        <w:t xml:space="preserve">Comment: However, it may just involve shifting the carbon from one location to another. This must be considered. </w:t>
      </w:r>
      <w:r w:rsidR="008D7DD2">
        <w:rPr>
          <w:rFonts w:ascii="Arial" w:hAnsi="Arial" w:cs="Arial"/>
          <w:i/>
          <w:sz w:val="24"/>
          <w:szCs w:val="24"/>
        </w:rPr>
        <w:t>e</w:t>
      </w:r>
      <w:r w:rsidRPr="00384F7A">
        <w:rPr>
          <w:rFonts w:ascii="Arial" w:hAnsi="Arial" w:cs="Arial"/>
          <w:i/>
          <w:sz w:val="24"/>
          <w:szCs w:val="24"/>
        </w:rPr>
        <w:t xml:space="preserve">ven though these recommendations do not propose putting this practice forward for inclusion within a CARB protocol, the issues of net GHGs and lifecycle need to be addressed—not simply cost barriers. </w:t>
      </w:r>
    </w:p>
    <w:p w14:paraId="484C1436" w14:textId="77777777" w:rsidR="001B6A8D" w:rsidRPr="00384F7A" w:rsidRDefault="001B6A8D" w:rsidP="00C91037">
      <w:pPr>
        <w:rPr>
          <w:rFonts w:ascii="Arial" w:hAnsi="Arial" w:cs="Arial"/>
          <w:sz w:val="24"/>
          <w:szCs w:val="24"/>
        </w:rPr>
      </w:pPr>
    </w:p>
    <w:p w14:paraId="5B678CDA" w14:textId="0925CD4E" w:rsidR="001B6A8D" w:rsidRPr="00106A56" w:rsidRDefault="001B6A8D" w:rsidP="001B6A8D">
      <w:pPr>
        <w:rPr>
          <w:rFonts w:ascii="Arial" w:hAnsi="Arial" w:cs="Arial"/>
          <w:i/>
          <w:sz w:val="20"/>
          <w:szCs w:val="24"/>
        </w:rPr>
      </w:pPr>
      <w:r w:rsidRPr="00384F7A">
        <w:rPr>
          <w:rFonts w:ascii="Arial" w:hAnsi="Arial" w:cs="Arial"/>
          <w:b/>
          <w:sz w:val="24"/>
          <w:szCs w:val="24"/>
        </w:rPr>
        <w:t>Page 124:</w:t>
      </w:r>
      <w:r w:rsidRPr="00384F7A">
        <w:rPr>
          <w:rFonts w:ascii="Arial" w:hAnsi="Arial" w:cs="Arial"/>
          <w:i/>
          <w:sz w:val="24"/>
          <w:szCs w:val="24"/>
        </w:rPr>
        <w:t xml:space="preserve"> </w:t>
      </w:r>
      <w:r w:rsidRPr="00106A56">
        <w:rPr>
          <w:rFonts w:ascii="Arial" w:hAnsi="Arial" w:cs="Arial"/>
          <w:sz w:val="20"/>
          <w:szCs w:val="24"/>
        </w:rPr>
        <w:t>vi. Recommendation The avoided conversion of grasslands to croplands has significant potential for improved carbon sequestration. Over decades, grasslands have stored significant amounts of carbon. Avoiding the conversion of these lands maintains the carbon in the ground. There may also be potential to avoid emissions through avoiding the conversion of croplands to urban uses.</w:t>
      </w:r>
    </w:p>
    <w:p w14:paraId="12795742" w14:textId="71310DBA" w:rsidR="001B6A8D" w:rsidRPr="00384F7A" w:rsidRDefault="001B6A8D" w:rsidP="00D0380E">
      <w:pPr>
        <w:rPr>
          <w:rFonts w:ascii="Arial" w:hAnsi="Arial" w:cs="Arial"/>
          <w:i/>
          <w:sz w:val="24"/>
          <w:szCs w:val="24"/>
        </w:rPr>
      </w:pPr>
    </w:p>
    <w:p w14:paraId="01E886DE" w14:textId="1C1C1ECA" w:rsidR="001B6A8D" w:rsidRPr="00384F7A" w:rsidRDefault="001B6A8D" w:rsidP="00D0380E">
      <w:pPr>
        <w:rPr>
          <w:rFonts w:ascii="Arial" w:hAnsi="Arial" w:cs="Arial"/>
          <w:i/>
          <w:sz w:val="24"/>
          <w:szCs w:val="24"/>
        </w:rPr>
      </w:pPr>
      <w:r w:rsidRPr="00384F7A">
        <w:rPr>
          <w:rFonts w:ascii="Arial" w:hAnsi="Arial" w:cs="Arial"/>
          <w:i/>
          <w:sz w:val="24"/>
          <w:szCs w:val="24"/>
        </w:rPr>
        <w:t xml:space="preserve">Comment: It is not improved carbon sequestration, rather avoided emissions. </w:t>
      </w:r>
      <w:r w:rsidR="008D7DD2" w:rsidRPr="00384F7A">
        <w:rPr>
          <w:rFonts w:ascii="Arial" w:hAnsi="Arial" w:cs="Arial"/>
          <w:i/>
          <w:sz w:val="24"/>
          <w:szCs w:val="24"/>
        </w:rPr>
        <w:t>In addition</w:t>
      </w:r>
      <w:r w:rsidRPr="00384F7A">
        <w:rPr>
          <w:rFonts w:ascii="Arial" w:hAnsi="Arial" w:cs="Arial"/>
          <w:i/>
          <w:sz w:val="24"/>
          <w:szCs w:val="24"/>
        </w:rPr>
        <w:t xml:space="preserve">, emissions from conversion to urban areas are minimal to non-existent. See the US national greenhouse gas inventory for EPA reasoning on this topic.  </w:t>
      </w:r>
    </w:p>
    <w:p w14:paraId="770A070D" w14:textId="77777777" w:rsidR="00106A56" w:rsidRDefault="00106A56" w:rsidP="00D0380E">
      <w:pPr>
        <w:rPr>
          <w:rFonts w:ascii="Arial" w:hAnsi="Arial" w:cs="Arial"/>
          <w:i/>
          <w:sz w:val="24"/>
          <w:szCs w:val="24"/>
        </w:rPr>
      </w:pPr>
    </w:p>
    <w:p w14:paraId="639F6243" w14:textId="54B8A24F" w:rsidR="001B6A8D" w:rsidRPr="00384F7A" w:rsidRDefault="001B6A8D" w:rsidP="00D0380E">
      <w:pPr>
        <w:rPr>
          <w:rFonts w:ascii="Arial" w:hAnsi="Arial" w:cs="Arial"/>
          <w:sz w:val="24"/>
          <w:szCs w:val="24"/>
        </w:rPr>
      </w:pPr>
      <w:r w:rsidRPr="00106A56">
        <w:rPr>
          <w:rFonts w:ascii="Arial" w:hAnsi="Arial" w:cs="Arial"/>
          <w:b/>
          <w:sz w:val="24"/>
          <w:szCs w:val="24"/>
        </w:rPr>
        <w:t>Page 125:</w:t>
      </w:r>
      <w:r w:rsidRPr="00384F7A">
        <w:rPr>
          <w:rFonts w:ascii="Arial" w:hAnsi="Arial" w:cs="Arial"/>
          <w:i/>
          <w:sz w:val="24"/>
          <w:szCs w:val="24"/>
        </w:rPr>
        <w:t xml:space="preserve"> </w:t>
      </w:r>
      <w:r w:rsidRPr="00106A56">
        <w:rPr>
          <w:rFonts w:ascii="Arial" w:hAnsi="Arial" w:cs="Arial"/>
          <w:sz w:val="20"/>
          <w:szCs w:val="24"/>
        </w:rPr>
        <w:t>Published research has shown reductions of enteric methane of about 30 percent when 3NOP is fed at rates between 40 and 80 mg per kg of dry matter, with maximum mitigation taking place between 1</w:t>
      </w:r>
      <w:r w:rsidR="00106A56" w:rsidRPr="00106A56">
        <w:rPr>
          <w:rFonts w:ascii="Arial" w:hAnsi="Arial" w:cs="Arial"/>
          <w:sz w:val="20"/>
          <w:szCs w:val="24"/>
        </w:rPr>
        <w:t>00 and 200 mg/kg dry matter.</w:t>
      </w:r>
    </w:p>
    <w:p w14:paraId="2568A9DA" w14:textId="1C5F76A5" w:rsidR="001B6A8D" w:rsidRPr="00384F7A" w:rsidRDefault="001B6A8D" w:rsidP="00D0380E">
      <w:pPr>
        <w:rPr>
          <w:rFonts w:ascii="Arial" w:hAnsi="Arial" w:cs="Arial"/>
          <w:sz w:val="24"/>
          <w:szCs w:val="24"/>
        </w:rPr>
      </w:pPr>
    </w:p>
    <w:p w14:paraId="15574846" w14:textId="77473502" w:rsidR="001B6A8D" w:rsidRPr="00384F7A" w:rsidRDefault="001B6A8D" w:rsidP="00D0380E">
      <w:pPr>
        <w:rPr>
          <w:rFonts w:ascii="Arial" w:hAnsi="Arial" w:cs="Arial"/>
          <w:i/>
          <w:sz w:val="24"/>
          <w:szCs w:val="24"/>
        </w:rPr>
      </w:pPr>
      <w:r w:rsidRPr="00384F7A">
        <w:rPr>
          <w:rFonts w:ascii="Arial" w:hAnsi="Arial" w:cs="Arial"/>
          <w:i/>
          <w:sz w:val="24"/>
          <w:szCs w:val="24"/>
        </w:rPr>
        <w:t xml:space="preserve">Comment: </w:t>
      </w:r>
      <w:r w:rsidR="00476878">
        <w:rPr>
          <w:rFonts w:ascii="Arial" w:hAnsi="Arial" w:cs="Arial"/>
          <w:i/>
          <w:sz w:val="24"/>
          <w:szCs w:val="24"/>
        </w:rPr>
        <w:t>W</w:t>
      </w:r>
      <w:r w:rsidR="00476878" w:rsidRPr="00476878">
        <w:rPr>
          <w:rFonts w:ascii="Arial" w:hAnsi="Arial" w:cs="Arial"/>
          <w:i/>
          <w:sz w:val="24"/>
          <w:szCs w:val="24"/>
        </w:rPr>
        <w:t xml:space="preserve">hile the enteric </w:t>
      </w:r>
      <w:r w:rsidR="00476878">
        <w:rPr>
          <w:rFonts w:ascii="Arial" w:hAnsi="Arial" w:cs="Arial"/>
          <w:i/>
          <w:sz w:val="24"/>
          <w:szCs w:val="24"/>
        </w:rPr>
        <w:t>methane</w:t>
      </w:r>
      <w:r w:rsidR="00476878" w:rsidRPr="00476878">
        <w:rPr>
          <w:rFonts w:ascii="Arial" w:hAnsi="Arial" w:cs="Arial"/>
          <w:i/>
          <w:sz w:val="24"/>
          <w:szCs w:val="24"/>
        </w:rPr>
        <w:t xml:space="preserve"> emissions for lactating cows were reduced by 39% (meta-analysis, updated here from Dijkstra et al. 2018), net GHG reductions for the system were</w:t>
      </w:r>
      <w:r w:rsidR="008D7DD2">
        <w:rPr>
          <w:rFonts w:ascii="Arial" w:hAnsi="Arial" w:cs="Arial"/>
          <w:i/>
          <w:sz w:val="24"/>
          <w:szCs w:val="24"/>
        </w:rPr>
        <w:t xml:space="preserve"> only</w:t>
      </w:r>
      <w:r w:rsidR="00476878" w:rsidRPr="00476878">
        <w:rPr>
          <w:rFonts w:ascii="Arial" w:hAnsi="Arial" w:cs="Arial"/>
          <w:i/>
          <w:sz w:val="24"/>
          <w:szCs w:val="24"/>
        </w:rPr>
        <w:t xml:space="preserve"> 12%</w:t>
      </w:r>
      <w:r w:rsidR="00476878">
        <w:rPr>
          <w:rStyle w:val="FootnoteReference"/>
          <w:rFonts w:ascii="Arial" w:hAnsi="Arial" w:cs="Arial"/>
          <w:i/>
          <w:sz w:val="24"/>
          <w:szCs w:val="24"/>
        </w:rPr>
        <w:footnoteReference w:id="3"/>
      </w:r>
      <w:r w:rsidR="00476878">
        <w:rPr>
          <w:rFonts w:ascii="Arial" w:hAnsi="Arial" w:cs="Arial"/>
          <w:i/>
          <w:sz w:val="24"/>
          <w:szCs w:val="24"/>
        </w:rPr>
        <w:t>.</w:t>
      </w:r>
    </w:p>
    <w:p w14:paraId="06C7B032" w14:textId="77777777" w:rsidR="00106A56" w:rsidRDefault="00106A56" w:rsidP="008F1CD9">
      <w:pPr>
        <w:rPr>
          <w:rFonts w:ascii="Arial" w:hAnsi="Arial" w:cs="Arial"/>
          <w:sz w:val="24"/>
          <w:szCs w:val="24"/>
        </w:rPr>
      </w:pPr>
    </w:p>
    <w:p w14:paraId="60DE489D" w14:textId="34CD5BC8" w:rsidR="00106A56" w:rsidRDefault="00106A56" w:rsidP="008F1CD9">
      <w:pPr>
        <w:rPr>
          <w:rFonts w:ascii="Arial" w:hAnsi="Arial" w:cs="Arial"/>
          <w:sz w:val="24"/>
          <w:szCs w:val="24"/>
        </w:rPr>
      </w:pPr>
    </w:p>
    <w:p w14:paraId="4546DA61" w14:textId="4572FA91" w:rsidR="00383282" w:rsidRDefault="00383282" w:rsidP="008F1CD9">
      <w:pPr>
        <w:rPr>
          <w:rFonts w:ascii="Arial" w:hAnsi="Arial" w:cs="Arial"/>
          <w:sz w:val="24"/>
          <w:szCs w:val="24"/>
        </w:rPr>
      </w:pPr>
    </w:p>
    <w:p w14:paraId="67035F18" w14:textId="0C88B1DC" w:rsidR="00383282" w:rsidRDefault="00383282" w:rsidP="008F1CD9">
      <w:pPr>
        <w:rPr>
          <w:rFonts w:ascii="Arial" w:hAnsi="Arial" w:cs="Arial"/>
          <w:sz w:val="24"/>
          <w:szCs w:val="24"/>
        </w:rPr>
      </w:pPr>
    </w:p>
    <w:p w14:paraId="731C06A2" w14:textId="77777777" w:rsidR="00383282" w:rsidRDefault="00383282" w:rsidP="008F1CD9">
      <w:pPr>
        <w:rPr>
          <w:rFonts w:ascii="Arial" w:hAnsi="Arial" w:cs="Arial"/>
          <w:sz w:val="24"/>
          <w:szCs w:val="24"/>
        </w:rPr>
      </w:pPr>
    </w:p>
    <w:p w14:paraId="5FF4AB3D" w14:textId="77777777" w:rsidR="00106A56" w:rsidRDefault="00106A56" w:rsidP="008F1CD9">
      <w:pPr>
        <w:rPr>
          <w:rFonts w:ascii="Arial" w:hAnsi="Arial" w:cs="Arial"/>
          <w:sz w:val="24"/>
          <w:szCs w:val="24"/>
        </w:rPr>
      </w:pPr>
    </w:p>
    <w:p w14:paraId="7C7A03AD" w14:textId="77777777" w:rsidR="00106A56" w:rsidRDefault="00106A56" w:rsidP="008F1CD9">
      <w:pPr>
        <w:rPr>
          <w:rFonts w:ascii="Arial" w:hAnsi="Arial" w:cs="Arial"/>
          <w:sz w:val="24"/>
          <w:szCs w:val="24"/>
        </w:rPr>
      </w:pPr>
    </w:p>
    <w:p w14:paraId="4EFD1C32" w14:textId="70676D3A" w:rsidR="008F1CD9" w:rsidRPr="00384F7A" w:rsidRDefault="008F1CD9" w:rsidP="008F1CD9">
      <w:pPr>
        <w:rPr>
          <w:rFonts w:ascii="Arial" w:hAnsi="Arial" w:cs="Arial"/>
          <w:sz w:val="24"/>
          <w:szCs w:val="24"/>
        </w:rPr>
      </w:pPr>
      <w:r w:rsidRPr="00384F7A">
        <w:rPr>
          <w:rFonts w:ascii="Arial" w:hAnsi="Arial" w:cs="Arial"/>
          <w:sz w:val="24"/>
          <w:szCs w:val="24"/>
        </w:rPr>
        <w:lastRenderedPageBreak/>
        <w:t xml:space="preserve">EDF appreciates the work of the Task Force, and especially the subgroup C/D for their thoughtful consideration of the role of offsets in addressing the climate crisis. We look forward to engaging in this ongoing process at CARB and </w:t>
      </w:r>
      <w:r w:rsidR="00106A56">
        <w:rPr>
          <w:rFonts w:ascii="Arial" w:hAnsi="Arial" w:cs="Arial"/>
          <w:sz w:val="24"/>
          <w:szCs w:val="24"/>
        </w:rPr>
        <w:t>are</w:t>
      </w:r>
      <w:r w:rsidRPr="00384F7A">
        <w:rPr>
          <w:rFonts w:ascii="Arial" w:hAnsi="Arial" w:cs="Arial"/>
          <w:sz w:val="24"/>
          <w:szCs w:val="24"/>
        </w:rPr>
        <w:t xml:space="preserve"> happy to discuss any of our comments further. </w:t>
      </w:r>
    </w:p>
    <w:p w14:paraId="19A9D409" w14:textId="67148040" w:rsidR="008F1CD9" w:rsidRPr="00384F7A" w:rsidRDefault="008F1CD9" w:rsidP="008F1CD9">
      <w:pPr>
        <w:rPr>
          <w:rFonts w:ascii="Arial" w:hAnsi="Arial" w:cs="Arial"/>
          <w:sz w:val="24"/>
          <w:szCs w:val="24"/>
        </w:rPr>
      </w:pPr>
    </w:p>
    <w:p w14:paraId="4FC0992A" w14:textId="77777777" w:rsidR="00384F7A" w:rsidRDefault="00384F7A" w:rsidP="008F1CD9">
      <w:pPr>
        <w:rPr>
          <w:rFonts w:ascii="Arial" w:hAnsi="Arial" w:cs="Arial"/>
          <w:sz w:val="24"/>
          <w:szCs w:val="24"/>
        </w:rPr>
      </w:pPr>
    </w:p>
    <w:p w14:paraId="05F2BE48" w14:textId="77777777" w:rsidR="00106A56" w:rsidRDefault="00106A56" w:rsidP="008F1CD9">
      <w:pPr>
        <w:rPr>
          <w:rFonts w:ascii="Arial" w:hAnsi="Arial" w:cs="Arial"/>
          <w:sz w:val="24"/>
          <w:szCs w:val="24"/>
        </w:rPr>
      </w:pPr>
    </w:p>
    <w:p w14:paraId="188916C8" w14:textId="0D300314" w:rsidR="008F1CD9" w:rsidRPr="00384F7A" w:rsidRDefault="008F1CD9" w:rsidP="008F1CD9">
      <w:pPr>
        <w:rPr>
          <w:rFonts w:ascii="Arial" w:hAnsi="Arial" w:cs="Arial"/>
          <w:sz w:val="24"/>
          <w:szCs w:val="24"/>
        </w:rPr>
      </w:pPr>
      <w:r w:rsidRPr="00384F7A">
        <w:rPr>
          <w:rFonts w:ascii="Arial" w:hAnsi="Arial" w:cs="Arial"/>
          <w:sz w:val="24"/>
          <w:szCs w:val="24"/>
        </w:rPr>
        <w:t xml:space="preserve">Sincerely, </w:t>
      </w:r>
    </w:p>
    <w:p w14:paraId="38A2E1E9" w14:textId="07D93671" w:rsidR="008F1CD9" w:rsidRPr="00384F7A" w:rsidRDefault="008F1CD9" w:rsidP="008F1CD9">
      <w:pPr>
        <w:rPr>
          <w:rFonts w:ascii="Arial" w:hAnsi="Arial" w:cs="Arial"/>
          <w:sz w:val="24"/>
          <w:szCs w:val="24"/>
        </w:rPr>
      </w:pPr>
    </w:p>
    <w:p w14:paraId="330A30CB" w14:textId="25431981" w:rsidR="008F1CD9" w:rsidRPr="00384F7A" w:rsidRDefault="008F1CD9" w:rsidP="008F1CD9">
      <w:pPr>
        <w:rPr>
          <w:rFonts w:ascii="Arial" w:hAnsi="Arial" w:cs="Arial"/>
          <w:sz w:val="24"/>
          <w:szCs w:val="24"/>
        </w:rPr>
      </w:pPr>
      <w:r w:rsidRPr="00384F7A">
        <w:rPr>
          <w:rFonts w:ascii="Arial" w:hAnsi="Arial" w:cs="Arial"/>
          <w:sz w:val="24"/>
          <w:szCs w:val="24"/>
        </w:rPr>
        <w:t>Amy Hughes</w:t>
      </w:r>
    </w:p>
    <w:p w14:paraId="1A362AD4" w14:textId="1CAE55E0" w:rsidR="008F1CD9" w:rsidRPr="00384F7A" w:rsidRDefault="008F1CD9" w:rsidP="008F1CD9">
      <w:pPr>
        <w:rPr>
          <w:rFonts w:ascii="Arial" w:hAnsi="Arial" w:cs="Arial"/>
          <w:i/>
          <w:sz w:val="24"/>
          <w:szCs w:val="24"/>
        </w:rPr>
      </w:pPr>
      <w:r w:rsidRPr="00384F7A">
        <w:rPr>
          <w:rFonts w:ascii="Arial" w:hAnsi="Arial" w:cs="Arial"/>
          <w:i/>
          <w:sz w:val="24"/>
          <w:szCs w:val="24"/>
        </w:rPr>
        <w:t>Senior Manager, Working Lands</w:t>
      </w:r>
    </w:p>
    <w:p w14:paraId="67212D7E" w14:textId="014A3715" w:rsidR="008F1CD9" w:rsidRPr="00384F7A" w:rsidRDefault="008F1CD9" w:rsidP="008F1CD9">
      <w:pPr>
        <w:rPr>
          <w:rFonts w:ascii="Arial" w:hAnsi="Arial" w:cs="Arial"/>
          <w:sz w:val="24"/>
          <w:szCs w:val="24"/>
        </w:rPr>
      </w:pPr>
    </w:p>
    <w:p w14:paraId="172FE20B" w14:textId="15C0431E" w:rsidR="008F1CD9" w:rsidRPr="00384F7A" w:rsidRDefault="008F1CD9" w:rsidP="008F1CD9">
      <w:pPr>
        <w:rPr>
          <w:rFonts w:ascii="Arial" w:hAnsi="Arial" w:cs="Arial"/>
          <w:sz w:val="24"/>
          <w:szCs w:val="24"/>
        </w:rPr>
      </w:pPr>
      <w:r w:rsidRPr="00384F7A">
        <w:rPr>
          <w:rFonts w:ascii="Arial" w:hAnsi="Arial" w:cs="Arial"/>
          <w:sz w:val="24"/>
          <w:szCs w:val="24"/>
        </w:rPr>
        <w:t>Katelyn Roedner Sutter</w:t>
      </w:r>
    </w:p>
    <w:p w14:paraId="0BDB9AB0" w14:textId="2A9BF64C" w:rsidR="008F1CD9" w:rsidRPr="00384F7A" w:rsidRDefault="008F1CD9" w:rsidP="008F1CD9">
      <w:pPr>
        <w:rPr>
          <w:rFonts w:ascii="Arial" w:hAnsi="Arial" w:cs="Arial"/>
          <w:i/>
          <w:sz w:val="24"/>
          <w:szCs w:val="24"/>
        </w:rPr>
      </w:pPr>
      <w:r w:rsidRPr="00384F7A">
        <w:rPr>
          <w:rFonts w:ascii="Arial" w:hAnsi="Arial" w:cs="Arial"/>
          <w:i/>
          <w:sz w:val="24"/>
          <w:szCs w:val="24"/>
        </w:rPr>
        <w:t>Manager, US Climate</w:t>
      </w:r>
    </w:p>
    <w:p w14:paraId="3C449B60" w14:textId="0E5012A8" w:rsidR="008F1CD9" w:rsidRPr="00384F7A" w:rsidRDefault="008F1CD9" w:rsidP="008F1CD9">
      <w:pPr>
        <w:rPr>
          <w:rFonts w:ascii="Arial" w:hAnsi="Arial" w:cs="Arial"/>
          <w:sz w:val="24"/>
          <w:szCs w:val="24"/>
        </w:rPr>
      </w:pPr>
    </w:p>
    <w:p w14:paraId="30E87FB7" w14:textId="4A389F8B" w:rsidR="008F1CD9" w:rsidRPr="00384F7A" w:rsidRDefault="008F1CD9" w:rsidP="008F1CD9">
      <w:pPr>
        <w:rPr>
          <w:rFonts w:ascii="Arial" w:hAnsi="Arial" w:cs="Arial"/>
          <w:sz w:val="24"/>
          <w:szCs w:val="24"/>
        </w:rPr>
      </w:pPr>
      <w:r w:rsidRPr="00384F7A">
        <w:rPr>
          <w:rFonts w:ascii="Arial" w:hAnsi="Arial" w:cs="Arial"/>
          <w:sz w:val="24"/>
          <w:szCs w:val="24"/>
        </w:rPr>
        <w:t>Alison Eagle</w:t>
      </w:r>
    </w:p>
    <w:p w14:paraId="794D6A4A" w14:textId="352B9894" w:rsidR="008F1CD9" w:rsidRPr="00384F7A" w:rsidRDefault="008F1CD9" w:rsidP="008F1CD9">
      <w:pPr>
        <w:rPr>
          <w:rFonts w:ascii="Arial" w:hAnsi="Arial" w:cs="Arial"/>
          <w:i/>
          <w:sz w:val="24"/>
          <w:szCs w:val="24"/>
        </w:rPr>
      </w:pPr>
      <w:r w:rsidRPr="00384F7A">
        <w:rPr>
          <w:rFonts w:ascii="Arial" w:hAnsi="Arial" w:cs="Arial"/>
          <w:i/>
          <w:sz w:val="24"/>
          <w:szCs w:val="24"/>
        </w:rPr>
        <w:t>Scientist, Working Lands</w:t>
      </w:r>
    </w:p>
    <w:p w14:paraId="6489417A" w14:textId="7B6A1FAB" w:rsidR="008F1CD9" w:rsidRPr="00384F7A" w:rsidRDefault="008F1CD9" w:rsidP="008F1CD9">
      <w:pPr>
        <w:rPr>
          <w:rFonts w:ascii="Arial" w:hAnsi="Arial" w:cs="Arial"/>
          <w:sz w:val="24"/>
          <w:szCs w:val="24"/>
        </w:rPr>
      </w:pPr>
    </w:p>
    <w:p w14:paraId="314DDEFB" w14:textId="1AE7A13A" w:rsidR="008F1CD9" w:rsidRPr="00384F7A" w:rsidRDefault="008F1CD9" w:rsidP="008F1CD9">
      <w:pPr>
        <w:rPr>
          <w:rFonts w:ascii="Arial" w:hAnsi="Arial" w:cs="Arial"/>
          <w:sz w:val="24"/>
          <w:szCs w:val="24"/>
        </w:rPr>
      </w:pPr>
      <w:r w:rsidRPr="00384F7A">
        <w:rPr>
          <w:rFonts w:ascii="Arial" w:hAnsi="Arial" w:cs="Arial"/>
          <w:sz w:val="24"/>
          <w:szCs w:val="24"/>
        </w:rPr>
        <w:t>Joe Rudek</w:t>
      </w:r>
    </w:p>
    <w:p w14:paraId="43210164" w14:textId="1438B3B8" w:rsidR="008F1CD9" w:rsidRPr="00384F7A" w:rsidRDefault="008F1CD9" w:rsidP="008F1CD9">
      <w:pPr>
        <w:rPr>
          <w:rFonts w:ascii="Arial" w:hAnsi="Arial" w:cs="Arial"/>
          <w:i/>
          <w:sz w:val="24"/>
          <w:szCs w:val="24"/>
        </w:rPr>
      </w:pPr>
      <w:r w:rsidRPr="00384F7A">
        <w:rPr>
          <w:rFonts w:ascii="Arial" w:hAnsi="Arial" w:cs="Arial"/>
          <w:i/>
          <w:sz w:val="24"/>
          <w:szCs w:val="24"/>
        </w:rPr>
        <w:t>Lead Senior Scientist</w:t>
      </w:r>
      <w:r w:rsidR="00384F7A" w:rsidRPr="00384F7A">
        <w:rPr>
          <w:rFonts w:ascii="Arial" w:hAnsi="Arial" w:cs="Arial"/>
          <w:i/>
          <w:sz w:val="24"/>
          <w:szCs w:val="24"/>
        </w:rPr>
        <w:t xml:space="preserve">, Office of the Chief Scientist </w:t>
      </w:r>
    </w:p>
    <w:p w14:paraId="2747B8B6" w14:textId="326F69D5" w:rsidR="00522BC6" w:rsidRPr="00384F7A" w:rsidRDefault="00522BC6" w:rsidP="008F1CD9">
      <w:pPr>
        <w:rPr>
          <w:rFonts w:ascii="Arial" w:hAnsi="Arial" w:cs="Arial"/>
          <w:sz w:val="24"/>
          <w:szCs w:val="24"/>
        </w:rPr>
      </w:pPr>
    </w:p>
    <w:p w14:paraId="773BE50B" w14:textId="7A36F43B" w:rsidR="00522BC6" w:rsidRPr="00384F7A" w:rsidRDefault="00522BC6" w:rsidP="008F1CD9">
      <w:pPr>
        <w:rPr>
          <w:rFonts w:ascii="Arial" w:hAnsi="Arial" w:cs="Arial"/>
          <w:sz w:val="24"/>
          <w:szCs w:val="24"/>
        </w:rPr>
      </w:pPr>
      <w:r w:rsidRPr="00384F7A">
        <w:rPr>
          <w:rFonts w:ascii="Arial" w:hAnsi="Arial" w:cs="Arial"/>
          <w:sz w:val="24"/>
          <w:szCs w:val="24"/>
        </w:rPr>
        <w:t>Jeremy Proville</w:t>
      </w:r>
    </w:p>
    <w:p w14:paraId="29447E43" w14:textId="4E8A70A2" w:rsidR="00522BC6" w:rsidRPr="00384F7A" w:rsidRDefault="00522BC6" w:rsidP="008F1CD9">
      <w:pPr>
        <w:rPr>
          <w:rFonts w:ascii="Arial" w:hAnsi="Arial" w:cs="Arial"/>
          <w:i/>
          <w:sz w:val="24"/>
          <w:szCs w:val="24"/>
        </w:rPr>
      </w:pPr>
      <w:r w:rsidRPr="00384F7A">
        <w:rPr>
          <w:rFonts w:ascii="Arial" w:hAnsi="Arial" w:cs="Arial"/>
          <w:i/>
          <w:sz w:val="24"/>
          <w:szCs w:val="24"/>
        </w:rPr>
        <w:t xml:space="preserve">Director, Office of the Chief Economist </w:t>
      </w:r>
    </w:p>
    <w:sectPr w:rsidR="00522BC6" w:rsidRPr="00384F7A">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5670D" w16cid:durableId="234E5BAB"/>
  <w16cid:commentId w16cid:paraId="77F2E03C" w16cid:durableId="234E8174"/>
  <w16cid:commentId w16cid:paraId="64E4FCB5" w16cid:durableId="234E5BF1"/>
  <w16cid:commentId w16cid:paraId="60AC1803" w16cid:durableId="234E8176"/>
  <w16cid:commentId w16cid:paraId="709E56C7" w16cid:durableId="234E8258"/>
  <w16cid:commentId w16cid:paraId="7C000F69" w16cid:durableId="234E8177"/>
  <w16cid:commentId w16cid:paraId="06DB9520" w16cid:durableId="234E8178"/>
  <w16cid:commentId w16cid:paraId="5319A043" w16cid:durableId="234E8179"/>
  <w16cid:commentId w16cid:paraId="2F3481C2" w16cid:durableId="234E817A"/>
  <w16cid:commentId w16cid:paraId="5E5A8EF2" w16cid:durableId="234E5CD0"/>
  <w16cid:commentId w16cid:paraId="7C19459C" w16cid:durableId="234E817C"/>
  <w16cid:commentId w16cid:paraId="6802F28A" w16cid:durableId="234E817D"/>
  <w16cid:commentId w16cid:paraId="3D47AF4E" w16cid:durableId="234EAAD8"/>
  <w16cid:commentId w16cid:paraId="3A9F20BF" w16cid:durableId="234E817E"/>
  <w16cid:commentId w16cid:paraId="48CE0C67" w16cid:durableId="234E817F"/>
  <w16cid:commentId w16cid:paraId="150D4118" w16cid:durableId="234E5D4B"/>
  <w16cid:commentId w16cid:paraId="58A5DF81" w16cid:durableId="234E81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6BAC" w14:textId="77777777" w:rsidR="00ED1504" w:rsidRDefault="00ED1504" w:rsidP="00FC2582">
      <w:r>
        <w:separator/>
      </w:r>
    </w:p>
  </w:endnote>
  <w:endnote w:type="continuationSeparator" w:id="0">
    <w:p w14:paraId="711FAC44" w14:textId="77777777" w:rsidR="00ED1504" w:rsidRDefault="00ED1504" w:rsidP="00FC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51429"/>
      <w:docPartObj>
        <w:docPartGallery w:val="Page Numbers (Bottom of Page)"/>
        <w:docPartUnique/>
      </w:docPartObj>
    </w:sdtPr>
    <w:sdtEndPr>
      <w:rPr>
        <w:noProof/>
      </w:rPr>
    </w:sdtEndPr>
    <w:sdtContent>
      <w:p w14:paraId="68484A59" w14:textId="4C62F671" w:rsidR="00FC2582" w:rsidRDefault="00FC2582">
        <w:pPr>
          <w:pStyle w:val="Footer"/>
          <w:jc w:val="center"/>
        </w:pPr>
        <w:r>
          <w:fldChar w:fldCharType="begin"/>
        </w:r>
        <w:r>
          <w:instrText xml:space="preserve"> PAGE   \* MERGEFORMAT </w:instrText>
        </w:r>
        <w:r>
          <w:fldChar w:fldCharType="separate"/>
        </w:r>
        <w:r w:rsidR="00233C6B">
          <w:rPr>
            <w:noProof/>
          </w:rPr>
          <w:t>2</w:t>
        </w:r>
        <w:r>
          <w:rPr>
            <w:noProof/>
          </w:rPr>
          <w:fldChar w:fldCharType="end"/>
        </w:r>
      </w:p>
    </w:sdtContent>
  </w:sdt>
  <w:p w14:paraId="16FB4583" w14:textId="77777777" w:rsidR="00FC2582" w:rsidRDefault="00FC2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6CBE" w14:textId="77777777" w:rsidR="00ED1504" w:rsidRDefault="00ED1504" w:rsidP="00FC2582">
      <w:r>
        <w:separator/>
      </w:r>
    </w:p>
  </w:footnote>
  <w:footnote w:type="continuationSeparator" w:id="0">
    <w:p w14:paraId="6C318A35" w14:textId="77777777" w:rsidR="00ED1504" w:rsidRDefault="00ED1504" w:rsidP="00FC2582">
      <w:r>
        <w:continuationSeparator/>
      </w:r>
    </w:p>
  </w:footnote>
  <w:footnote w:id="1">
    <w:p w14:paraId="2C73647D" w14:textId="4BE9DB1A" w:rsidR="006E722E" w:rsidRDefault="006E722E">
      <w:pPr>
        <w:pStyle w:val="FootnoteText"/>
      </w:pPr>
      <w:r>
        <w:rPr>
          <w:rStyle w:val="FootnoteReference"/>
        </w:rPr>
        <w:footnoteRef/>
      </w:r>
      <w:r>
        <w:t xml:space="preserve"> Page numbers referenced in this document correspond with the </w:t>
      </w:r>
      <w:r w:rsidRPr="006E722E">
        <w:rPr>
          <w:i/>
        </w:rPr>
        <w:t>COMPLIANCE OFFSETS PROTOCOL TASK FORCE INITIAL DRAFT RECOMMENDATIONS</w:t>
      </w:r>
      <w:r>
        <w:t xml:space="preserve"> report, dated October 7, 2020.</w:t>
      </w:r>
    </w:p>
  </w:footnote>
  <w:footnote w:id="2">
    <w:p w14:paraId="6DA6454D" w14:textId="77777777" w:rsidR="001B6A8D" w:rsidRDefault="001B6A8D" w:rsidP="001B6A8D">
      <w:pPr>
        <w:pStyle w:val="FootnoteText"/>
      </w:pPr>
      <w:r>
        <w:rPr>
          <w:rStyle w:val="FootnoteReference"/>
        </w:rPr>
        <w:footnoteRef/>
      </w:r>
      <w:r>
        <w:t xml:space="preserve"> </w:t>
      </w:r>
      <w:hyperlink r:id="rId1" w:history="1">
        <w:r w:rsidRPr="00A73D68">
          <w:rPr>
            <w:rStyle w:val="Hyperlink"/>
          </w:rPr>
          <w:t>https://www.sciencedirect.com/science/article/abs/pii/S1550742418301775?via%3Dihub</w:t>
        </w:r>
      </w:hyperlink>
      <w:r>
        <w:t xml:space="preserve"> </w:t>
      </w:r>
    </w:p>
  </w:footnote>
  <w:footnote w:id="3">
    <w:p w14:paraId="60C7C294" w14:textId="0CC218E3" w:rsidR="00476878" w:rsidRDefault="00476878">
      <w:pPr>
        <w:pStyle w:val="FootnoteText"/>
      </w:pPr>
      <w:r>
        <w:rPr>
          <w:rStyle w:val="FootnoteReference"/>
        </w:rPr>
        <w:footnoteRef/>
      </w:r>
      <w:r>
        <w:t xml:space="preserve"> </w:t>
      </w:r>
      <w:r>
        <w:rPr>
          <w:rFonts w:ascii="Helvetica" w:hAnsi="Helvetica"/>
          <w:color w:val="202020"/>
          <w:shd w:val="clear" w:color="auto" w:fill="FFFFFF"/>
        </w:rPr>
        <w:t>Feng X, Kebreab E (2020) Net reductions in greenhouse gas emissions from feed additive use in California dairy cattle. PLoS ONE 15(9): e0234289. https://doi.org/10.1371/journal.pone.0234289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897197"/>
    <w:multiLevelType w:val="hybridMultilevel"/>
    <w:tmpl w:val="B9240C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2C3B"/>
    <w:multiLevelType w:val="hybridMultilevel"/>
    <w:tmpl w:val="0E460ABC"/>
    <w:lvl w:ilvl="0" w:tplc="49EC5D42">
      <w:start w:val="9"/>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BD78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E05C2A"/>
    <w:multiLevelType w:val="hybridMultilevel"/>
    <w:tmpl w:val="109A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85C5E"/>
    <w:multiLevelType w:val="hybridMultilevel"/>
    <w:tmpl w:val="77B6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F64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B342E1"/>
    <w:multiLevelType w:val="hybridMultilevel"/>
    <w:tmpl w:val="E1D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D08AC"/>
    <w:multiLevelType w:val="hybridMultilevel"/>
    <w:tmpl w:val="C3620244"/>
    <w:lvl w:ilvl="0" w:tplc="73EC889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52306C">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73837"/>
    <w:multiLevelType w:val="hybridMultilevel"/>
    <w:tmpl w:val="1B51A8A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CEA1B70"/>
    <w:multiLevelType w:val="hybridMultilevel"/>
    <w:tmpl w:val="8BD4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32CC2"/>
    <w:multiLevelType w:val="hybridMultilevel"/>
    <w:tmpl w:val="70B0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17097"/>
    <w:multiLevelType w:val="hybridMultilevel"/>
    <w:tmpl w:val="5C105544"/>
    <w:lvl w:ilvl="0" w:tplc="2E78F6EC">
      <w:start w:val="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025B8"/>
    <w:multiLevelType w:val="hybridMultilevel"/>
    <w:tmpl w:val="89143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4"/>
  </w:num>
  <w:num w:numId="5">
    <w:abstractNumId w:val="10"/>
  </w:num>
  <w:num w:numId="6">
    <w:abstractNumId w:val="11"/>
  </w:num>
  <w:num w:numId="7">
    <w:abstractNumId w:val="6"/>
  </w:num>
  <w:num w:numId="8">
    <w:abstractNumId w:val="5"/>
  </w:num>
  <w:num w:numId="9">
    <w:abstractNumId w:val="2"/>
  </w:num>
  <w:num w:numId="10">
    <w:abstractNumId w:val="3"/>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CD"/>
    <w:rsid w:val="00065520"/>
    <w:rsid w:val="0007666A"/>
    <w:rsid w:val="00096F70"/>
    <w:rsid w:val="000E5900"/>
    <w:rsid w:val="000F47AF"/>
    <w:rsid w:val="00106A56"/>
    <w:rsid w:val="00156F73"/>
    <w:rsid w:val="00163983"/>
    <w:rsid w:val="001B6A8D"/>
    <w:rsid w:val="001F0881"/>
    <w:rsid w:val="002254BE"/>
    <w:rsid w:val="00233C6B"/>
    <w:rsid w:val="0026331E"/>
    <w:rsid w:val="00296D80"/>
    <w:rsid w:val="002C7580"/>
    <w:rsid w:val="00312563"/>
    <w:rsid w:val="00355913"/>
    <w:rsid w:val="00383282"/>
    <w:rsid w:val="00384F7A"/>
    <w:rsid w:val="00390E89"/>
    <w:rsid w:val="003914FE"/>
    <w:rsid w:val="003970CA"/>
    <w:rsid w:val="003D51D7"/>
    <w:rsid w:val="003F27EA"/>
    <w:rsid w:val="00435069"/>
    <w:rsid w:val="00476878"/>
    <w:rsid w:val="00477006"/>
    <w:rsid w:val="00486335"/>
    <w:rsid w:val="00492353"/>
    <w:rsid w:val="004D69F1"/>
    <w:rsid w:val="0050309F"/>
    <w:rsid w:val="005170BC"/>
    <w:rsid w:val="005215D5"/>
    <w:rsid w:val="00522BC6"/>
    <w:rsid w:val="0057192B"/>
    <w:rsid w:val="005D4FD4"/>
    <w:rsid w:val="005D5B56"/>
    <w:rsid w:val="005E2CF2"/>
    <w:rsid w:val="005E7E29"/>
    <w:rsid w:val="00601B5D"/>
    <w:rsid w:val="006202BE"/>
    <w:rsid w:val="00621F2B"/>
    <w:rsid w:val="00640AE3"/>
    <w:rsid w:val="006874BD"/>
    <w:rsid w:val="006C4F91"/>
    <w:rsid w:val="006E05C5"/>
    <w:rsid w:val="006E722E"/>
    <w:rsid w:val="006F5D13"/>
    <w:rsid w:val="00731D23"/>
    <w:rsid w:val="00745D7B"/>
    <w:rsid w:val="00746B8B"/>
    <w:rsid w:val="007A6906"/>
    <w:rsid w:val="007B03B1"/>
    <w:rsid w:val="007F3BB1"/>
    <w:rsid w:val="007F48D7"/>
    <w:rsid w:val="008170E0"/>
    <w:rsid w:val="0084475F"/>
    <w:rsid w:val="00857DB4"/>
    <w:rsid w:val="00881883"/>
    <w:rsid w:val="00882C6B"/>
    <w:rsid w:val="008C4E8B"/>
    <w:rsid w:val="008D7DD2"/>
    <w:rsid w:val="008F1CD9"/>
    <w:rsid w:val="009201FC"/>
    <w:rsid w:val="00935B59"/>
    <w:rsid w:val="00937428"/>
    <w:rsid w:val="0095150C"/>
    <w:rsid w:val="009754AF"/>
    <w:rsid w:val="00987B1D"/>
    <w:rsid w:val="00993493"/>
    <w:rsid w:val="009C0AAF"/>
    <w:rsid w:val="009E5F0C"/>
    <w:rsid w:val="00A030BD"/>
    <w:rsid w:val="00A2304C"/>
    <w:rsid w:val="00A31C1B"/>
    <w:rsid w:val="00A7337E"/>
    <w:rsid w:val="00AA48A8"/>
    <w:rsid w:val="00B04DB8"/>
    <w:rsid w:val="00B13FD5"/>
    <w:rsid w:val="00B157DE"/>
    <w:rsid w:val="00B1619A"/>
    <w:rsid w:val="00B57C82"/>
    <w:rsid w:val="00B60282"/>
    <w:rsid w:val="00B6742E"/>
    <w:rsid w:val="00B80E66"/>
    <w:rsid w:val="00B92B72"/>
    <w:rsid w:val="00BA395E"/>
    <w:rsid w:val="00BC0EFC"/>
    <w:rsid w:val="00BE2684"/>
    <w:rsid w:val="00BE7ECB"/>
    <w:rsid w:val="00C071AD"/>
    <w:rsid w:val="00C360CD"/>
    <w:rsid w:val="00C375D5"/>
    <w:rsid w:val="00C864DE"/>
    <w:rsid w:val="00C91037"/>
    <w:rsid w:val="00D00365"/>
    <w:rsid w:val="00D0380E"/>
    <w:rsid w:val="00D06C9C"/>
    <w:rsid w:val="00D471A4"/>
    <w:rsid w:val="00D661FC"/>
    <w:rsid w:val="00D71D3B"/>
    <w:rsid w:val="00D72F36"/>
    <w:rsid w:val="00D7747A"/>
    <w:rsid w:val="00D82352"/>
    <w:rsid w:val="00DF1C53"/>
    <w:rsid w:val="00E505A3"/>
    <w:rsid w:val="00E74454"/>
    <w:rsid w:val="00E82A21"/>
    <w:rsid w:val="00E9368E"/>
    <w:rsid w:val="00EA0C8A"/>
    <w:rsid w:val="00EB1D28"/>
    <w:rsid w:val="00EB314B"/>
    <w:rsid w:val="00EC57E1"/>
    <w:rsid w:val="00ED1504"/>
    <w:rsid w:val="00EE3918"/>
    <w:rsid w:val="00F47F6F"/>
    <w:rsid w:val="00F50FF3"/>
    <w:rsid w:val="00F54BF5"/>
    <w:rsid w:val="00F55024"/>
    <w:rsid w:val="00F77E79"/>
    <w:rsid w:val="00FA19F5"/>
    <w:rsid w:val="00FB76D7"/>
    <w:rsid w:val="00FC2582"/>
    <w:rsid w:val="00FD1A41"/>
    <w:rsid w:val="00FE6B50"/>
    <w:rsid w:val="00FF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11B6"/>
  <w15:chartTrackingRefBased/>
  <w15:docId w15:val="{384A6085-1BF1-42BE-A32A-4DA5F644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CD"/>
    <w:pPr>
      <w:ind w:left="720"/>
    </w:pPr>
  </w:style>
  <w:style w:type="character" w:styleId="Hyperlink">
    <w:name w:val="Hyperlink"/>
    <w:basedOn w:val="DefaultParagraphFont"/>
    <w:uiPriority w:val="99"/>
    <w:unhideWhenUsed/>
    <w:rsid w:val="009201FC"/>
    <w:rPr>
      <w:color w:val="0000FF"/>
      <w:u w:val="single"/>
    </w:rPr>
  </w:style>
  <w:style w:type="character" w:styleId="CommentReference">
    <w:name w:val="annotation reference"/>
    <w:basedOn w:val="DefaultParagraphFont"/>
    <w:uiPriority w:val="99"/>
    <w:semiHidden/>
    <w:unhideWhenUsed/>
    <w:rsid w:val="00B80E66"/>
    <w:rPr>
      <w:sz w:val="16"/>
      <w:szCs w:val="16"/>
    </w:rPr>
  </w:style>
  <w:style w:type="paragraph" w:styleId="CommentText">
    <w:name w:val="annotation text"/>
    <w:basedOn w:val="Normal"/>
    <w:link w:val="CommentTextChar"/>
    <w:uiPriority w:val="99"/>
    <w:semiHidden/>
    <w:unhideWhenUsed/>
    <w:rsid w:val="00B80E66"/>
    <w:rPr>
      <w:sz w:val="20"/>
      <w:szCs w:val="20"/>
    </w:rPr>
  </w:style>
  <w:style w:type="character" w:customStyle="1" w:styleId="CommentTextChar">
    <w:name w:val="Comment Text Char"/>
    <w:basedOn w:val="DefaultParagraphFont"/>
    <w:link w:val="CommentText"/>
    <w:uiPriority w:val="99"/>
    <w:semiHidden/>
    <w:rsid w:val="00B80E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80E66"/>
    <w:rPr>
      <w:b/>
      <w:bCs/>
    </w:rPr>
  </w:style>
  <w:style w:type="character" w:customStyle="1" w:styleId="CommentSubjectChar">
    <w:name w:val="Comment Subject Char"/>
    <w:basedOn w:val="CommentTextChar"/>
    <w:link w:val="CommentSubject"/>
    <w:uiPriority w:val="99"/>
    <w:semiHidden/>
    <w:rsid w:val="00B80E66"/>
    <w:rPr>
      <w:rFonts w:ascii="Calibri" w:hAnsi="Calibri" w:cs="Calibri"/>
      <w:b/>
      <w:bCs/>
      <w:sz w:val="20"/>
      <w:szCs w:val="20"/>
    </w:rPr>
  </w:style>
  <w:style w:type="paragraph" w:styleId="BalloonText">
    <w:name w:val="Balloon Text"/>
    <w:basedOn w:val="Normal"/>
    <w:link w:val="BalloonTextChar"/>
    <w:uiPriority w:val="99"/>
    <w:semiHidden/>
    <w:unhideWhenUsed/>
    <w:rsid w:val="00B80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66"/>
    <w:rPr>
      <w:rFonts w:ascii="Segoe UI" w:hAnsi="Segoe UI" w:cs="Segoe UI"/>
      <w:sz w:val="18"/>
      <w:szCs w:val="18"/>
    </w:rPr>
  </w:style>
  <w:style w:type="paragraph" w:styleId="Header">
    <w:name w:val="header"/>
    <w:basedOn w:val="Normal"/>
    <w:link w:val="HeaderChar"/>
    <w:uiPriority w:val="99"/>
    <w:unhideWhenUsed/>
    <w:rsid w:val="00FC2582"/>
    <w:pPr>
      <w:tabs>
        <w:tab w:val="center" w:pos="4680"/>
        <w:tab w:val="right" w:pos="9360"/>
      </w:tabs>
    </w:pPr>
  </w:style>
  <w:style w:type="character" w:customStyle="1" w:styleId="HeaderChar">
    <w:name w:val="Header Char"/>
    <w:basedOn w:val="DefaultParagraphFont"/>
    <w:link w:val="Header"/>
    <w:uiPriority w:val="99"/>
    <w:rsid w:val="00FC2582"/>
    <w:rPr>
      <w:rFonts w:ascii="Calibri" w:hAnsi="Calibri" w:cs="Calibri"/>
    </w:rPr>
  </w:style>
  <w:style w:type="paragraph" w:styleId="Footer">
    <w:name w:val="footer"/>
    <w:basedOn w:val="Normal"/>
    <w:link w:val="FooterChar"/>
    <w:uiPriority w:val="99"/>
    <w:unhideWhenUsed/>
    <w:rsid w:val="00FC2582"/>
    <w:pPr>
      <w:tabs>
        <w:tab w:val="center" w:pos="4680"/>
        <w:tab w:val="right" w:pos="9360"/>
      </w:tabs>
    </w:pPr>
  </w:style>
  <w:style w:type="character" w:customStyle="1" w:styleId="FooterChar">
    <w:name w:val="Footer Char"/>
    <w:basedOn w:val="DefaultParagraphFont"/>
    <w:link w:val="Footer"/>
    <w:uiPriority w:val="99"/>
    <w:rsid w:val="00FC2582"/>
    <w:rPr>
      <w:rFonts w:ascii="Calibri" w:hAnsi="Calibri" w:cs="Calibri"/>
    </w:rPr>
  </w:style>
  <w:style w:type="character" w:styleId="FollowedHyperlink">
    <w:name w:val="FollowedHyperlink"/>
    <w:basedOn w:val="DefaultParagraphFont"/>
    <w:uiPriority w:val="99"/>
    <w:semiHidden/>
    <w:unhideWhenUsed/>
    <w:rsid w:val="00EB1D28"/>
    <w:rPr>
      <w:color w:val="954F72" w:themeColor="followedHyperlink"/>
      <w:u w:val="single"/>
    </w:rPr>
  </w:style>
  <w:style w:type="paragraph" w:styleId="FootnoteText">
    <w:name w:val="footnote text"/>
    <w:basedOn w:val="Normal"/>
    <w:link w:val="FootnoteTextChar"/>
    <w:uiPriority w:val="99"/>
    <w:semiHidden/>
    <w:unhideWhenUsed/>
    <w:rsid w:val="004D69F1"/>
    <w:rPr>
      <w:sz w:val="20"/>
      <w:szCs w:val="20"/>
    </w:rPr>
  </w:style>
  <w:style w:type="character" w:customStyle="1" w:styleId="FootnoteTextChar">
    <w:name w:val="Footnote Text Char"/>
    <w:basedOn w:val="DefaultParagraphFont"/>
    <w:link w:val="FootnoteText"/>
    <w:uiPriority w:val="99"/>
    <w:semiHidden/>
    <w:rsid w:val="004D69F1"/>
    <w:rPr>
      <w:rFonts w:ascii="Calibri" w:hAnsi="Calibri" w:cs="Calibri"/>
      <w:sz w:val="20"/>
      <w:szCs w:val="20"/>
    </w:rPr>
  </w:style>
  <w:style w:type="character" w:styleId="FootnoteReference">
    <w:name w:val="footnote reference"/>
    <w:basedOn w:val="DefaultParagraphFont"/>
    <w:uiPriority w:val="99"/>
    <w:semiHidden/>
    <w:unhideWhenUsed/>
    <w:rsid w:val="004D69F1"/>
    <w:rPr>
      <w:vertAlign w:val="superscript"/>
    </w:rPr>
  </w:style>
  <w:style w:type="paragraph" w:styleId="Revision">
    <w:name w:val="Revision"/>
    <w:hidden/>
    <w:uiPriority w:val="99"/>
    <w:semiHidden/>
    <w:rsid w:val="00EA0C8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6084">
      <w:bodyDiv w:val="1"/>
      <w:marLeft w:val="0"/>
      <w:marRight w:val="0"/>
      <w:marTop w:val="0"/>
      <w:marBottom w:val="0"/>
      <w:divBdr>
        <w:top w:val="none" w:sz="0" w:space="0" w:color="auto"/>
        <w:left w:val="none" w:sz="0" w:space="0" w:color="auto"/>
        <w:bottom w:val="none" w:sz="0" w:space="0" w:color="auto"/>
        <w:right w:val="none" w:sz="0" w:space="0" w:color="auto"/>
      </w:divBdr>
    </w:div>
    <w:div w:id="18678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f.org/sites/default/files/documents/what_makes_a_high_quality_carbon_credi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b.ca.gov/lispub/comm2/bcsubform.php?listname=ab398offsetreport-ws&amp;comm_period=1"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abs/pii/S1550742418301775?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3ED14AD0C7A4EB80C39B21F6EC393" ma:contentTypeVersion="10" ma:contentTypeDescription="Create a new document." ma:contentTypeScope="" ma:versionID="152cf6fc35833df6ccdc64e57a35c558">
  <xsd:schema xmlns:xsd="http://www.w3.org/2001/XMLSchema" xmlns:xs="http://www.w3.org/2001/XMLSchema" xmlns:p="http://schemas.microsoft.com/office/2006/metadata/properties" xmlns:ns3="511fbd98-9916-4753-b2bb-b210c3a6c4db" targetNamespace="http://schemas.microsoft.com/office/2006/metadata/properties" ma:root="true" ma:fieldsID="5bdfa6fd6362e077e107c619297548b4" ns3:_="">
    <xsd:import namespace="511fbd98-9916-4753-b2bb-b210c3a6c4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fbd98-9916-4753-b2bb-b210c3a6c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48FB-192A-461A-9BDE-F71AFD03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fbd98-9916-4753-b2bb-b210c3a6c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E2BCD-62A4-4638-9EB2-D7F93CCBE6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48035-8C93-41B8-BA25-C6BC1AE4993A}">
  <ds:schemaRefs>
    <ds:schemaRef ds:uri="http://schemas.microsoft.com/sharepoint/v3/contenttype/forms"/>
  </ds:schemaRefs>
</ds:datastoreItem>
</file>

<file path=customXml/itemProps4.xml><?xml version="1.0" encoding="utf-8"?>
<ds:datastoreItem xmlns:ds="http://schemas.openxmlformats.org/officeDocument/2006/customXml" ds:itemID="{11D7A84F-7A8B-473F-B229-2F7D929B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Rudek</dc:creator>
  <cp:keywords/>
  <dc:description/>
  <cp:lastModifiedBy>Amy Hughes</cp:lastModifiedBy>
  <cp:revision>2</cp:revision>
  <dcterms:created xsi:type="dcterms:W3CDTF">2020-11-06T23:18:00Z</dcterms:created>
  <dcterms:modified xsi:type="dcterms:W3CDTF">2020-11-06T23:18:00Z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0x0101001A33ED14AD0C7A4EB80C39B21F6EC393</vt:lpwstr>
  </property>
</Properties>
</file>