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CC6" w:rsidRDefault="002B2CC6"/>
    <w:p w:rsidR="002B2CC6" w:rsidRDefault="002B2CC6"/>
    <w:p w:rsidR="00046092" w:rsidRPr="00046092" w:rsidRDefault="00046092">
      <w:pPr>
        <w:rPr>
          <w:b/>
        </w:rPr>
      </w:pPr>
      <w:r w:rsidRPr="00046092">
        <w:rPr>
          <w:b/>
        </w:rPr>
        <w:t>RE: 2030 Target Scoping Plan Update</w:t>
      </w:r>
    </w:p>
    <w:p w:rsidR="00046092" w:rsidRDefault="00046092"/>
    <w:p w:rsidR="00380022" w:rsidRDefault="00844D9A">
      <w:r>
        <w:t>From Sue Hall, CEO of Climate Neutral Business Network CNBN</w:t>
      </w:r>
      <w:r w:rsidR="00380022">
        <w:t>, on behalf of the EV Charging Carbon Coalition (EVCCC)</w:t>
      </w:r>
      <w:r>
        <w:t>.</w:t>
      </w:r>
    </w:p>
    <w:p w:rsidR="002B2CC6" w:rsidRDefault="002B2CC6"/>
    <w:p w:rsidR="00380022" w:rsidRPr="003A52B1" w:rsidRDefault="00380022" w:rsidP="00574387">
      <w:pPr>
        <w:numPr>
          <w:ilvl w:val="0"/>
          <w:numId w:val="2"/>
          <w:numberingChange w:id="0" w:author="Sue Hall" w:date="2016-11-21T10:14:00Z" w:original=""/>
        </w:numPr>
        <w:spacing w:beforeLines="1" w:afterLines="1"/>
        <w:ind w:left="360"/>
        <w:rPr>
          <w:rFonts w:asciiTheme="majorHAnsi" w:hAnsiTheme="majorHAnsi"/>
          <w:sz w:val="22"/>
          <w:szCs w:val="20"/>
        </w:rPr>
      </w:pPr>
      <w:r w:rsidRPr="003A52B1">
        <w:rPr>
          <w:rFonts w:asciiTheme="majorHAnsi" w:hAnsiTheme="majorHAnsi"/>
          <w:sz w:val="22"/>
          <w:szCs w:val="20"/>
        </w:rPr>
        <w:t>ARB is asking for input regarding the optimal design of the CA cap/trade system in 2020 and beyond.</w:t>
      </w:r>
    </w:p>
    <w:p w:rsidR="00380022" w:rsidRPr="003A52B1" w:rsidRDefault="00380022" w:rsidP="00574387">
      <w:pPr>
        <w:numPr>
          <w:ilvl w:val="0"/>
          <w:numId w:val="2"/>
          <w:numberingChange w:id="1" w:author="Sue Hall" w:date="2016-11-21T10:14:00Z" w:original=""/>
        </w:numPr>
        <w:spacing w:beforeLines="1" w:afterLines="1"/>
        <w:ind w:left="360"/>
        <w:rPr>
          <w:rFonts w:asciiTheme="majorHAnsi" w:hAnsiTheme="majorHAnsi"/>
          <w:sz w:val="22"/>
          <w:szCs w:val="20"/>
        </w:rPr>
      </w:pPr>
      <w:r w:rsidRPr="003A52B1">
        <w:rPr>
          <w:rFonts w:asciiTheme="majorHAnsi" w:hAnsiTheme="majorHAnsi"/>
          <w:sz w:val="22"/>
          <w:szCs w:val="20"/>
        </w:rPr>
        <w:t>For C</w:t>
      </w:r>
      <w:r w:rsidR="00DF79BF">
        <w:rPr>
          <w:rFonts w:asciiTheme="majorHAnsi" w:hAnsiTheme="majorHAnsi"/>
          <w:sz w:val="22"/>
          <w:szCs w:val="20"/>
        </w:rPr>
        <w:t>alifornia (CA)</w:t>
      </w:r>
      <w:r w:rsidRPr="003A52B1">
        <w:rPr>
          <w:rFonts w:asciiTheme="majorHAnsi" w:hAnsiTheme="majorHAnsi"/>
          <w:sz w:val="22"/>
          <w:szCs w:val="20"/>
        </w:rPr>
        <w:t xml:space="preserve"> to deliver on its climate change goals, it is essential that its renewable portfolio standard (RPS) investments thrive – and that the transportation sector also delivers deep GHG reductions.  To drive such high levels of </w:t>
      </w:r>
      <w:r w:rsidRPr="003A52B1">
        <w:rPr>
          <w:rFonts w:asciiTheme="majorHAnsi" w:hAnsiTheme="majorHAnsi"/>
          <w:sz w:val="22"/>
          <w:szCs w:val="20"/>
        </w:rPr>
        <w:t>renewables</w:t>
      </w:r>
      <w:r w:rsidRPr="003A52B1">
        <w:rPr>
          <w:rFonts w:asciiTheme="majorHAnsi" w:hAnsiTheme="majorHAnsi"/>
          <w:sz w:val="22"/>
          <w:szCs w:val="20"/>
        </w:rPr>
        <w:t xml:space="preserve"> deployment, significant battery storage capacity is needed to address RPS intermittency challenges.  This compounds the interdependencies between the RPS and the electric vehicle (EV) </w:t>
      </w:r>
      <w:r w:rsidR="003F1F0E" w:rsidRPr="003A52B1">
        <w:rPr>
          <w:rFonts w:asciiTheme="majorHAnsi" w:hAnsiTheme="majorHAnsi"/>
          <w:sz w:val="22"/>
          <w:szCs w:val="20"/>
        </w:rPr>
        <w:t xml:space="preserve">transportation </w:t>
      </w:r>
      <w:r w:rsidRPr="003A52B1">
        <w:rPr>
          <w:rFonts w:asciiTheme="majorHAnsi" w:hAnsiTheme="majorHAnsi"/>
          <w:sz w:val="22"/>
          <w:szCs w:val="20"/>
        </w:rPr>
        <w:t xml:space="preserve">sectors, given the latter’s </w:t>
      </w:r>
      <w:r w:rsidR="003F1F0E" w:rsidRPr="003A52B1">
        <w:rPr>
          <w:rFonts w:asciiTheme="majorHAnsi" w:hAnsiTheme="majorHAnsi"/>
          <w:sz w:val="22"/>
          <w:szCs w:val="20"/>
        </w:rPr>
        <w:t xml:space="preserve">essential battery </w:t>
      </w:r>
      <w:r w:rsidRPr="003A52B1">
        <w:rPr>
          <w:rFonts w:asciiTheme="majorHAnsi" w:hAnsiTheme="majorHAnsi"/>
          <w:sz w:val="22"/>
          <w:szCs w:val="20"/>
        </w:rPr>
        <w:t xml:space="preserve">storage capacity systems.  Both RPS and EV transportation are therefore </w:t>
      </w:r>
      <w:r w:rsidR="003F1F0E" w:rsidRPr="003A52B1">
        <w:rPr>
          <w:rFonts w:asciiTheme="majorHAnsi" w:hAnsiTheme="majorHAnsi"/>
          <w:sz w:val="22"/>
          <w:szCs w:val="20"/>
        </w:rPr>
        <w:t xml:space="preserve">interdependent, </w:t>
      </w:r>
      <w:r w:rsidRPr="003A52B1">
        <w:rPr>
          <w:rFonts w:asciiTheme="majorHAnsi" w:hAnsiTheme="majorHAnsi"/>
          <w:sz w:val="22"/>
          <w:szCs w:val="20"/>
        </w:rPr>
        <w:t xml:space="preserve">mission critical technologies for CA to successfully mainstream. </w:t>
      </w:r>
    </w:p>
    <w:p w:rsidR="00380022" w:rsidRPr="000F75A4" w:rsidRDefault="00380022" w:rsidP="00574387">
      <w:pPr>
        <w:numPr>
          <w:ilvl w:val="0"/>
          <w:numId w:val="2"/>
          <w:numberingChange w:id="2" w:author="Sue Hall" w:date="2016-11-21T10:14:00Z" w:original=""/>
        </w:numPr>
        <w:spacing w:beforeLines="1" w:afterLines="1"/>
        <w:ind w:left="360"/>
        <w:rPr>
          <w:rFonts w:asciiTheme="majorHAnsi" w:hAnsiTheme="majorHAnsi"/>
          <w:sz w:val="20"/>
          <w:szCs w:val="20"/>
        </w:rPr>
      </w:pPr>
      <w:r w:rsidRPr="003A52B1">
        <w:rPr>
          <w:rFonts w:asciiTheme="majorHAnsi" w:hAnsiTheme="majorHAnsi"/>
          <w:sz w:val="22"/>
          <w:szCs w:val="22"/>
        </w:rPr>
        <w:t xml:space="preserve">From our discussions with a broad spectrum of leaders, we appreciate that </w:t>
      </w:r>
      <w:r w:rsidR="002B2CC6" w:rsidRPr="003A52B1">
        <w:rPr>
          <w:rFonts w:asciiTheme="majorHAnsi" w:hAnsiTheme="majorHAnsi"/>
          <w:sz w:val="22"/>
          <w:szCs w:val="22"/>
        </w:rPr>
        <w:t>CA utilities have recently been raising questions regarding how the GHG impacts associated with the k</w:t>
      </w:r>
      <w:r w:rsidR="00DF79BF">
        <w:rPr>
          <w:rFonts w:asciiTheme="majorHAnsi" w:hAnsiTheme="majorHAnsi"/>
          <w:sz w:val="22"/>
          <w:szCs w:val="22"/>
        </w:rPr>
        <w:t>W</w:t>
      </w:r>
      <w:r w:rsidR="002B2CC6" w:rsidRPr="003A52B1">
        <w:rPr>
          <w:rFonts w:asciiTheme="majorHAnsi" w:hAnsiTheme="majorHAnsi"/>
          <w:sz w:val="22"/>
          <w:szCs w:val="22"/>
        </w:rPr>
        <w:t xml:space="preserve">h delivered to </w:t>
      </w:r>
      <w:r w:rsidR="003F1F0E" w:rsidRPr="003A52B1">
        <w:rPr>
          <w:rFonts w:asciiTheme="majorHAnsi" w:hAnsiTheme="majorHAnsi"/>
          <w:sz w:val="22"/>
          <w:szCs w:val="22"/>
        </w:rPr>
        <w:t xml:space="preserve">drive </w:t>
      </w:r>
      <w:r w:rsidR="002B2CC6" w:rsidRPr="003A52B1">
        <w:rPr>
          <w:rFonts w:asciiTheme="majorHAnsi" w:hAnsiTheme="majorHAnsi"/>
          <w:sz w:val="22"/>
          <w:szCs w:val="22"/>
        </w:rPr>
        <w:t>EV transportation/charging networks could be better accounted for under CA cap/trade system</w:t>
      </w:r>
      <w:r w:rsidR="003F1F0E" w:rsidRPr="003A52B1">
        <w:rPr>
          <w:rFonts w:asciiTheme="majorHAnsi" w:hAnsiTheme="majorHAnsi"/>
          <w:sz w:val="22"/>
          <w:szCs w:val="22"/>
        </w:rPr>
        <w:t xml:space="preserve"> – in order to make sure that incentives are well aligned to maximize the kind of EV charging investments that are needed, not only to achieve CA’s overarching GHG goals but also for its essential RPS goals to be realized</w:t>
      </w:r>
      <w:r w:rsidR="002B2CC6" w:rsidRPr="003A52B1">
        <w:rPr>
          <w:rFonts w:asciiTheme="majorHAnsi" w:hAnsiTheme="majorHAnsi"/>
          <w:sz w:val="22"/>
          <w:szCs w:val="22"/>
        </w:rPr>
        <w:t xml:space="preserve">.  </w:t>
      </w:r>
    </w:p>
    <w:p w:rsidR="000F75A4" w:rsidRPr="000F75A4" w:rsidRDefault="000F75A4" w:rsidP="00574387">
      <w:pPr>
        <w:numPr>
          <w:ilvl w:val="3"/>
          <w:numId w:val="2"/>
          <w:numberingChange w:id="3" w:author="Sue Hall" w:date="2016-11-21T10:14:00Z" w:original=""/>
        </w:numPr>
        <w:spacing w:beforeLines="1" w:afterLines="1"/>
        <w:rPr>
          <w:rFonts w:asciiTheme="majorHAnsi" w:hAnsiTheme="majorHAnsi"/>
          <w:sz w:val="20"/>
          <w:szCs w:val="20"/>
        </w:rPr>
      </w:pPr>
      <w:r>
        <w:rPr>
          <w:rFonts w:asciiTheme="majorHAnsi" w:hAnsiTheme="majorHAnsi"/>
          <w:sz w:val="22"/>
          <w:szCs w:val="22"/>
        </w:rPr>
        <w:t xml:space="preserve">For example, currently CA utilities can receive credits under LCFS for EV charging systems’ reductions.  But by contrast, under cap and </w:t>
      </w:r>
      <w:r w:rsidRPr="00EA0809">
        <w:rPr>
          <w:rFonts w:asciiTheme="majorHAnsi" w:hAnsiTheme="majorHAnsi"/>
          <w:sz w:val="22"/>
          <w:szCs w:val="22"/>
        </w:rPr>
        <w:t>trade (which LCFS</w:t>
      </w:r>
      <w:r w:rsidR="003367E1" w:rsidRPr="00EA0809">
        <w:rPr>
          <w:rFonts w:asciiTheme="majorHAnsi" w:hAnsiTheme="majorHAnsi"/>
          <w:sz w:val="22"/>
          <w:szCs w:val="22"/>
        </w:rPr>
        <w:t>’s credits</w:t>
      </w:r>
      <w:r w:rsidR="002B6286" w:rsidRPr="00EA0809">
        <w:rPr>
          <w:rFonts w:asciiTheme="majorHAnsi" w:hAnsiTheme="majorHAnsi"/>
          <w:sz w:val="22"/>
          <w:szCs w:val="22"/>
        </w:rPr>
        <w:t xml:space="preserve"> are</w:t>
      </w:r>
      <w:r w:rsidRPr="00EA0809">
        <w:rPr>
          <w:rFonts w:asciiTheme="majorHAnsi" w:hAnsiTheme="majorHAnsi"/>
          <w:sz w:val="22"/>
          <w:szCs w:val="22"/>
        </w:rPr>
        <w:t xml:space="preserve"> designed </w:t>
      </w:r>
      <w:r w:rsidR="003367E1" w:rsidRPr="00EA0809">
        <w:rPr>
          <w:rFonts w:asciiTheme="majorHAnsi" w:hAnsiTheme="majorHAnsi"/>
          <w:sz w:val="22"/>
          <w:szCs w:val="22"/>
        </w:rPr>
        <w:t>to parallel</w:t>
      </w:r>
      <w:r w:rsidRPr="00EA0809">
        <w:rPr>
          <w:rFonts w:asciiTheme="majorHAnsi" w:hAnsiTheme="majorHAnsi"/>
          <w:sz w:val="22"/>
          <w:szCs w:val="22"/>
        </w:rPr>
        <w:t xml:space="preserve"> since allowances from EV’s conventional vehicles’ displacement </w:t>
      </w:r>
      <w:r w:rsidR="003367E1" w:rsidRPr="00EA0809">
        <w:rPr>
          <w:rFonts w:asciiTheme="majorHAnsi" w:hAnsiTheme="majorHAnsi"/>
          <w:sz w:val="22"/>
          <w:szCs w:val="22"/>
        </w:rPr>
        <w:t xml:space="preserve">under cap and trade </w:t>
      </w:r>
      <w:r w:rsidRPr="00EA0809">
        <w:rPr>
          <w:rFonts w:asciiTheme="majorHAnsi" w:hAnsiTheme="majorHAnsi"/>
          <w:sz w:val="22"/>
          <w:szCs w:val="22"/>
        </w:rPr>
        <w:t>are already flowing to fuels distributors), utilities</w:t>
      </w:r>
      <w:r>
        <w:rPr>
          <w:rFonts w:asciiTheme="majorHAnsi" w:hAnsiTheme="majorHAnsi"/>
          <w:sz w:val="22"/>
          <w:szCs w:val="22"/>
        </w:rPr>
        <w:t xml:space="preserve"> face a compliance strain resulting from the increase in kWh delivered to power EV’s – and their associated increase in GHG impact under cap/trade.  At the same time, utilities face a compliance challenge with RPS: even today (and certainly in the future when higher levels of renewables are required to come on line) there is not yet sufficient battery storage capacity available to handle the renewable kWh that could be delivered (</w:t>
      </w:r>
      <w:r w:rsidR="00DF79BF">
        <w:rPr>
          <w:rFonts w:asciiTheme="majorHAnsi" w:hAnsiTheme="majorHAnsi"/>
          <w:sz w:val="22"/>
          <w:szCs w:val="22"/>
        </w:rPr>
        <w:t>e.g.</w:t>
      </w:r>
      <w:r>
        <w:rPr>
          <w:rFonts w:asciiTheme="majorHAnsi" w:hAnsiTheme="majorHAnsi"/>
          <w:sz w:val="22"/>
          <w:szCs w:val="22"/>
        </w:rPr>
        <w:t xml:space="preserve"> during afternoons).  Thus compliance with RPS will require more EV/EV charging systems to generate that battery storage capacity – but under cap/trade utilities currently only face a disincentive to invest in EV charging, hindering EV/battery expansion.  Thus there are a series of interlocking incentives between the LCFS, RPS and cap/trade systems whose consistency the following proposed solution seeks to address.</w:t>
      </w:r>
    </w:p>
    <w:p w:rsidR="002A49BB" w:rsidRPr="003A52B1" w:rsidRDefault="002A49BB" w:rsidP="00574387">
      <w:pPr>
        <w:numPr>
          <w:ilvl w:val="2"/>
          <w:numId w:val="2"/>
          <w:numberingChange w:id="4" w:author="Sue Hall" w:date="2016-11-21T10:14:00Z" w:original=""/>
        </w:numPr>
        <w:spacing w:beforeLines="1" w:afterLines="1"/>
        <w:rPr>
          <w:rFonts w:asciiTheme="majorHAnsi" w:hAnsiTheme="majorHAnsi"/>
          <w:sz w:val="20"/>
          <w:szCs w:val="20"/>
        </w:rPr>
      </w:pPr>
      <w:r w:rsidRPr="003A52B1">
        <w:rPr>
          <w:rFonts w:asciiTheme="majorHAnsi" w:hAnsiTheme="majorHAnsi"/>
          <w:sz w:val="22"/>
          <w:szCs w:val="22"/>
        </w:rPr>
        <w:t>M</w:t>
      </w:r>
      <w:r w:rsidR="00AF1FC1" w:rsidRPr="003A52B1">
        <w:rPr>
          <w:rFonts w:asciiTheme="majorHAnsi" w:hAnsiTheme="majorHAnsi"/>
          <w:sz w:val="22"/>
          <w:szCs w:val="22"/>
        </w:rPr>
        <w:t>any speakers</w:t>
      </w:r>
      <w:r w:rsidRPr="003A52B1">
        <w:rPr>
          <w:rFonts w:asciiTheme="majorHAnsi" w:hAnsiTheme="majorHAnsi"/>
          <w:sz w:val="22"/>
          <w:szCs w:val="22"/>
        </w:rPr>
        <w:t xml:space="preserve"> at the recent CEC Oct 5 workshop</w:t>
      </w:r>
      <w:r w:rsidR="00380022" w:rsidRPr="003A52B1">
        <w:rPr>
          <w:rFonts w:asciiTheme="majorHAnsi" w:hAnsiTheme="majorHAnsi"/>
          <w:sz w:val="22"/>
          <w:szCs w:val="22"/>
        </w:rPr>
        <w:t xml:space="preserve"> </w:t>
      </w:r>
      <w:r w:rsidR="00AF1FC1" w:rsidRPr="003A52B1">
        <w:rPr>
          <w:rFonts w:asciiTheme="majorHAnsi" w:hAnsiTheme="majorHAnsi"/>
          <w:sz w:val="22"/>
          <w:szCs w:val="22"/>
        </w:rPr>
        <w:t>referenced the</w:t>
      </w:r>
      <w:r w:rsidR="001554A8">
        <w:rPr>
          <w:rFonts w:asciiTheme="majorHAnsi" w:hAnsiTheme="majorHAnsi"/>
          <w:sz w:val="22"/>
          <w:szCs w:val="22"/>
        </w:rPr>
        <w:t>se same</w:t>
      </w:r>
      <w:r w:rsidR="00AF1FC1" w:rsidRPr="003A52B1">
        <w:rPr>
          <w:rFonts w:asciiTheme="majorHAnsi" w:hAnsiTheme="majorHAnsi"/>
          <w:sz w:val="22"/>
          <w:szCs w:val="22"/>
        </w:rPr>
        <w:t xml:space="preserve"> GHG accounting </w:t>
      </w:r>
      <w:r w:rsidR="001554A8">
        <w:rPr>
          <w:rFonts w:asciiTheme="majorHAnsi" w:hAnsiTheme="majorHAnsi"/>
          <w:sz w:val="22"/>
          <w:szCs w:val="22"/>
        </w:rPr>
        <w:t xml:space="preserve">inconsistencies </w:t>
      </w:r>
      <w:r w:rsidR="00AF1FC1" w:rsidRPr="003A52B1">
        <w:rPr>
          <w:rFonts w:asciiTheme="majorHAnsi" w:hAnsiTheme="majorHAnsi"/>
          <w:sz w:val="22"/>
          <w:szCs w:val="22"/>
        </w:rPr>
        <w:t>between utility and transportation sectors</w:t>
      </w:r>
      <w:r w:rsidR="002B2CC6" w:rsidRPr="003A52B1">
        <w:rPr>
          <w:rFonts w:asciiTheme="majorHAnsi" w:hAnsiTheme="majorHAnsi"/>
          <w:sz w:val="22"/>
          <w:szCs w:val="22"/>
        </w:rPr>
        <w:t xml:space="preserve"> as a challenge that needs to be addressed</w:t>
      </w:r>
      <w:r w:rsidRPr="003A52B1">
        <w:rPr>
          <w:rFonts w:asciiTheme="majorHAnsi" w:hAnsiTheme="majorHAnsi"/>
          <w:sz w:val="22"/>
          <w:szCs w:val="22"/>
        </w:rPr>
        <w:t xml:space="preserve"> by ARB, CEC etc</w:t>
      </w:r>
      <w:r w:rsidR="002B2CC6" w:rsidRPr="003A52B1">
        <w:rPr>
          <w:rFonts w:asciiTheme="majorHAnsi" w:hAnsiTheme="majorHAnsi"/>
          <w:sz w:val="22"/>
          <w:szCs w:val="22"/>
        </w:rPr>
        <w:t xml:space="preserve">. </w:t>
      </w:r>
    </w:p>
    <w:p w:rsidR="002B2CC6" w:rsidRPr="00906CB7" w:rsidRDefault="002A49BB" w:rsidP="00574387">
      <w:pPr>
        <w:numPr>
          <w:ilvl w:val="3"/>
          <w:numId w:val="2"/>
          <w:numberingChange w:id="5" w:author="Sue Hall" w:date="2016-11-21T10:14:00Z" w:original=""/>
        </w:numPr>
        <w:spacing w:beforeLines="1" w:afterLines="1"/>
        <w:rPr>
          <w:rFonts w:asciiTheme="majorHAnsi" w:hAnsiTheme="majorHAnsi"/>
          <w:sz w:val="20"/>
          <w:szCs w:val="20"/>
        </w:rPr>
      </w:pPr>
      <w:r w:rsidRPr="003A52B1">
        <w:rPr>
          <w:rFonts w:asciiTheme="majorHAnsi" w:hAnsiTheme="majorHAnsi"/>
          <w:sz w:val="22"/>
          <w:szCs w:val="22"/>
        </w:rPr>
        <w:t>Marvin Moon from LADWP</w:t>
      </w:r>
      <w:r w:rsidR="001554A8">
        <w:rPr>
          <w:rFonts w:asciiTheme="majorHAnsi" w:hAnsiTheme="majorHAnsi"/>
          <w:sz w:val="22"/>
          <w:szCs w:val="22"/>
        </w:rPr>
        <w:t>, for example,</w:t>
      </w:r>
      <w:r w:rsidRPr="003A52B1">
        <w:rPr>
          <w:rFonts w:asciiTheme="majorHAnsi" w:hAnsiTheme="majorHAnsi"/>
          <w:sz w:val="22"/>
          <w:szCs w:val="22"/>
        </w:rPr>
        <w:t xml:space="preserve"> proposed one solution in which utilities could earn more than the 1:1 hold harmless proposal for k</w:t>
      </w:r>
      <w:r w:rsidR="00DF79BF">
        <w:rPr>
          <w:rFonts w:asciiTheme="majorHAnsi" w:hAnsiTheme="majorHAnsi"/>
          <w:sz w:val="22"/>
          <w:szCs w:val="22"/>
        </w:rPr>
        <w:t>W</w:t>
      </w:r>
      <w:r w:rsidRPr="003A52B1">
        <w:rPr>
          <w:rFonts w:asciiTheme="majorHAnsi" w:hAnsiTheme="majorHAnsi"/>
          <w:sz w:val="22"/>
          <w:szCs w:val="22"/>
        </w:rPr>
        <w:t>h delivered to EV transportation: rather</w:t>
      </w:r>
      <w:r w:rsidR="001554A8">
        <w:rPr>
          <w:rFonts w:asciiTheme="majorHAnsi" w:hAnsiTheme="majorHAnsi"/>
          <w:sz w:val="22"/>
          <w:szCs w:val="22"/>
        </w:rPr>
        <w:t xml:space="preserve"> on a 4:1 basis</w:t>
      </w:r>
      <w:r w:rsidRPr="003A52B1">
        <w:rPr>
          <w:rFonts w:asciiTheme="majorHAnsi" w:hAnsiTheme="majorHAnsi"/>
          <w:sz w:val="22"/>
          <w:szCs w:val="22"/>
        </w:rPr>
        <w:t xml:space="preserve"> the </w:t>
      </w:r>
      <w:r w:rsidR="006B2C26" w:rsidRPr="003A52B1">
        <w:rPr>
          <w:rFonts w:asciiTheme="majorHAnsi" w:hAnsiTheme="majorHAnsi"/>
          <w:sz w:val="22"/>
          <w:szCs w:val="22"/>
        </w:rPr>
        <w:t>broader benefits which EV charging systems generate from the displ</w:t>
      </w:r>
      <w:r w:rsidR="00591111">
        <w:rPr>
          <w:rFonts w:asciiTheme="majorHAnsi" w:hAnsiTheme="majorHAnsi"/>
          <w:sz w:val="22"/>
          <w:szCs w:val="22"/>
        </w:rPr>
        <w:t>acement of conventional vehicle</w:t>
      </w:r>
      <w:r w:rsidR="006B2C26" w:rsidRPr="003A52B1">
        <w:rPr>
          <w:rFonts w:asciiTheme="majorHAnsi" w:hAnsiTheme="majorHAnsi"/>
          <w:sz w:val="22"/>
          <w:szCs w:val="22"/>
        </w:rPr>
        <w:t>s</w:t>
      </w:r>
      <w:r w:rsidR="00591111">
        <w:rPr>
          <w:rFonts w:asciiTheme="majorHAnsi" w:hAnsiTheme="majorHAnsi"/>
          <w:sz w:val="22"/>
          <w:szCs w:val="22"/>
        </w:rPr>
        <w:t>’</w:t>
      </w:r>
      <w:r w:rsidR="006B2C26" w:rsidRPr="003A52B1">
        <w:rPr>
          <w:rFonts w:asciiTheme="majorHAnsi" w:hAnsiTheme="majorHAnsi"/>
          <w:sz w:val="22"/>
          <w:szCs w:val="22"/>
        </w:rPr>
        <w:t xml:space="preserve"> GHG impacts </w:t>
      </w:r>
      <w:r w:rsidRPr="003A52B1">
        <w:rPr>
          <w:rFonts w:asciiTheme="majorHAnsi" w:hAnsiTheme="majorHAnsi"/>
          <w:sz w:val="22"/>
          <w:szCs w:val="22"/>
        </w:rPr>
        <w:t>could instead be accounted as allowance benefits.</w:t>
      </w:r>
    </w:p>
    <w:p w:rsidR="002B2CC6" w:rsidRPr="003A52B1" w:rsidRDefault="001554A8" w:rsidP="00574387">
      <w:pPr>
        <w:numPr>
          <w:ilvl w:val="0"/>
          <w:numId w:val="2"/>
          <w:numberingChange w:id="6" w:author="Sue Hall" w:date="2016-11-21T10:14:00Z" w:original=""/>
        </w:numPr>
        <w:spacing w:beforeLines="1" w:afterLines="1"/>
        <w:ind w:left="360"/>
        <w:rPr>
          <w:rFonts w:asciiTheme="majorHAnsi" w:hAnsiTheme="majorHAnsi"/>
          <w:sz w:val="20"/>
          <w:szCs w:val="20"/>
        </w:rPr>
      </w:pPr>
      <w:r>
        <w:rPr>
          <w:rFonts w:asciiTheme="majorHAnsi" w:hAnsiTheme="majorHAnsi"/>
          <w:sz w:val="22"/>
          <w:szCs w:val="22"/>
        </w:rPr>
        <w:t>Building on these insights, o</w:t>
      </w:r>
      <w:r w:rsidR="002B2CC6" w:rsidRPr="003A52B1">
        <w:rPr>
          <w:rFonts w:asciiTheme="majorHAnsi" w:hAnsiTheme="majorHAnsi"/>
          <w:sz w:val="22"/>
          <w:szCs w:val="22"/>
        </w:rPr>
        <w:t xml:space="preserve">ne option </w:t>
      </w:r>
      <w:r>
        <w:rPr>
          <w:rFonts w:asciiTheme="majorHAnsi" w:hAnsiTheme="majorHAnsi"/>
          <w:sz w:val="22"/>
          <w:szCs w:val="22"/>
        </w:rPr>
        <w:t xml:space="preserve">which we would like to put forward to ARB </w:t>
      </w:r>
      <w:r w:rsidR="002B2CC6" w:rsidRPr="003A52B1">
        <w:rPr>
          <w:rFonts w:asciiTheme="majorHAnsi" w:hAnsiTheme="majorHAnsi"/>
          <w:sz w:val="22"/>
          <w:szCs w:val="22"/>
        </w:rPr>
        <w:t>to consider — which would parallel the innovative approach already in place in WA state under its new Clean Air Rule</w:t>
      </w:r>
      <w:r w:rsidR="003F1F0E" w:rsidRPr="003A52B1">
        <w:rPr>
          <w:rFonts w:asciiTheme="majorHAnsi" w:hAnsiTheme="majorHAnsi"/>
          <w:sz w:val="22"/>
          <w:szCs w:val="22"/>
        </w:rPr>
        <w:t xml:space="preserve"> (CAR)</w:t>
      </w:r>
      <w:r w:rsidR="002B2CC6" w:rsidRPr="003A52B1">
        <w:rPr>
          <w:rFonts w:asciiTheme="majorHAnsi" w:hAnsiTheme="majorHAnsi"/>
          <w:sz w:val="22"/>
          <w:szCs w:val="22"/>
        </w:rPr>
        <w:t xml:space="preserve"> — would be for utilities and other EV infrastructure </w:t>
      </w:r>
      <w:r w:rsidR="00413DA6" w:rsidRPr="003A52B1">
        <w:rPr>
          <w:rFonts w:asciiTheme="majorHAnsi" w:hAnsiTheme="majorHAnsi"/>
          <w:sz w:val="22"/>
          <w:szCs w:val="22"/>
        </w:rPr>
        <w:t>investors</w:t>
      </w:r>
      <w:r w:rsidR="002B2CC6" w:rsidRPr="003A52B1">
        <w:rPr>
          <w:rFonts w:asciiTheme="majorHAnsi" w:hAnsiTheme="majorHAnsi"/>
          <w:sz w:val="22"/>
          <w:szCs w:val="22"/>
        </w:rPr>
        <w:t xml:space="preserve"> to be given ownership of the full suite of GHG reductions delivered by EV charging as “domestic” CA credit projects (that is </w:t>
      </w:r>
      <w:r w:rsidR="00AF1FC1" w:rsidRPr="003A52B1">
        <w:rPr>
          <w:rFonts w:asciiTheme="majorHAnsi" w:hAnsiTheme="majorHAnsi"/>
          <w:sz w:val="22"/>
          <w:szCs w:val="22"/>
        </w:rPr>
        <w:t xml:space="preserve">including </w:t>
      </w:r>
      <w:r w:rsidR="002B2CC6" w:rsidRPr="003A52B1">
        <w:rPr>
          <w:rFonts w:asciiTheme="majorHAnsi" w:hAnsiTheme="majorHAnsi"/>
          <w:sz w:val="22"/>
          <w:szCs w:val="22"/>
        </w:rPr>
        <w:t>ownership the GHG reduction credits due to the</w:t>
      </w:r>
      <w:r w:rsidR="003F1F0E" w:rsidRPr="003A52B1">
        <w:rPr>
          <w:rFonts w:asciiTheme="majorHAnsi" w:hAnsiTheme="majorHAnsi"/>
          <w:sz w:val="22"/>
          <w:szCs w:val="22"/>
        </w:rPr>
        <w:t xml:space="preserve"> conventional transportation</w:t>
      </w:r>
      <w:r w:rsidR="002B2CC6" w:rsidRPr="003A52B1">
        <w:rPr>
          <w:rFonts w:asciiTheme="majorHAnsi" w:hAnsiTheme="majorHAnsi"/>
          <w:sz w:val="22"/>
          <w:szCs w:val="22"/>
        </w:rPr>
        <w:t xml:space="preserve"> fuels displacement) </w:t>
      </w:r>
    </w:p>
    <w:p w:rsidR="00F916C3" w:rsidRPr="003A52B1" w:rsidRDefault="002B2CC6" w:rsidP="00574387">
      <w:pPr>
        <w:numPr>
          <w:ilvl w:val="0"/>
          <w:numId w:val="2"/>
          <w:numberingChange w:id="7" w:author="Sue Hall" w:date="2016-11-21T10:14:00Z" w:original=""/>
        </w:numPr>
        <w:spacing w:beforeLines="1" w:afterLines="1"/>
        <w:ind w:left="360"/>
        <w:rPr>
          <w:rFonts w:asciiTheme="majorHAnsi" w:hAnsiTheme="majorHAnsi"/>
          <w:sz w:val="20"/>
          <w:szCs w:val="20"/>
        </w:rPr>
      </w:pPr>
      <w:r w:rsidRPr="003A52B1">
        <w:rPr>
          <w:rFonts w:asciiTheme="majorHAnsi" w:hAnsiTheme="majorHAnsi"/>
          <w:sz w:val="22"/>
          <w:szCs w:val="22"/>
        </w:rPr>
        <w:t>Double counting under the cap would be avoided by allowing such EV charging domestic credits to draw upon the underutilized renewable set aside reserve already established in</w:t>
      </w:r>
      <w:r w:rsidR="00F916C3" w:rsidRPr="003A52B1">
        <w:rPr>
          <w:rFonts w:asciiTheme="majorHAnsi" w:hAnsiTheme="majorHAnsi"/>
          <w:sz w:val="22"/>
          <w:szCs w:val="22"/>
        </w:rPr>
        <w:t xml:space="preserve"> the CA cap/trade system.  </w:t>
      </w:r>
    </w:p>
    <w:p w:rsidR="003F1F0E" w:rsidRPr="003A52B1" w:rsidRDefault="002B2CC6" w:rsidP="00574387">
      <w:pPr>
        <w:numPr>
          <w:ilvl w:val="3"/>
          <w:numId w:val="2"/>
          <w:numberingChange w:id="8" w:author="Sue Hall" w:date="2016-11-21T10:14:00Z" w:original=""/>
        </w:numPr>
        <w:spacing w:beforeLines="1" w:afterLines="1"/>
        <w:rPr>
          <w:rFonts w:asciiTheme="majorHAnsi" w:hAnsiTheme="majorHAnsi"/>
          <w:sz w:val="20"/>
          <w:szCs w:val="20"/>
        </w:rPr>
      </w:pPr>
      <w:r w:rsidRPr="003A52B1">
        <w:rPr>
          <w:rFonts w:asciiTheme="majorHAnsi" w:hAnsiTheme="majorHAnsi"/>
          <w:sz w:val="22"/>
          <w:szCs w:val="22"/>
        </w:rPr>
        <w:t>In this way the utilities/EV charging networks</w:t>
      </w:r>
      <w:r w:rsidR="006617BB">
        <w:rPr>
          <w:rFonts w:asciiTheme="majorHAnsi" w:hAnsiTheme="majorHAnsi"/>
          <w:sz w:val="22"/>
          <w:szCs w:val="22"/>
        </w:rPr>
        <w:t>/infrastructure owners</w:t>
      </w:r>
      <w:r w:rsidRPr="003A52B1">
        <w:rPr>
          <w:rFonts w:asciiTheme="majorHAnsi" w:hAnsiTheme="majorHAnsi"/>
          <w:sz w:val="22"/>
          <w:szCs w:val="22"/>
        </w:rPr>
        <w:t xml:space="preserve"> can own the projects’ allowance credits while not disrupting the flow of allowances arising under the cap which already flow</w:t>
      </w:r>
      <w:r w:rsidR="003F1F0E" w:rsidRPr="003A52B1">
        <w:rPr>
          <w:rFonts w:asciiTheme="majorHAnsi" w:hAnsiTheme="majorHAnsi"/>
          <w:sz w:val="22"/>
          <w:szCs w:val="22"/>
        </w:rPr>
        <w:t xml:space="preserve"> to (and would continue to be earned by)</w:t>
      </w:r>
      <w:r w:rsidRPr="003A52B1">
        <w:rPr>
          <w:rFonts w:asciiTheme="majorHAnsi" w:hAnsiTheme="majorHAnsi"/>
          <w:sz w:val="22"/>
          <w:szCs w:val="22"/>
        </w:rPr>
        <w:t xml:space="preserve"> the fuels distributors.  </w:t>
      </w:r>
    </w:p>
    <w:p w:rsidR="003F1F0E" w:rsidRPr="003A52B1" w:rsidRDefault="002B2CC6" w:rsidP="00574387">
      <w:pPr>
        <w:numPr>
          <w:ilvl w:val="3"/>
          <w:numId w:val="2"/>
          <w:numberingChange w:id="9" w:author="Sue Hall" w:date="2016-11-21T10:14:00Z" w:original=""/>
        </w:numPr>
        <w:spacing w:beforeLines="1" w:afterLines="1"/>
        <w:rPr>
          <w:rFonts w:asciiTheme="majorHAnsi" w:hAnsiTheme="majorHAnsi"/>
          <w:sz w:val="20"/>
          <w:szCs w:val="20"/>
        </w:rPr>
      </w:pPr>
      <w:r w:rsidRPr="003A52B1">
        <w:rPr>
          <w:rFonts w:asciiTheme="majorHAnsi" w:hAnsiTheme="majorHAnsi"/>
          <w:sz w:val="22"/>
          <w:szCs w:val="22"/>
        </w:rPr>
        <w:t xml:space="preserve">Furthermore, this </w:t>
      </w:r>
      <w:r w:rsidR="00AF1FC1" w:rsidRPr="003A52B1">
        <w:rPr>
          <w:rFonts w:asciiTheme="majorHAnsi" w:hAnsiTheme="majorHAnsi"/>
          <w:sz w:val="22"/>
          <w:szCs w:val="22"/>
        </w:rPr>
        <w:t xml:space="preserve">solution </w:t>
      </w:r>
      <w:r w:rsidRPr="003A52B1">
        <w:rPr>
          <w:rFonts w:asciiTheme="majorHAnsi" w:hAnsiTheme="majorHAnsi"/>
          <w:sz w:val="22"/>
          <w:szCs w:val="22"/>
        </w:rPr>
        <w:t>would not put further allowance pressures on other covered entities, which a</w:t>
      </w:r>
      <w:r w:rsidR="002A49BB" w:rsidRPr="003A52B1">
        <w:rPr>
          <w:rFonts w:asciiTheme="majorHAnsi" w:hAnsiTheme="majorHAnsi"/>
          <w:sz w:val="22"/>
          <w:szCs w:val="22"/>
        </w:rPr>
        <w:t xml:space="preserve">n increased </w:t>
      </w:r>
      <w:r w:rsidRPr="003A52B1">
        <w:rPr>
          <w:rFonts w:asciiTheme="majorHAnsi" w:hAnsiTheme="majorHAnsi"/>
          <w:sz w:val="22"/>
          <w:szCs w:val="22"/>
        </w:rPr>
        <w:t xml:space="preserve">allocation for utilities’ EV charging might </w:t>
      </w:r>
      <w:r w:rsidR="006617BB">
        <w:rPr>
          <w:rFonts w:asciiTheme="majorHAnsi" w:hAnsiTheme="majorHAnsi"/>
          <w:sz w:val="22"/>
          <w:szCs w:val="22"/>
        </w:rPr>
        <w:t xml:space="preserve">otherwise </w:t>
      </w:r>
      <w:r w:rsidRPr="003A52B1">
        <w:rPr>
          <w:rFonts w:asciiTheme="majorHAnsi" w:hAnsiTheme="majorHAnsi"/>
          <w:sz w:val="22"/>
          <w:szCs w:val="22"/>
        </w:rPr>
        <w:t>catalyze</w:t>
      </w:r>
      <w:r w:rsidR="002A49BB" w:rsidRPr="003A52B1">
        <w:rPr>
          <w:rFonts w:asciiTheme="majorHAnsi" w:hAnsiTheme="majorHAnsi"/>
          <w:sz w:val="22"/>
          <w:szCs w:val="22"/>
        </w:rPr>
        <w:t xml:space="preserve"> (</w:t>
      </w:r>
      <w:r w:rsidR="00DF79BF" w:rsidRPr="003A52B1">
        <w:rPr>
          <w:rFonts w:asciiTheme="majorHAnsi" w:hAnsiTheme="majorHAnsi"/>
          <w:sz w:val="22"/>
          <w:szCs w:val="22"/>
        </w:rPr>
        <w:t>e.g.</w:t>
      </w:r>
      <w:r w:rsidR="002A49BB" w:rsidRPr="003A52B1">
        <w:rPr>
          <w:rFonts w:asciiTheme="majorHAnsi" w:hAnsiTheme="majorHAnsi"/>
          <w:sz w:val="22"/>
          <w:szCs w:val="22"/>
        </w:rPr>
        <w:t xml:space="preserve"> 4:1 </w:t>
      </w:r>
      <w:r w:rsidR="00DF79BF" w:rsidRPr="003A52B1">
        <w:rPr>
          <w:rFonts w:asciiTheme="majorHAnsi" w:hAnsiTheme="majorHAnsi"/>
          <w:sz w:val="22"/>
          <w:szCs w:val="22"/>
        </w:rPr>
        <w:t>vs.</w:t>
      </w:r>
      <w:r w:rsidR="002A49BB" w:rsidRPr="003A52B1">
        <w:rPr>
          <w:rFonts w:asciiTheme="majorHAnsi" w:hAnsiTheme="majorHAnsi"/>
          <w:sz w:val="22"/>
          <w:szCs w:val="22"/>
        </w:rPr>
        <w:t xml:space="preserve"> 1:1)</w:t>
      </w:r>
      <w:r w:rsidRPr="003A52B1">
        <w:rPr>
          <w:rFonts w:asciiTheme="majorHAnsi" w:hAnsiTheme="majorHAnsi"/>
          <w:sz w:val="22"/>
          <w:szCs w:val="22"/>
        </w:rPr>
        <w:t>.</w:t>
      </w:r>
    </w:p>
    <w:p w:rsidR="002B2CC6" w:rsidRPr="003A52B1" w:rsidRDefault="003F1F0E" w:rsidP="00574387">
      <w:pPr>
        <w:numPr>
          <w:ilvl w:val="3"/>
          <w:numId w:val="2"/>
          <w:numberingChange w:id="10" w:author="Sue Hall" w:date="2016-11-21T10:14:00Z" w:original=""/>
        </w:numPr>
        <w:spacing w:beforeLines="1" w:afterLines="1"/>
        <w:rPr>
          <w:rFonts w:asciiTheme="majorHAnsi" w:hAnsiTheme="majorHAnsi"/>
          <w:sz w:val="20"/>
          <w:szCs w:val="20"/>
        </w:rPr>
      </w:pPr>
      <w:r w:rsidRPr="003A52B1">
        <w:rPr>
          <w:rFonts w:asciiTheme="majorHAnsi" w:hAnsiTheme="majorHAnsi"/>
          <w:sz w:val="22"/>
          <w:szCs w:val="22"/>
        </w:rPr>
        <w:t xml:space="preserve">WA state is using this same set aside reserve provision </w:t>
      </w:r>
      <w:r w:rsidR="00906CB7">
        <w:rPr>
          <w:rFonts w:asciiTheme="majorHAnsi" w:hAnsiTheme="majorHAnsi"/>
          <w:sz w:val="22"/>
          <w:szCs w:val="22"/>
        </w:rPr>
        <w:t>for carbon credit “</w:t>
      </w:r>
      <w:hyperlink r:id="rId5" w:history="1">
        <w:r w:rsidR="00906CB7" w:rsidRPr="00D76E2C">
          <w:rPr>
            <w:rStyle w:val="Hyperlink"/>
            <w:rFonts w:asciiTheme="majorHAnsi" w:hAnsiTheme="majorHAnsi"/>
            <w:sz w:val="22"/>
            <w:szCs w:val="22"/>
          </w:rPr>
          <w:t>sponsored projects</w:t>
        </w:r>
      </w:hyperlink>
      <w:r w:rsidR="00906CB7">
        <w:rPr>
          <w:rFonts w:asciiTheme="majorHAnsi" w:hAnsiTheme="majorHAnsi"/>
          <w:sz w:val="22"/>
          <w:szCs w:val="22"/>
        </w:rPr>
        <w:t>” in WA state</w:t>
      </w:r>
      <w:r w:rsidR="00906CB7" w:rsidRPr="00EB085C">
        <w:rPr>
          <w:rFonts w:asciiTheme="majorHAnsi" w:hAnsiTheme="majorHAnsi"/>
          <w:sz w:val="22"/>
          <w:szCs w:val="22"/>
        </w:rPr>
        <w:t xml:space="preserve"> </w:t>
      </w:r>
      <w:r w:rsidRPr="003A52B1">
        <w:rPr>
          <w:rFonts w:asciiTheme="majorHAnsi" w:hAnsiTheme="majorHAnsi"/>
          <w:sz w:val="22"/>
          <w:szCs w:val="22"/>
        </w:rPr>
        <w:t xml:space="preserve">to avoid double counting concerns under </w:t>
      </w:r>
      <w:r w:rsidR="006617BB">
        <w:rPr>
          <w:rFonts w:asciiTheme="majorHAnsi" w:hAnsiTheme="majorHAnsi"/>
          <w:sz w:val="22"/>
          <w:szCs w:val="22"/>
        </w:rPr>
        <w:t>its</w:t>
      </w:r>
      <w:r w:rsidRPr="003A52B1">
        <w:rPr>
          <w:rFonts w:asciiTheme="majorHAnsi" w:hAnsiTheme="majorHAnsi"/>
          <w:sz w:val="22"/>
          <w:szCs w:val="22"/>
        </w:rPr>
        <w:t xml:space="preserve"> CAR – and avoid the conflicts between sectors which otherwise arise under cap/trade around such mission critical technologies</w:t>
      </w:r>
      <w:r w:rsidR="0083104E" w:rsidRPr="003A52B1">
        <w:rPr>
          <w:rFonts w:asciiTheme="majorHAnsi" w:hAnsiTheme="majorHAnsi"/>
          <w:sz w:val="22"/>
          <w:szCs w:val="22"/>
        </w:rPr>
        <w:t xml:space="preserve">.  </w:t>
      </w:r>
    </w:p>
    <w:p w:rsidR="002A49BB" w:rsidRPr="006617BB" w:rsidRDefault="002A49BB" w:rsidP="00574387">
      <w:pPr>
        <w:numPr>
          <w:ilvl w:val="0"/>
          <w:numId w:val="2"/>
          <w:numberingChange w:id="11" w:author="Sue Hall" w:date="2016-11-21T10:14:00Z" w:original=""/>
        </w:numPr>
        <w:spacing w:beforeLines="1" w:afterLines="1"/>
        <w:ind w:left="360"/>
        <w:rPr>
          <w:rFonts w:asciiTheme="majorHAnsi" w:hAnsiTheme="majorHAnsi"/>
          <w:sz w:val="22"/>
          <w:szCs w:val="20"/>
        </w:rPr>
      </w:pPr>
      <w:r w:rsidRPr="006617BB">
        <w:rPr>
          <w:rFonts w:asciiTheme="majorHAnsi" w:hAnsiTheme="majorHAnsi"/>
          <w:sz w:val="22"/>
          <w:szCs w:val="20"/>
        </w:rPr>
        <w:t xml:space="preserve">By drawing upon </w:t>
      </w:r>
      <w:r w:rsidR="006617BB">
        <w:rPr>
          <w:rFonts w:asciiTheme="majorHAnsi" w:hAnsiTheme="majorHAnsi"/>
          <w:sz w:val="22"/>
          <w:szCs w:val="20"/>
        </w:rPr>
        <w:t>its</w:t>
      </w:r>
      <w:r w:rsidRPr="006617BB">
        <w:rPr>
          <w:rFonts w:asciiTheme="majorHAnsi" w:hAnsiTheme="majorHAnsi"/>
          <w:sz w:val="22"/>
          <w:szCs w:val="20"/>
        </w:rPr>
        <w:t xml:space="preserve"> set aside reserve, CA (like WA state) would be using an under-leverage</w:t>
      </w:r>
      <w:r w:rsidR="0083104E" w:rsidRPr="006617BB">
        <w:rPr>
          <w:rFonts w:asciiTheme="majorHAnsi" w:hAnsiTheme="majorHAnsi"/>
          <w:sz w:val="22"/>
          <w:szCs w:val="20"/>
        </w:rPr>
        <w:t>d</w:t>
      </w:r>
      <w:r w:rsidRPr="006617BB">
        <w:rPr>
          <w:rFonts w:asciiTheme="majorHAnsi" w:hAnsiTheme="majorHAnsi"/>
          <w:sz w:val="22"/>
          <w:szCs w:val="20"/>
        </w:rPr>
        <w:t xml:space="preserve"> set aside resource to help accelerate the two interdependent mission critical technologies which are essential to delivering upon its GHG goals: namely renewables (already included in the set aside and enshrined in RPS) and EV transportation (proposed to now be included in this same set aside reserve, and which is essential if the RPS goals are to be reached).</w:t>
      </w:r>
    </w:p>
    <w:p w:rsidR="007B225E" w:rsidRPr="003A52B1" w:rsidRDefault="002A49BB" w:rsidP="00574387">
      <w:pPr>
        <w:numPr>
          <w:ilvl w:val="0"/>
          <w:numId w:val="2"/>
          <w:numberingChange w:id="12" w:author="Sue Hall" w:date="2016-11-21T10:14:00Z" w:original=""/>
        </w:numPr>
        <w:spacing w:beforeLines="1" w:afterLines="1"/>
        <w:ind w:left="360"/>
        <w:rPr>
          <w:rFonts w:asciiTheme="majorHAnsi" w:hAnsiTheme="majorHAnsi"/>
          <w:sz w:val="20"/>
          <w:szCs w:val="20"/>
        </w:rPr>
      </w:pPr>
      <w:r w:rsidRPr="003A52B1">
        <w:rPr>
          <w:rFonts w:asciiTheme="majorHAnsi" w:hAnsiTheme="majorHAnsi"/>
          <w:sz w:val="22"/>
          <w:szCs w:val="22"/>
        </w:rPr>
        <w:t>The creation of these “in-state” EV charging credits, whose double counting is avoided</w:t>
      </w:r>
      <w:r w:rsidR="003F1F0E" w:rsidRPr="003A52B1">
        <w:rPr>
          <w:rFonts w:asciiTheme="majorHAnsi" w:hAnsiTheme="majorHAnsi"/>
          <w:sz w:val="22"/>
          <w:szCs w:val="22"/>
        </w:rPr>
        <w:t xml:space="preserve">, </w:t>
      </w:r>
      <w:r w:rsidR="002B2CC6" w:rsidRPr="003A52B1">
        <w:rPr>
          <w:rFonts w:asciiTheme="majorHAnsi" w:hAnsiTheme="majorHAnsi"/>
          <w:sz w:val="22"/>
          <w:szCs w:val="22"/>
        </w:rPr>
        <w:t xml:space="preserve">would provide </w:t>
      </w:r>
      <w:r w:rsidRPr="003A52B1">
        <w:rPr>
          <w:rFonts w:asciiTheme="majorHAnsi" w:hAnsiTheme="majorHAnsi"/>
          <w:sz w:val="22"/>
          <w:szCs w:val="22"/>
        </w:rPr>
        <w:t xml:space="preserve">essential </w:t>
      </w:r>
      <w:r w:rsidR="002B2CC6" w:rsidRPr="003A52B1">
        <w:rPr>
          <w:rFonts w:asciiTheme="majorHAnsi" w:hAnsiTheme="majorHAnsi"/>
          <w:sz w:val="22"/>
          <w:szCs w:val="22"/>
        </w:rPr>
        <w:t xml:space="preserve">carbon capital incentives to drive EV charging investments — by both utilities directly and </w:t>
      </w:r>
      <w:r w:rsidR="000F75A4">
        <w:rPr>
          <w:rFonts w:asciiTheme="majorHAnsi" w:hAnsiTheme="majorHAnsi"/>
          <w:sz w:val="22"/>
          <w:szCs w:val="22"/>
        </w:rPr>
        <w:t>by</w:t>
      </w:r>
      <w:r w:rsidR="00AF1FC1" w:rsidRPr="003A52B1">
        <w:rPr>
          <w:rFonts w:asciiTheme="majorHAnsi" w:hAnsiTheme="majorHAnsi"/>
          <w:sz w:val="22"/>
          <w:szCs w:val="22"/>
        </w:rPr>
        <w:t xml:space="preserve"> </w:t>
      </w:r>
      <w:r w:rsidR="002B2CC6" w:rsidRPr="003A52B1">
        <w:rPr>
          <w:rFonts w:asciiTheme="majorHAnsi" w:hAnsiTheme="majorHAnsi"/>
          <w:sz w:val="22"/>
          <w:szCs w:val="22"/>
        </w:rPr>
        <w:t xml:space="preserve">other private and public partners </w:t>
      </w:r>
      <w:r w:rsidR="006617BB">
        <w:rPr>
          <w:rFonts w:asciiTheme="majorHAnsi" w:hAnsiTheme="majorHAnsi"/>
          <w:sz w:val="22"/>
          <w:szCs w:val="22"/>
        </w:rPr>
        <w:t xml:space="preserve">which, in parallel, are also investing their own capital into EV charging infrastructure systems.   This solution </w:t>
      </w:r>
      <w:r w:rsidR="000F75A4">
        <w:rPr>
          <w:rFonts w:asciiTheme="majorHAnsi" w:hAnsiTheme="majorHAnsi"/>
          <w:sz w:val="22"/>
          <w:szCs w:val="22"/>
        </w:rPr>
        <w:t xml:space="preserve">thus </w:t>
      </w:r>
      <w:r w:rsidR="006617BB">
        <w:rPr>
          <w:rFonts w:asciiTheme="majorHAnsi" w:hAnsiTheme="majorHAnsi"/>
          <w:sz w:val="22"/>
          <w:szCs w:val="22"/>
        </w:rPr>
        <w:t>c</w:t>
      </w:r>
      <w:r w:rsidR="00AF1FC1" w:rsidRPr="003A52B1">
        <w:rPr>
          <w:rFonts w:asciiTheme="majorHAnsi" w:hAnsiTheme="majorHAnsi"/>
          <w:sz w:val="22"/>
          <w:szCs w:val="22"/>
        </w:rPr>
        <w:t>hannel</w:t>
      </w:r>
      <w:r w:rsidR="006617BB">
        <w:rPr>
          <w:rFonts w:asciiTheme="majorHAnsi" w:hAnsiTheme="majorHAnsi"/>
          <w:sz w:val="22"/>
          <w:szCs w:val="22"/>
        </w:rPr>
        <w:t>s</w:t>
      </w:r>
      <w:r w:rsidR="00AF1FC1" w:rsidRPr="003A52B1">
        <w:rPr>
          <w:rFonts w:asciiTheme="majorHAnsi" w:hAnsiTheme="majorHAnsi"/>
          <w:sz w:val="22"/>
          <w:szCs w:val="22"/>
        </w:rPr>
        <w:t xml:space="preserve"> these new </w:t>
      </w:r>
      <w:r w:rsidR="006617BB">
        <w:rPr>
          <w:rFonts w:asciiTheme="majorHAnsi" w:hAnsiTheme="majorHAnsi"/>
          <w:sz w:val="22"/>
          <w:szCs w:val="22"/>
        </w:rPr>
        <w:t xml:space="preserve">“in-state” </w:t>
      </w:r>
      <w:r w:rsidR="00AF1FC1" w:rsidRPr="003A52B1">
        <w:rPr>
          <w:rFonts w:asciiTheme="majorHAnsi" w:hAnsiTheme="majorHAnsi"/>
          <w:sz w:val="22"/>
          <w:szCs w:val="22"/>
        </w:rPr>
        <w:t xml:space="preserve">carbon incentives </w:t>
      </w:r>
      <w:r w:rsidR="002B2CC6" w:rsidRPr="003A52B1">
        <w:rPr>
          <w:rFonts w:asciiTheme="majorHAnsi" w:hAnsiTheme="majorHAnsi"/>
          <w:sz w:val="22"/>
          <w:szCs w:val="22"/>
        </w:rPr>
        <w:t>to the entities which are putting their own investment capital at risk to achieve these</w:t>
      </w:r>
      <w:r w:rsidR="00AF1FC1" w:rsidRPr="003A52B1">
        <w:rPr>
          <w:rFonts w:asciiTheme="majorHAnsi" w:hAnsiTheme="majorHAnsi"/>
          <w:sz w:val="22"/>
          <w:szCs w:val="22"/>
        </w:rPr>
        <w:t xml:space="preserve"> GHG</w:t>
      </w:r>
      <w:r w:rsidR="002B2CC6" w:rsidRPr="003A52B1">
        <w:rPr>
          <w:rFonts w:asciiTheme="majorHAnsi" w:hAnsiTheme="majorHAnsi"/>
          <w:sz w:val="22"/>
          <w:szCs w:val="22"/>
        </w:rPr>
        <w:t xml:space="preserve"> reductions (aka the utilities, network service providers</w:t>
      </w:r>
      <w:r w:rsidR="00AF1FC1" w:rsidRPr="003A52B1">
        <w:rPr>
          <w:rFonts w:asciiTheme="majorHAnsi" w:hAnsiTheme="majorHAnsi"/>
          <w:sz w:val="22"/>
          <w:szCs w:val="22"/>
        </w:rPr>
        <w:t>, private/public partners etc).  This approach</w:t>
      </w:r>
      <w:r w:rsidR="002B2CC6" w:rsidRPr="003A52B1">
        <w:rPr>
          <w:rFonts w:asciiTheme="majorHAnsi" w:hAnsiTheme="majorHAnsi"/>
          <w:sz w:val="22"/>
          <w:szCs w:val="22"/>
        </w:rPr>
        <w:t xml:space="preserve"> would therefore meet </w:t>
      </w:r>
      <w:r w:rsidR="003F1F0E" w:rsidRPr="003A52B1">
        <w:rPr>
          <w:rFonts w:asciiTheme="majorHAnsi" w:hAnsiTheme="majorHAnsi"/>
          <w:sz w:val="22"/>
          <w:szCs w:val="22"/>
        </w:rPr>
        <w:t xml:space="preserve">ARB and stakeholders’ </w:t>
      </w:r>
      <w:r w:rsidR="00AF1FC1" w:rsidRPr="003A52B1">
        <w:rPr>
          <w:rFonts w:asciiTheme="majorHAnsi" w:hAnsiTheme="majorHAnsi"/>
          <w:sz w:val="22"/>
          <w:szCs w:val="22"/>
        </w:rPr>
        <w:t>interests to expand</w:t>
      </w:r>
      <w:r w:rsidR="002B2CC6" w:rsidRPr="003A52B1">
        <w:rPr>
          <w:rFonts w:asciiTheme="majorHAnsi" w:hAnsiTheme="majorHAnsi"/>
          <w:sz w:val="22"/>
          <w:szCs w:val="22"/>
        </w:rPr>
        <w:t xml:space="preserve"> new funding resources to accelerate progress in the EV charging deployment/education domain</w:t>
      </w:r>
      <w:r w:rsidRPr="003A52B1">
        <w:rPr>
          <w:rFonts w:asciiTheme="majorHAnsi" w:hAnsiTheme="majorHAnsi"/>
          <w:sz w:val="22"/>
          <w:szCs w:val="22"/>
        </w:rPr>
        <w:t xml:space="preserve"> – to maximize the speed with which its GHG can be attained</w:t>
      </w:r>
      <w:r w:rsidR="007B225E" w:rsidRPr="003A52B1">
        <w:rPr>
          <w:rFonts w:asciiTheme="majorHAnsi" w:hAnsiTheme="majorHAnsi"/>
          <w:sz w:val="22"/>
          <w:szCs w:val="22"/>
        </w:rPr>
        <w:t>.</w:t>
      </w:r>
    </w:p>
    <w:p w:rsidR="007B225E" w:rsidRPr="003A52B1" w:rsidRDefault="007B225E" w:rsidP="00574387">
      <w:pPr>
        <w:numPr>
          <w:ilvl w:val="3"/>
          <w:numId w:val="2"/>
          <w:numberingChange w:id="13" w:author="Sue Hall" w:date="2016-11-21T10:14:00Z" w:original=""/>
        </w:numPr>
        <w:spacing w:beforeLines="1" w:afterLines="1"/>
        <w:rPr>
          <w:rFonts w:asciiTheme="majorHAnsi" w:hAnsiTheme="majorHAnsi"/>
          <w:sz w:val="20"/>
          <w:szCs w:val="20"/>
        </w:rPr>
      </w:pPr>
      <w:r w:rsidRPr="003A52B1">
        <w:rPr>
          <w:rFonts w:asciiTheme="majorHAnsi" w:hAnsiTheme="majorHAnsi"/>
          <w:sz w:val="22"/>
          <w:szCs w:val="22"/>
        </w:rPr>
        <w:t>All stakeholders’ capital investment in the EV charging technologies stand to gain access to these new carbon returns in equitable fashion</w:t>
      </w:r>
      <w:r w:rsidR="006617BB">
        <w:rPr>
          <w:rFonts w:asciiTheme="majorHAnsi" w:hAnsiTheme="majorHAnsi"/>
          <w:sz w:val="22"/>
          <w:szCs w:val="22"/>
        </w:rPr>
        <w:t>, based upon their ownership of the EV charging systems</w:t>
      </w:r>
    </w:p>
    <w:p w:rsidR="007B225E" w:rsidRPr="003A52B1" w:rsidRDefault="007B225E" w:rsidP="00574387">
      <w:pPr>
        <w:numPr>
          <w:ilvl w:val="3"/>
          <w:numId w:val="2"/>
          <w:numberingChange w:id="14" w:author="Sue Hall" w:date="2016-11-21T10:14:00Z" w:original=""/>
        </w:numPr>
        <w:spacing w:beforeLines="1" w:afterLines="1"/>
        <w:rPr>
          <w:rFonts w:asciiTheme="majorHAnsi" w:hAnsiTheme="majorHAnsi"/>
          <w:sz w:val="20"/>
          <w:szCs w:val="20"/>
        </w:rPr>
      </w:pPr>
      <w:r w:rsidRPr="003A52B1">
        <w:rPr>
          <w:rFonts w:asciiTheme="majorHAnsi" w:hAnsiTheme="majorHAnsi"/>
          <w:sz w:val="22"/>
          <w:szCs w:val="22"/>
        </w:rPr>
        <w:t xml:space="preserve">A portion of such credits can also be reserved from each project </w:t>
      </w:r>
      <w:r w:rsidR="00422C66" w:rsidRPr="003A52B1">
        <w:rPr>
          <w:rFonts w:asciiTheme="majorHAnsi" w:hAnsiTheme="majorHAnsi"/>
          <w:sz w:val="22"/>
          <w:szCs w:val="22"/>
        </w:rPr>
        <w:t>for</w:t>
      </w:r>
      <w:r w:rsidR="006617BB">
        <w:rPr>
          <w:rFonts w:asciiTheme="majorHAnsi" w:hAnsiTheme="majorHAnsi"/>
          <w:sz w:val="22"/>
          <w:szCs w:val="22"/>
        </w:rPr>
        <w:t xml:space="preserve"> its utility</w:t>
      </w:r>
      <w:r w:rsidR="00422C66" w:rsidRPr="003A52B1">
        <w:rPr>
          <w:rFonts w:asciiTheme="majorHAnsi" w:hAnsiTheme="majorHAnsi"/>
          <w:sz w:val="22"/>
          <w:szCs w:val="22"/>
        </w:rPr>
        <w:t xml:space="preserve"> provider </w:t>
      </w:r>
      <w:r w:rsidRPr="003A52B1">
        <w:rPr>
          <w:rFonts w:asciiTheme="majorHAnsi" w:hAnsiTheme="majorHAnsi"/>
          <w:sz w:val="22"/>
          <w:szCs w:val="22"/>
        </w:rPr>
        <w:t>to cover the k</w:t>
      </w:r>
      <w:r w:rsidR="00DF79BF">
        <w:rPr>
          <w:rFonts w:asciiTheme="majorHAnsi" w:hAnsiTheme="majorHAnsi"/>
          <w:sz w:val="22"/>
          <w:szCs w:val="22"/>
        </w:rPr>
        <w:t>W</w:t>
      </w:r>
      <w:r w:rsidRPr="003A52B1">
        <w:rPr>
          <w:rFonts w:asciiTheme="majorHAnsi" w:hAnsiTheme="majorHAnsi"/>
          <w:sz w:val="22"/>
          <w:szCs w:val="22"/>
        </w:rPr>
        <w:t xml:space="preserve">h impacts </w:t>
      </w:r>
      <w:r w:rsidR="006617BB">
        <w:rPr>
          <w:rFonts w:asciiTheme="majorHAnsi" w:hAnsiTheme="majorHAnsi"/>
          <w:sz w:val="22"/>
          <w:szCs w:val="22"/>
        </w:rPr>
        <w:t xml:space="preserve">arising from each project </w:t>
      </w:r>
      <w:r w:rsidRPr="003A52B1">
        <w:rPr>
          <w:rFonts w:asciiTheme="majorHAnsi" w:hAnsiTheme="majorHAnsi"/>
          <w:sz w:val="22"/>
          <w:szCs w:val="22"/>
        </w:rPr>
        <w:t>and thus make sure that the</w:t>
      </w:r>
      <w:r w:rsidR="006617BB">
        <w:rPr>
          <w:rFonts w:asciiTheme="majorHAnsi" w:hAnsiTheme="majorHAnsi"/>
          <w:sz w:val="22"/>
          <w:szCs w:val="22"/>
        </w:rPr>
        <w:t xml:space="preserve"> utility’s</w:t>
      </w:r>
      <w:r w:rsidRPr="003A52B1">
        <w:rPr>
          <w:rFonts w:asciiTheme="majorHAnsi" w:hAnsiTheme="majorHAnsi"/>
          <w:sz w:val="22"/>
          <w:szCs w:val="22"/>
        </w:rPr>
        <w:t xml:space="preserve"> increased k</w:t>
      </w:r>
      <w:r w:rsidR="00DF79BF">
        <w:rPr>
          <w:rFonts w:asciiTheme="majorHAnsi" w:hAnsiTheme="majorHAnsi"/>
          <w:sz w:val="22"/>
          <w:szCs w:val="22"/>
        </w:rPr>
        <w:t>W</w:t>
      </w:r>
      <w:r w:rsidRPr="003A52B1">
        <w:rPr>
          <w:rFonts w:asciiTheme="majorHAnsi" w:hAnsiTheme="majorHAnsi"/>
          <w:sz w:val="22"/>
          <w:szCs w:val="22"/>
        </w:rPr>
        <w:t>h GHG impacts (from EV charging units they do not directly own) are addressed</w:t>
      </w:r>
      <w:r w:rsidR="00410566" w:rsidRPr="003A52B1">
        <w:rPr>
          <w:rFonts w:asciiTheme="majorHAnsi" w:hAnsiTheme="majorHAnsi"/>
          <w:sz w:val="22"/>
          <w:szCs w:val="22"/>
        </w:rPr>
        <w:t>. Utilities would therefore at minimum be held harmless.</w:t>
      </w:r>
    </w:p>
    <w:p w:rsidR="002A49BB" w:rsidRPr="003A52B1" w:rsidRDefault="007B225E" w:rsidP="00574387">
      <w:pPr>
        <w:numPr>
          <w:ilvl w:val="3"/>
          <w:numId w:val="2"/>
          <w:numberingChange w:id="15" w:author="Sue Hall" w:date="2016-11-21T10:14:00Z" w:original=""/>
        </w:numPr>
        <w:spacing w:beforeLines="1" w:afterLines="1"/>
        <w:rPr>
          <w:rFonts w:asciiTheme="majorHAnsi" w:hAnsiTheme="majorHAnsi"/>
          <w:sz w:val="20"/>
          <w:szCs w:val="20"/>
        </w:rPr>
      </w:pPr>
      <w:r w:rsidRPr="003A52B1">
        <w:rPr>
          <w:rFonts w:asciiTheme="majorHAnsi" w:hAnsiTheme="majorHAnsi"/>
          <w:sz w:val="22"/>
          <w:szCs w:val="22"/>
        </w:rPr>
        <w:t>The carbon business case (see below) confirms that for EV charging such carbon revenues are highly salient.  Adopting in-state credits for EV charging is therefore a significant leverage point.</w:t>
      </w:r>
    </w:p>
    <w:p w:rsidR="002A49BB" w:rsidRPr="003A52B1" w:rsidRDefault="002A49BB" w:rsidP="00574387">
      <w:pPr>
        <w:numPr>
          <w:ilvl w:val="0"/>
          <w:numId w:val="2"/>
          <w:numberingChange w:id="16" w:author="Sue Hall" w:date="2016-11-21T10:14:00Z" w:original=""/>
        </w:numPr>
        <w:spacing w:beforeLines="1" w:afterLines="1"/>
        <w:ind w:left="360"/>
        <w:rPr>
          <w:rFonts w:asciiTheme="majorHAnsi" w:hAnsiTheme="majorHAnsi"/>
          <w:sz w:val="20"/>
          <w:szCs w:val="20"/>
        </w:rPr>
      </w:pPr>
      <w:r w:rsidRPr="003A52B1">
        <w:rPr>
          <w:rFonts w:asciiTheme="majorHAnsi" w:hAnsiTheme="majorHAnsi"/>
          <w:sz w:val="22"/>
          <w:szCs w:val="22"/>
        </w:rPr>
        <w:t>As a market based instrument, th</w:t>
      </w:r>
      <w:r w:rsidR="006C49AC">
        <w:rPr>
          <w:rFonts w:asciiTheme="majorHAnsi" w:hAnsiTheme="majorHAnsi"/>
          <w:sz w:val="22"/>
          <w:szCs w:val="22"/>
        </w:rPr>
        <w:t>is</w:t>
      </w:r>
      <w:r w:rsidRPr="003A52B1">
        <w:rPr>
          <w:rFonts w:asciiTheme="majorHAnsi" w:hAnsiTheme="majorHAnsi"/>
          <w:sz w:val="22"/>
          <w:szCs w:val="22"/>
        </w:rPr>
        <w:t xml:space="preserve"> approach also locates the carbon revenue incentives at the locations where capital investment in “mission critical technologies” is made.  This is not always at the location of the carbon cap.  Such in-state credits</w:t>
      </w:r>
      <w:r w:rsidR="006617BB">
        <w:rPr>
          <w:rFonts w:asciiTheme="majorHAnsi" w:hAnsiTheme="majorHAnsi"/>
          <w:sz w:val="22"/>
          <w:szCs w:val="22"/>
        </w:rPr>
        <w:t>,</w:t>
      </w:r>
      <w:r w:rsidRPr="003A52B1">
        <w:rPr>
          <w:rFonts w:asciiTheme="majorHAnsi" w:hAnsiTheme="majorHAnsi"/>
          <w:sz w:val="22"/>
          <w:szCs w:val="22"/>
        </w:rPr>
        <w:t xml:space="preserve"> which WA has </w:t>
      </w:r>
      <w:r w:rsidR="00410566" w:rsidRPr="003A52B1">
        <w:rPr>
          <w:rFonts w:asciiTheme="majorHAnsi" w:hAnsiTheme="majorHAnsi"/>
          <w:sz w:val="22"/>
          <w:szCs w:val="22"/>
        </w:rPr>
        <w:t xml:space="preserve">already </w:t>
      </w:r>
      <w:r w:rsidRPr="003A52B1">
        <w:rPr>
          <w:rFonts w:asciiTheme="majorHAnsi" w:hAnsiTheme="majorHAnsi"/>
          <w:sz w:val="22"/>
          <w:szCs w:val="22"/>
        </w:rPr>
        <w:t>adopted</w:t>
      </w:r>
      <w:r w:rsidR="006617BB">
        <w:rPr>
          <w:rFonts w:asciiTheme="majorHAnsi" w:hAnsiTheme="majorHAnsi"/>
          <w:sz w:val="22"/>
          <w:szCs w:val="22"/>
        </w:rPr>
        <w:t>,</w:t>
      </w:r>
      <w:r w:rsidRPr="003A52B1">
        <w:rPr>
          <w:rFonts w:asciiTheme="majorHAnsi" w:hAnsiTheme="majorHAnsi"/>
          <w:sz w:val="22"/>
          <w:szCs w:val="22"/>
        </w:rPr>
        <w:t xml:space="preserve"> give the flexibility (and credibility) to drive carbon market-based revenues to places where accelerated investment is </w:t>
      </w:r>
      <w:r w:rsidR="00410566" w:rsidRPr="003A52B1">
        <w:rPr>
          <w:rFonts w:asciiTheme="majorHAnsi" w:hAnsiTheme="majorHAnsi"/>
          <w:sz w:val="22"/>
          <w:szCs w:val="22"/>
        </w:rPr>
        <w:t xml:space="preserve">therefore </w:t>
      </w:r>
      <w:r w:rsidRPr="003A52B1">
        <w:rPr>
          <w:rFonts w:asciiTheme="majorHAnsi" w:hAnsiTheme="majorHAnsi"/>
          <w:sz w:val="22"/>
          <w:szCs w:val="22"/>
        </w:rPr>
        <w:t>most mission critical.</w:t>
      </w:r>
    </w:p>
    <w:p w:rsidR="002B2CC6" w:rsidRPr="003A52B1" w:rsidRDefault="002B2CC6" w:rsidP="00574387">
      <w:pPr>
        <w:numPr>
          <w:ilvl w:val="0"/>
          <w:numId w:val="2"/>
          <w:numberingChange w:id="17" w:author="Sue Hall" w:date="2016-11-21T10:14:00Z" w:original=""/>
        </w:numPr>
        <w:spacing w:beforeLines="1" w:afterLines="1"/>
        <w:ind w:left="360"/>
        <w:rPr>
          <w:rFonts w:asciiTheme="majorHAnsi" w:hAnsiTheme="majorHAnsi"/>
          <w:sz w:val="20"/>
          <w:szCs w:val="20"/>
        </w:rPr>
      </w:pPr>
      <w:r w:rsidRPr="003A52B1">
        <w:rPr>
          <w:rFonts w:asciiTheme="majorHAnsi" w:hAnsiTheme="majorHAnsi"/>
          <w:sz w:val="22"/>
          <w:szCs w:val="22"/>
        </w:rPr>
        <w:t>CNBN has been discussing these kinds of creative solutions with many stakeholders including members from the newly formed EV Charging Carbon Coalition</w:t>
      </w:r>
      <w:r w:rsidR="007C4C2D" w:rsidRPr="003A52B1">
        <w:rPr>
          <w:rFonts w:asciiTheme="majorHAnsi" w:hAnsiTheme="majorHAnsi"/>
          <w:sz w:val="22"/>
          <w:szCs w:val="22"/>
        </w:rPr>
        <w:t>, the</w:t>
      </w:r>
      <w:r w:rsidRPr="003A52B1">
        <w:rPr>
          <w:rFonts w:asciiTheme="majorHAnsi" w:hAnsiTheme="majorHAnsi"/>
          <w:sz w:val="22"/>
          <w:szCs w:val="22"/>
        </w:rPr>
        <w:t xml:space="preserve"> EVCCC</w:t>
      </w:r>
      <w:r w:rsidR="003F1F0E" w:rsidRPr="003A52B1">
        <w:rPr>
          <w:rFonts w:asciiTheme="majorHAnsi" w:hAnsiTheme="majorHAnsi"/>
          <w:sz w:val="22"/>
          <w:szCs w:val="22"/>
        </w:rPr>
        <w:t xml:space="preserve">.  Building upon the carbon business </w:t>
      </w:r>
      <w:proofErr w:type="gramStart"/>
      <w:r w:rsidR="003F1F0E" w:rsidRPr="003A52B1">
        <w:rPr>
          <w:rFonts w:asciiTheme="majorHAnsi" w:hAnsiTheme="majorHAnsi"/>
          <w:sz w:val="22"/>
          <w:szCs w:val="22"/>
        </w:rPr>
        <w:t>case which</w:t>
      </w:r>
      <w:proofErr w:type="gramEnd"/>
      <w:r w:rsidR="003F1F0E" w:rsidRPr="003A52B1">
        <w:rPr>
          <w:rFonts w:asciiTheme="majorHAnsi" w:hAnsiTheme="majorHAnsi"/>
          <w:sz w:val="22"/>
          <w:szCs w:val="22"/>
        </w:rPr>
        <w:t xml:space="preserve"> GM sponsored,</w:t>
      </w:r>
      <w:r w:rsidR="00574B84">
        <w:rPr>
          <w:rFonts w:asciiTheme="majorHAnsi" w:hAnsiTheme="majorHAnsi"/>
          <w:sz w:val="22"/>
          <w:szCs w:val="22"/>
        </w:rPr>
        <w:t xml:space="preserve"> </w:t>
      </w:r>
      <w:r w:rsidR="003F1F0E" w:rsidRPr="003A52B1">
        <w:rPr>
          <w:rFonts w:asciiTheme="majorHAnsi" w:hAnsiTheme="majorHAnsi"/>
          <w:sz w:val="22"/>
          <w:szCs w:val="22"/>
        </w:rPr>
        <w:t>members include</w:t>
      </w:r>
      <w:r w:rsidRPr="003A52B1">
        <w:rPr>
          <w:rFonts w:asciiTheme="majorHAnsi" w:hAnsiTheme="majorHAnsi"/>
          <w:sz w:val="22"/>
          <w:szCs w:val="22"/>
        </w:rPr>
        <w:t xml:space="preserve"> Audi/VW Group, </w:t>
      </w:r>
      <w:proofErr w:type="spellStart"/>
      <w:r w:rsidRPr="003A52B1">
        <w:rPr>
          <w:rFonts w:asciiTheme="majorHAnsi" w:hAnsiTheme="majorHAnsi"/>
          <w:sz w:val="22"/>
          <w:szCs w:val="22"/>
        </w:rPr>
        <w:t>EV</w:t>
      </w:r>
      <w:r w:rsidR="00DF79BF">
        <w:rPr>
          <w:rFonts w:asciiTheme="majorHAnsi" w:hAnsiTheme="majorHAnsi"/>
          <w:sz w:val="22"/>
          <w:szCs w:val="22"/>
        </w:rPr>
        <w:t>g</w:t>
      </w:r>
      <w:r w:rsidRPr="003A52B1">
        <w:rPr>
          <w:rFonts w:asciiTheme="majorHAnsi" w:hAnsiTheme="majorHAnsi"/>
          <w:sz w:val="22"/>
          <w:szCs w:val="22"/>
        </w:rPr>
        <w:t>o</w:t>
      </w:r>
      <w:proofErr w:type="spellEnd"/>
      <w:r w:rsidRPr="003A52B1">
        <w:rPr>
          <w:rFonts w:asciiTheme="majorHAnsi" w:hAnsiTheme="majorHAnsi"/>
          <w:sz w:val="22"/>
          <w:szCs w:val="22"/>
        </w:rPr>
        <w:t xml:space="preserve">, Exelon, CT Green Bank, Siemens and </w:t>
      </w:r>
      <w:r w:rsidR="006C49AC">
        <w:rPr>
          <w:rFonts w:asciiTheme="majorHAnsi" w:hAnsiTheme="majorHAnsi"/>
          <w:sz w:val="22"/>
          <w:szCs w:val="22"/>
        </w:rPr>
        <w:t xml:space="preserve">the </w:t>
      </w:r>
      <w:r w:rsidR="00B27D70">
        <w:rPr>
          <w:rFonts w:asciiTheme="majorHAnsi" w:hAnsiTheme="majorHAnsi"/>
          <w:sz w:val="22"/>
          <w:szCs w:val="22"/>
        </w:rPr>
        <w:t>Carbon Neutral Cities Alliance (</w:t>
      </w:r>
      <w:r w:rsidRPr="003A52B1">
        <w:rPr>
          <w:rFonts w:asciiTheme="majorHAnsi" w:hAnsiTheme="majorHAnsi"/>
          <w:sz w:val="22"/>
          <w:szCs w:val="22"/>
        </w:rPr>
        <w:t>CNCA</w:t>
      </w:r>
      <w:r w:rsidR="00B27D70">
        <w:rPr>
          <w:rFonts w:asciiTheme="majorHAnsi" w:hAnsiTheme="majorHAnsi"/>
          <w:sz w:val="22"/>
          <w:szCs w:val="22"/>
        </w:rPr>
        <w:t>)</w:t>
      </w:r>
      <w:r w:rsidRPr="003A52B1">
        <w:rPr>
          <w:rFonts w:asciiTheme="majorHAnsi" w:hAnsiTheme="majorHAnsi"/>
          <w:sz w:val="22"/>
          <w:szCs w:val="22"/>
        </w:rPr>
        <w:t xml:space="preserve"> cities</w:t>
      </w:r>
      <w:r w:rsidR="006C49AC">
        <w:rPr>
          <w:rFonts w:asciiTheme="majorHAnsi" w:hAnsiTheme="majorHAnsi"/>
          <w:sz w:val="22"/>
          <w:szCs w:val="22"/>
        </w:rPr>
        <w:t>, including</w:t>
      </w:r>
      <w:r w:rsidR="007B73FF">
        <w:rPr>
          <w:rFonts w:asciiTheme="majorHAnsi" w:hAnsiTheme="majorHAnsi"/>
          <w:sz w:val="22"/>
          <w:szCs w:val="22"/>
        </w:rPr>
        <w:t xml:space="preserve"> San Francisco and Palo Alto.</w:t>
      </w:r>
      <w:r w:rsidRPr="003A52B1">
        <w:rPr>
          <w:rFonts w:asciiTheme="majorHAnsi" w:hAnsiTheme="majorHAnsi"/>
          <w:sz w:val="22"/>
          <w:szCs w:val="22"/>
        </w:rPr>
        <w:t xml:space="preserve">  The EVCCC has already developed the carbon business case arising from such EV charging carbon credits which can contribute a salient 5-10% return on capital from </w:t>
      </w:r>
      <w:r w:rsidR="00AF1FC1" w:rsidRPr="003A52B1">
        <w:rPr>
          <w:rFonts w:asciiTheme="majorHAnsi" w:hAnsiTheme="majorHAnsi"/>
          <w:sz w:val="22"/>
          <w:szCs w:val="22"/>
        </w:rPr>
        <w:t xml:space="preserve">US </w:t>
      </w:r>
      <w:r w:rsidRPr="003A52B1">
        <w:rPr>
          <w:rFonts w:asciiTheme="majorHAnsi" w:hAnsiTheme="majorHAnsi"/>
          <w:sz w:val="22"/>
          <w:szCs w:val="22"/>
        </w:rPr>
        <w:t xml:space="preserve">voluntary </w:t>
      </w:r>
      <w:r w:rsidR="00AF1FC1" w:rsidRPr="003A52B1">
        <w:rPr>
          <w:rFonts w:asciiTheme="majorHAnsi" w:hAnsiTheme="majorHAnsi"/>
          <w:sz w:val="22"/>
          <w:szCs w:val="22"/>
        </w:rPr>
        <w:t xml:space="preserve">carbon </w:t>
      </w:r>
      <w:r w:rsidRPr="003A52B1">
        <w:rPr>
          <w:rFonts w:asciiTheme="majorHAnsi" w:hAnsiTheme="majorHAnsi"/>
          <w:sz w:val="22"/>
          <w:szCs w:val="22"/>
        </w:rPr>
        <w:t xml:space="preserve">markets – </w:t>
      </w:r>
      <w:r w:rsidR="00AF1FC1" w:rsidRPr="003A52B1">
        <w:rPr>
          <w:rFonts w:asciiTheme="majorHAnsi" w:hAnsiTheme="majorHAnsi"/>
          <w:sz w:val="22"/>
          <w:szCs w:val="22"/>
        </w:rPr>
        <w:t xml:space="preserve">and </w:t>
      </w:r>
      <w:r w:rsidRPr="003A52B1">
        <w:rPr>
          <w:rFonts w:asciiTheme="majorHAnsi" w:hAnsiTheme="majorHAnsi"/>
          <w:sz w:val="22"/>
          <w:szCs w:val="22"/>
        </w:rPr>
        <w:t xml:space="preserve">ten times this return from LCFS credits. </w:t>
      </w:r>
      <w:r w:rsidR="007B225E" w:rsidRPr="003A52B1">
        <w:rPr>
          <w:rFonts w:asciiTheme="majorHAnsi" w:hAnsiTheme="majorHAnsi"/>
          <w:sz w:val="22"/>
          <w:szCs w:val="22"/>
        </w:rPr>
        <w:t xml:space="preserve">  At $14/ton CA allowance pricing the return on capital for EV charging systems would be 14% -- a highly salient driver for expanded in-state investment.</w:t>
      </w:r>
    </w:p>
    <w:p w:rsidR="007B225E" w:rsidRPr="003A52B1" w:rsidRDefault="002B2CC6" w:rsidP="00574387">
      <w:pPr>
        <w:numPr>
          <w:ilvl w:val="0"/>
          <w:numId w:val="2"/>
          <w:numberingChange w:id="18" w:author="Sue Hall" w:date="2016-11-21T10:14:00Z" w:original=""/>
        </w:numPr>
        <w:spacing w:beforeLines="1" w:afterLines="1"/>
        <w:ind w:left="360"/>
        <w:rPr>
          <w:rFonts w:asciiTheme="majorHAnsi" w:hAnsiTheme="majorHAnsi"/>
          <w:sz w:val="20"/>
          <w:szCs w:val="20"/>
        </w:rPr>
      </w:pPr>
      <w:r w:rsidRPr="003A52B1">
        <w:rPr>
          <w:rFonts w:asciiTheme="majorHAnsi" w:hAnsiTheme="majorHAnsi"/>
          <w:sz w:val="22"/>
          <w:szCs w:val="22"/>
        </w:rPr>
        <w:t>The EVCCC is also now developing a new carbon methodology</w:t>
      </w:r>
      <w:r w:rsidR="003F1F0E" w:rsidRPr="003A52B1">
        <w:rPr>
          <w:rFonts w:asciiTheme="majorHAnsi" w:hAnsiTheme="majorHAnsi"/>
          <w:sz w:val="22"/>
          <w:szCs w:val="22"/>
        </w:rPr>
        <w:t xml:space="preserve"> (for the US/international voluntary carbon markets</w:t>
      </w:r>
      <w:r w:rsidR="006C49AC">
        <w:rPr>
          <w:rFonts w:asciiTheme="majorHAnsi" w:hAnsiTheme="majorHAnsi"/>
          <w:sz w:val="22"/>
          <w:szCs w:val="22"/>
        </w:rPr>
        <w:t xml:space="preserve"> with the Verified Carbon Standard (VCS)</w:t>
      </w:r>
      <w:r w:rsidR="003F1F0E" w:rsidRPr="003A52B1">
        <w:rPr>
          <w:rFonts w:asciiTheme="majorHAnsi" w:hAnsiTheme="majorHAnsi"/>
          <w:sz w:val="22"/>
          <w:szCs w:val="22"/>
        </w:rPr>
        <w:t>)</w:t>
      </w:r>
      <w:r w:rsidR="002009C0">
        <w:rPr>
          <w:rFonts w:asciiTheme="majorHAnsi" w:hAnsiTheme="majorHAnsi"/>
          <w:sz w:val="22"/>
          <w:szCs w:val="22"/>
        </w:rPr>
        <w:t xml:space="preserve"> </w:t>
      </w:r>
      <w:r w:rsidRPr="003A52B1">
        <w:rPr>
          <w:rFonts w:asciiTheme="majorHAnsi" w:hAnsiTheme="majorHAnsi"/>
          <w:sz w:val="22"/>
          <w:szCs w:val="22"/>
        </w:rPr>
        <w:t xml:space="preserve">which would </w:t>
      </w:r>
      <w:r w:rsidR="007B225E" w:rsidRPr="003A52B1">
        <w:rPr>
          <w:rFonts w:asciiTheme="majorHAnsi" w:hAnsiTheme="majorHAnsi"/>
          <w:sz w:val="22"/>
          <w:szCs w:val="22"/>
        </w:rPr>
        <w:t xml:space="preserve">also </w:t>
      </w:r>
      <w:r w:rsidRPr="003A52B1">
        <w:rPr>
          <w:rFonts w:asciiTheme="majorHAnsi" w:hAnsiTheme="majorHAnsi"/>
          <w:sz w:val="22"/>
          <w:szCs w:val="22"/>
        </w:rPr>
        <w:t xml:space="preserve">provide a </w:t>
      </w:r>
      <w:r w:rsidR="00410566" w:rsidRPr="003A52B1">
        <w:rPr>
          <w:rFonts w:asciiTheme="majorHAnsi" w:hAnsiTheme="majorHAnsi"/>
          <w:sz w:val="22"/>
          <w:szCs w:val="22"/>
        </w:rPr>
        <w:t xml:space="preserve">credible </w:t>
      </w:r>
      <w:r w:rsidRPr="003A52B1">
        <w:rPr>
          <w:rFonts w:asciiTheme="majorHAnsi" w:hAnsiTheme="majorHAnsi"/>
          <w:sz w:val="22"/>
          <w:szCs w:val="22"/>
        </w:rPr>
        <w:t>basis upon which such domest</w:t>
      </w:r>
      <w:r w:rsidR="007B225E" w:rsidRPr="003A52B1">
        <w:rPr>
          <w:rFonts w:asciiTheme="majorHAnsi" w:hAnsiTheme="majorHAnsi"/>
          <w:sz w:val="22"/>
          <w:szCs w:val="22"/>
        </w:rPr>
        <w:t>ic CA EV charging credits could</w:t>
      </w:r>
      <w:r w:rsidR="003F1F0E" w:rsidRPr="003A52B1">
        <w:rPr>
          <w:rFonts w:asciiTheme="majorHAnsi" w:hAnsiTheme="majorHAnsi"/>
          <w:sz w:val="22"/>
          <w:szCs w:val="22"/>
        </w:rPr>
        <w:t xml:space="preserve"> </w:t>
      </w:r>
      <w:r w:rsidRPr="003A52B1">
        <w:rPr>
          <w:rFonts w:asciiTheme="majorHAnsi" w:hAnsiTheme="majorHAnsi"/>
          <w:sz w:val="22"/>
          <w:szCs w:val="22"/>
        </w:rPr>
        <w:t xml:space="preserve">be </w:t>
      </w:r>
      <w:r w:rsidR="003F1F0E" w:rsidRPr="003A52B1">
        <w:rPr>
          <w:rFonts w:asciiTheme="majorHAnsi" w:hAnsiTheme="majorHAnsi"/>
          <w:sz w:val="22"/>
          <w:szCs w:val="22"/>
        </w:rPr>
        <w:t xml:space="preserve">adapted and certified </w:t>
      </w:r>
      <w:r w:rsidR="007B225E" w:rsidRPr="003A52B1">
        <w:rPr>
          <w:rFonts w:asciiTheme="majorHAnsi" w:hAnsiTheme="majorHAnsi"/>
          <w:sz w:val="22"/>
          <w:szCs w:val="22"/>
        </w:rPr>
        <w:t>with</w:t>
      </w:r>
      <w:r w:rsidR="003F1F0E" w:rsidRPr="003A52B1">
        <w:rPr>
          <w:rFonts w:asciiTheme="majorHAnsi" w:hAnsiTheme="majorHAnsi"/>
          <w:sz w:val="22"/>
          <w:szCs w:val="22"/>
        </w:rPr>
        <w:t xml:space="preserve">in </w:t>
      </w:r>
      <w:r w:rsidRPr="003A52B1">
        <w:rPr>
          <w:rFonts w:asciiTheme="majorHAnsi" w:hAnsiTheme="majorHAnsi"/>
          <w:sz w:val="22"/>
          <w:szCs w:val="22"/>
        </w:rPr>
        <w:t xml:space="preserve">the CA cap/trade </w:t>
      </w:r>
      <w:r w:rsidR="003F1F0E" w:rsidRPr="003A52B1">
        <w:rPr>
          <w:rFonts w:asciiTheme="majorHAnsi" w:hAnsiTheme="majorHAnsi"/>
          <w:sz w:val="22"/>
          <w:szCs w:val="22"/>
        </w:rPr>
        <w:t>context</w:t>
      </w:r>
      <w:r w:rsidR="00AF1FC1" w:rsidRPr="003A52B1">
        <w:rPr>
          <w:rFonts w:asciiTheme="majorHAnsi" w:hAnsiTheme="majorHAnsi"/>
          <w:sz w:val="22"/>
          <w:szCs w:val="22"/>
        </w:rPr>
        <w:t>.</w:t>
      </w:r>
    </w:p>
    <w:p w:rsidR="002B2CC6" w:rsidRPr="003A52B1" w:rsidRDefault="007B225E" w:rsidP="00574387">
      <w:pPr>
        <w:numPr>
          <w:ilvl w:val="3"/>
          <w:numId w:val="2"/>
          <w:numberingChange w:id="19" w:author="Sue Hall" w:date="2016-11-21T10:14:00Z" w:original=""/>
        </w:numPr>
        <w:spacing w:beforeLines="1" w:afterLines="1"/>
        <w:rPr>
          <w:rFonts w:asciiTheme="majorHAnsi" w:hAnsiTheme="majorHAnsi"/>
          <w:sz w:val="20"/>
          <w:szCs w:val="20"/>
        </w:rPr>
      </w:pPr>
      <w:r w:rsidRPr="003A52B1">
        <w:rPr>
          <w:rFonts w:asciiTheme="majorHAnsi" w:hAnsiTheme="majorHAnsi"/>
          <w:sz w:val="22"/>
          <w:szCs w:val="22"/>
        </w:rPr>
        <w:t>Several voluntary methodologies have been incorporated into the CA cap/trade system</w:t>
      </w:r>
    </w:p>
    <w:p w:rsidR="00410566" w:rsidRPr="003A52B1" w:rsidRDefault="00410566" w:rsidP="00574387">
      <w:pPr>
        <w:numPr>
          <w:ilvl w:val="3"/>
          <w:numId w:val="2"/>
          <w:numberingChange w:id="20" w:author="Sue Hall" w:date="2016-11-21T10:14:00Z" w:original=""/>
        </w:numPr>
        <w:spacing w:beforeLines="1" w:afterLines="1"/>
        <w:rPr>
          <w:rFonts w:asciiTheme="majorHAnsi" w:hAnsiTheme="majorHAnsi"/>
          <w:sz w:val="20"/>
          <w:szCs w:val="20"/>
        </w:rPr>
      </w:pPr>
      <w:r w:rsidRPr="003A52B1">
        <w:rPr>
          <w:rFonts w:asciiTheme="majorHAnsi" w:hAnsiTheme="majorHAnsi"/>
          <w:sz w:val="22"/>
          <w:szCs w:val="22"/>
        </w:rPr>
        <w:t xml:space="preserve">WA state has </w:t>
      </w:r>
      <w:r w:rsidR="002009C0">
        <w:rPr>
          <w:rFonts w:asciiTheme="majorHAnsi" w:hAnsiTheme="majorHAnsi"/>
          <w:sz w:val="22"/>
          <w:szCs w:val="22"/>
        </w:rPr>
        <w:t xml:space="preserve">preliminarily </w:t>
      </w:r>
      <w:r w:rsidRPr="003A52B1">
        <w:rPr>
          <w:rFonts w:asciiTheme="majorHAnsi" w:hAnsiTheme="majorHAnsi"/>
          <w:sz w:val="22"/>
          <w:szCs w:val="22"/>
        </w:rPr>
        <w:t>already indicated that it wi</w:t>
      </w:r>
      <w:r w:rsidR="006B2C26" w:rsidRPr="003A52B1">
        <w:rPr>
          <w:rFonts w:asciiTheme="majorHAnsi" w:hAnsiTheme="majorHAnsi"/>
          <w:sz w:val="22"/>
          <w:szCs w:val="22"/>
        </w:rPr>
        <w:t xml:space="preserve">shes to incorporate the new EVCCC </w:t>
      </w:r>
      <w:r w:rsidRPr="003A52B1">
        <w:rPr>
          <w:rFonts w:asciiTheme="majorHAnsi" w:hAnsiTheme="majorHAnsi"/>
          <w:sz w:val="22"/>
          <w:szCs w:val="22"/>
        </w:rPr>
        <w:t>EV Charging methodology</w:t>
      </w:r>
      <w:r w:rsidR="006B2C26" w:rsidRPr="003A52B1">
        <w:rPr>
          <w:rFonts w:asciiTheme="majorHAnsi" w:hAnsiTheme="majorHAnsi"/>
          <w:sz w:val="22"/>
          <w:szCs w:val="22"/>
        </w:rPr>
        <w:t>, once accredited by VCS,</w:t>
      </w:r>
      <w:r w:rsidRPr="003A52B1">
        <w:rPr>
          <w:rFonts w:asciiTheme="majorHAnsi" w:hAnsiTheme="majorHAnsi"/>
          <w:sz w:val="22"/>
          <w:szCs w:val="22"/>
        </w:rPr>
        <w:t xml:space="preserve"> into its roster</w:t>
      </w:r>
      <w:r w:rsidR="006B2C26" w:rsidRPr="003A52B1">
        <w:rPr>
          <w:rFonts w:asciiTheme="majorHAnsi" w:hAnsiTheme="majorHAnsi"/>
          <w:sz w:val="22"/>
          <w:szCs w:val="22"/>
        </w:rPr>
        <w:t xml:space="preserve"> of compliance methodologies in order</w:t>
      </w:r>
      <w:r w:rsidRPr="003A52B1">
        <w:rPr>
          <w:rFonts w:asciiTheme="majorHAnsi" w:hAnsiTheme="majorHAnsi"/>
          <w:sz w:val="22"/>
          <w:szCs w:val="22"/>
        </w:rPr>
        <w:t xml:space="preserve"> to generate EV charging in-state compliance credits under CAR</w:t>
      </w:r>
    </w:p>
    <w:p w:rsidR="003F1F0E" w:rsidRPr="003A52B1" w:rsidRDefault="002B2CC6" w:rsidP="00574387">
      <w:pPr>
        <w:numPr>
          <w:ilvl w:val="0"/>
          <w:numId w:val="2"/>
          <w:numberingChange w:id="21" w:author="Sue Hall" w:date="2016-11-21T10:14:00Z" w:original=""/>
        </w:numPr>
        <w:spacing w:beforeLines="1" w:afterLines="1"/>
        <w:ind w:left="360"/>
        <w:rPr>
          <w:rFonts w:asciiTheme="majorHAnsi" w:hAnsiTheme="majorHAnsi"/>
          <w:sz w:val="20"/>
          <w:szCs w:val="20"/>
        </w:rPr>
      </w:pPr>
      <w:r w:rsidRPr="003A52B1">
        <w:rPr>
          <w:rFonts w:asciiTheme="majorHAnsi" w:hAnsiTheme="majorHAnsi"/>
          <w:sz w:val="22"/>
          <w:szCs w:val="22"/>
        </w:rPr>
        <w:t xml:space="preserve">We would therefore welcome further discussion of this creative avenue to see how it could best be shaped to address the cap/trade allowance concerns which utilities were recently raising </w:t>
      </w:r>
      <w:r w:rsidR="00AF1FC1" w:rsidRPr="003A52B1">
        <w:rPr>
          <w:rFonts w:asciiTheme="majorHAnsi" w:hAnsiTheme="majorHAnsi"/>
          <w:sz w:val="22"/>
          <w:szCs w:val="22"/>
        </w:rPr>
        <w:t>-- in ways that</w:t>
      </w:r>
      <w:r w:rsidRPr="003A52B1">
        <w:rPr>
          <w:rFonts w:asciiTheme="majorHAnsi" w:hAnsiTheme="majorHAnsi"/>
          <w:sz w:val="22"/>
          <w:szCs w:val="22"/>
        </w:rPr>
        <w:t xml:space="preserve"> would maximize investment in EV charging solutions</w:t>
      </w:r>
      <w:r w:rsidR="00B27D70">
        <w:rPr>
          <w:rFonts w:asciiTheme="majorHAnsi" w:hAnsiTheme="majorHAnsi"/>
          <w:sz w:val="22"/>
          <w:szCs w:val="22"/>
        </w:rPr>
        <w:t xml:space="preserve"> by all parties in CA</w:t>
      </w:r>
      <w:r w:rsidRPr="003A52B1">
        <w:rPr>
          <w:rFonts w:asciiTheme="majorHAnsi" w:hAnsiTheme="majorHAnsi"/>
          <w:sz w:val="22"/>
          <w:szCs w:val="22"/>
        </w:rPr>
        <w:t xml:space="preserve"> which are so mission critical to </w:t>
      </w:r>
      <w:r w:rsidR="00B27D70">
        <w:rPr>
          <w:rFonts w:asciiTheme="majorHAnsi" w:hAnsiTheme="majorHAnsi"/>
          <w:sz w:val="22"/>
          <w:szCs w:val="22"/>
        </w:rPr>
        <w:t>achieving the state’s</w:t>
      </w:r>
      <w:r w:rsidR="00B27D70" w:rsidRPr="003A52B1">
        <w:rPr>
          <w:rFonts w:asciiTheme="majorHAnsi" w:hAnsiTheme="majorHAnsi"/>
          <w:sz w:val="22"/>
          <w:szCs w:val="22"/>
        </w:rPr>
        <w:t xml:space="preserve"> </w:t>
      </w:r>
      <w:r w:rsidR="00AF1FC1" w:rsidRPr="003A52B1">
        <w:rPr>
          <w:rFonts w:asciiTheme="majorHAnsi" w:hAnsiTheme="majorHAnsi"/>
          <w:sz w:val="22"/>
          <w:szCs w:val="22"/>
        </w:rPr>
        <w:t xml:space="preserve">long-term </w:t>
      </w:r>
      <w:r w:rsidRPr="003A52B1">
        <w:rPr>
          <w:rFonts w:asciiTheme="majorHAnsi" w:hAnsiTheme="majorHAnsi"/>
          <w:sz w:val="22"/>
          <w:szCs w:val="22"/>
        </w:rPr>
        <w:t>GHG</w:t>
      </w:r>
      <w:r w:rsidR="003F1F0E" w:rsidRPr="003A52B1">
        <w:rPr>
          <w:rFonts w:asciiTheme="majorHAnsi" w:hAnsiTheme="majorHAnsi"/>
          <w:sz w:val="22"/>
          <w:szCs w:val="22"/>
        </w:rPr>
        <w:t>, RPS</w:t>
      </w:r>
      <w:r w:rsidRPr="003A52B1">
        <w:rPr>
          <w:rFonts w:asciiTheme="majorHAnsi" w:hAnsiTheme="majorHAnsi"/>
          <w:sz w:val="22"/>
          <w:szCs w:val="22"/>
        </w:rPr>
        <w:t xml:space="preserve"> and EV transportation goals.</w:t>
      </w:r>
    </w:p>
    <w:p w:rsidR="00D03ECD" w:rsidRPr="00B929EF" w:rsidRDefault="003F1F0E" w:rsidP="00B929EF">
      <w:pPr>
        <w:numPr>
          <w:ilvl w:val="0"/>
          <w:numId w:val="2"/>
          <w:numberingChange w:id="22" w:author="Sue Hall" w:date="2016-11-21T10:14:00Z" w:original=""/>
        </w:numPr>
        <w:spacing w:beforeLines="1" w:afterLines="1"/>
        <w:ind w:left="360"/>
        <w:rPr>
          <w:rFonts w:asciiTheme="majorHAnsi" w:hAnsiTheme="majorHAnsi"/>
          <w:sz w:val="20"/>
          <w:szCs w:val="20"/>
        </w:rPr>
      </w:pPr>
      <w:r w:rsidRPr="003A52B1">
        <w:rPr>
          <w:rFonts w:asciiTheme="majorHAnsi" w:hAnsiTheme="majorHAnsi"/>
          <w:sz w:val="22"/>
          <w:szCs w:val="22"/>
        </w:rPr>
        <w:t xml:space="preserve">Several other leading CA institutions have asked that we submit this comment to ARB </w:t>
      </w:r>
      <w:r w:rsidRPr="002820C6">
        <w:rPr>
          <w:rFonts w:asciiTheme="majorHAnsi" w:hAnsiTheme="majorHAnsi"/>
          <w:sz w:val="22"/>
          <w:szCs w:val="22"/>
        </w:rPr>
        <w:t>including</w:t>
      </w:r>
      <w:r w:rsidR="00B929EF">
        <w:rPr>
          <w:rFonts w:asciiTheme="majorHAnsi" w:hAnsiTheme="majorHAnsi"/>
          <w:sz w:val="22"/>
          <w:szCs w:val="22"/>
        </w:rPr>
        <w:t xml:space="preserve"> the </w:t>
      </w:r>
      <w:r w:rsidR="007B73FF" w:rsidRPr="00B929EF">
        <w:rPr>
          <w:rFonts w:asciiTheme="majorHAnsi" w:hAnsiTheme="majorHAnsi"/>
          <w:sz w:val="22"/>
          <w:szCs w:val="22"/>
        </w:rPr>
        <w:t>City of San Francisco</w:t>
      </w:r>
    </w:p>
    <w:p w:rsidR="00FF13E4" w:rsidRPr="00FF13E4" w:rsidRDefault="003F1F0E" w:rsidP="00574387">
      <w:pPr>
        <w:numPr>
          <w:ilvl w:val="0"/>
          <w:numId w:val="2"/>
          <w:numberingChange w:id="23" w:author="Sue Hall" w:date="2016-11-21T10:14:00Z" w:original=""/>
        </w:numPr>
        <w:spacing w:beforeLines="1" w:afterLines="1"/>
        <w:ind w:left="360"/>
        <w:rPr>
          <w:rFonts w:asciiTheme="majorHAnsi" w:hAnsiTheme="majorHAnsi"/>
          <w:sz w:val="20"/>
          <w:szCs w:val="20"/>
        </w:rPr>
      </w:pPr>
      <w:r w:rsidRPr="003A52B1">
        <w:rPr>
          <w:rFonts w:asciiTheme="majorHAnsi" w:hAnsiTheme="majorHAnsi"/>
          <w:sz w:val="22"/>
          <w:szCs w:val="22"/>
        </w:rPr>
        <w:t xml:space="preserve">We would propose that this </w:t>
      </w:r>
      <w:r w:rsidR="00FC7FCA" w:rsidRPr="003A52B1">
        <w:rPr>
          <w:rFonts w:asciiTheme="majorHAnsi" w:hAnsiTheme="majorHAnsi"/>
          <w:sz w:val="22"/>
          <w:szCs w:val="22"/>
        </w:rPr>
        <w:t xml:space="preserve">creative </w:t>
      </w:r>
      <w:r w:rsidRPr="003A52B1">
        <w:rPr>
          <w:rFonts w:asciiTheme="majorHAnsi" w:hAnsiTheme="majorHAnsi"/>
          <w:sz w:val="22"/>
          <w:szCs w:val="22"/>
        </w:rPr>
        <w:t>solution be considered in more depth as a formal part of ARB’s post 2020 design dialogue.</w:t>
      </w:r>
    </w:p>
    <w:p w:rsidR="003F1F0E" w:rsidRPr="003A52B1" w:rsidRDefault="00FF13E4" w:rsidP="00574387">
      <w:pPr>
        <w:numPr>
          <w:ilvl w:val="3"/>
          <w:numId w:val="2"/>
          <w:numberingChange w:id="24" w:author="Sue Hall" w:date="2016-11-21T10:14:00Z" w:original=""/>
        </w:numPr>
        <w:spacing w:beforeLines="1" w:afterLines="1"/>
        <w:rPr>
          <w:rFonts w:asciiTheme="majorHAnsi" w:hAnsiTheme="majorHAnsi"/>
          <w:sz w:val="20"/>
          <w:szCs w:val="20"/>
        </w:rPr>
      </w:pPr>
      <w:r>
        <w:rPr>
          <w:rFonts w:asciiTheme="majorHAnsi" w:hAnsiTheme="majorHAnsi"/>
          <w:sz w:val="22"/>
          <w:szCs w:val="22"/>
        </w:rPr>
        <w:t>CEC also asked that we submit a similar comment during their Oct 5 workshop to help address the interagency coordination challenges which were recently raised in letters submitted to several CA agencies on this topic.</w:t>
      </w:r>
      <w:r w:rsidR="003F1F0E" w:rsidRPr="003A52B1">
        <w:rPr>
          <w:rFonts w:asciiTheme="majorHAnsi" w:hAnsiTheme="majorHAnsi"/>
          <w:sz w:val="22"/>
          <w:szCs w:val="22"/>
        </w:rPr>
        <w:t xml:space="preserve"> </w:t>
      </w:r>
    </w:p>
    <w:p w:rsidR="00D60EA3" w:rsidRPr="003A52B1" w:rsidRDefault="003C4682" w:rsidP="00574387">
      <w:pPr>
        <w:numPr>
          <w:ilvl w:val="0"/>
          <w:numId w:val="2"/>
          <w:numberingChange w:id="25" w:author="Sue Hall" w:date="2016-11-21T10:14:00Z" w:original=""/>
        </w:numPr>
        <w:spacing w:beforeLines="1" w:afterLines="1"/>
        <w:ind w:left="360"/>
        <w:rPr>
          <w:rFonts w:asciiTheme="majorHAnsi" w:hAnsiTheme="majorHAnsi"/>
          <w:sz w:val="20"/>
          <w:szCs w:val="20"/>
        </w:rPr>
      </w:pPr>
      <w:r w:rsidRPr="003A52B1">
        <w:rPr>
          <w:rFonts w:asciiTheme="majorHAnsi" w:hAnsiTheme="majorHAnsi"/>
          <w:sz w:val="22"/>
          <w:szCs w:val="22"/>
        </w:rPr>
        <w:t>Questions: sue@climateneutral.com</w:t>
      </w:r>
    </w:p>
    <w:p w:rsidR="00D60EA3" w:rsidRDefault="00D60EA3" w:rsidP="00574387">
      <w:pPr>
        <w:spacing w:beforeLines="1" w:afterLines="1"/>
        <w:rPr>
          <w:rFonts w:ascii="Calibri" w:hAnsi="Calibri"/>
          <w:sz w:val="22"/>
          <w:szCs w:val="22"/>
        </w:rPr>
      </w:pPr>
    </w:p>
    <w:p w:rsidR="00230E48" w:rsidRDefault="00230E48" w:rsidP="00574387">
      <w:pPr>
        <w:spacing w:beforeLines="1" w:afterLines="1"/>
        <w:rPr>
          <w:rFonts w:ascii="Times" w:hAnsi="Times"/>
          <w:sz w:val="20"/>
          <w:szCs w:val="20"/>
        </w:rPr>
      </w:pPr>
    </w:p>
    <w:p w:rsidR="00574B84" w:rsidRDefault="00574B84" w:rsidP="00574387">
      <w:pPr>
        <w:spacing w:beforeLines="1" w:afterLines="1"/>
        <w:rPr>
          <w:rFonts w:ascii="Times" w:hAnsi="Times"/>
          <w:sz w:val="20"/>
          <w:szCs w:val="20"/>
        </w:rPr>
      </w:pPr>
    </w:p>
    <w:p w:rsidR="00574B84" w:rsidRPr="00FC7FCA" w:rsidRDefault="00574B84" w:rsidP="00B929EF">
      <w:pPr>
        <w:spacing w:beforeLines="1" w:afterLines="1"/>
        <w:rPr>
          <w:rFonts w:ascii="Times" w:hAnsi="Times"/>
          <w:sz w:val="20"/>
          <w:szCs w:val="20"/>
        </w:rPr>
      </w:pPr>
    </w:p>
    <w:sectPr w:rsidR="00574B84" w:rsidRPr="00FC7FCA" w:rsidSect="00230E4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140FF"/>
    <w:multiLevelType w:val="multilevel"/>
    <w:tmpl w:val="5B8093C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360"/>
        </w:tabs>
        <w:ind w:left="360" w:hanging="360"/>
      </w:pPr>
      <w:rPr>
        <w:rFonts w:ascii="Wingdings" w:hAnsi="Wingdings" w:hint="default"/>
        <w:sz w:val="20"/>
      </w:rPr>
    </w:lvl>
    <w:lvl w:ilvl="3">
      <w:start w:val="1"/>
      <w:numFmt w:val="bullet"/>
      <w:lvlText w:val=""/>
      <w:lvlJc w:val="left"/>
      <w:pPr>
        <w:tabs>
          <w:tab w:val="num" w:pos="1080"/>
        </w:tabs>
        <w:ind w:left="1080" w:hanging="360"/>
      </w:pPr>
      <w:rPr>
        <w:rFonts w:ascii="Wingdings" w:hAnsi="Wingdings" w:hint="default"/>
        <w:sz w:val="20"/>
      </w:rPr>
    </w:lvl>
    <w:lvl w:ilvl="4" w:tentative="1">
      <w:start w:val="1"/>
      <w:numFmt w:val="bullet"/>
      <w:lvlText w:val=""/>
      <w:lvlJc w:val="left"/>
      <w:pPr>
        <w:tabs>
          <w:tab w:val="num" w:pos="1800"/>
        </w:tabs>
        <w:ind w:left="1800" w:hanging="360"/>
      </w:pPr>
      <w:rPr>
        <w:rFonts w:ascii="Wingdings" w:hAnsi="Wingdings" w:hint="default"/>
        <w:sz w:val="20"/>
      </w:rPr>
    </w:lvl>
    <w:lvl w:ilvl="5" w:tentative="1">
      <w:start w:val="1"/>
      <w:numFmt w:val="bullet"/>
      <w:lvlText w:val=""/>
      <w:lvlJc w:val="left"/>
      <w:pPr>
        <w:tabs>
          <w:tab w:val="num" w:pos="2520"/>
        </w:tabs>
        <w:ind w:left="2520" w:hanging="360"/>
      </w:pPr>
      <w:rPr>
        <w:rFonts w:ascii="Wingdings" w:hAnsi="Wingdings" w:hint="default"/>
        <w:sz w:val="20"/>
      </w:rPr>
    </w:lvl>
    <w:lvl w:ilvl="6" w:tentative="1">
      <w:start w:val="1"/>
      <w:numFmt w:val="bullet"/>
      <w:lvlText w:val=""/>
      <w:lvlJc w:val="left"/>
      <w:pPr>
        <w:tabs>
          <w:tab w:val="num" w:pos="3240"/>
        </w:tabs>
        <w:ind w:left="3240" w:hanging="360"/>
      </w:pPr>
      <w:rPr>
        <w:rFonts w:ascii="Wingdings" w:hAnsi="Wingdings" w:hint="default"/>
        <w:sz w:val="20"/>
      </w:rPr>
    </w:lvl>
    <w:lvl w:ilvl="7" w:tentative="1">
      <w:start w:val="1"/>
      <w:numFmt w:val="bullet"/>
      <w:lvlText w:val=""/>
      <w:lvlJc w:val="left"/>
      <w:pPr>
        <w:tabs>
          <w:tab w:val="num" w:pos="3960"/>
        </w:tabs>
        <w:ind w:left="3960" w:hanging="360"/>
      </w:pPr>
      <w:rPr>
        <w:rFonts w:ascii="Wingdings" w:hAnsi="Wingdings" w:hint="default"/>
        <w:sz w:val="20"/>
      </w:rPr>
    </w:lvl>
    <w:lvl w:ilvl="8" w:tentative="1">
      <w:start w:val="1"/>
      <w:numFmt w:val="bullet"/>
      <w:lvlText w:val=""/>
      <w:lvlJc w:val="left"/>
      <w:pPr>
        <w:tabs>
          <w:tab w:val="num" w:pos="4680"/>
        </w:tabs>
        <w:ind w:left="4680" w:hanging="360"/>
      </w:pPr>
      <w:rPr>
        <w:rFonts w:ascii="Wingdings" w:hAnsi="Wingdings" w:hint="default"/>
        <w:sz w:val="20"/>
      </w:rPr>
    </w:lvl>
  </w:abstractNum>
  <w:abstractNum w:abstractNumId="1">
    <w:nsid w:val="42224E94"/>
    <w:multiLevelType w:val="hybridMultilevel"/>
    <w:tmpl w:val="8B3622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C11650"/>
    <w:multiLevelType w:val="hybridMultilevel"/>
    <w:tmpl w:val="3AFC2484"/>
    <w:lvl w:ilvl="0" w:tplc="9072FAA8">
      <w:start w:val="1"/>
      <w:numFmt w:val="decimal"/>
      <w:pStyle w:val="equa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B2CC6"/>
    <w:rsid w:val="00007E76"/>
    <w:rsid w:val="00046092"/>
    <w:rsid w:val="000A4F01"/>
    <w:rsid w:val="000C1356"/>
    <w:rsid w:val="000F75A4"/>
    <w:rsid w:val="001554A8"/>
    <w:rsid w:val="001D73BE"/>
    <w:rsid w:val="002009C0"/>
    <w:rsid w:val="00230E48"/>
    <w:rsid w:val="00273F2F"/>
    <w:rsid w:val="002820C6"/>
    <w:rsid w:val="002A49BB"/>
    <w:rsid w:val="002B2CC6"/>
    <w:rsid w:val="002B6286"/>
    <w:rsid w:val="00326E0B"/>
    <w:rsid w:val="003367E1"/>
    <w:rsid w:val="00380022"/>
    <w:rsid w:val="003A52B1"/>
    <w:rsid w:val="003C4682"/>
    <w:rsid w:val="003F1945"/>
    <w:rsid w:val="003F1F0E"/>
    <w:rsid w:val="00410566"/>
    <w:rsid w:val="00413DA6"/>
    <w:rsid w:val="00422C66"/>
    <w:rsid w:val="00565926"/>
    <w:rsid w:val="00574387"/>
    <w:rsid w:val="00574B84"/>
    <w:rsid w:val="00591111"/>
    <w:rsid w:val="005D6D14"/>
    <w:rsid w:val="006617BB"/>
    <w:rsid w:val="006B2C26"/>
    <w:rsid w:val="006C49AC"/>
    <w:rsid w:val="0074561D"/>
    <w:rsid w:val="007B225E"/>
    <w:rsid w:val="007B73FF"/>
    <w:rsid w:val="007C4C2D"/>
    <w:rsid w:val="0083104E"/>
    <w:rsid w:val="00844D9A"/>
    <w:rsid w:val="008578B4"/>
    <w:rsid w:val="00906CB7"/>
    <w:rsid w:val="009C0105"/>
    <w:rsid w:val="00A04549"/>
    <w:rsid w:val="00A3127F"/>
    <w:rsid w:val="00A32781"/>
    <w:rsid w:val="00AE1AFF"/>
    <w:rsid w:val="00AF1FC1"/>
    <w:rsid w:val="00B2647B"/>
    <w:rsid w:val="00B27D70"/>
    <w:rsid w:val="00B5092C"/>
    <w:rsid w:val="00B929EF"/>
    <w:rsid w:val="00BC0EC0"/>
    <w:rsid w:val="00BF72B2"/>
    <w:rsid w:val="00D03ECD"/>
    <w:rsid w:val="00D60EA3"/>
    <w:rsid w:val="00DF79BF"/>
    <w:rsid w:val="00EA0809"/>
    <w:rsid w:val="00EE30F3"/>
    <w:rsid w:val="00F916C3"/>
    <w:rsid w:val="00FC7FCA"/>
    <w:rsid w:val="00FF13E4"/>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rsid w:val="0006635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ED15A4"/>
    <w:rPr>
      <w:rFonts w:ascii="Lucida Grande" w:hAnsi="Lucida Grande"/>
      <w:sz w:val="18"/>
      <w:szCs w:val="18"/>
    </w:rPr>
  </w:style>
  <w:style w:type="character" w:customStyle="1" w:styleId="BalloonTextChar">
    <w:name w:val="Balloon Text Char"/>
    <w:basedOn w:val="DefaultParagraphFont"/>
    <w:link w:val="BalloonText"/>
    <w:uiPriority w:val="99"/>
    <w:semiHidden/>
    <w:rsid w:val="003947F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ED15A4"/>
    <w:rPr>
      <w:rFonts w:ascii="Lucida Grande" w:hAnsi="Lucida Grande"/>
      <w:sz w:val="18"/>
      <w:szCs w:val="18"/>
    </w:rPr>
  </w:style>
  <w:style w:type="paragraph" w:customStyle="1" w:styleId="equation">
    <w:name w:val="equation"/>
    <w:basedOn w:val="Normal"/>
    <w:qFormat/>
    <w:rsid w:val="00B06346"/>
    <w:pPr>
      <w:numPr>
        <w:numId w:val="1"/>
      </w:numPr>
      <w:contextualSpacing/>
    </w:pPr>
    <w:rPr>
      <w:rFonts w:ascii="Arial" w:eastAsia="Calibri" w:hAnsi="Arial" w:cs="Times New Roman"/>
      <w:sz w:val="22"/>
      <w:szCs w:val="22"/>
    </w:rPr>
  </w:style>
  <w:style w:type="character" w:styleId="Hyperlink">
    <w:name w:val="Hyperlink"/>
    <w:basedOn w:val="DefaultParagraphFont"/>
    <w:uiPriority w:val="99"/>
    <w:semiHidden/>
    <w:unhideWhenUsed/>
    <w:rsid w:val="00230E48"/>
    <w:rPr>
      <w:color w:val="0000FF" w:themeColor="hyperlink"/>
      <w:u w:val="single"/>
    </w:rPr>
  </w:style>
  <w:style w:type="character" w:styleId="CommentReference">
    <w:name w:val="annotation reference"/>
    <w:basedOn w:val="DefaultParagraphFont"/>
    <w:rsid w:val="00A04549"/>
    <w:rPr>
      <w:sz w:val="18"/>
      <w:szCs w:val="18"/>
    </w:rPr>
  </w:style>
  <w:style w:type="paragraph" w:styleId="CommentText">
    <w:name w:val="annotation text"/>
    <w:basedOn w:val="Normal"/>
    <w:link w:val="CommentTextChar"/>
    <w:rsid w:val="00A04549"/>
  </w:style>
  <w:style w:type="character" w:customStyle="1" w:styleId="CommentTextChar">
    <w:name w:val="Comment Text Char"/>
    <w:basedOn w:val="DefaultParagraphFont"/>
    <w:link w:val="CommentText"/>
    <w:rsid w:val="00A04549"/>
  </w:style>
  <w:style w:type="paragraph" w:styleId="CommentSubject">
    <w:name w:val="annotation subject"/>
    <w:basedOn w:val="CommentText"/>
    <w:next w:val="CommentText"/>
    <w:link w:val="CommentSubjectChar"/>
    <w:rsid w:val="00A04549"/>
    <w:rPr>
      <w:b/>
      <w:bCs/>
      <w:sz w:val="20"/>
      <w:szCs w:val="20"/>
    </w:rPr>
  </w:style>
  <w:style w:type="character" w:customStyle="1" w:styleId="CommentSubjectChar">
    <w:name w:val="Comment Subject Char"/>
    <w:basedOn w:val="CommentTextChar"/>
    <w:link w:val="CommentSubject"/>
    <w:rsid w:val="00A04549"/>
    <w:rPr>
      <w:b/>
      <w:bCs/>
      <w:sz w:val="20"/>
      <w:szCs w:val="20"/>
    </w:rPr>
  </w:style>
</w:styles>
</file>

<file path=word/webSettings.xml><?xml version="1.0" encoding="utf-8"?>
<w:webSettings xmlns:r="http://schemas.openxmlformats.org/officeDocument/2006/relationships" xmlns:w="http://schemas.openxmlformats.org/wordprocessingml/2006/main">
  <w:divs>
    <w:div w:id="179515801">
      <w:bodyDiv w:val="1"/>
      <w:marLeft w:val="0"/>
      <w:marRight w:val="0"/>
      <w:marTop w:val="0"/>
      <w:marBottom w:val="0"/>
      <w:divBdr>
        <w:top w:val="none" w:sz="0" w:space="0" w:color="auto"/>
        <w:left w:val="none" w:sz="0" w:space="0" w:color="auto"/>
        <w:bottom w:val="none" w:sz="0" w:space="0" w:color="auto"/>
        <w:right w:val="none" w:sz="0" w:space="0" w:color="auto"/>
      </w:divBdr>
      <w:divsChild>
        <w:div w:id="911046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cy.wa.gov/climatechange/CarbonRuleFAQ.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1353</Words>
  <Characters>7714</Characters>
  <Application>Microsoft Macintosh Word</Application>
  <DocSecurity>0</DocSecurity>
  <Lines>64</Lines>
  <Paragraphs>15</Paragraphs>
  <ScaleCrop>false</ScaleCrop>
  <LinksUpToDate>false</LinksUpToDate>
  <CharactersWithSpaces>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Hall</dc:creator>
  <cp:keywords/>
  <cp:lastModifiedBy>Sue Hall</cp:lastModifiedBy>
  <cp:revision>4</cp:revision>
  <dcterms:created xsi:type="dcterms:W3CDTF">2016-11-21T18:05:00Z</dcterms:created>
  <dcterms:modified xsi:type="dcterms:W3CDTF">2016-11-21T18:14:00Z</dcterms:modified>
</cp:coreProperties>
</file>