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6B163" w14:textId="77777777" w:rsidR="007657C4" w:rsidRDefault="007657C4" w:rsidP="00F43BB1">
      <w:pPr>
        <w:rPr>
          <w:rFonts w:cstheme="minorHAnsi"/>
        </w:rPr>
      </w:pPr>
    </w:p>
    <w:p w14:paraId="6909D859" w14:textId="77777777" w:rsidR="007657C4" w:rsidRDefault="007657C4" w:rsidP="00F43BB1">
      <w:pPr>
        <w:rPr>
          <w:rFonts w:cstheme="minorHAnsi"/>
        </w:rPr>
      </w:pPr>
    </w:p>
    <w:p w14:paraId="7D98C8D2" w14:textId="0C1DA9DA" w:rsidR="00687C81" w:rsidRDefault="00687C81" w:rsidP="00F43BB1">
      <w:pPr>
        <w:rPr>
          <w:rFonts w:cstheme="minorHAnsi"/>
        </w:rPr>
      </w:pPr>
      <w:r>
        <w:rPr>
          <w:rFonts w:cstheme="minorHAnsi"/>
        </w:rPr>
        <w:t>Chair Mary Nichols</w:t>
      </w:r>
    </w:p>
    <w:p w14:paraId="468E85DA" w14:textId="505F9F01" w:rsidR="00687C81" w:rsidRDefault="00687C81" w:rsidP="00F43BB1">
      <w:pPr>
        <w:rPr>
          <w:rFonts w:cstheme="minorHAnsi"/>
        </w:rPr>
      </w:pPr>
      <w:r>
        <w:rPr>
          <w:rFonts w:cstheme="minorHAnsi"/>
        </w:rPr>
        <w:t>California Air Resources Board</w:t>
      </w:r>
    </w:p>
    <w:p w14:paraId="7D7B3EA2" w14:textId="77777777" w:rsidR="00687C81" w:rsidRDefault="00687C81" w:rsidP="00F43BB1">
      <w:pPr>
        <w:rPr>
          <w:rFonts w:cstheme="minorHAnsi"/>
        </w:rPr>
      </w:pPr>
      <w:r>
        <w:rPr>
          <w:rFonts w:cstheme="minorHAnsi"/>
        </w:rPr>
        <w:t xml:space="preserve">1001 I St. </w:t>
      </w:r>
    </w:p>
    <w:p w14:paraId="32BB0ED7" w14:textId="77777777" w:rsidR="00687C81" w:rsidRDefault="00687C81" w:rsidP="00F43BB1">
      <w:pPr>
        <w:rPr>
          <w:rFonts w:cstheme="minorHAnsi"/>
        </w:rPr>
      </w:pPr>
      <w:r>
        <w:rPr>
          <w:rFonts w:cstheme="minorHAnsi"/>
        </w:rPr>
        <w:t>Sacramento, CA 95814</w:t>
      </w:r>
    </w:p>
    <w:p w14:paraId="08450361" w14:textId="77777777" w:rsidR="00687C81" w:rsidRDefault="00687C81" w:rsidP="00F43BB1">
      <w:pPr>
        <w:rPr>
          <w:rFonts w:cstheme="minorHAnsi"/>
        </w:rPr>
      </w:pPr>
    </w:p>
    <w:p w14:paraId="16DB131E" w14:textId="77777777" w:rsidR="00687C81" w:rsidRDefault="00687C81" w:rsidP="00F43BB1">
      <w:pPr>
        <w:rPr>
          <w:rFonts w:cstheme="minorHAnsi"/>
        </w:rPr>
      </w:pPr>
      <w:r>
        <w:rPr>
          <w:rFonts w:cstheme="minorHAnsi"/>
        </w:rPr>
        <w:t>November 16, 2020</w:t>
      </w:r>
    </w:p>
    <w:p w14:paraId="59C0EA31" w14:textId="77777777" w:rsidR="00687C81" w:rsidRDefault="00687C81" w:rsidP="00F43BB1">
      <w:pPr>
        <w:rPr>
          <w:rFonts w:cstheme="minorHAnsi"/>
        </w:rPr>
      </w:pPr>
    </w:p>
    <w:p w14:paraId="1474A2C7" w14:textId="6D7918FF" w:rsidR="00F43BB1" w:rsidRDefault="00F43BB1" w:rsidP="00F43BB1">
      <w:pPr>
        <w:rPr>
          <w:rFonts w:cstheme="minorHAnsi"/>
        </w:rPr>
      </w:pPr>
      <w:r>
        <w:rPr>
          <w:rFonts w:cstheme="minorHAnsi"/>
        </w:rPr>
        <w:t>Dear Chair Nichols:</w:t>
      </w:r>
    </w:p>
    <w:p w14:paraId="51CCD90E" w14:textId="77777777" w:rsidR="00F43BB1" w:rsidRPr="00F43BB1" w:rsidRDefault="00F43BB1" w:rsidP="00F43BB1">
      <w:pPr>
        <w:rPr>
          <w:rFonts w:cstheme="minorHAnsi"/>
        </w:rPr>
      </w:pPr>
    </w:p>
    <w:p w14:paraId="4E7CA629" w14:textId="462DC1FD" w:rsidR="00725EB7" w:rsidRDefault="00F43BB1" w:rsidP="00687C81">
      <w:pPr>
        <w:spacing w:line="276" w:lineRule="auto"/>
      </w:pPr>
      <w:r>
        <w:rPr>
          <w:rFonts w:cstheme="minorHAnsi"/>
          <w:bCs/>
        </w:rPr>
        <w:t>The California Hydrogen Business Council (CHBC)</w:t>
      </w:r>
      <w:r w:rsidRPr="00E121A9">
        <w:rPr>
          <w:rStyle w:val="FootnoteReference"/>
        </w:rPr>
        <w:t xml:space="preserve"> </w:t>
      </w:r>
      <w:r w:rsidRPr="008115EB">
        <w:rPr>
          <w:rStyle w:val="FootnoteReference"/>
        </w:rPr>
        <w:footnoteReference w:id="1"/>
      </w:r>
      <w:r>
        <w:t xml:space="preserve"> </w:t>
      </w:r>
      <w:r w:rsidR="00725EB7">
        <w:t xml:space="preserve">greatly appreciates </w:t>
      </w:r>
      <w:r w:rsidR="007C185D" w:rsidRPr="00725EB7">
        <w:t xml:space="preserve">CARB taking the lead </w:t>
      </w:r>
      <w:r w:rsidR="00725EB7">
        <w:t>on</w:t>
      </w:r>
      <w:r w:rsidR="007C185D" w:rsidRPr="00725EB7">
        <w:t xml:space="preserve"> </w:t>
      </w:r>
      <w:r w:rsidR="009B2EBC" w:rsidRPr="00725EB7">
        <w:t>examining</w:t>
      </w:r>
      <w:r w:rsidR="007C185D" w:rsidRPr="00725EB7">
        <w:t xml:space="preserve"> how </w:t>
      </w:r>
      <w:r w:rsidR="009B2EBC" w:rsidRPr="00725EB7">
        <w:t xml:space="preserve">to achieve </w:t>
      </w:r>
      <w:r w:rsidR="007C185D" w:rsidRPr="00725EB7">
        <w:t>carbon neutrality economy wide</w:t>
      </w:r>
      <w:r w:rsidR="009B2EBC" w:rsidRPr="00725EB7">
        <w:t xml:space="preserve"> by 2045</w:t>
      </w:r>
      <w:r w:rsidR="00725EB7">
        <w:t>, as called for in Executive Order B-55-18</w:t>
      </w:r>
      <w:r w:rsidR="009B2EBC" w:rsidRPr="00725EB7">
        <w:t>.</w:t>
      </w:r>
      <w:r w:rsidR="00725EB7">
        <w:t xml:space="preserve"> </w:t>
      </w:r>
      <w:r w:rsidR="00725EB7" w:rsidRPr="007C4B7C">
        <w:rPr>
          <w:b/>
          <w:bCs/>
        </w:rPr>
        <w:t xml:space="preserve">We welcome the </w:t>
      </w:r>
      <w:r w:rsidR="00C02210">
        <w:rPr>
          <w:b/>
          <w:bCs/>
        </w:rPr>
        <w:t xml:space="preserve">general </w:t>
      </w:r>
      <w:r w:rsidR="00725EB7" w:rsidRPr="007C4B7C">
        <w:rPr>
          <w:b/>
          <w:bCs/>
        </w:rPr>
        <w:t>inclusion of hydrogen in E3’s analysis for heavy duty vehicles</w:t>
      </w:r>
      <w:r w:rsidR="001F6866">
        <w:rPr>
          <w:b/>
          <w:bCs/>
        </w:rPr>
        <w:t>, rail</w:t>
      </w:r>
      <w:r w:rsidR="00725EB7" w:rsidRPr="007C4B7C">
        <w:rPr>
          <w:b/>
          <w:bCs/>
        </w:rPr>
        <w:t xml:space="preserve">, electricity generation, industry, and agriculture. We </w:t>
      </w:r>
      <w:r w:rsidR="00681A44" w:rsidRPr="00681A44">
        <w:rPr>
          <w:b/>
          <w:bCs/>
        </w:rPr>
        <w:t>a</w:t>
      </w:r>
      <w:r w:rsidR="00681A44">
        <w:rPr>
          <w:b/>
          <w:bCs/>
        </w:rPr>
        <w:t>lso appreciate that the latest analysis</w:t>
      </w:r>
      <w:r w:rsidR="00681A44" w:rsidRPr="00681A44">
        <w:rPr>
          <w:b/>
          <w:bCs/>
        </w:rPr>
        <w:t xml:space="preserve"> recent reflects more optimistic </w:t>
      </w:r>
      <w:r w:rsidR="00681A44">
        <w:rPr>
          <w:b/>
          <w:bCs/>
        </w:rPr>
        <w:t xml:space="preserve">electrolytic hydrogen </w:t>
      </w:r>
      <w:r w:rsidR="00681A44" w:rsidRPr="00681A44">
        <w:rPr>
          <w:b/>
          <w:bCs/>
        </w:rPr>
        <w:t>costs than prior work,</w:t>
      </w:r>
      <w:r w:rsidR="00681A44">
        <w:rPr>
          <w:b/>
          <w:bCs/>
        </w:rPr>
        <w:t xml:space="preserve"> but</w:t>
      </w:r>
      <w:r w:rsidR="00681A44" w:rsidRPr="00681A44">
        <w:rPr>
          <w:b/>
          <w:bCs/>
        </w:rPr>
        <w:t xml:space="preserve"> it</w:t>
      </w:r>
      <w:r w:rsidR="00681A44">
        <w:rPr>
          <w:b/>
          <w:bCs/>
        </w:rPr>
        <w:t xml:space="preserve"> is</w:t>
      </w:r>
      <w:r w:rsidR="00681A44" w:rsidRPr="00681A44">
        <w:rPr>
          <w:b/>
          <w:bCs/>
        </w:rPr>
        <w:t xml:space="preserve"> still somewhat higher than other sources</w:t>
      </w:r>
      <w:r w:rsidR="00681A44">
        <w:rPr>
          <w:b/>
          <w:bCs/>
        </w:rPr>
        <w:t>, so we</w:t>
      </w:r>
      <w:r w:rsidR="00681A44" w:rsidRPr="00681A44">
        <w:rPr>
          <w:b/>
          <w:bCs/>
        </w:rPr>
        <w:t xml:space="preserve"> suggest that E3 </w:t>
      </w:r>
      <w:r w:rsidR="00681A44">
        <w:rPr>
          <w:b/>
          <w:bCs/>
        </w:rPr>
        <w:t xml:space="preserve">additionally apply </w:t>
      </w:r>
      <w:r w:rsidR="00681A44" w:rsidRPr="00681A44">
        <w:rPr>
          <w:b/>
          <w:bCs/>
        </w:rPr>
        <w:t xml:space="preserve">optimistic cases that reflect optimistic forecasts by industry and other sources.  </w:t>
      </w:r>
      <w:r w:rsidR="00681A44">
        <w:rPr>
          <w:b/>
          <w:bCs/>
        </w:rPr>
        <w:t>We also suggest they apply more optimistic analyses of marginal abatement</w:t>
      </w:r>
      <w:r w:rsidR="00725EB7" w:rsidRPr="007C4B7C">
        <w:rPr>
          <w:b/>
          <w:bCs/>
        </w:rPr>
        <w:t xml:space="preserve"> </w:t>
      </w:r>
      <w:r w:rsidR="00681A44">
        <w:rPr>
          <w:b/>
          <w:bCs/>
        </w:rPr>
        <w:t xml:space="preserve">costs. Lastly, we urge </w:t>
      </w:r>
      <w:r w:rsidR="00725EB7" w:rsidRPr="007C4B7C">
        <w:rPr>
          <w:b/>
          <w:bCs/>
        </w:rPr>
        <w:t xml:space="preserve">hydrogen </w:t>
      </w:r>
      <w:r w:rsidR="00681A44">
        <w:rPr>
          <w:b/>
          <w:bCs/>
        </w:rPr>
        <w:t xml:space="preserve">to also be considered </w:t>
      </w:r>
      <w:r w:rsidR="00725EB7" w:rsidRPr="007C4B7C">
        <w:rPr>
          <w:b/>
          <w:bCs/>
        </w:rPr>
        <w:t xml:space="preserve">as an important solution for reducing emissions </w:t>
      </w:r>
      <w:r w:rsidR="007C4B7C" w:rsidRPr="007C4B7C">
        <w:rPr>
          <w:b/>
          <w:bCs/>
        </w:rPr>
        <w:t xml:space="preserve">in additional </w:t>
      </w:r>
      <w:r w:rsidR="00725EB7" w:rsidRPr="007C4B7C">
        <w:rPr>
          <w:b/>
          <w:bCs/>
        </w:rPr>
        <w:t>applications</w:t>
      </w:r>
      <w:r w:rsidR="007C4B7C" w:rsidRPr="007C4B7C">
        <w:rPr>
          <w:b/>
          <w:bCs/>
        </w:rPr>
        <w:t>,</w:t>
      </w:r>
      <w:r w:rsidR="00725EB7" w:rsidRPr="007C4B7C">
        <w:rPr>
          <w:b/>
          <w:bCs/>
        </w:rPr>
        <w:t xml:space="preserve"> such as passenger vehicles, </w:t>
      </w:r>
      <w:r w:rsidR="00C02210">
        <w:rPr>
          <w:b/>
          <w:bCs/>
        </w:rPr>
        <w:t xml:space="preserve">shipping, aviation, and </w:t>
      </w:r>
      <w:r w:rsidR="007C4B7C" w:rsidRPr="007C4B7C">
        <w:rPr>
          <w:b/>
          <w:bCs/>
        </w:rPr>
        <w:t>building energy.</w:t>
      </w:r>
      <w:r w:rsidR="007C4B7C">
        <w:t xml:space="preserve"> These concerns are elaborated on below.</w:t>
      </w:r>
    </w:p>
    <w:p w14:paraId="252B299C" w14:textId="77777777" w:rsidR="005169BF" w:rsidRPr="00CD068A" w:rsidRDefault="005169BF" w:rsidP="00CD068A">
      <w:pPr>
        <w:rPr>
          <w:b/>
          <w:bCs/>
        </w:rPr>
      </w:pPr>
    </w:p>
    <w:p w14:paraId="002E7D85" w14:textId="480A74F1" w:rsidR="00C92EA6" w:rsidRPr="00E556DD" w:rsidRDefault="007C185D" w:rsidP="007C4B7C">
      <w:pPr>
        <w:rPr>
          <w:rFonts w:asciiTheme="majorHAnsi" w:hAnsiTheme="majorHAnsi" w:cstheme="majorHAnsi"/>
          <w:sz w:val="28"/>
          <w:szCs w:val="28"/>
        </w:rPr>
      </w:pPr>
      <w:r w:rsidRPr="00E556DD">
        <w:rPr>
          <w:rFonts w:asciiTheme="majorHAnsi" w:hAnsiTheme="majorHAnsi" w:cstheme="majorHAnsi"/>
          <w:b/>
          <w:bCs/>
          <w:sz w:val="28"/>
          <w:szCs w:val="28"/>
        </w:rPr>
        <w:t xml:space="preserve">We </w:t>
      </w:r>
      <w:r w:rsidR="00681A44">
        <w:rPr>
          <w:rFonts w:asciiTheme="majorHAnsi" w:hAnsiTheme="majorHAnsi" w:cstheme="majorHAnsi"/>
          <w:b/>
          <w:bCs/>
          <w:sz w:val="28"/>
          <w:szCs w:val="28"/>
        </w:rPr>
        <w:t>suggest</w:t>
      </w:r>
      <w:r w:rsidRPr="00E556DD">
        <w:rPr>
          <w:rFonts w:asciiTheme="majorHAnsi" w:hAnsiTheme="majorHAnsi" w:cstheme="majorHAnsi"/>
          <w:b/>
          <w:bCs/>
          <w:sz w:val="28"/>
          <w:szCs w:val="28"/>
        </w:rPr>
        <w:t xml:space="preserve"> E3 </w:t>
      </w:r>
      <w:r w:rsidR="00681A44">
        <w:rPr>
          <w:rFonts w:asciiTheme="majorHAnsi" w:hAnsiTheme="majorHAnsi" w:cstheme="majorHAnsi"/>
          <w:b/>
          <w:bCs/>
          <w:sz w:val="28"/>
          <w:szCs w:val="28"/>
        </w:rPr>
        <w:t>apply most recent optimistic</w:t>
      </w:r>
      <w:r w:rsidRPr="00E556DD">
        <w:rPr>
          <w:rFonts w:asciiTheme="majorHAnsi" w:hAnsiTheme="majorHAnsi" w:cstheme="majorHAnsi"/>
          <w:b/>
          <w:bCs/>
          <w:sz w:val="28"/>
          <w:szCs w:val="28"/>
        </w:rPr>
        <w:t xml:space="preserve"> cost assumptions for electrolysis</w:t>
      </w:r>
      <w:r w:rsidR="004276B9" w:rsidRPr="00E556DD">
        <w:rPr>
          <w:rFonts w:asciiTheme="majorHAnsi" w:hAnsiTheme="majorHAnsi" w:cstheme="majorHAnsi"/>
          <w:sz w:val="28"/>
          <w:szCs w:val="28"/>
        </w:rPr>
        <w:t xml:space="preserve">. </w:t>
      </w:r>
    </w:p>
    <w:p w14:paraId="08055BCD" w14:textId="77777777" w:rsidR="00C92EA6" w:rsidRDefault="00C92EA6" w:rsidP="00C92EA6">
      <w:pPr>
        <w:pStyle w:val="ListParagraph"/>
      </w:pPr>
    </w:p>
    <w:p w14:paraId="27BAFFAA" w14:textId="77777777" w:rsidR="00681A44" w:rsidRDefault="00C92EA6" w:rsidP="00CD068A">
      <w:pPr>
        <w:spacing w:line="276" w:lineRule="auto"/>
      </w:pPr>
      <w:r>
        <w:t xml:space="preserve">In the Carbon Neutrality report’s </w:t>
      </w:r>
      <w:r w:rsidR="009B2EBC">
        <w:t>cost data supplement,</w:t>
      </w:r>
      <w:r>
        <w:t xml:space="preserve"> </w:t>
      </w:r>
      <w:r w:rsidR="007C185D">
        <w:t xml:space="preserve">E3 </w:t>
      </w:r>
      <w:r>
        <w:t xml:space="preserve">assumes </w:t>
      </w:r>
      <w:r w:rsidR="009B2EBC">
        <w:t xml:space="preserve">the </w:t>
      </w:r>
      <w:r w:rsidR="00CE5A73">
        <w:t xml:space="preserve">2045 </w:t>
      </w:r>
      <w:r>
        <w:t>price</w:t>
      </w:r>
      <w:r w:rsidR="00AD024E">
        <w:t xml:space="preserve"> </w:t>
      </w:r>
      <w:r w:rsidR="009B2EBC">
        <w:t>of e</w:t>
      </w:r>
      <w:r w:rsidR="00AD024E">
        <w:t xml:space="preserve">lectrolytic hydrogen </w:t>
      </w:r>
      <w:r w:rsidR="0094282A">
        <w:t xml:space="preserve">for power generation </w:t>
      </w:r>
      <w:r w:rsidR="009B2EBC">
        <w:t>will be</w:t>
      </w:r>
      <w:r w:rsidR="00AD024E">
        <w:t xml:space="preserve"> between $14.50/MMBtu (optimistic) and $25.00/MMBtu</w:t>
      </w:r>
      <w:r w:rsidR="009B2EBC">
        <w:t xml:space="preserve"> (conservative</w:t>
      </w:r>
      <w:r w:rsidR="00CC3DF9">
        <w:t>)</w:t>
      </w:r>
      <w:r>
        <w:t xml:space="preserve">. </w:t>
      </w:r>
      <w:r w:rsidR="00394E25">
        <w:t>The</w:t>
      </w:r>
      <w:r w:rsidR="00FB3E4C">
        <w:t>y project the</w:t>
      </w:r>
      <w:r w:rsidR="00394E25">
        <w:t xml:space="preserve"> 2045 price of electrolytic hydrogen for industry use to be between $10.50 (optimistic) and $21.00 (conservative). </w:t>
      </w:r>
      <w:r w:rsidR="00CC3DF9">
        <w:t>Th</w:t>
      </w:r>
      <w:r w:rsidR="00394E25">
        <w:t>ese projections, especially for electricity generation, are</w:t>
      </w:r>
      <w:r w:rsidR="00CC3DF9">
        <w:t xml:space="preserve"> significantly higher than </w:t>
      </w:r>
      <w:r w:rsidR="00394E25">
        <w:t>those of</w:t>
      </w:r>
      <w:r w:rsidR="00CC3DF9">
        <w:t xml:space="preserve"> </w:t>
      </w:r>
      <w:r w:rsidR="00681A44">
        <w:t xml:space="preserve">some </w:t>
      </w:r>
      <w:r w:rsidR="00CC3DF9">
        <w:t xml:space="preserve">global analysts. </w:t>
      </w:r>
      <w:r w:rsidR="009B2EBC">
        <w:t>UC</w:t>
      </w:r>
      <w:r w:rsidR="00CC3DF9">
        <w:t xml:space="preserve"> Irvine</w:t>
      </w:r>
      <w:r w:rsidR="009B2EBC">
        <w:t xml:space="preserve"> wrote in </w:t>
      </w:r>
      <w:r w:rsidR="00CE5A73">
        <w:t xml:space="preserve">their </w:t>
      </w:r>
      <w:r w:rsidR="009B2EBC">
        <w:t xml:space="preserve">recent white paper, </w:t>
      </w:r>
      <w:r w:rsidR="009B2EBC">
        <w:rPr>
          <w:i/>
          <w:iCs/>
        </w:rPr>
        <w:t>The</w:t>
      </w:r>
      <w:r w:rsidR="00CC3DF9">
        <w:rPr>
          <w:i/>
          <w:iCs/>
        </w:rPr>
        <w:t xml:space="preserve"> Potential</w:t>
      </w:r>
      <w:r w:rsidR="009B2EBC">
        <w:rPr>
          <w:i/>
          <w:iCs/>
        </w:rPr>
        <w:t xml:space="preserve"> Impact of Renewable Gaseous Fuel on </w:t>
      </w:r>
      <w:r w:rsidR="00CC3DF9">
        <w:rPr>
          <w:i/>
          <w:iCs/>
        </w:rPr>
        <w:t>Optimizing the California Renewable Portfolio, RESOLVE</w:t>
      </w:r>
      <w:r w:rsidR="009B2EBC">
        <w:rPr>
          <w:i/>
          <w:iCs/>
        </w:rPr>
        <w:t xml:space="preserve"> </w:t>
      </w:r>
      <w:r w:rsidR="00CC3DF9">
        <w:rPr>
          <w:i/>
          <w:iCs/>
        </w:rPr>
        <w:t>Model Analysis</w:t>
      </w:r>
      <w:r w:rsidR="009B2EBC">
        <w:rPr>
          <w:i/>
          <w:iCs/>
        </w:rPr>
        <w:t xml:space="preserve">, </w:t>
      </w:r>
      <w:r>
        <w:t xml:space="preserve"> </w:t>
      </w:r>
      <w:r w:rsidR="00CC3DF9">
        <w:t>“a</w:t>
      </w:r>
      <w:r w:rsidR="00CC3DF9" w:rsidRPr="00CC3DF9">
        <w:t xml:space="preserve"> growing number of forecasts project that electrolytic renewable hydrogen cost could reach levels as low as $1/kg </w:t>
      </w:r>
    </w:p>
    <w:p w14:paraId="298B3C5A" w14:textId="77777777" w:rsidR="00681A44" w:rsidRDefault="00681A44" w:rsidP="00CD068A">
      <w:pPr>
        <w:spacing w:line="276" w:lineRule="auto"/>
      </w:pPr>
    </w:p>
    <w:p w14:paraId="540BED30" w14:textId="69A91430" w:rsidR="0094282A" w:rsidRDefault="00681A44" w:rsidP="00CD068A">
      <w:pPr>
        <w:spacing w:line="276" w:lineRule="auto"/>
      </w:pPr>
      <w:r>
        <w:lastRenderedPageBreak/>
        <w:br/>
      </w:r>
      <w:r w:rsidR="00CC3DF9" w:rsidRPr="00CC3DF9">
        <w:t>($8/MMBtu) by 2050 with some projecting that cost point by 2030.</w:t>
      </w:r>
      <w:r w:rsidR="00CC3DF9">
        <w:rPr>
          <w:rStyle w:val="FootnoteReference"/>
        </w:rPr>
        <w:footnoteReference w:id="2"/>
      </w:r>
      <w:r w:rsidR="00CC3DF9">
        <w:rPr>
          <w:vertAlign w:val="superscript"/>
        </w:rPr>
        <w:t>,</w:t>
      </w:r>
      <w:r w:rsidR="00CC3DF9">
        <w:rPr>
          <w:rStyle w:val="FootnoteReference"/>
        </w:rPr>
        <w:footnoteReference w:id="3"/>
      </w:r>
      <w:r w:rsidR="00CC3DF9" w:rsidRPr="00CC3DF9">
        <w:t xml:space="preserve"> More conservative forecasts project cost in the $3/kg ($24/MMBtu) range by 2030 declining to $2/kg by 2050.</w:t>
      </w:r>
      <w:r w:rsidR="00CC3DF9">
        <w:t>”</w:t>
      </w:r>
      <w:r w:rsidR="00CC3DF9">
        <w:rPr>
          <w:rStyle w:val="FootnoteReference"/>
        </w:rPr>
        <w:footnoteReference w:id="4"/>
      </w:r>
      <w:r w:rsidR="00CC3DF9">
        <w:t xml:space="preserve"> Below is a graphic representing the </w:t>
      </w:r>
      <w:r w:rsidR="00CC3DF9" w:rsidRPr="00CC3DF9">
        <w:t>cost of renewable hydrogen injected onto the natural gas grid</w:t>
      </w:r>
      <w:r w:rsidR="00CC3DF9">
        <w:t xml:space="preserve">, </w:t>
      </w:r>
      <w:r w:rsidR="00CE5A73">
        <w:t>using</w:t>
      </w:r>
      <w:r w:rsidR="00CC3DF9">
        <w:t xml:space="preserve"> </w:t>
      </w:r>
      <w:r w:rsidR="00CC3DF9" w:rsidRPr="00CC3DF9">
        <w:t>UC</w:t>
      </w:r>
      <w:r w:rsidR="00CC3DF9">
        <w:t xml:space="preserve"> Irvine Advanced Power and Energy Program </w:t>
      </w:r>
      <w:r w:rsidR="00CC3DF9" w:rsidRPr="00CC3DF9">
        <w:t>analysis</w:t>
      </w:r>
      <w:r w:rsidR="00CC3DF9">
        <w:t xml:space="preserve"> for the </w:t>
      </w:r>
      <w:r w:rsidR="00CC3DF9" w:rsidRPr="00CC3DF9">
        <w:t>CEC-sponsored Renewable Hydrogen Roadmap.</w:t>
      </w:r>
      <w:r w:rsidR="00CC3DF9">
        <w:rPr>
          <w:rStyle w:val="FootnoteReference"/>
        </w:rPr>
        <w:footnoteReference w:id="5"/>
      </w:r>
    </w:p>
    <w:p w14:paraId="2614369E" w14:textId="707FFF79" w:rsidR="00394E25" w:rsidRDefault="00394E25" w:rsidP="00CF160C">
      <w:pPr>
        <w:spacing w:line="276" w:lineRule="auto"/>
        <w:ind w:left="360"/>
      </w:pPr>
    </w:p>
    <w:p w14:paraId="5A1445BB" w14:textId="56C3FB30" w:rsidR="00CF160C" w:rsidRDefault="00CF160C" w:rsidP="00C92EA6">
      <w:pPr>
        <w:ind w:left="360"/>
      </w:pPr>
    </w:p>
    <w:p w14:paraId="37883BA0" w14:textId="233597AB" w:rsidR="00CF160C" w:rsidRDefault="00CF160C" w:rsidP="00C92EA6">
      <w:pPr>
        <w:ind w:left="360"/>
      </w:pPr>
      <w:r w:rsidRPr="00CF160C">
        <w:rPr>
          <w:noProof/>
        </w:rPr>
        <w:drawing>
          <wp:inline distT="0" distB="0" distL="0" distR="0" wp14:anchorId="5A085290" wp14:editId="0C54372E">
            <wp:extent cx="54864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3530600"/>
                    </a:xfrm>
                    <a:prstGeom prst="rect">
                      <a:avLst/>
                    </a:prstGeom>
                  </pic:spPr>
                </pic:pic>
              </a:graphicData>
            </a:graphic>
          </wp:inline>
        </w:drawing>
      </w:r>
    </w:p>
    <w:p w14:paraId="5D608E7C" w14:textId="314AFE7F" w:rsidR="0094282A" w:rsidRDefault="00A74F22" w:rsidP="00CC3DF9">
      <w:pPr>
        <w:pStyle w:val="ListParagraph"/>
        <w:ind w:left="1440"/>
      </w:pPr>
      <w:r>
        <w:lastRenderedPageBreak/>
        <w:br/>
      </w:r>
    </w:p>
    <w:p w14:paraId="76CECE07" w14:textId="7135A4E0" w:rsidR="00A74F22" w:rsidRPr="00E556DD" w:rsidRDefault="00A74F22" w:rsidP="007C4B7C">
      <w:pPr>
        <w:spacing w:line="276" w:lineRule="auto"/>
        <w:rPr>
          <w:rFonts w:asciiTheme="majorHAnsi" w:hAnsiTheme="majorHAnsi" w:cstheme="majorHAnsi"/>
          <w:sz w:val="28"/>
          <w:szCs w:val="28"/>
        </w:rPr>
      </w:pPr>
      <w:r w:rsidRPr="00E556DD">
        <w:rPr>
          <w:rFonts w:asciiTheme="majorHAnsi" w:hAnsiTheme="majorHAnsi" w:cstheme="majorHAnsi"/>
          <w:b/>
          <w:bCs/>
          <w:sz w:val="28"/>
          <w:szCs w:val="28"/>
        </w:rPr>
        <w:t>Likewise,</w:t>
      </w:r>
      <w:r w:rsidRPr="00E556DD">
        <w:rPr>
          <w:rFonts w:asciiTheme="majorHAnsi" w:hAnsiTheme="majorHAnsi" w:cstheme="majorHAnsi"/>
          <w:sz w:val="28"/>
          <w:szCs w:val="28"/>
        </w:rPr>
        <w:t xml:space="preserve"> </w:t>
      </w:r>
      <w:r w:rsidRPr="00E556DD">
        <w:rPr>
          <w:rFonts w:asciiTheme="majorHAnsi" w:hAnsiTheme="majorHAnsi" w:cstheme="majorHAnsi"/>
          <w:b/>
          <w:bCs/>
          <w:sz w:val="28"/>
          <w:szCs w:val="28"/>
        </w:rPr>
        <w:t xml:space="preserve">E3’s assumed marginal abatement cost </w:t>
      </w:r>
      <w:r w:rsidR="007927D7" w:rsidRPr="00E556DD">
        <w:rPr>
          <w:rFonts w:asciiTheme="majorHAnsi" w:hAnsiTheme="majorHAnsi" w:cstheme="majorHAnsi"/>
          <w:b/>
          <w:bCs/>
          <w:sz w:val="28"/>
          <w:szCs w:val="28"/>
        </w:rPr>
        <w:t xml:space="preserve">($151-350/tCO2e) </w:t>
      </w:r>
      <w:r w:rsidRPr="00E556DD">
        <w:rPr>
          <w:rFonts w:asciiTheme="majorHAnsi" w:hAnsiTheme="majorHAnsi" w:cstheme="majorHAnsi"/>
          <w:b/>
          <w:bCs/>
          <w:sz w:val="28"/>
          <w:szCs w:val="28"/>
        </w:rPr>
        <w:t xml:space="preserve">to decarbonize firm power </w:t>
      </w:r>
      <w:r w:rsidR="00B31F41">
        <w:rPr>
          <w:rFonts w:asciiTheme="majorHAnsi" w:hAnsiTheme="majorHAnsi" w:cstheme="majorHAnsi"/>
          <w:b/>
          <w:bCs/>
          <w:sz w:val="28"/>
          <w:szCs w:val="28"/>
        </w:rPr>
        <w:t>is</w:t>
      </w:r>
      <w:r w:rsidRPr="00E556DD">
        <w:rPr>
          <w:rFonts w:asciiTheme="majorHAnsi" w:hAnsiTheme="majorHAnsi" w:cstheme="majorHAnsi"/>
          <w:b/>
          <w:bCs/>
          <w:sz w:val="28"/>
          <w:szCs w:val="28"/>
        </w:rPr>
        <w:t xml:space="preserve"> high compared to other global analyses</w:t>
      </w:r>
      <w:r w:rsidRPr="00E556DD">
        <w:rPr>
          <w:rFonts w:asciiTheme="majorHAnsi" w:hAnsiTheme="majorHAnsi" w:cstheme="majorHAnsi"/>
          <w:sz w:val="28"/>
          <w:szCs w:val="28"/>
        </w:rPr>
        <w:t>.</w:t>
      </w:r>
    </w:p>
    <w:p w14:paraId="5A814C7A" w14:textId="77777777" w:rsidR="00CE5A73" w:rsidRDefault="00CE5A73" w:rsidP="00CE5A73">
      <w:pPr>
        <w:spacing w:line="276" w:lineRule="auto"/>
      </w:pPr>
    </w:p>
    <w:p w14:paraId="68CEFB69" w14:textId="40E39A55" w:rsidR="00005A58" w:rsidRPr="00394E25" w:rsidRDefault="007927D7" w:rsidP="00394E25">
      <w:pPr>
        <w:spacing w:line="276" w:lineRule="auto"/>
        <w:rPr>
          <w:rFonts w:ascii="Calibri" w:eastAsia="Times New Roman" w:hAnsi="Calibri" w:cs="Calibri"/>
          <w:b/>
          <w:bCs/>
          <w:sz w:val="22"/>
          <w:szCs w:val="22"/>
        </w:rPr>
      </w:pPr>
      <w:r>
        <w:t xml:space="preserve">As stated in our comments on the draft </w:t>
      </w:r>
      <w:r w:rsidR="00CE5A73">
        <w:t xml:space="preserve">E3 Carbon Neutrality </w:t>
      </w:r>
      <w:r>
        <w:t>report</w:t>
      </w:r>
      <w:r w:rsidR="00DF7D81">
        <w:t>,</w:t>
      </w:r>
      <w:r w:rsidR="00CE5A73">
        <w:t xml:space="preserve"> t</w:t>
      </w:r>
      <w:r w:rsidRPr="00CE5A73">
        <w:rPr>
          <w:rFonts w:ascii="Calibri" w:eastAsia="Times New Roman" w:hAnsi="Calibri" w:cs="Calibri"/>
        </w:rPr>
        <w:t>his is vastly higher than an assessment by Bloomberg New Energy Finance (BNEF), which estimates that over the long term, a carbon price of $32/tCO2 would be enough to drive fuel switching from natural gas to hydrogen, and generate clean, dispatchable power at a competitive price.”</w:t>
      </w:r>
      <w:r w:rsidRPr="007927D7">
        <w:rPr>
          <w:rStyle w:val="FootnoteReference"/>
          <w:rFonts w:ascii="Calibri" w:eastAsia="Times New Roman" w:hAnsi="Calibri" w:cs="Calibri"/>
        </w:rPr>
        <w:footnoteReference w:id="6"/>
      </w:r>
      <w:r w:rsidRPr="00CE5A73">
        <w:rPr>
          <w:rFonts w:ascii="Calibri" w:eastAsia="Times New Roman" w:hAnsi="Calibri" w:cs="Calibri"/>
        </w:rPr>
        <w:t xml:space="preserve"> Notably, another study finds that by optimizing renewable electricity with electrolytic hydrogen and synthetic methane, California can achieve to carbon neutrality five years ahead of the state’s 2045 target, saving eight billion dollars and minimizing land use.</w:t>
      </w:r>
      <w:r w:rsidRPr="007927D7">
        <w:rPr>
          <w:rStyle w:val="FootnoteReference"/>
          <w:rFonts w:ascii="Calibri" w:eastAsia="Times New Roman" w:hAnsi="Calibri" w:cs="Calibri"/>
        </w:rPr>
        <w:footnoteReference w:id="7"/>
      </w:r>
      <w:r w:rsidRPr="00CE5A73">
        <w:rPr>
          <w:rFonts w:ascii="Calibri" w:eastAsia="Times New Roman" w:hAnsi="Calibri" w:cs="Calibri"/>
        </w:rPr>
        <w:t xml:space="preserve"> </w:t>
      </w:r>
      <w:r w:rsidR="00DF7D81">
        <w:rPr>
          <w:rFonts w:ascii="Calibri" w:eastAsia="Times New Roman" w:hAnsi="Calibri" w:cs="Calibri"/>
        </w:rPr>
        <w:t xml:space="preserve">Lawrence Berkeley National Laboratory found in a recent study that gasification of biomass to produce hydrogen is actually the lowest cost pathway to reach net negative carbon. </w:t>
      </w:r>
      <w:r w:rsidRPr="00CE5A73">
        <w:rPr>
          <w:rFonts w:ascii="Calibri" w:eastAsia="Times New Roman" w:hAnsi="Calibri" w:cs="Calibri"/>
        </w:rPr>
        <w:t>We urge the agencies to rigorously review cost assumptions of achieving zero carbon firm power to achieve carbon neutral electricity system wide.</w:t>
      </w:r>
      <w:r w:rsidR="00005A58" w:rsidRPr="00CE5A73">
        <w:rPr>
          <w:rFonts w:ascii="Calibri" w:eastAsia="Times New Roman" w:hAnsi="Calibri" w:cs="Calibri"/>
        </w:rPr>
        <w:br/>
      </w:r>
    </w:p>
    <w:p w14:paraId="2558A54E" w14:textId="5F650563" w:rsidR="00D1560E" w:rsidRPr="00E556DD" w:rsidRDefault="00D1560E" w:rsidP="00D1560E">
      <w:pPr>
        <w:spacing w:line="276" w:lineRule="auto"/>
        <w:rPr>
          <w:rFonts w:asciiTheme="majorHAnsi" w:eastAsia="Times New Roman" w:hAnsiTheme="majorHAnsi" w:cstheme="majorHAnsi"/>
          <w:b/>
          <w:bCs/>
          <w:sz w:val="28"/>
          <w:szCs w:val="28"/>
        </w:rPr>
      </w:pPr>
      <w:r w:rsidRPr="00E556DD">
        <w:rPr>
          <w:rFonts w:asciiTheme="majorHAnsi" w:eastAsia="Times New Roman" w:hAnsiTheme="majorHAnsi" w:cstheme="majorHAnsi"/>
          <w:b/>
          <w:bCs/>
          <w:sz w:val="28"/>
          <w:szCs w:val="28"/>
        </w:rPr>
        <w:t>The CHBC continues to support CARB taking a more</w:t>
      </w:r>
      <w:r w:rsidR="005169BF">
        <w:rPr>
          <w:rFonts w:asciiTheme="majorHAnsi" w:eastAsia="Times New Roman" w:hAnsiTheme="majorHAnsi" w:cstheme="majorHAnsi"/>
          <w:b/>
          <w:bCs/>
          <w:sz w:val="28"/>
          <w:szCs w:val="28"/>
        </w:rPr>
        <w:t xml:space="preserve"> </w:t>
      </w:r>
      <w:r w:rsidRPr="00E556DD">
        <w:rPr>
          <w:rFonts w:asciiTheme="majorHAnsi" w:eastAsia="Times New Roman" w:hAnsiTheme="majorHAnsi" w:cstheme="majorHAnsi"/>
          <w:b/>
          <w:bCs/>
          <w:sz w:val="28"/>
          <w:szCs w:val="28"/>
        </w:rPr>
        <w:t>comprehensive modeling approach to its carbon neutrality effort.</w:t>
      </w:r>
      <w:r w:rsidRPr="00E556DD">
        <w:rPr>
          <w:rFonts w:asciiTheme="majorHAnsi" w:eastAsia="Times New Roman" w:hAnsiTheme="majorHAnsi" w:cstheme="majorHAnsi"/>
          <w:b/>
          <w:bCs/>
          <w:sz w:val="28"/>
          <w:szCs w:val="28"/>
        </w:rPr>
        <w:br/>
      </w:r>
    </w:p>
    <w:p w14:paraId="741E3EF6" w14:textId="2593AE45" w:rsidR="00D1560E" w:rsidRPr="009B2F27" w:rsidRDefault="00D1560E" w:rsidP="00E556DD">
      <w:pPr>
        <w:spacing w:line="276" w:lineRule="auto"/>
        <w:rPr>
          <w:rFonts w:ascii="Calibri" w:eastAsia="Times New Roman" w:hAnsi="Calibri" w:cs="Calibri"/>
        </w:rPr>
      </w:pPr>
      <w:r>
        <w:rPr>
          <w:rFonts w:ascii="Calibri" w:eastAsia="Times New Roman" w:hAnsi="Calibri" w:cs="Calibri"/>
        </w:rPr>
        <w:t xml:space="preserve">As </w:t>
      </w:r>
      <w:r w:rsidR="00233694">
        <w:rPr>
          <w:rFonts w:ascii="Calibri" w:eastAsia="Times New Roman" w:hAnsi="Calibri" w:cs="Calibri"/>
        </w:rPr>
        <w:t xml:space="preserve">the CHBC </w:t>
      </w:r>
      <w:r>
        <w:rPr>
          <w:rFonts w:ascii="Calibri" w:eastAsia="Times New Roman" w:hAnsi="Calibri" w:cs="Calibri"/>
        </w:rPr>
        <w:t xml:space="preserve">and several others </w:t>
      </w:r>
      <w:r w:rsidR="001A0CE2">
        <w:rPr>
          <w:rFonts w:ascii="Calibri" w:eastAsia="Times New Roman" w:hAnsi="Calibri" w:cs="Calibri"/>
        </w:rPr>
        <w:t>opined</w:t>
      </w:r>
      <w:r>
        <w:rPr>
          <w:rFonts w:ascii="Calibri" w:eastAsia="Times New Roman" w:hAnsi="Calibri" w:cs="Calibri"/>
        </w:rPr>
        <w:t xml:space="preserve"> in our initial comments on the draft Carbon Neutrality Report, CARB ought to consider other modeling approaches</w:t>
      </w:r>
      <w:r w:rsidR="00FC3C33">
        <w:rPr>
          <w:rFonts w:ascii="Calibri" w:eastAsia="Times New Roman" w:hAnsi="Calibri" w:cs="Calibri"/>
        </w:rPr>
        <w:t xml:space="preserve"> in its carbon neutrality planning for the state of California</w:t>
      </w:r>
      <w:r w:rsidR="00A834A4">
        <w:rPr>
          <w:rFonts w:ascii="Calibri" w:eastAsia="Times New Roman" w:hAnsi="Calibri" w:cs="Calibri"/>
        </w:rPr>
        <w:t>.</w:t>
      </w:r>
      <w:r>
        <w:rPr>
          <w:rFonts w:ascii="Calibri" w:eastAsia="Times New Roman" w:hAnsi="Calibri" w:cs="Calibri"/>
        </w:rPr>
        <w:t xml:space="preserve"> </w:t>
      </w:r>
      <w:r w:rsidR="00FC3C33">
        <w:rPr>
          <w:rFonts w:ascii="Calibri" w:eastAsia="Times New Roman" w:hAnsi="Calibri" w:cs="Calibri"/>
        </w:rPr>
        <w:t xml:space="preserve">Other approaches to consider include </w:t>
      </w:r>
      <w:r w:rsidR="00D10B09">
        <w:rPr>
          <w:rFonts w:ascii="Calibri" w:eastAsia="Times New Roman" w:hAnsi="Calibri" w:cs="Calibri"/>
        </w:rPr>
        <w:t>National Renewable Energy Laboratory</w:t>
      </w:r>
      <w:r w:rsidR="00FC3C33">
        <w:rPr>
          <w:rFonts w:ascii="Calibri" w:eastAsia="Times New Roman" w:hAnsi="Calibri" w:cs="Calibri"/>
        </w:rPr>
        <w:t xml:space="preserve">’s </w:t>
      </w:r>
      <w:r w:rsidR="00233694">
        <w:rPr>
          <w:rFonts w:ascii="Calibri" w:eastAsia="Times New Roman" w:hAnsi="Calibri" w:cs="Calibri"/>
        </w:rPr>
        <w:t xml:space="preserve">analysis </w:t>
      </w:r>
      <w:r w:rsidR="00FC3C33">
        <w:rPr>
          <w:rFonts w:ascii="Calibri" w:eastAsia="Times New Roman" w:hAnsi="Calibri" w:cs="Calibri"/>
        </w:rPr>
        <w:t xml:space="preserve">for the </w:t>
      </w:r>
      <w:r w:rsidR="00D10B09">
        <w:rPr>
          <w:rFonts w:ascii="Calibri" w:eastAsia="Times New Roman" w:hAnsi="Calibri" w:cs="Calibri"/>
        </w:rPr>
        <w:t>Los Angeles Department of Water and Power</w:t>
      </w:r>
      <w:r w:rsidR="00FC3C33">
        <w:rPr>
          <w:rFonts w:ascii="Calibri" w:eastAsia="Times New Roman" w:hAnsi="Calibri" w:cs="Calibri"/>
        </w:rPr>
        <w:t>’s</w:t>
      </w:r>
      <w:r w:rsidR="001A0CE2">
        <w:rPr>
          <w:rFonts w:ascii="Calibri" w:eastAsia="Times New Roman" w:hAnsi="Calibri" w:cs="Calibri"/>
        </w:rPr>
        <w:t xml:space="preserve"> transition to 100% renewable energy, which integrates multiple</w:t>
      </w:r>
      <w:r w:rsidR="00A834A4">
        <w:rPr>
          <w:rFonts w:ascii="Calibri" w:eastAsia="Times New Roman" w:hAnsi="Calibri" w:cs="Calibri"/>
        </w:rPr>
        <w:t xml:space="preserve"> additional</w:t>
      </w:r>
      <w:r w:rsidR="001A0CE2">
        <w:rPr>
          <w:rFonts w:ascii="Calibri" w:eastAsia="Times New Roman" w:hAnsi="Calibri" w:cs="Calibri"/>
        </w:rPr>
        <w:t xml:space="preserve"> data points missing from the E3 study, like reliability and environmental justice.</w:t>
      </w:r>
      <w:r w:rsidR="001A0CE2">
        <w:rPr>
          <w:rStyle w:val="FootnoteReference"/>
          <w:rFonts w:ascii="Calibri" w:eastAsia="Times New Roman" w:hAnsi="Calibri" w:cs="Calibri"/>
        </w:rPr>
        <w:footnoteReference w:id="8"/>
      </w:r>
      <w:r w:rsidR="00A834A4">
        <w:rPr>
          <w:rFonts w:ascii="Calibri" w:eastAsia="Times New Roman" w:hAnsi="Calibri" w:cs="Calibri"/>
        </w:rPr>
        <w:t xml:space="preserve"> </w:t>
      </w:r>
      <w:r w:rsidR="00D10B09">
        <w:rPr>
          <w:rFonts w:ascii="Calibri" w:eastAsia="Times New Roman" w:hAnsi="Calibri" w:cs="Calibri"/>
        </w:rPr>
        <w:t>Notably, all</w:t>
      </w:r>
      <w:r w:rsidR="00D10B09" w:rsidRPr="00D10B09">
        <w:rPr>
          <w:rFonts w:ascii="Calibri" w:eastAsia="Times New Roman" w:hAnsi="Calibri" w:cs="Calibri"/>
        </w:rPr>
        <w:t xml:space="preserve"> scenario</w:t>
      </w:r>
      <w:r w:rsidR="00D10B09">
        <w:rPr>
          <w:rFonts w:ascii="Calibri" w:eastAsia="Times New Roman" w:hAnsi="Calibri" w:cs="Calibri"/>
        </w:rPr>
        <w:t>s</w:t>
      </w:r>
      <w:r w:rsidR="00D10B09" w:rsidRPr="00D10B09">
        <w:rPr>
          <w:rFonts w:ascii="Calibri" w:eastAsia="Times New Roman" w:hAnsi="Calibri" w:cs="Calibri"/>
        </w:rPr>
        <w:t xml:space="preserve"> in the </w:t>
      </w:r>
      <w:r w:rsidR="00D10B09">
        <w:rPr>
          <w:rFonts w:ascii="Calibri" w:eastAsia="Times New Roman" w:hAnsi="Calibri" w:cs="Calibri"/>
        </w:rPr>
        <w:t>study</w:t>
      </w:r>
      <w:r w:rsidR="00D10B09" w:rsidRPr="00D10B09">
        <w:rPr>
          <w:rFonts w:ascii="Calibri" w:eastAsia="Times New Roman" w:hAnsi="Calibri" w:cs="Calibri"/>
        </w:rPr>
        <w:t xml:space="preserve"> includ</w:t>
      </w:r>
      <w:r w:rsidR="0061310B">
        <w:rPr>
          <w:rFonts w:ascii="Calibri" w:eastAsia="Times New Roman" w:hAnsi="Calibri" w:cs="Calibri"/>
        </w:rPr>
        <w:t>e</w:t>
      </w:r>
      <w:r w:rsidR="00D10B09" w:rsidRPr="00D10B09">
        <w:rPr>
          <w:rFonts w:ascii="Calibri" w:eastAsia="Times New Roman" w:hAnsi="Calibri" w:cs="Calibri"/>
        </w:rPr>
        <w:t xml:space="preserve"> green electrolytic hydrogen used in fuel cells and combustion turbines, as soon as 2030.  </w:t>
      </w:r>
      <w:r w:rsidR="00D10B09">
        <w:rPr>
          <w:rFonts w:ascii="Calibri" w:eastAsia="Times New Roman" w:hAnsi="Calibri" w:cs="Calibri"/>
        </w:rPr>
        <w:t xml:space="preserve">The </w:t>
      </w:r>
      <w:r w:rsidR="00D10B09" w:rsidRPr="00D10B09">
        <w:rPr>
          <w:rFonts w:ascii="Calibri" w:eastAsia="Times New Roman" w:hAnsi="Calibri" w:cs="Calibri"/>
        </w:rPr>
        <w:t xml:space="preserve">“LA Leads” scenarios </w:t>
      </w:r>
      <w:r w:rsidR="00D10B09">
        <w:rPr>
          <w:rFonts w:ascii="Calibri" w:eastAsia="Times New Roman" w:hAnsi="Calibri" w:cs="Calibri"/>
        </w:rPr>
        <w:t xml:space="preserve">use </w:t>
      </w:r>
      <w:r w:rsidR="00D10B09" w:rsidRPr="00D10B09">
        <w:rPr>
          <w:rFonts w:ascii="Calibri" w:eastAsia="Times New Roman" w:hAnsi="Calibri" w:cs="Calibri"/>
        </w:rPr>
        <w:t>green electrolytic hydrogen to displace all fossil natural gas and achieve a 100 percent zero-carbon electricity system for Los Angeles by 2035</w:t>
      </w:r>
      <w:r w:rsidR="00D10B09">
        <w:rPr>
          <w:rFonts w:ascii="Calibri" w:eastAsia="Times New Roman" w:hAnsi="Calibri" w:cs="Calibri"/>
        </w:rPr>
        <w:t>.</w:t>
      </w:r>
      <w:r w:rsidR="00D10B09">
        <w:rPr>
          <w:rStyle w:val="FootnoteReference"/>
          <w:rFonts w:ascii="Calibri" w:eastAsia="Times New Roman" w:hAnsi="Calibri" w:cs="Calibri"/>
        </w:rPr>
        <w:footnoteReference w:id="9"/>
      </w:r>
      <w:r w:rsidR="00D10B09">
        <w:rPr>
          <w:rFonts w:ascii="Calibri" w:eastAsia="Times New Roman" w:hAnsi="Calibri" w:cs="Calibri"/>
        </w:rPr>
        <w:t xml:space="preserve"> </w:t>
      </w:r>
      <w:r w:rsidR="00A834A4">
        <w:rPr>
          <w:rFonts w:ascii="Calibri" w:eastAsia="Times New Roman" w:hAnsi="Calibri" w:cs="Calibri"/>
        </w:rPr>
        <w:t>The European Commission also took a</w:t>
      </w:r>
      <w:r w:rsidR="0061310B">
        <w:rPr>
          <w:rFonts w:ascii="Calibri" w:eastAsia="Times New Roman" w:hAnsi="Calibri" w:cs="Calibri"/>
        </w:rPr>
        <w:t xml:space="preserve"> holistic, technology inclusive approach to studying optimal roadmaps to greenhouse gas reduction</w:t>
      </w:r>
      <w:r w:rsidR="00FC3C33">
        <w:rPr>
          <w:rFonts w:ascii="Calibri" w:eastAsia="Times New Roman" w:hAnsi="Calibri" w:cs="Calibri"/>
        </w:rPr>
        <w:t xml:space="preserve"> for the European Union, which merits review. The study </w:t>
      </w:r>
      <w:r w:rsidR="0061310B">
        <w:rPr>
          <w:rFonts w:ascii="Calibri" w:eastAsia="Times New Roman" w:hAnsi="Calibri" w:cs="Calibri"/>
        </w:rPr>
        <w:t>found that to reduce greenhouse gas reductions by more than 80% economy wide by 2050</w:t>
      </w:r>
      <w:r w:rsidR="00B31F41">
        <w:rPr>
          <w:rFonts w:ascii="Calibri" w:eastAsia="Times New Roman" w:hAnsi="Calibri" w:cs="Calibri"/>
        </w:rPr>
        <w:t xml:space="preserve">, single pathways such as </w:t>
      </w:r>
      <w:r w:rsidR="00681A44">
        <w:rPr>
          <w:rFonts w:ascii="Calibri" w:eastAsia="Times New Roman" w:hAnsi="Calibri" w:cs="Calibri"/>
        </w:rPr>
        <w:br/>
      </w:r>
      <w:r w:rsidR="00681A44">
        <w:rPr>
          <w:rFonts w:ascii="Calibri" w:eastAsia="Times New Roman" w:hAnsi="Calibri" w:cs="Calibri"/>
        </w:rPr>
        <w:lastRenderedPageBreak/>
        <w:br/>
      </w:r>
      <w:r w:rsidR="00B31F41">
        <w:rPr>
          <w:rFonts w:ascii="Calibri" w:eastAsia="Times New Roman" w:hAnsi="Calibri" w:cs="Calibri"/>
        </w:rPr>
        <w:t>electrification, efficiency or hydrogen will not work, but rather this will require</w:t>
      </w:r>
      <w:r w:rsidR="0061310B">
        <w:rPr>
          <w:rFonts w:ascii="Calibri" w:eastAsia="Times New Roman" w:hAnsi="Calibri" w:cs="Calibri"/>
        </w:rPr>
        <w:t xml:space="preserve"> deploying a cost-efficient combination of hydrogen and electrolytic fuel with electrification, efficiency, and resource use efficiency.</w:t>
      </w:r>
      <w:r w:rsidR="0061310B">
        <w:rPr>
          <w:rStyle w:val="FootnoteReference"/>
          <w:rFonts w:ascii="Calibri" w:eastAsia="Times New Roman" w:hAnsi="Calibri" w:cs="Calibri"/>
        </w:rPr>
        <w:footnoteReference w:id="10"/>
      </w:r>
      <w:r w:rsidR="0061310B">
        <w:rPr>
          <w:rFonts w:ascii="Calibri" w:eastAsia="Times New Roman" w:hAnsi="Calibri" w:cs="Calibri"/>
        </w:rPr>
        <w:t xml:space="preserve"> This finding contributed to the European Commission including hydrogen as a pillar of its </w:t>
      </w:r>
      <w:r w:rsidR="00633C38">
        <w:rPr>
          <w:rFonts w:ascii="Calibri" w:eastAsia="Times New Roman" w:hAnsi="Calibri" w:cs="Calibri"/>
        </w:rPr>
        <w:t xml:space="preserve">proposed </w:t>
      </w:r>
      <w:r w:rsidR="0061310B">
        <w:rPr>
          <w:rFonts w:ascii="Calibri" w:eastAsia="Times New Roman" w:hAnsi="Calibri" w:cs="Calibri"/>
        </w:rPr>
        <w:t>carbon neutrality policy program</w:t>
      </w:r>
      <w:r w:rsidR="00633C38">
        <w:rPr>
          <w:rStyle w:val="FootnoteReference"/>
          <w:rFonts w:ascii="Calibri" w:eastAsia="Times New Roman" w:hAnsi="Calibri" w:cs="Calibri"/>
        </w:rPr>
        <w:footnoteReference w:id="11"/>
      </w:r>
      <w:r w:rsidR="0061310B">
        <w:rPr>
          <w:rFonts w:ascii="Calibri" w:eastAsia="Times New Roman" w:hAnsi="Calibri" w:cs="Calibri"/>
        </w:rPr>
        <w:t xml:space="preserve"> and </w:t>
      </w:r>
      <w:r w:rsidR="00633C38">
        <w:rPr>
          <w:rFonts w:ascii="Calibri" w:eastAsia="Times New Roman" w:hAnsi="Calibri" w:cs="Calibri"/>
        </w:rPr>
        <w:t>as one of the main solutions that hold</w:t>
      </w:r>
      <w:r w:rsidR="00F55F86">
        <w:rPr>
          <w:rFonts w:ascii="Calibri" w:eastAsia="Times New Roman" w:hAnsi="Calibri" w:cs="Calibri"/>
        </w:rPr>
        <w:t>s</w:t>
      </w:r>
      <w:r w:rsidR="00633C38">
        <w:rPr>
          <w:rFonts w:ascii="Calibri" w:eastAsia="Times New Roman" w:hAnsi="Calibri" w:cs="Calibri"/>
        </w:rPr>
        <w:t xml:space="preserve"> a “key to Europe’s future” in its </w:t>
      </w:r>
      <w:r w:rsidR="0061310B">
        <w:rPr>
          <w:rFonts w:ascii="Calibri" w:eastAsia="Times New Roman" w:hAnsi="Calibri" w:cs="Calibri"/>
        </w:rPr>
        <w:t xml:space="preserve">green stimulus </w:t>
      </w:r>
      <w:r w:rsidR="00633C38">
        <w:rPr>
          <w:rFonts w:ascii="Calibri" w:eastAsia="Times New Roman" w:hAnsi="Calibri" w:cs="Calibri"/>
        </w:rPr>
        <w:t>plan.</w:t>
      </w:r>
      <w:r w:rsidR="00633C38">
        <w:rPr>
          <w:rStyle w:val="FootnoteReference"/>
          <w:rFonts w:ascii="Calibri" w:eastAsia="Times New Roman" w:hAnsi="Calibri" w:cs="Calibri"/>
        </w:rPr>
        <w:footnoteReference w:id="12"/>
      </w:r>
      <w:r w:rsidR="00633C38">
        <w:rPr>
          <w:rFonts w:ascii="Calibri" w:eastAsia="Times New Roman" w:hAnsi="Calibri" w:cs="Calibri"/>
        </w:rPr>
        <w:t xml:space="preserve"> </w:t>
      </w:r>
      <w:r w:rsidR="00B31F41">
        <w:rPr>
          <w:rFonts w:ascii="Calibri" w:eastAsia="Times New Roman" w:hAnsi="Calibri" w:cs="Calibri"/>
        </w:rPr>
        <w:t xml:space="preserve">The CHBC supports </w:t>
      </w:r>
      <w:r w:rsidR="00F55F86">
        <w:rPr>
          <w:rFonts w:ascii="Calibri" w:eastAsia="Times New Roman" w:hAnsi="Calibri" w:cs="Calibri"/>
        </w:rPr>
        <w:t xml:space="preserve">such </w:t>
      </w:r>
      <w:r w:rsidR="00B31F41">
        <w:rPr>
          <w:rFonts w:ascii="Calibri" w:eastAsia="Times New Roman" w:hAnsi="Calibri" w:cs="Calibri"/>
        </w:rPr>
        <w:t>approaches</w:t>
      </w:r>
      <w:r w:rsidR="00F55F86">
        <w:rPr>
          <w:rFonts w:ascii="Calibri" w:eastAsia="Times New Roman" w:hAnsi="Calibri" w:cs="Calibri"/>
        </w:rPr>
        <w:t>,</w:t>
      </w:r>
      <w:r w:rsidR="00B31F41">
        <w:rPr>
          <w:rFonts w:ascii="Calibri" w:eastAsia="Times New Roman" w:hAnsi="Calibri" w:cs="Calibri"/>
        </w:rPr>
        <w:t xml:space="preserve"> like </w:t>
      </w:r>
      <w:r w:rsidR="00F55F86">
        <w:rPr>
          <w:rFonts w:ascii="Calibri" w:eastAsia="Times New Roman" w:hAnsi="Calibri" w:cs="Calibri"/>
        </w:rPr>
        <w:t>those</w:t>
      </w:r>
      <w:r w:rsidR="00B31F41">
        <w:rPr>
          <w:rFonts w:ascii="Calibri" w:eastAsia="Times New Roman" w:hAnsi="Calibri" w:cs="Calibri"/>
        </w:rPr>
        <w:t xml:space="preserve"> in Europe and Los Angeles</w:t>
      </w:r>
      <w:r w:rsidR="00F55F86">
        <w:rPr>
          <w:rFonts w:ascii="Calibri" w:eastAsia="Times New Roman" w:hAnsi="Calibri" w:cs="Calibri"/>
        </w:rPr>
        <w:t>,</w:t>
      </w:r>
      <w:r w:rsidR="00B31F41">
        <w:rPr>
          <w:rFonts w:ascii="Calibri" w:eastAsia="Times New Roman" w:hAnsi="Calibri" w:cs="Calibri"/>
        </w:rPr>
        <w:t xml:space="preserve"> to </w:t>
      </w:r>
      <w:r w:rsidR="001E2154">
        <w:rPr>
          <w:rFonts w:ascii="Calibri" w:eastAsia="Times New Roman" w:hAnsi="Calibri" w:cs="Calibri"/>
        </w:rPr>
        <w:t xml:space="preserve">rigorously consider all zero carbon </w:t>
      </w:r>
      <w:r w:rsidR="00B31F41">
        <w:rPr>
          <w:rFonts w:ascii="Calibri" w:eastAsia="Times New Roman" w:hAnsi="Calibri" w:cs="Calibri"/>
        </w:rPr>
        <w:t xml:space="preserve">fuels and electricity </w:t>
      </w:r>
      <w:r w:rsidR="001E2154">
        <w:rPr>
          <w:rFonts w:ascii="Calibri" w:eastAsia="Times New Roman" w:hAnsi="Calibri" w:cs="Calibri"/>
        </w:rPr>
        <w:t xml:space="preserve">options and how they can be optimized in different combination to achieve </w:t>
      </w:r>
      <w:r w:rsidR="00B31F41">
        <w:rPr>
          <w:rFonts w:ascii="Calibri" w:eastAsia="Times New Roman" w:hAnsi="Calibri" w:cs="Calibri"/>
        </w:rPr>
        <w:t xml:space="preserve">greenhouse gas reductions, </w:t>
      </w:r>
      <w:r w:rsidR="001E2154">
        <w:rPr>
          <w:rFonts w:ascii="Calibri" w:eastAsia="Times New Roman" w:hAnsi="Calibri" w:cs="Calibri"/>
        </w:rPr>
        <w:t>cost-effectiveness</w:t>
      </w:r>
      <w:r w:rsidR="00B31F41">
        <w:rPr>
          <w:rFonts w:ascii="Calibri" w:eastAsia="Times New Roman" w:hAnsi="Calibri" w:cs="Calibri"/>
        </w:rPr>
        <w:t>, reliability</w:t>
      </w:r>
      <w:r w:rsidR="001E2154">
        <w:rPr>
          <w:rFonts w:ascii="Calibri" w:eastAsia="Times New Roman" w:hAnsi="Calibri" w:cs="Calibri"/>
        </w:rPr>
        <w:t>, justice, resource use, air quality and other state priorities.</w:t>
      </w:r>
      <w:r w:rsidRPr="00C25AD1">
        <w:rPr>
          <w:rFonts w:ascii="Calibri" w:eastAsia="Times New Roman" w:hAnsi="Calibri" w:cs="Calibri"/>
          <w:b/>
          <w:bCs/>
        </w:rPr>
        <w:br/>
      </w:r>
    </w:p>
    <w:p w14:paraId="5A891110" w14:textId="60BB82E4" w:rsidR="00480D1B" w:rsidRPr="00E556DD" w:rsidRDefault="007C4B7C" w:rsidP="007C4B7C">
      <w:pPr>
        <w:spacing w:line="276" w:lineRule="auto"/>
        <w:rPr>
          <w:rFonts w:asciiTheme="majorHAnsi" w:eastAsia="Times New Roman" w:hAnsiTheme="majorHAnsi" w:cstheme="majorHAnsi"/>
          <w:b/>
          <w:bCs/>
          <w:sz w:val="28"/>
          <w:szCs w:val="28"/>
        </w:rPr>
      </w:pPr>
      <w:r w:rsidRPr="00E556DD">
        <w:rPr>
          <w:rFonts w:asciiTheme="majorHAnsi" w:eastAsia="Times New Roman" w:hAnsiTheme="majorHAnsi" w:cstheme="majorHAnsi"/>
          <w:b/>
          <w:bCs/>
          <w:sz w:val="28"/>
          <w:szCs w:val="28"/>
        </w:rPr>
        <w:t xml:space="preserve">The </w:t>
      </w:r>
      <w:r w:rsidR="00511DDA" w:rsidRPr="00E556DD">
        <w:rPr>
          <w:rFonts w:asciiTheme="majorHAnsi" w:eastAsia="Times New Roman" w:hAnsiTheme="majorHAnsi" w:cstheme="majorHAnsi"/>
          <w:b/>
          <w:bCs/>
          <w:sz w:val="28"/>
          <w:szCs w:val="28"/>
        </w:rPr>
        <w:t>CHBC appreciates the report recognizing in the Balanced and Zero Carbon scenarios that hydrogen fuel cell technology stands to play a major role in heavy duty transportation and rail</w:t>
      </w:r>
      <w:r w:rsidRPr="00E556DD">
        <w:rPr>
          <w:rFonts w:asciiTheme="majorHAnsi" w:eastAsia="Times New Roman" w:hAnsiTheme="majorHAnsi" w:cstheme="majorHAnsi"/>
          <w:b/>
          <w:bCs/>
          <w:sz w:val="28"/>
          <w:szCs w:val="28"/>
        </w:rPr>
        <w:t xml:space="preserve">, but </w:t>
      </w:r>
      <w:r w:rsidR="00394E25" w:rsidRPr="00E556DD">
        <w:rPr>
          <w:rFonts w:asciiTheme="majorHAnsi" w:eastAsia="Times New Roman" w:hAnsiTheme="majorHAnsi" w:cstheme="majorHAnsi"/>
          <w:b/>
          <w:bCs/>
          <w:sz w:val="28"/>
          <w:szCs w:val="28"/>
        </w:rPr>
        <w:t>strongly disagrees with the o</w:t>
      </w:r>
      <w:r w:rsidR="00480D1B" w:rsidRPr="00E556DD">
        <w:rPr>
          <w:rFonts w:asciiTheme="majorHAnsi" w:eastAsia="Times New Roman" w:hAnsiTheme="majorHAnsi" w:cstheme="majorHAnsi"/>
          <w:b/>
          <w:bCs/>
          <w:sz w:val="28"/>
          <w:szCs w:val="28"/>
        </w:rPr>
        <w:t xml:space="preserve">mission of </w:t>
      </w:r>
      <w:r w:rsidR="00394E25" w:rsidRPr="00E556DD">
        <w:rPr>
          <w:rFonts w:asciiTheme="majorHAnsi" w:eastAsia="Times New Roman" w:hAnsiTheme="majorHAnsi" w:cstheme="majorHAnsi"/>
          <w:b/>
          <w:bCs/>
          <w:sz w:val="28"/>
          <w:szCs w:val="28"/>
        </w:rPr>
        <w:t>hydrogen fuel cell options</w:t>
      </w:r>
      <w:r w:rsidR="00480D1B" w:rsidRPr="00E556DD">
        <w:rPr>
          <w:rFonts w:asciiTheme="majorHAnsi" w:eastAsia="Times New Roman" w:hAnsiTheme="majorHAnsi" w:cstheme="majorHAnsi"/>
          <w:b/>
          <w:bCs/>
          <w:sz w:val="28"/>
          <w:szCs w:val="28"/>
        </w:rPr>
        <w:t xml:space="preserve"> for </w:t>
      </w:r>
      <w:r w:rsidR="002D62D4">
        <w:rPr>
          <w:rFonts w:asciiTheme="majorHAnsi" w:eastAsia="Times New Roman" w:hAnsiTheme="majorHAnsi" w:cstheme="majorHAnsi"/>
          <w:b/>
          <w:bCs/>
          <w:sz w:val="28"/>
          <w:szCs w:val="28"/>
        </w:rPr>
        <w:t>ligh</w:t>
      </w:r>
      <w:r w:rsidR="00280E0B">
        <w:rPr>
          <w:rFonts w:asciiTheme="majorHAnsi" w:eastAsia="Times New Roman" w:hAnsiTheme="majorHAnsi" w:cstheme="majorHAnsi"/>
          <w:b/>
          <w:bCs/>
          <w:sz w:val="28"/>
          <w:szCs w:val="28"/>
        </w:rPr>
        <w:t>t duty vehicle (</w:t>
      </w:r>
      <w:r w:rsidR="00480D1B" w:rsidRPr="00E556DD">
        <w:rPr>
          <w:rFonts w:asciiTheme="majorHAnsi" w:eastAsia="Times New Roman" w:hAnsiTheme="majorHAnsi" w:cstheme="majorHAnsi"/>
          <w:b/>
          <w:bCs/>
          <w:sz w:val="28"/>
          <w:szCs w:val="28"/>
        </w:rPr>
        <w:t>LDV</w:t>
      </w:r>
      <w:r w:rsidR="00280E0B">
        <w:rPr>
          <w:rFonts w:asciiTheme="majorHAnsi" w:eastAsia="Times New Roman" w:hAnsiTheme="majorHAnsi" w:cstheme="majorHAnsi"/>
          <w:b/>
          <w:bCs/>
          <w:sz w:val="28"/>
          <w:szCs w:val="28"/>
        </w:rPr>
        <w:t>)</w:t>
      </w:r>
      <w:r w:rsidR="00480D1B" w:rsidRPr="00E556DD">
        <w:rPr>
          <w:rFonts w:asciiTheme="majorHAnsi" w:eastAsia="Times New Roman" w:hAnsiTheme="majorHAnsi" w:cstheme="majorHAnsi"/>
          <w:b/>
          <w:bCs/>
          <w:sz w:val="28"/>
          <w:szCs w:val="28"/>
        </w:rPr>
        <w:t>/</w:t>
      </w:r>
      <w:r w:rsidR="00280E0B">
        <w:rPr>
          <w:rFonts w:asciiTheme="majorHAnsi" w:eastAsia="Times New Roman" w:hAnsiTheme="majorHAnsi" w:cstheme="majorHAnsi"/>
          <w:b/>
          <w:bCs/>
          <w:sz w:val="28"/>
          <w:szCs w:val="28"/>
        </w:rPr>
        <w:t>medium duty vehicle (</w:t>
      </w:r>
      <w:r w:rsidR="00480D1B" w:rsidRPr="00E556DD">
        <w:rPr>
          <w:rFonts w:asciiTheme="majorHAnsi" w:eastAsia="Times New Roman" w:hAnsiTheme="majorHAnsi" w:cstheme="majorHAnsi"/>
          <w:b/>
          <w:bCs/>
          <w:sz w:val="28"/>
          <w:szCs w:val="28"/>
        </w:rPr>
        <w:t>MDV</w:t>
      </w:r>
      <w:r w:rsidR="00280E0B">
        <w:rPr>
          <w:rFonts w:asciiTheme="majorHAnsi" w:eastAsia="Times New Roman" w:hAnsiTheme="majorHAnsi" w:cstheme="majorHAnsi"/>
          <w:b/>
          <w:bCs/>
          <w:sz w:val="28"/>
          <w:szCs w:val="28"/>
        </w:rPr>
        <w:t>)</w:t>
      </w:r>
      <w:r w:rsidR="00480D1B" w:rsidRPr="00E556DD">
        <w:rPr>
          <w:rFonts w:asciiTheme="majorHAnsi" w:eastAsia="Times New Roman" w:hAnsiTheme="majorHAnsi" w:cstheme="majorHAnsi"/>
          <w:b/>
          <w:bCs/>
          <w:sz w:val="28"/>
          <w:szCs w:val="28"/>
        </w:rPr>
        <w:t xml:space="preserve"> </w:t>
      </w:r>
      <w:r w:rsidRPr="00E556DD">
        <w:rPr>
          <w:rFonts w:asciiTheme="majorHAnsi" w:eastAsia="Times New Roman" w:hAnsiTheme="majorHAnsi" w:cstheme="majorHAnsi"/>
          <w:b/>
          <w:bCs/>
          <w:sz w:val="28"/>
          <w:szCs w:val="28"/>
        </w:rPr>
        <w:t>from</w:t>
      </w:r>
      <w:r w:rsidR="00480D1B" w:rsidRPr="00E556DD">
        <w:rPr>
          <w:rFonts w:asciiTheme="majorHAnsi" w:eastAsia="Times New Roman" w:hAnsiTheme="majorHAnsi" w:cstheme="majorHAnsi"/>
          <w:b/>
          <w:bCs/>
          <w:sz w:val="28"/>
          <w:szCs w:val="28"/>
        </w:rPr>
        <w:t xml:space="preserve"> all scenarios</w:t>
      </w:r>
      <w:r w:rsidR="004B14B8" w:rsidRPr="00E556DD">
        <w:rPr>
          <w:rFonts w:asciiTheme="majorHAnsi" w:eastAsia="Times New Roman" w:hAnsiTheme="majorHAnsi" w:cstheme="majorHAnsi"/>
          <w:b/>
          <w:bCs/>
          <w:sz w:val="28"/>
          <w:szCs w:val="28"/>
        </w:rPr>
        <w:t>.</w:t>
      </w:r>
      <w:r w:rsidRPr="00E556DD">
        <w:rPr>
          <w:rFonts w:asciiTheme="majorHAnsi" w:eastAsia="Times New Roman" w:hAnsiTheme="majorHAnsi" w:cstheme="majorHAnsi"/>
          <w:b/>
          <w:bCs/>
          <w:sz w:val="28"/>
          <w:szCs w:val="28"/>
        </w:rPr>
        <w:t xml:space="preserve"> </w:t>
      </w:r>
    </w:p>
    <w:p w14:paraId="2011D394" w14:textId="6BD74F2B" w:rsidR="00394E25" w:rsidRDefault="00394E25" w:rsidP="00394E25">
      <w:pPr>
        <w:spacing w:line="276" w:lineRule="auto"/>
        <w:ind w:left="360"/>
        <w:rPr>
          <w:rFonts w:ascii="Calibri" w:eastAsia="Times New Roman" w:hAnsi="Calibri" w:cs="Calibri"/>
          <w:b/>
          <w:bCs/>
        </w:rPr>
      </w:pPr>
    </w:p>
    <w:p w14:paraId="251A3FE1" w14:textId="6C5E88D8" w:rsidR="004B14B8" w:rsidRPr="00EE02DB" w:rsidRDefault="00D03546" w:rsidP="00EE02DB">
      <w:pPr>
        <w:spacing w:line="276" w:lineRule="auto"/>
        <w:rPr>
          <w:rFonts w:ascii="Calibri" w:eastAsia="Times New Roman" w:hAnsi="Calibri" w:cs="Calibri"/>
          <w:i/>
          <w:iCs/>
        </w:rPr>
      </w:pPr>
      <w:r w:rsidRPr="00EE02DB">
        <w:rPr>
          <w:rFonts w:ascii="Calibri" w:eastAsia="Times New Roman" w:hAnsi="Calibri" w:cs="Calibri"/>
        </w:rPr>
        <w:t xml:space="preserve">We are heartened that two out of three scenarios E3 presents in the </w:t>
      </w:r>
      <w:r w:rsidR="009B2F27">
        <w:rPr>
          <w:rFonts w:ascii="Calibri" w:eastAsia="Times New Roman" w:hAnsi="Calibri" w:cs="Calibri"/>
        </w:rPr>
        <w:t xml:space="preserve">Carbon Neutrality </w:t>
      </w:r>
      <w:r w:rsidRPr="00EE02DB">
        <w:rPr>
          <w:rFonts w:ascii="Calibri" w:eastAsia="Times New Roman" w:hAnsi="Calibri" w:cs="Calibri"/>
        </w:rPr>
        <w:t>report recognize</w:t>
      </w:r>
      <w:r w:rsidR="00280E0B">
        <w:rPr>
          <w:rFonts w:ascii="Calibri" w:eastAsia="Times New Roman" w:hAnsi="Calibri" w:cs="Calibri"/>
        </w:rPr>
        <w:t xml:space="preserve"> the importance of</w:t>
      </w:r>
      <w:r w:rsidRPr="00EE02DB">
        <w:rPr>
          <w:rFonts w:ascii="Calibri" w:eastAsia="Times New Roman" w:hAnsi="Calibri" w:cs="Calibri"/>
        </w:rPr>
        <w:t xml:space="preserve"> hydrogen fuel cell electric technology </w:t>
      </w:r>
      <w:r w:rsidR="00280E0B">
        <w:rPr>
          <w:rFonts w:ascii="Calibri" w:eastAsia="Times New Roman" w:hAnsi="Calibri" w:cs="Calibri"/>
        </w:rPr>
        <w:t xml:space="preserve">in </w:t>
      </w:r>
      <w:r w:rsidRPr="00EE02DB">
        <w:rPr>
          <w:rFonts w:ascii="Calibri" w:eastAsia="Times New Roman" w:hAnsi="Calibri" w:cs="Calibri"/>
        </w:rPr>
        <w:t xml:space="preserve"> reaching carbon neutrality in California’s Heavy Duty ZEV (HDV) sector</w:t>
      </w:r>
      <w:r w:rsidR="00EE02DB" w:rsidRPr="00EE02DB">
        <w:rPr>
          <w:rFonts w:ascii="Calibri" w:eastAsia="Times New Roman" w:hAnsi="Calibri" w:cs="Calibri"/>
        </w:rPr>
        <w:t>, and that all scenarios acknowledge the importance of hydrogen for rail applications</w:t>
      </w:r>
      <w:r w:rsidRPr="00EE02DB">
        <w:rPr>
          <w:rFonts w:ascii="Calibri" w:eastAsia="Times New Roman" w:hAnsi="Calibri" w:cs="Calibri"/>
        </w:rPr>
        <w:t xml:space="preserve">. </w:t>
      </w:r>
      <w:r w:rsidR="001A0CE2" w:rsidRPr="00EE02DB">
        <w:rPr>
          <w:rFonts w:ascii="Calibri" w:eastAsia="Times New Roman" w:hAnsi="Calibri" w:cs="Calibri"/>
        </w:rPr>
        <w:t>However, o</w:t>
      </w:r>
      <w:r w:rsidR="00062F29" w:rsidRPr="00EE02DB">
        <w:rPr>
          <w:rFonts w:ascii="Calibri" w:eastAsia="Times New Roman" w:hAnsi="Calibri" w:cs="Calibri"/>
        </w:rPr>
        <w:t xml:space="preserve">mitting hydrogen fuel cell options for LDVs is </w:t>
      </w:r>
      <w:r w:rsidR="00280E0B">
        <w:rPr>
          <w:rFonts w:ascii="Calibri" w:eastAsia="Times New Roman" w:hAnsi="Calibri" w:cs="Calibri"/>
        </w:rPr>
        <w:t>inconsistent</w:t>
      </w:r>
      <w:r w:rsidR="00062F29" w:rsidRPr="00EE02DB">
        <w:rPr>
          <w:rFonts w:ascii="Calibri" w:eastAsia="Times New Roman" w:hAnsi="Calibri" w:cs="Calibri"/>
        </w:rPr>
        <w:t xml:space="preserve"> with state policy, which has long </w:t>
      </w:r>
      <w:r w:rsidR="00280E0B">
        <w:rPr>
          <w:rFonts w:ascii="Calibri" w:eastAsia="Times New Roman" w:hAnsi="Calibri" w:cs="Calibri"/>
        </w:rPr>
        <w:t>included</w:t>
      </w:r>
      <w:r w:rsidR="008C647D">
        <w:rPr>
          <w:rFonts w:ascii="Calibri" w:eastAsia="Times New Roman" w:hAnsi="Calibri" w:cs="Calibri"/>
        </w:rPr>
        <w:t xml:space="preserve"> </w:t>
      </w:r>
      <w:r w:rsidR="00062F29" w:rsidRPr="00EE02DB">
        <w:rPr>
          <w:rFonts w:ascii="Calibri" w:eastAsia="Times New Roman" w:hAnsi="Calibri" w:cs="Calibri"/>
        </w:rPr>
        <w:t>both BEVs and FCEVs and their respective infrastructure in ZEV policy, nor with global forecasts regarding cost competitiveness</w:t>
      </w:r>
      <w:r w:rsidR="00EE02DB">
        <w:rPr>
          <w:rFonts w:ascii="Calibri" w:eastAsia="Times New Roman" w:hAnsi="Calibri" w:cs="Calibri"/>
        </w:rPr>
        <w:t xml:space="preserve">. </w:t>
      </w:r>
      <w:r w:rsidR="00062F29">
        <w:rPr>
          <w:rFonts w:ascii="Calibri" w:eastAsia="Times New Roman" w:hAnsi="Calibri" w:cs="Calibri"/>
        </w:rPr>
        <w:t xml:space="preserve">Numerous state policies, including Governor Brown’s and Governor Newsom’s ZEV Executive Orders, AB 8 and SB 1505, include hydrogen fuel cell vehicles and fueling as a pillar of California’s strategy to transition to zero emissions transportation. </w:t>
      </w:r>
      <w:r w:rsidR="004B14B8" w:rsidRPr="00062F29">
        <w:rPr>
          <w:rFonts w:ascii="Calibri" w:eastAsia="Times New Roman" w:hAnsi="Calibri" w:cs="Calibri"/>
        </w:rPr>
        <w:t>The Hydrogen Council with McKinsey also projects that hydrogen fuel cell passenger vehicles will be cost competitive in the next 5-10 years, particularly for larger weight models like SUVs and longer ranges</w:t>
      </w:r>
      <w:r w:rsidR="00EE02DB">
        <w:rPr>
          <w:rFonts w:ascii="Calibri" w:eastAsia="Times New Roman" w:hAnsi="Calibri" w:cs="Calibri"/>
        </w:rPr>
        <w:t xml:space="preserve"> of over about 125 miles</w:t>
      </w:r>
      <w:r w:rsidR="004B14B8" w:rsidRPr="00062F29">
        <w:rPr>
          <w:rFonts w:ascii="Calibri" w:eastAsia="Times New Roman" w:hAnsi="Calibri" w:cs="Calibri"/>
        </w:rPr>
        <w:t>.</w:t>
      </w:r>
      <w:r w:rsidR="00EE02DB">
        <w:rPr>
          <w:rStyle w:val="FootnoteReference"/>
          <w:rFonts w:ascii="Calibri" w:eastAsia="Times New Roman" w:hAnsi="Calibri" w:cs="Calibri"/>
        </w:rPr>
        <w:footnoteReference w:id="13"/>
      </w:r>
      <w:r w:rsidR="004B14B8" w:rsidRPr="00062F29">
        <w:rPr>
          <w:rFonts w:ascii="Calibri" w:eastAsia="Times New Roman" w:hAnsi="Calibri" w:cs="Calibri"/>
        </w:rPr>
        <w:t xml:space="preserve"> This is particularly significant since the California vehicle sales market is trending toward SUVs.</w:t>
      </w:r>
      <w:r w:rsidR="00152F6A">
        <w:rPr>
          <w:rStyle w:val="FootnoteReference"/>
          <w:rFonts w:ascii="Calibri" w:eastAsia="Times New Roman" w:hAnsi="Calibri" w:cs="Calibri"/>
        </w:rPr>
        <w:footnoteReference w:id="14"/>
      </w:r>
      <w:r w:rsidR="00152F6A" w:rsidRPr="00062F29">
        <w:rPr>
          <w:rFonts w:ascii="Calibri" w:eastAsia="Times New Roman" w:hAnsi="Calibri" w:cs="Calibri"/>
        </w:rPr>
        <w:t xml:space="preserve"> Similar findings were made in a European Union multi-</w:t>
      </w:r>
      <w:r w:rsidR="00681A44">
        <w:rPr>
          <w:rFonts w:ascii="Calibri" w:eastAsia="Times New Roman" w:hAnsi="Calibri" w:cs="Calibri"/>
        </w:rPr>
        <w:br/>
      </w:r>
      <w:r w:rsidR="00681A44">
        <w:rPr>
          <w:rFonts w:ascii="Calibri" w:eastAsia="Times New Roman" w:hAnsi="Calibri" w:cs="Calibri"/>
        </w:rPr>
        <w:lastRenderedPageBreak/>
        <w:br/>
      </w:r>
      <w:r w:rsidR="00152F6A" w:rsidRPr="00062F29">
        <w:rPr>
          <w:rFonts w:ascii="Calibri" w:eastAsia="Times New Roman" w:hAnsi="Calibri" w:cs="Calibri"/>
        </w:rPr>
        <w:t>stakeholder study on the role of BEVs, PHEVs, and FCEVs, which reported that FCEVs in larger passenger vehicle applications cost less to abate CO2 than BEVs or PHEVs.</w:t>
      </w:r>
      <w:r w:rsidR="00152F6A">
        <w:rPr>
          <w:rStyle w:val="FootnoteReference"/>
          <w:rFonts w:ascii="Calibri" w:eastAsia="Times New Roman" w:hAnsi="Calibri" w:cs="Calibri"/>
        </w:rPr>
        <w:footnoteReference w:id="15"/>
      </w:r>
    </w:p>
    <w:p w14:paraId="44401070" w14:textId="68C37393" w:rsidR="00152F6A" w:rsidRDefault="00152F6A" w:rsidP="00D03546">
      <w:pPr>
        <w:rPr>
          <w:rFonts w:ascii="Calibri" w:eastAsia="Times New Roman" w:hAnsi="Calibri" w:cs="Calibri"/>
        </w:rPr>
      </w:pPr>
    </w:p>
    <w:p w14:paraId="686B95C5" w14:textId="79D470C3" w:rsidR="00D6381F" w:rsidRPr="001A0CE2" w:rsidRDefault="00152F6A" w:rsidP="00062F29">
      <w:pPr>
        <w:spacing w:line="276" w:lineRule="auto"/>
        <w:rPr>
          <w:rFonts w:cstheme="minorHAnsi"/>
          <w:bCs/>
          <w:i/>
          <w:iCs/>
        </w:rPr>
      </w:pPr>
      <w:r w:rsidRPr="00EE02DB">
        <w:rPr>
          <w:rFonts w:ascii="Calibri" w:eastAsia="Times New Roman" w:hAnsi="Calibri" w:cs="Calibri"/>
        </w:rPr>
        <w:t xml:space="preserve">It is also important to bear in mind that FCEVs </w:t>
      </w:r>
      <w:r w:rsidR="00280E0B">
        <w:rPr>
          <w:rFonts w:ascii="Calibri" w:eastAsia="Times New Roman" w:hAnsi="Calibri" w:cs="Calibri"/>
        </w:rPr>
        <w:t>are</w:t>
      </w:r>
      <w:r w:rsidRPr="00EE02DB">
        <w:rPr>
          <w:rFonts w:ascii="Calibri" w:eastAsia="Times New Roman" w:hAnsi="Calibri" w:cs="Calibri"/>
        </w:rPr>
        <w:t xml:space="preserve"> key to enabling equitable and affordable access to ZEVs because multi-unit dwellings and on-street parking do not typically provide easy access to EV charging, making centralized hydrogen refueling the more pragmatic ZEV fueling option for many Californians, including many if not most low-income drivers</w:t>
      </w:r>
      <w:r w:rsidRPr="001A0CE2">
        <w:rPr>
          <w:rFonts w:ascii="Calibri" w:eastAsia="Times New Roman" w:hAnsi="Calibri" w:cs="Calibri"/>
          <w:b/>
          <w:bCs/>
          <w:i/>
          <w:iCs/>
        </w:rPr>
        <w:t>.</w:t>
      </w:r>
      <w:r w:rsidR="00D6381F" w:rsidRPr="001A0CE2">
        <w:rPr>
          <w:rFonts w:ascii="Calibri" w:eastAsia="Times New Roman" w:hAnsi="Calibri" w:cs="Calibri"/>
          <w:i/>
          <w:iCs/>
        </w:rPr>
        <w:t xml:space="preserve"> </w:t>
      </w:r>
      <w:r w:rsidR="00D6381F" w:rsidRPr="00062F29">
        <w:rPr>
          <w:rFonts w:cstheme="minorHAnsi"/>
          <w:bCs/>
        </w:rPr>
        <w:t>More than 80% of EV drivers charge at home, due to convenience and cost effectiveness.</w:t>
      </w:r>
      <w:r w:rsidR="00D6381F">
        <w:rPr>
          <w:rStyle w:val="FootnoteReference"/>
          <w:rFonts w:cstheme="minorHAnsi"/>
          <w:bCs/>
        </w:rPr>
        <w:footnoteReference w:id="16"/>
      </w:r>
      <w:r w:rsidR="00D6381F" w:rsidRPr="00062F29">
        <w:rPr>
          <w:rFonts w:cstheme="minorHAnsi"/>
          <w:bCs/>
        </w:rPr>
        <w:t xml:space="preserve"> However, many Californians live in homes where EV charging is not easy or affordable. Nearly half of homes in the state are not single detached units.</w:t>
      </w:r>
      <w:r w:rsidR="00D6381F">
        <w:rPr>
          <w:rStyle w:val="FootnoteReference"/>
          <w:rFonts w:cstheme="minorHAnsi"/>
          <w:bCs/>
        </w:rPr>
        <w:footnoteReference w:id="17"/>
      </w:r>
      <w:r w:rsidR="00D6381F" w:rsidRPr="00062F29">
        <w:rPr>
          <w:rFonts w:cstheme="minorHAnsi"/>
          <w:bCs/>
        </w:rPr>
        <w:t xml:space="preserve"> Moreover, low-income people are most likely to live in rental units where EV charging is unavailable and cost prohibitive to install. Hydrogen refueling for FCEVs, by contrast, is centralized and with capital investment can be similar in convenience and accessibility to conventional gasoline fueling. To ensure that driving a ZEV will be equitably available to all California drivers, state policy </w:t>
      </w:r>
      <w:r w:rsidR="00D474BA">
        <w:rPr>
          <w:rFonts w:cstheme="minorHAnsi"/>
          <w:bCs/>
        </w:rPr>
        <w:t>must</w:t>
      </w:r>
      <w:r w:rsidR="00D6381F" w:rsidRPr="00062F29">
        <w:rPr>
          <w:rFonts w:cstheme="minorHAnsi"/>
          <w:bCs/>
        </w:rPr>
        <w:t xml:space="preserve"> equally support advancement of FCEVs and hydrogen fueling along with BEVs and EV charging.</w:t>
      </w:r>
    </w:p>
    <w:p w14:paraId="1885D6A2" w14:textId="6187BA20" w:rsidR="007C4B7C" w:rsidRPr="00062F29" w:rsidRDefault="007C4B7C" w:rsidP="007C4B7C">
      <w:pPr>
        <w:spacing w:line="276" w:lineRule="auto"/>
        <w:rPr>
          <w:rFonts w:asciiTheme="majorHAnsi" w:eastAsia="Times New Roman" w:hAnsiTheme="majorHAnsi" w:cstheme="majorHAnsi"/>
          <w:sz w:val="26"/>
          <w:szCs w:val="26"/>
        </w:rPr>
      </w:pPr>
    </w:p>
    <w:p w14:paraId="7BF0E807" w14:textId="65F6DE07" w:rsidR="00224D29" w:rsidRPr="00E556DD" w:rsidRDefault="00062F29" w:rsidP="007C4B7C">
      <w:pPr>
        <w:spacing w:line="276" w:lineRule="auto"/>
        <w:rPr>
          <w:rFonts w:asciiTheme="majorHAnsi" w:eastAsia="Times New Roman" w:hAnsiTheme="majorHAnsi" w:cstheme="majorHAnsi"/>
          <w:b/>
          <w:bCs/>
          <w:sz w:val="28"/>
          <w:szCs w:val="28"/>
        </w:rPr>
      </w:pPr>
      <w:r w:rsidRPr="00E556DD">
        <w:rPr>
          <w:rFonts w:asciiTheme="majorHAnsi" w:eastAsia="Times New Roman" w:hAnsiTheme="majorHAnsi" w:cstheme="majorHAnsi"/>
          <w:b/>
          <w:bCs/>
          <w:sz w:val="28"/>
          <w:szCs w:val="28"/>
        </w:rPr>
        <w:t xml:space="preserve">We also </w:t>
      </w:r>
      <w:r w:rsidR="007C4B7C" w:rsidRPr="00E556DD">
        <w:rPr>
          <w:rFonts w:asciiTheme="majorHAnsi" w:eastAsia="Times New Roman" w:hAnsiTheme="majorHAnsi" w:cstheme="majorHAnsi"/>
          <w:b/>
          <w:bCs/>
          <w:sz w:val="28"/>
          <w:szCs w:val="28"/>
        </w:rPr>
        <w:t>urge future reporting to examine t</w:t>
      </w:r>
      <w:r w:rsidR="00D474BA">
        <w:rPr>
          <w:rFonts w:asciiTheme="majorHAnsi" w:eastAsia="Times New Roman" w:hAnsiTheme="majorHAnsi" w:cstheme="majorHAnsi"/>
          <w:b/>
          <w:bCs/>
          <w:sz w:val="28"/>
          <w:szCs w:val="28"/>
        </w:rPr>
        <w:t>he</w:t>
      </w:r>
      <w:r w:rsidR="007C4B7C" w:rsidRPr="00E556DD">
        <w:rPr>
          <w:rFonts w:asciiTheme="majorHAnsi" w:eastAsia="Times New Roman" w:hAnsiTheme="majorHAnsi" w:cstheme="majorHAnsi"/>
          <w:b/>
          <w:bCs/>
          <w:sz w:val="28"/>
          <w:szCs w:val="28"/>
        </w:rPr>
        <w:t xml:space="preserve"> potential for hydrogen</w:t>
      </w:r>
      <w:r w:rsidR="002D3681" w:rsidRPr="00E556DD">
        <w:rPr>
          <w:rFonts w:asciiTheme="majorHAnsi" w:eastAsia="Times New Roman" w:hAnsiTheme="majorHAnsi" w:cstheme="majorHAnsi"/>
          <w:b/>
          <w:bCs/>
          <w:sz w:val="28"/>
          <w:szCs w:val="28"/>
        </w:rPr>
        <w:t>-based fuels</w:t>
      </w:r>
      <w:r w:rsidR="007C4B7C" w:rsidRPr="00E556DD">
        <w:rPr>
          <w:rFonts w:asciiTheme="majorHAnsi" w:eastAsia="Times New Roman" w:hAnsiTheme="majorHAnsi" w:cstheme="majorHAnsi"/>
          <w:b/>
          <w:bCs/>
          <w:sz w:val="28"/>
          <w:szCs w:val="28"/>
        </w:rPr>
        <w:t xml:space="preserve"> to decarbonize shipping and aviation.</w:t>
      </w:r>
    </w:p>
    <w:p w14:paraId="4A4E8021" w14:textId="409645C2" w:rsidR="00224D29" w:rsidRPr="00224D29" w:rsidRDefault="00224D29" w:rsidP="007C4B7C">
      <w:pPr>
        <w:spacing w:line="276" w:lineRule="auto"/>
        <w:rPr>
          <w:rFonts w:ascii="Calibri" w:eastAsia="Times New Roman" w:hAnsi="Calibri" w:cs="Calibri"/>
        </w:rPr>
      </w:pPr>
    </w:p>
    <w:p w14:paraId="5FFF0029" w14:textId="0A71D770" w:rsidR="00224D29" w:rsidRPr="00224D29" w:rsidRDefault="00224D29" w:rsidP="007C4B7C">
      <w:pPr>
        <w:spacing w:line="276" w:lineRule="auto"/>
        <w:rPr>
          <w:rFonts w:ascii="Calibri" w:eastAsia="Times New Roman" w:hAnsi="Calibri" w:cs="Calibri"/>
        </w:rPr>
      </w:pPr>
      <w:r w:rsidRPr="00224D29">
        <w:rPr>
          <w:rFonts w:ascii="Calibri" w:eastAsia="Times New Roman" w:hAnsi="Calibri" w:cs="Calibri"/>
        </w:rPr>
        <w:t>We</w:t>
      </w:r>
      <w:r>
        <w:rPr>
          <w:rFonts w:ascii="Calibri" w:eastAsia="Times New Roman" w:hAnsi="Calibri" w:cs="Calibri"/>
        </w:rPr>
        <w:t xml:space="preserve"> furthermore disagree with </w:t>
      </w:r>
      <w:r w:rsidR="002D3681">
        <w:rPr>
          <w:rFonts w:ascii="Calibri" w:eastAsia="Times New Roman" w:hAnsi="Calibri" w:cs="Calibri"/>
        </w:rPr>
        <w:t>the report’s omission of hydrogen-based fuels to achieve carbon neutrality in shipping and aviation</w:t>
      </w:r>
      <w:r w:rsidR="00DE561F">
        <w:rPr>
          <w:rFonts w:ascii="Calibri" w:eastAsia="Times New Roman" w:hAnsi="Calibri" w:cs="Calibri"/>
        </w:rPr>
        <w:t xml:space="preserve">. </w:t>
      </w:r>
      <w:r w:rsidR="002D3681">
        <w:rPr>
          <w:rFonts w:ascii="Calibri" w:eastAsia="Times New Roman" w:hAnsi="Calibri" w:cs="Calibri"/>
        </w:rPr>
        <w:t xml:space="preserve">Hydrogen has been gaining interest as a solution in these hard to abate applications for some time and is now a major piece of international developments. </w:t>
      </w:r>
      <w:r w:rsidR="002D3681" w:rsidRPr="002D3681">
        <w:rPr>
          <w:rFonts w:ascii="Calibri" w:eastAsia="Times New Roman" w:hAnsi="Calibri" w:cs="Calibri"/>
        </w:rPr>
        <w:t>A study by the Global Maritime Forum (GMF)</w:t>
      </w:r>
      <w:r w:rsidR="002D3681">
        <w:rPr>
          <w:rFonts w:ascii="Calibri" w:eastAsia="Times New Roman" w:hAnsi="Calibri" w:cs="Calibri"/>
        </w:rPr>
        <w:t xml:space="preserve"> tracked </w:t>
      </w:r>
      <w:r w:rsidR="002D3681" w:rsidRPr="002D3681">
        <w:rPr>
          <w:rFonts w:ascii="Calibri" w:eastAsia="Times New Roman" w:hAnsi="Calibri" w:cs="Calibri"/>
        </w:rPr>
        <w:t xml:space="preserve">66 </w:t>
      </w:r>
      <w:r w:rsidR="002D3681">
        <w:rPr>
          <w:rFonts w:ascii="Calibri" w:eastAsia="Times New Roman" w:hAnsi="Calibri" w:cs="Calibri"/>
        </w:rPr>
        <w:t>zero emissions</w:t>
      </w:r>
      <w:r w:rsidR="002D3681" w:rsidRPr="002D3681">
        <w:rPr>
          <w:rFonts w:ascii="Calibri" w:eastAsia="Times New Roman" w:hAnsi="Calibri" w:cs="Calibri"/>
        </w:rPr>
        <w:t xml:space="preserve"> shipping</w:t>
      </w:r>
      <w:r w:rsidR="002D3681">
        <w:rPr>
          <w:rFonts w:ascii="Calibri" w:eastAsia="Times New Roman" w:hAnsi="Calibri" w:cs="Calibri"/>
        </w:rPr>
        <w:t xml:space="preserve"> projects and found</w:t>
      </w:r>
      <w:r w:rsidR="002D3681" w:rsidRPr="002D3681">
        <w:rPr>
          <w:rFonts w:ascii="Calibri" w:eastAsia="Times New Roman" w:hAnsi="Calibri" w:cs="Calibri"/>
        </w:rPr>
        <w:t xml:space="preserve"> 19 of the 21 relat</w:t>
      </w:r>
      <w:r w:rsidR="002D3681">
        <w:rPr>
          <w:rFonts w:ascii="Calibri" w:eastAsia="Times New Roman" w:hAnsi="Calibri" w:cs="Calibri"/>
        </w:rPr>
        <w:t>ed</w:t>
      </w:r>
      <w:r w:rsidR="002D3681" w:rsidRPr="002D3681">
        <w:rPr>
          <w:rFonts w:ascii="Calibri" w:eastAsia="Times New Roman" w:hAnsi="Calibri" w:cs="Calibri"/>
        </w:rPr>
        <w:t xml:space="preserve"> to fuel production used </w:t>
      </w:r>
      <w:r w:rsidR="002D3681">
        <w:rPr>
          <w:rFonts w:ascii="Calibri" w:eastAsia="Times New Roman" w:hAnsi="Calibri" w:cs="Calibri"/>
        </w:rPr>
        <w:t xml:space="preserve">some form of </w:t>
      </w:r>
      <w:r w:rsidR="002D3681" w:rsidRPr="002D3681">
        <w:rPr>
          <w:rFonts w:ascii="Calibri" w:eastAsia="Times New Roman" w:hAnsi="Calibri" w:cs="Calibri"/>
        </w:rPr>
        <w:t>hydrogen</w:t>
      </w:r>
      <w:r w:rsidR="002D3681">
        <w:rPr>
          <w:rFonts w:ascii="Calibri" w:eastAsia="Times New Roman" w:hAnsi="Calibri" w:cs="Calibri"/>
        </w:rPr>
        <w:t>.</w:t>
      </w:r>
      <w:r w:rsidR="002D3681">
        <w:rPr>
          <w:rStyle w:val="FootnoteReference"/>
          <w:rFonts w:ascii="Calibri" w:eastAsia="Times New Roman" w:hAnsi="Calibri" w:cs="Calibri"/>
        </w:rPr>
        <w:footnoteReference w:id="18"/>
      </w:r>
      <w:r w:rsidR="002D3681">
        <w:rPr>
          <w:rFonts w:ascii="Calibri" w:eastAsia="Times New Roman" w:hAnsi="Calibri" w:cs="Calibri"/>
        </w:rPr>
        <w:t xml:space="preserve"> Airbus recently announced it aims to make three hydrogen fueled aircraft that seat up to 200 people by 2035.</w:t>
      </w:r>
      <w:r w:rsidR="002D3681">
        <w:rPr>
          <w:rStyle w:val="FootnoteReference"/>
          <w:rFonts w:ascii="Calibri" w:eastAsia="Times New Roman" w:hAnsi="Calibri" w:cs="Calibri"/>
        </w:rPr>
        <w:footnoteReference w:id="19"/>
      </w:r>
      <w:r w:rsidR="00DE561F">
        <w:rPr>
          <w:rFonts w:ascii="Calibri" w:eastAsia="Times New Roman" w:hAnsi="Calibri" w:cs="Calibri"/>
        </w:rPr>
        <w:t xml:space="preserve"> We urge CARB to include hydrogen solutions for shipping and aviation in future analysis.</w:t>
      </w:r>
    </w:p>
    <w:p w14:paraId="2EFC3D16" w14:textId="4C62A45A" w:rsidR="007C4B7C" w:rsidRPr="00062F29" w:rsidRDefault="007C4B7C" w:rsidP="007C4B7C">
      <w:pPr>
        <w:spacing w:line="276" w:lineRule="auto"/>
        <w:rPr>
          <w:rFonts w:asciiTheme="majorHAnsi" w:eastAsia="Times New Roman" w:hAnsiTheme="majorHAnsi" w:cstheme="majorHAnsi"/>
          <w:sz w:val="26"/>
          <w:szCs w:val="26"/>
        </w:rPr>
      </w:pPr>
    </w:p>
    <w:p w14:paraId="57CEE8DA" w14:textId="3B8D2CB6" w:rsidR="00791AB2" w:rsidRPr="00E556DD" w:rsidRDefault="00681A44" w:rsidP="00062F29">
      <w:pPr>
        <w:spacing w:line="276"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lastRenderedPageBreak/>
        <w:br/>
      </w:r>
      <w:r w:rsidR="001425D8" w:rsidRPr="00E556DD">
        <w:rPr>
          <w:rFonts w:asciiTheme="majorHAnsi" w:eastAsia="Times New Roman" w:hAnsiTheme="majorHAnsi" w:cstheme="majorHAnsi"/>
          <w:b/>
          <w:bCs/>
          <w:sz w:val="28"/>
          <w:szCs w:val="28"/>
        </w:rPr>
        <w:t>Omission of</w:t>
      </w:r>
      <w:r w:rsidR="00791AB2" w:rsidRPr="00E556DD">
        <w:rPr>
          <w:rFonts w:asciiTheme="majorHAnsi" w:eastAsia="Times New Roman" w:hAnsiTheme="majorHAnsi" w:cstheme="majorHAnsi"/>
          <w:b/>
          <w:bCs/>
          <w:sz w:val="28"/>
          <w:szCs w:val="28"/>
        </w:rPr>
        <w:t xml:space="preserve"> </w:t>
      </w:r>
      <w:r w:rsidR="00E556DD">
        <w:rPr>
          <w:rFonts w:asciiTheme="majorHAnsi" w:eastAsia="Times New Roman" w:hAnsiTheme="majorHAnsi" w:cstheme="majorHAnsi"/>
          <w:b/>
          <w:bCs/>
          <w:sz w:val="28"/>
          <w:szCs w:val="28"/>
        </w:rPr>
        <w:t>zero carbon fuel</w:t>
      </w:r>
      <w:r w:rsidR="00791AB2" w:rsidRPr="00E556DD">
        <w:rPr>
          <w:rFonts w:asciiTheme="majorHAnsi" w:eastAsia="Times New Roman" w:hAnsiTheme="majorHAnsi" w:cstheme="majorHAnsi"/>
          <w:b/>
          <w:bCs/>
          <w:sz w:val="28"/>
          <w:szCs w:val="28"/>
        </w:rPr>
        <w:t>, including hydrogen,</w:t>
      </w:r>
      <w:r w:rsidR="001425D8" w:rsidRPr="00E556DD">
        <w:rPr>
          <w:rFonts w:asciiTheme="majorHAnsi" w:eastAsia="Times New Roman" w:hAnsiTheme="majorHAnsi" w:cstheme="majorHAnsi"/>
          <w:b/>
          <w:bCs/>
          <w:sz w:val="28"/>
          <w:szCs w:val="28"/>
        </w:rPr>
        <w:t xml:space="preserve"> for all building</w:t>
      </w:r>
      <w:r w:rsidR="00EE02DB">
        <w:rPr>
          <w:rFonts w:asciiTheme="majorHAnsi" w:eastAsia="Times New Roman" w:hAnsiTheme="majorHAnsi" w:cstheme="majorHAnsi"/>
          <w:b/>
          <w:bCs/>
          <w:sz w:val="28"/>
          <w:szCs w:val="28"/>
        </w:rPr>
        <w:t xml:space="preserve"> scenarios</w:t>
      </w:r>
      <w:r w:rsidR="001425D8" w:rsidRPr="00E556DD">
        <w:rPr>
          <w:rFonts w:asciiTheme="majorHAnsi" w:eastAsia="Times New Roman" w:hAnsiTheme="majorHAnsi" w:cstheme="majorHAnsi"/>
          <w:b/>
          <w:bCs/>
          <w:sz w:val="28"/>
          <w:szCs w:val="28"/>
        </w:rPr>
        <w:t xml:space="preserve"> is also </w:t>
      </w:r>
      <w:r w:rsidR="00791AB2" w:rsidRPr="00E556DD">
        <w:rPr>
          <w:rFonts w:asciiTheme="majorHAnsi" w:eastAsia="Times New Roman" w:hAnsiTheme="majorHAnsi" w:cstheme="majorHAnsi"/>
          <w:b/>
          <w:bCs/>
          <w:sz w:val="28"/>
          <w:szCs w:val="28"/>
        </w:rPr>
        <w:t>short sighted</w:t>
      </w:r>
      <w:r w:rsidR="00E556DD">
        <w:rPr>
          <w:rFonts w:asciiTheme="majorHAnsi" w:eastAsia="Times New Roman" w:hAnsiTheme="majorHAnsi" w:cstheme="majorHAnsi"/>
          <w:b/>
          <w:bCs/>
          <w:sz w:val="28"/>
          <w:szCs w:val="28"/>
        </w:rPr>
        <w:t xml:space="preserve">, and future analysis ought to consider zero carbon hydrogen technologies for buildings where </w:t>
      </w:r>
      <w:r w:rsidR="00687C81">
        <w:rPr>
          <w:rFonts w:asciiTheme="majorHAnsi" w:eastAsia="Times New Roman" w:hAnsiTheme="majorHAnsi" w:cstheme="majorHAnsi"/>
          <w:b/>
          <w:bCs/>
          <w:sz w:val="28"/>
          <w:szCs w:val="28"/>
        </w:rPr>
        <w:t>direct electricity for all end uses risk negative cost and reliability</w:t>
      </w:r>
      <w:r w:rsidR="00977245">
        <w:rPr>
          <w:rFonts w:asciiTheme="majorHAnsi" w:eastAsia="Times New Roman" w:hAnsiTheme="majorHAnsi" w:cstheme="majorHAnsi"/>
          <w:b/>
          <w:bCs/>
          <w:sz w:val="28"/>
          <w:szCs w:val="28"/>
        </w:rPr>
        <w:t xml:space="preserve"> </w:t>
      </w:r>
      <w:r w:rsidR="00687C81">
        <w:rPr>
          <w:rFonts w:asciiTheme="majorHAnsi" w:eastAsia="Times New Roman" w:hAnsiTheme="majorHAnsi" w:cstheme="majorHAnsi"/>
          <w:b/>
          <w:bCs/>
          <w:sz w:val="28"/>
          <w:szCs w:val="28"/>
        </w:rPr>
        <w:t>impacts.</w:t>
      </w:r>
    </w:p>
    <w:p w14:paraId="7A74C089" w14:textId="4E37898C" w:rsidR="00DE561F" w:rsidRPr="001A0CE2" w:rsidRDefault="001425D8" w:rsidP="001A0CE2">
      <w:pPr>
        <w:pStyle w:val="ListParagraph"/>
        <w:spacing w:line="276" w:lineRule="auto"/>
        <w:rPr>
          <w:rFonts w:ascii="Calibri" w:eastAsia="Times New Roman" w:hAnsi="Calibri" w:cs="Calibri"/>
          <w:b/>
          <w:bCs/>
        </w:rPr>
      </w:pPr>
      <w:r w:rsidRPr="00CD068A">
        <w:rPr>
          <w:rFonts w:ascii="Calibri" w:eastAsia="Times New Roman" w:hAnsi="Calibri" w:cs="Calibri"/>
          <w:b/>
          <w:bCs/>
        </w:rPr>
        <w:t xml:space="preserve"> </w:t>
      </w:r>
    </w:p>
    <w:p w14:paraId="6D444304" w14:textId="529EC6C1" w:rsidR="00DE561F" w:rsidRPr="00EE02DB" w:rsidRDefault="00EE02DB" w:rsidP="001A0CE2">
      <w:pPr>
        <w:pStyle w:val="Body"/>
        <w:spacing w:line="276" w:lineRule="auto"/>
        <w:rPr>
          <w:rFonts w:asciiTheme="minorHAnsi" w:hAnsiTheme="minorHAnsi" w:cstheme="minorHAnsi"/>
          <w:iCs/>
          <w:sz w:val="24"/>
          <w:szCs w:val="24"/>
          <w:lang w:val="en-US"/>
        </w:rPr>
      </w:pPr>
      <w:r>
        <w:rPr>
          <w:rFonts w:asciiTheme="minorHAnsi" w:hAnsiTheme="minorHAnsi" w:cstheme="minorHAnsi"/>
          <w:bCs/>
          <w:sz w:val="24"/>
          <w:szCs w:val="24"/>
          <w:lang w:val="en-US"/>
        </w:rPr>
        <w:t xml:space="preserve">State carbon neutrality analysis ought, first of all, to include </w:t>
      </w:r>
      <w:r w:rsidR="00E21644" w:rsidRPr="00EE02DB">
        <w:rPr>
          <w:rFonts w:asciiTheme="minorHAnsi" w:hAnsiTheme="minorHAnsi" w:cstheme="minorHAnsi"/>
          <w:bCs/>
          <w:sz w:val="24"/>
          <w:szCs w:val="24"/>
          <w:lang w:val="en-US"/>
        </w:rPr>
        <w:t xml:space="preserve">flexible </w:t>
      </w:r>
      <w:r w:rsidR="00DE561F" w:rsidRPr="00EE02DB">
        <w:rPr>
          <w:rFonts w:asciiTheme="minorHAnsi" w:hAnsiTheme="minorHAnsi" w:cstheme="minorHAnsi"/>
          <w:bCs/>
          <w:sz w:val="24"/>
          <w:szCs w:val="24"/>
          <w:lang w:val="en-US"/>
        </w:rPr>
        <w:t>indirect electrification</w:t>
      </w:r>
      <w:r w:rsidR="00E21644" w:rsidRPr="00EE02DB">
        <w:rPr>
          <w:rFonts w:asciiTheme="minorHAnsi" w:hAnsiTheme="minorHAnsi" w:cstheme="minorHAnsi"/>
          <w:bCs/>
          <w:sz w:val="24"/>
          <w:szCs w:val="24"/>
          <w:lang w:val="en-US"/>
        </w:rPr>
        <w:t xml:space="preserve"> solutions</w:t>
      </w:r>
      <w:r w:rsidR="00DE561F" w:rsidRPr="00EE02DB">
        <w:rPr>
          <w:rFonts w:asciiTheme="minorHAnsi" w:hAnsiTheme="minorHAnsi" w:cstheme="minorHAnsi"/>
          <w:bCs/>
          <w:sz w:val="24"/>
          <w:szCs w:val="24"/>
          <w:lang w:val="en-US"/>
        </w:rPr>
        <w:t xml:space="preserve"> like fuel cells that use hydrogen to produce electricity and electrolyzers that use clean electricity to make hydrogen.</w:t>
      </w:r>
      <w:r w:rsidR="00DE561F" w:rsidRPr="001A0CE2">
        <w:rPr>
          <w:rFonts w:asciiTheme="minorHAnsi" w:hAnsiTheme="minorHAnsi" w:cstheme="minorHAnsi"/>
          <w:b/>
          <w:sz w:val="24"/>
          <w:szCs w:val="24"/>
          <w:lang w:val="en-US"/>
        </w:rPr>
        <w:t xml:space="preserve"> </w:t>
      </w:r>
      <w:r w:rsidR="00E556DD">
        <w:rPr>
          <w:rFonts w:asciiTheme="minorHAnsi" w:hAnsiTheme="minorHAnsi" w:cstheme="minorHAnsi"/>
          <w:sz w:val="24"/>
          <w:szCs w:val="24"/>
          <w:lang w:val="en-US"/>
        </w:rPr>
        <w:t>I</w:t>
      </w:r>
      <w:r w:rsidR="00E556DD" w:rsidRPr="001A0CE2">
        <w:rPr>
          <w:rFonts w:asciiTheme="minorHAnsi" w:hAnsiTheme="minorHAnsi" w:cstheme="minorHAnsi"/>
          <w:sz w:val="24"/>
          <w:szCs w:val="24"/>
          <w:lang w:val="en-US"/>
        </w:rPr>
        <w:t>nclud</w:t>
      </w:r>
      <w:r w:rsidR="00E556DD">
        <w:rPr>
          <w:rFonts w:asciiTheme="minorHAnsi" w:hAnsiTheme="minorHAnsi" w:cstheme="minorHAnsi"/>
          <w:sz w:val="24"/>
          <w:szCs w:val="24"/>
          <w:lang w:val="en-US"/>
        </w:rPr>
        <w:t>ing</w:t>
      </w:r>
      <w:r w:rsidR="00E556DD" w:rsidRPr="001A0CE2">
        <w:rPr>
          <w:rFonts w:asciiTheme="minorHAnsi" w:hAnsiTheme="minorHAnsi" w:cstheme="minorHAnsi"/>
          <w:sz w:val="24"/>
          <w:szCs w:val="24"/>
          <w:lang w:val="en-US"/>
        </w:rPr>
        <w:t xml:space="preserve"> fuel cell and electrolyzer technology in programs that seek to maximize opportunities for demand flexibility would also be aligned with research being done at the federal level.</w:t>
      </w:r>
      <w:r w:rsidR="00E556DD" w:rsidRPr="001A0CE2">
        <w:rPr>
          <w:rStyle w:val="FootnoteReference"/>
          <w:rFonts w:asciiTheme="minorHAnsi" w:hAnsiTheme="minorHAnsi" w:cstheme="minorHAnsi"/>
          <w:sz w:val="24"/>
          <w:szCs w:val="24"/>
          <w:lang w:val="en-US"/>
        </w:rPr>
        <w:footnoteReference w:id="20"/>
      </w:r>
      <w:r w:rsidR="00DE561F" w:rsidRPr="001A0CE2">
        <w:rPr>
          <w:rFonts w:asciiTheme="minorHAnsi" w:hAnsiTheme="minorHAnsi" w:cstheme="minorHAnsi"/>
          <w:sz w:val="24"/>
          <w:szCs w:val="24"/>
          <w:lang w:val="en-US"/>
        </w:rPr>
        <w:br/>
      </w:r>
    </w:p>
    <w:p w14:paraId="14E4FD33" w14:textId="6D4F5302" w:rsidR="00E556DD" w:rsidRDefault="002A0AE3" w:rsidP="001A0CE2">
      <w:pPr>
        <w:pStyle w:val="yiv1646857039msonormal"/>
        <w:spacing w:before="0" w:beforeAutospacing="0" w:after="0" w:afterAutospacing="0" w:line="276" w:lineRule="auto"/>
        <w:rPr>
          <w:rFonts w:asciiTheme="minorHAnsi" w:hAnsiTheme="minorHAnsi" w:cstheme="minorHAnsi"/>
          <w:bCs/>
        </w:rPr>
      </w:pPr>
      <w:r>
        <w:rPr>
          <w:rFonts w:asciiTheme="minorHAnsi" w:hAnsiTheme="minorHAnsi" w:cstheme="minorHAnsi"/>
          <w:bCs/>
        </w:rPr>
        <w:t>A</w:t>
      </w:r>
      <w:r w:rsidR="00EE02DB">
        <w:rPr>
          <w:rFonts w:asciiTheme="minorHAnsi" w:hAnsiTheme="minorHAnsi" w:cstheme="minorHAnsi"/>
          <w:bCs/>
        </w:rPr>
        <w:t xml:space="preserve"> </w:t>
      </w:r>
      <w:r w:rsidR="00DE561F" w:rsidRPr="00EE02DB">
        <w:rPr>
          <w:rFonts w:asciiTheme="minorHAnsi" w:hAnsiTheme="minorHAnsi" w:cstheme="minorHAnsi"/>
          <w:bCs/>
        </w:rPr>
        <w:t xml:space="preserve">growing group of </w:t>
      </w:r>
      <w:proofErr w:type="gramStart"/>
      <w:r w:rsidR="00DE561F" w:rsidRPr="00EE02DB">
        <w:rPr>
          <w:rFonts w:asciiTheme="minorHAnsi" w:hAnsiTheme="minorHAnsi" w:cstheme="minorHAnsi"/>
          <w:bCs/>
        </w:rPr>
        <w:t>experts</w:t>
      </w:r>
      <w:proofErr w:type="gramEnd"/>
      <w:r w:rsidR="00E556DD" w:rsidRPr="00EE02DB">
        <w:rPr>
          <w:rFonts w:asciiTheme="minorHAnsi" w:hAnsiTheme="minorHAnsi" w:cstheme="minorHAnsi"/>
          <w:bCs/>
        </w:rPr>
        <w:t xml:space="preserve"> </w:t>
      </w:r>
      <w:r w:rsidR="00E21644" w:rsidRPr="00EE02DB">
        <w:rPr>
          <w:rFonts w:asciiTheme="minorHAnsi" w:hAnsiTheme="minorHAnsi" w:cstheme="minorHAnsi"/>
          <w:bCs/>
        </w:rPr>
        <w:t xml:space="preserve">champion </w:t>
      </w:r>
      <w:r w:rsidR="00DE561F" w:rsidRPr="00EE02DB">
        <w:rPr>
          <w:rFonts w:asciiTheme="minorHAnsi" w:hAnsiTheme="minorHAnsi" w:cstheme="minorHAnsi"/>
          <w:bCs/>
        </w:rPr>
        <w:t>hydrogen as an important solution</w:t>
      </w:r>
      <w:r w:rsidR="00E21644" w:rsidRPr="00EE02DB">
        <w:rPr>
          <w:rFonts w:asciiTheme="minorHAnsi" w:hAnsiTheme="minorHAnsi" w:cstheme="minorHAnsi"/>
          <w:bCs/>
        </w:rPr>
        <w:t xml:space="preserve"> to consider for building decarbonization</w:t>
      </w:r>
      <w:r w:rsidR="00DE561F" w:rsidRPr="00E556DD">
        <w:rPr>
          <w:rFonts w:asciiTheme="minorHAnsi" w:hAnsiTheme="minorHAnsi" w:cstheme="minorHAnsi"/>
          <w:b/>
          <w:i/>
          <w:iCs/>
        </w:rPr>
        <w:t xml:space="preserve">. </w:t>
      </w:r>
      <w:r w:rsidR="00E556DD">
        <w:rPr>
          <w:rFonts w:asciiTheme="minorHAnsi" w:hAnsiTheme="minorHAnsi" w:cstheme="minorHAnsi"/>
          <w:bCs/>
        </w:rPr>
        <w:t>For example:</w:t>
      </w:r>
    </w:p>
    <w:p w14:paraId="7660DCE0" w14:textId="013F29C9" w:rsidR="00DE561F" w:rsidRPr="00E556DD" w:rsidRDefault="00DE561F" w:rsidP="00E556DD">
      <w:pPr>
        <w:pStyle w:val="yiv1646857039msonormal"/>
        <w:numPr>
          <w:ilvl w:val="0"/>
          <w:numId w:val="5"/>
        </w:numPr>
        <w:spacing w:before="0" w:beforeAutospacing="0" w:after="0" w:afterAutospacing="0" w:line="276" w:lineRule="auto"/>
        <w:rPr>
          <w:rFonts w:asciiTheme="minorHAnsi" w:hAnsiTheme="minorHAnsi" w:cstheme="minorHAnsi"/>
          <w:b/>
          <w:i/>
          <w:iCs/>
        </w:rPr>
      </w:pPr>
      <w:r w:rsidRPr="001A0CE2">
        <w:rPr>
          <w:rFonts w:asciiTheme="minorHAnsi" w:hAnsiTheme="minorHAnsi" w:cstheme="minorHAnsi"/>
        </w:rPr>
        <w:t xml:space="preserve">E3’s study on </w:t>
      </w:r>
      <w:r w:rsidRPr="001A0CE2">
        <w:rPr>
          <w:rFonts w:asciiTheme="minorHAnsi" w:hAnsiTheme="minorHAnsi" w:cstheme="minorHAnsi"/>
          <w:i/>
        </w:rPr>
        <w:t>Residential Building Decarbonization in California</w:t>
      </w:r>
      <w:r w:rsidRPr="001A0CE2">
        <w:rPr>
          <w:rFonts w:asciiTheme="minorHAnsi" w:hAnsiTheme="minorHAnsi" w:cstheme="minorHAnsi"/>
        </w:rPr>
        <w:t xml:space="preserve"> suggests that close to half new single-family homes and a third of multi-family homes would potentially have increased energy bills of $100 or more a year, if they are built all electric.</w:t>
      </w:r>
      <w:r w:rsidRPr="001A0CE2">
        <w:rPr>
          <w:rFonts w:asciiTheme="minorHAnsi" w:hAnsiTheme="minorHAnsi" w:cstheme="minorHAnsi"/>
          <w:vertAlign w:val="superscript"/>
        </w:rPr>
        <w:footnoteReference w:id="21"/>
      </w:r>
      <w:r w:rsidRPr="001A0CE2">
        <w:rPr>
          <w:rFonts w:asciiTheme="minorHAnsi" w:hAnsiTheme="minorHAnsi" w:cstheme="minorHAnsi"/>
        </w:rPr>
        <w:t xml:space="preserve"> This suggests that what may be most efficient or economic for some homes may be uneconomical for others, and that a more diverse set of options to decarbonize, beyond all electrification, would be more appropriate. The report specifically recommends that California ought to presently pursue developing both electrification </w:t>
      </w:r>
      <w:r w:rsidRPr="001A0CE2">
        <w:rPr>
          <w:rFonts w:asciiTheme="minorHAnsi" w:hAnsiTheme="minorHAnsi" w:cstheme="minorHAnsi"/>
          <w:i/>
          <w:iCs/>
        </w:rPr>
        <w:t xml:space="preserve">and </w:t>
      </w:r>
      <w:r w:rsidRPr="001A0CE2">
        <w:rPr>
          <w:rFonts w:asciiTheme="minorHAnsi" w:hAnsiTheme="minorHAnsi" w:cstheme="minorHAnsi"/>
        </w:rPr>
        <w:t>renewable gas pathways in the near-term because of the fact that both depend on nascent technology markets.</w:t>
      </w:r>
      <w:r w:rsidRPr="001A0CE2">
        <w:rPr>
          <w:rFonts w:asciiTheme="minorHAnsi" w:hAnsiTheme="minorHAnsi" w:cstheme="minorHAnsi"/>
          <w:b/>
          <w:bCs/>
          <w:i/>
          <w:iCs/>
          <w:vertAlign w:val="superscript"/>
        </w:rPr>
        <w:footnoteReference w:id="22"/>
      </w:r>
      <w:r w:rsidRPr="001A0CE2">
        <w:rPr>
          <w:rFonts w:asciiTheme="minorHAnsi" w:hAnsiTheme="minorHAnsi" w:cstheme="minorHAnsi"/>
          <w:b/>
          <w:bCs/>
          <w:i/>
          <w:iCs/>
        </w:rPr>
        <w:t xml:space="preserve">  </w:t>
      </w:r>
      <w:r w:rsidRPr="001A0CE2">
        <w:rPr>
          <w:rFonts w:asciiTheme="minorHAnsi" w:hAnsiTheme="minorHAnsi" w:cstheme="minorHAnsi"/>
        </w:rPr>
        <w:t xml:space="preserve">The report also suggests that in the long-term, the cost-effectiveness of this approach depends on progress being made on commercialization of electrolytic hydrogen technology” </w:t>
      </w:r>
      <w:r w:rsidRPr="001A0CE2">
        <w:rPr>
          <w:rStyle w:val="FootnoteReference"/>
          <w:rFonts w:asciiTheme="minorHAnsi" w:hAnsiTheme="minorHAnsi" w:cstheme="minorHAnsi"/>
        </w:rPr>
        <w:footnoteReference w:id="23"/>
      </w:r>
      <w:r w:rsidRPr="001A0CE2">
        <w:rPr>
          <w:rFonts w:asciiTheme="minorHAnsi" w:hAnsiTheme="minorHAnsi" w:cstheme="minorHAnsi"/>
        </w:rPr>
        <w:t xml:space="preserve"> </w:t>
      </w:r>
    </w:p>
    <w:p w14:paraId="575F9478" w14:textId="3ED7C4BB" w:rsidR="00E21644" w:rsidRPr="001A0CE2" w:rsidRDefault="00E21644" w:rsidP="001A0CE2">
      <w:pPr>
        <w:pStyle w:val="yiv1646857039msonormal"/>
        <w:numPr>
          <w:ilvl w:val="0"/>
          <w:numId w:val="5"/>
        </w:numPr>
        <w:spacing w:before="0" w:beforeAutospacing="0" w:after="0" w:afterAutospacing="0" w:line="276" w:lineRule="auto"/>
        <w:rPr>
          <w:rFonts w:asciiTheme="minorHAnsi" w:hAnsiTheme="minorHAnsi" w:cstheme="minorHAnsi"/>
        </w:rPr>
      </w:pPr>
      <w:r w:rsidRPr="001A0CE2">
        <w:rPr>
          <w:rFonts w:asciiTheme="minorHAnsi" w:hAnsiTheme="minorHAnsi" w:cstheme="minorHAnsi"/>
        </w:rPr>
        <w:t>NRDC supports green hydrogen for buildings as a part of a climate and green jobs strategy.</w:t>
      </w:r>
      <w:r w:rsidRPr="001A0CE2">
        <w:rPr>
          <w:rStyle w:val="FootnoteReference"/>
          <w:rFonts w:asciiTheme="minorHAnsi" w:hAnsiTheme="minorHAnsi" w:cstheme="minorHAnsi"/>
        </w:rPr>
        <w:footnoteReference w:id="24"/>
      </w:r>
    </w:p>
    <w:p w14:paraId="7D0670E9" w14:textId="3C593BAF" w:rsidR="00DE561F" w:rsidRPr="001A0CE2" w:rsidRDefault="00DE561F" w:rsidP="001A0CE2">
      <w:pPr>
        <w:pStyle w:val="yiv1646857039msonormal"/>
        <w:numPr>
          <w:ilvl w:val="0"/>
          <w:numId w:val="5"/>
        </w:numPr>
        <w:spacing w:before="0" w:beforeAutospacing="0" w:after="0" w:afterAutospacing="0" w:line="276" w:lineRule="auto"/>
        <w:rPr>
          <w:rFonts w:asciiTheme="minorHAnsi" w:hAnsiTheme="minorHAnsi" w:cstheme="minorHAnsi"/>
        </w:rPr>
      </w:pPr>
      <w:r w:rsidRPr="001A0CE2">
        <w:rPr>
          <w:rFonts w:asciiTheme="minorHAnsi" w:hAnsiTheme="minorHAnsi" w:cstheme="minorHAnsi"/>
        </w:rPr>
        <w:t>A recent ICF study (2019)</w:t>
      </w:r>
      <w:r w:rsidRPr="001A0CE2">
        <w:rPr>
          <w:rStyle w:val="FootnoteReference"/>
          <w:rFonts w:asciiTheme="minorHAnsi" w:hAnsiTheme="minorHAnsi" w:cstheme="minorHAnsi"/>
        </w:rPr>
        <w:footnoteReference w:id="25"/>
      </w:r>
      <w:r w:rsidRPr="001A0CE2">
        <w:rPr>
          <w:rFonts w:asciiTheme="minorHAnsi" w:hAnsiTheme="minorHAnsi" w:cstheme="minorHAnsi"/>
        </w:rPr>
        <w:t xml:space="preserve"> to evaluate the role of gas utilities in a decarbonized world evaluated that the high cost of building electrification would likely “crowd out” other cost-effective alternatives to help reduce building related emission. The analysis further points out that the annual cost per household under technology neutral decarbonization is cheaper than full residential electrification (the annual estimated cost per house hold </w:t>
      </w:r>
      <w:r w:rsidR="00681A44">
        <w:rPr>
          <w:rFonts w:asciiTheme="minorHAnsi" w:hAnsiTheme="minorHAnsi" w:cstheme="minorHAnsi"/>
        </w:rPr>
        <w:br/>
      </w:r>
      <w:r w:rsidR="00681A44">
        <w:rPr>
          <w:rFonts w:asciiTheme="minorHAnsi" w:hAnsiTheme="minorHAnsi" w:cstheme="minorHAnsi"/>
        </w:rPr>
        <w:lastRenderedPageBreak/>
        <w:br/>
      </w:r>
      <w:r w:rsidRPr="001A0CE2">
        <w:rPr>
          <w:rFonts w:asciiTheme="minorHAnsi" w:hAnsiTheme="minorHAnsi" w:cstheme="minorHAnsi"/>
        </w:rPr>
        <w:t>increased by $1,420 per customer under residential electrification versus $1,200 per customer under technology neutral decarbonization scenario).</w:t>
      </w:r>
      <w:r w:rsidRPr="001A0CE2">
        <w:rPr>
          <w:rStyle w:val="FootnoteReference"/>
          <w:rFonts w:asciiTheme="minorHAnsi" w:hAnsiTheme="minorHAnsi" w:cstheme="minorHAnsi"/>
        </w:rPr>
        <w:footnoteReference w:id="26"/>
      </w:r>
    </w:p>
    <w:p w14:paraId="7B269E71" w14:textId="2548E304" w:rsidR="00DE561F" w:rsidRPr="001A0CE2" w:rsidRDefault="00DE561F" w:rsidP="001A0CE2">
      <w:pPr>
        <w:pStyle w:val="Body"/>
        <w:numPr>
          <w:ilvl w:val="0"/>
          <w:numId w:val="5"/>
        </w:numPr>
        <w:spacing w:line="276" w:lineRule="auto"/>
        <w:rPr>
          <w:rFonts w:asciiTheme="minorHAnsi" w:eastAsia="Times New Roman" w:hAnsiTheme="minorHAnsi" w:cstheme="minorHAnsi"/>
          <w:sz w:val="24"/>
          <w:szCs w:val="24"/>
          <w:lang w:val="en-US"/>
        </w:rPr>
      </w:pPr>
      <w:r w:rsidRPr="001A0CE2">
        <w:rPr>
          <w:rFonts w:asciiTheme="minorHAnsi" w:eastAsia="Times New Roman" w:hAnsiTheme="minorHAnsi" w:cstheme="minorHAnsi"/>
          <w:sz w:val="24"/>
          <w:szCs w:val="24"/>
          <w:lang w:val="en-US"/>
        </w:rPr>
        <w:t>RMI wr</w:t>
      </w:r>
      <w:r w:rsidR="00E21644" w:rsidRPr="001A0CE2">
        <w:rPr>
          <w:rFonts w:asciiTheme="minorHAnsi" w:eastAsia="Times New Roman" w:hAnsiTheme="minorHAnsi" w:cstheme="minorHAnsi"/>
          <w:sz w:val="24"/>
          <w:szCs w:val="24"/>
          <w:lang w:val="en-US"/>
        </w:rPr>
        <w:t>ites</w:t>
      </w:r>
      <w:r w:rsidRPr="001A0CE2">
        <w:rPr>
          <w:rFonts w:asciiTheme="minorHAnsi" w:eastAsia="Times New Roman" w:hAnsiTheme="minorHAnsi" w:cstheme="minorHAnsi"/>
          <w:sz w:val="24"/>
          <w:szCs w:val="24"/>
          <w:lang w:val="en-US"/>
        </w:rPr>
        <w:t xml:space="preserve"> that hydrogen can be used for a number of applications, including electricity and heat, and</w:t>
      </w:r>
      <w:r w:rsidR="002E770D">
        <w:rPr>
          <w:rFonts w:asciiTheme="minorHAnsi" w:eastAsia="Times New Roman" w:hAnsiTheme="minorHAnsi" w:cstheme="minorHAnsi"/>
          <w:sz w:val="24"/>
          <w:szCs w:val="24"/>
          <w:lang w:val="en-US"/>
        </w:rPr>
        <w:t xml:space="preserve"> “</w:t>
      </w:r>
      <w:r w:rsidRPr="001A0CE2">
        <w:rPr>
          <w:rFonts w:asciiTheme="minorHAnsi" w:eastAsia="Times New Roman" w:hAnsiTheme="minorHAnsi" w:cstheme="minorHAnsi"/>
          <w:i/>
          <w:sz w:val="24"/>
          <w:szCs w:val="24"/>
          <w:lang w:val="en-US"/>
        </w:rPr>
        <w:t>With its zero-carbon potential and the role it can play in increasing demand for renewable energy, hydrogen has an important role in our energy transition and is a key complement to electrification.”</w:t>
      </w:r>
      <w:r w:rsidR="002E770D">
        <w:rPr>
          <w:rStyle w:val="FootnoteReference"/>
          <w:rFonts w:asciiTheme="minorHAnsi" w:eastAsia="Times New Roman" w:hAnsiTheme="minorHAnsi" w:cstheme="minorHAnsi"/>
          <w:i/>
          <w:sz w:val="24"/>
          <w:szCs w:val="24"/>
          <w:lang w:val="en-US"/>
        </w:rPr>
        <w:footnoteReference w:id="27"/>
      </w:r>
    </w:p>
    <w:p w14:paraId="42DC346C" w14:textId="4D4E49F5" w:rsidR="00DE561F" w:rsidRPr="00E556DD" w:rsidRDefault="00DE561F" w:rsidP="001A0CE2">
      <w:pPr>
        <w:pStyle w:val="Body"/>
        <w:numPr>
          <w:ilvl w:val="0"/>
          <w:numId w:val="5"/>
        </w:numPr>
        <w:spacing w:line="276" w:lineRule="auto"/>
        <w:rPr>
          <w:rFonts w:asciiTheme="minorHAnsi" w:eastAsia="Times New Roman" w:hAnsiTheme="minorHAnsi" w:cstheme="minorHAnsi"/>
          <w:sz w:val="24"/>
          <w:szCs w:val="24"/>
          <w:lang w:val="en-US"/>
        </w:rPr>
      </w:pPr>
      <w:r w:rsidRPr="001A0CE2">
        <w:rPr>
          <w:rFonts w:asciiTheme="minorHAnsi" w:eastAsia="Times New Roman" w:hAnsiTheme="minorHAnsi" w:cstheme="minorHAnsi"/>
          <w:sz w:val="24"/>
          <w:szCs w:val="24"/>
          <w:lang w:val="en-US"/>
        </w:rPr>
        <w:t xml:space="preserve">The International Energy Agency </w:t>
      </w:r>
      <w:r w:rsidR="002E770D">
        <w:rPr>
          <w:rFonts w:asciiTheme="minorHAnsi" w:eastAsia="Times New Roman" w:hAnsiTheme="minorHAnsi" w:cstheme="minorHAnsi"/>
          <w:sz w:val="24"/>
          <w:szCs w:val="24"/>
          <w:lang w:val="en-US"/>
        </w:rPr>
        <w:t>declares</w:t>
      </w:r>
      <w:r w:rsidRPr="001A0CE2">
        <w:rPr>
          <w:rFonts w:asciiTheme="minorHAnsi" w:eastAsia="Times New Roman" w:hAnsiTheme="minorHAnsi" w:cstheme="minorHAnsi"/>
          <w:sz w:val="24"/>
          <w:szCs w:val="24"/>
          <w:lang w:val="en-US"/>
        </w:rPr>
        <w:t xml:space="preserve"> that “</w:t>
      </w:r>
      <w:r w:rsidRPr="001A0CE2">
        <w:rPr>
          <w:rFonts w:asciiTheme="minorHAnsi" w:eastAsia="Times New Roman" w:hAnsiTheme="minorHAnsi" w:cstheme="minorHAnsi"/>
          <w:i/>
          <w:sz w:val="24"/>
          <w:szCs w:val="24"/>
          <w:lang w:val="en-US"/>
        </w:rPr>
        <w:t>now is the time to scale up technologies and bring down costs to allow  hydrogen  to  become widely used…But for hydrogen to make a significant contribution to clean energy transitions, it needs to be adopted in sectors where it is almost completely absent, such as transport, buildings and power generation.”</w:t>
      </w:r>
      <w:r w:rsidRPr="001A0CE2">
        <w:rPr>
          <w:rStyle w:val="FootnoteReference"/>
          <w:rFonts w:asciiTheme="minorHAnsi" w:eastAsia="Times New Roman" w:hAnsiTheme="minorHAnsi" w:cstheme="minorHAnsi"/>
          <w:i/>
          <w:sz w:val="24"/>
          <w:szCs w:val="24"/>
          <w:lang w:val="en-US"/>
        </w:rPr>
        <w:footnoteReference w:id="28"/>
      </w:r>
      <w:r w:rsidRPr="001A0CE2">
        <w:rPr>
          <w:rFonts w:asciiTheme="minorHAnsi" w:hAnsiTheme="minorHAnsi" w:cstheme="minorHAnsi"/>
          <w:sz w:val="24"/>
          <w:szCs w:val="24"/>
          <w:lang w:val="en-US"/>
        </w:rPr>
        <w:br/>
      </w:r>
    </w:p>
    <w:p w14:paraId="1E60A46D" w14:textId="62C55E43" w:rsidR="00DE561F" w:rsidRPr="00E556DD" w:rsidRDefault="00DE561F" w:rsidP="001A0CE2">
      <w:pPr>
        <w:pStyle w:val="Body"/>
        <w:spacing w:line="276" w:lineRule="auto"/>
        <w:rPr>
          <w:rFonts w:asciiTheme="minorHAnsi" w:eastAsia="Times New Roman" w:hAnsiTheme="minorHAnsi" w:cstheme="minorHAnsi"/>
          <w:b/>
          <w:i/>
          <w:iCs/>
          <w:sz w:val="24"/>
          <w:szCs w:val="24"/>
          <w:lang w:val="en-US"/>
        </w:rPr>
      </w:pPr>
      <w:r w:rsidRPr="00EE02DB">
        <w:rPr>
          <w:rFonts w:asciiTheme="minorHAnsi" w:hAnsiTheme="minorHAnsi" w:cstheme="minorHAnsi"/>
          <w:bCs/>
          <w:sz w:val="24"/>
          <w:szCs w:val="24"/>
          <w:lang w:val="en-US"/>
        </w:rPr>
        <w:t>A technology neutral approach is also prudent, given the virtually impossible task of currently calculating a realistic future cost comparison between all- electric homes and those that rely on renewable gas for some uses because of the uncertainty of wildfire impacts on future electricity rates</w:t>
      </w:r>
      <w:r w:rsidRPr="00E556DD">
        <w:rPr>
          <w:rFonts w:asciiTheme="minorHAnsi" w:hAnsiTheme="minorHAnsi" w:cstheme="minorHAnsi"/>
          <w:b/>
          <w:i/>
          <w:iCs/>
          <w:sz w:val="24"/>
          <w:szCs w:val="24"/>
          <w:lang w:val="en-US"/>
        </w:rPr>
        <w:t xml:space="preserve">. </w:t>
      </w:r>
      <w:r w:rsidRPr="001A0CE2">
        <w:rPr>
          <w:rFonts w:asciiTheme="minorHAnsi" w:hAnsiTheme="minorHAnsi" w:cstheme="minorHAnsi"/>
          <w:sz w:val="24"/>
          <w:szCs w:val="24"/>
          <w:lang w:val="en-US"/>
        </w:rPr>
        <w:t>Utility rate increase requests are already reaching nearly 22% over the next few years to help pay for the costs of wildfire liability and prevention.</w:t>
      </w:r>
      <w:r w:rsidRPr="001A0CE2">
        <w:rPr>
          <w:rStyle w:val="FootnoteReference"/>
          <w:rFonts w:asciiTheme="minorHAnsi" w:hAnsiTheme="minorHAnsi" w:cstheme="minorHAnsi"/>
          <w:sz w:val="24"/>
          <w:szCs w:val="24"/>
          <w:lang w:val="en-US"/>
        </w:rPr>
        <w:footnoteReference w:id="29"/>
      </w:r>
      <w:r w:rsidRPr="001A0CE2">
        <w:rPr>
          <w:rFonts w:asciiTheme="minorHAnsi" w:hAnsiTheme="minorHAnsi" w:cstheme="minorHAnsi"/>
          <w:sz w:val="24"/>
          <w:szCs w:val="24"/>
          <w:lang w:val="en-US"/>
        </w:rPr>
        <w:t xml:space="preserve">  Fundamentally, however, current uncertainty around wildfires, utility liability, and associated cost to ratepayers make it difficult, if not impossible</w:t>
      </w:r>
      <w:r w:rsidR="00D8572B">
        <w:rPr>
          <w:rFonts w:asciiTheme="minorHAnsi" w:hAnsiTheme="minorHAnsi" w:cstheme="minorHAnsi"/>
          <w:sz w:val="24"/>
          <w:szCs w:val="24"/>
          <w:lang w:val="en-US"/>
        </w:rPr>
        <w:t>,</w:t>
      </w:r>
      <w:r w:rsidRPr="001A0CE2">
        <w:rPr>
          <w:rFonts w:asciiTheme="minorHAnsi" w:hAnsiTheme="minorHAnsi" w:cstheme="minorHAnsi"/>
          <w:sz w:val="24"/>
          <w:szCs w:val="24"/>
          <w:lang w:val="en-US"/>
        </w:rPr>
        <w:t xml:space="preserve"> to compare future gas and electricity rates, and alternate building decarbonization pathways dependent on them, in any reliable way. This lack of certainty regarding future electricity rates reinforces the importance of diversifying approaches to building decarbonization beyond those that depend entirely on the electricity system.</w:t>
      </w:r>
      <w:r w:rsidRPr="001A0CE2">
        <w:rPr>
          <w:rFonts w:asciiTheme="minorHAnsi" w:hAnsiTheme="minorHAnsi" w:cstheme="minorHAnsi"/>
          <w:sz w:val="24"/>
          <w:szCs w:val="24"/>
        </w:rPr>
        <w:br/>
      </w:r>
    </w:p>
    <w:p w14:paraId="009298CD" w14:textId="4A99A047" w:rsidR="00DE561F" w:rsidRPr="00E556DD" w:rsidRDefault="00DE561F" w:rsidP="001A0CE2">
      <w:pPr>
        <w:spacing w:line="276" w:lineRule="auto"/>
        <w:rPr>
          <w:rFonts w:cstheme="minorHAnsi"/>
          <w:i/>
          <w:iCs/>
        </w:rPr>
      </w:pPr>
      <w:r w:rsidRPr="00EE02DB">
        <w:rPr>
          <w:rFonts w:cstheme="minorHAnsi"/>
          <w:bCs/>
        </w:rPr>
        <w:t>It is also critical for policymakers to consider the reliability, safety, and public health concerns related to increased reliance on the electricity grid, given its vulnerability with respect to disasters like wildfires and earthquakes, as well as the need for solutions that can supply clean energy 24/7 under all circumstances</w:t>
      </w:r>
      <w:r w:rsidRPr="00E556DD">
        <w:rPr>
          <w:rFonts w:cstheme="minorHAnsi"/>
          <w:b/>
          <w:i/>
          <w:iCs/>
        </w:rPr>
        <w:t>.</w:t>
      </w:r>
      <w:r w:rsidRPr="00E556DD">
        <w:rPr>
          <w:rFonts w:cstheme="minorHAnsi"/>
          <w:i/>
          <w:iCs/>
        </w:rPr>
        <w:t xml:space="preserve"> </w:t>
      </w:r>
      <w:r w:rsidR="00D8572B">
        <w:rPr>
          <w:rFonts w:cstheme="minorHAnsi"/>
        </w:rPr>
        <w:t>A</w:t>
      </w:r>
      <w:r w:rsidRPr="001A0CE2">
        <w:rPr>
          <w:rFonts w:cstheme="minorHAnsi"/>
        </w:rPr>
        <w:t xml:space="preserve">ll-electric buildings </w:t>
      </w:r>
      <w:r w:rsidR="00D8572B" w:rsidRPr="001A0CE2">
        <w:rPr>
          <w:rFonts w:cstheme="minorHAnsi"/>
        </w:rPr>
        <w:t>c</w:t>
      </w:r>
      <w:r w:rsidR="00D8572B">
        <w:rPr>
          <w:rFonts w:cstheme="minorHAnsi"/>
        </w:rPr>
        <w:t>reate</w:t>
      </w:r>
      <w:r w:rsidR="00D8572B" w:rsidRPr="001A0CE2">
        <w:rPr>
          <w:rFonts w:cstheme="minorHAnsi"/>
        </w:rPr>
        <w:t xml:space="preserve"> </w:t>
      </w:r>
      <w:r w:rsidRPr="001A0CE2">
        <w:rPr>
          <w:rFonts w:cstheme="minorHAnsi"/>
        </w:rPr>
        <w:t>increased dependence on the electric grid for all building end uses</w:t>
      </w:r>
      <w:r w:rsidR="00D00450" w:rsidRPr="001A0CE2">
        <w:rPr>
          <w:rFonts w:cstheme="minorHAnsi"/>
        </w:rPr>
        <w:t>. W</w:t>
      </w:r>
      <w:r w:rsidRPr="001A0CE2">
        <w:rPr>
          <w:rFonts w:cstheme="minorHAnsi"/>
        </w:rPr>
        <w:t xml:space="preserve">hile this may </w:t>
      </w:r>
      <w:r w:rsidR="00D8572B">
        <w:rPr>
          <w:rFonts w:cstheme="minorHAnsi"/>
        </w:rPr>
        <w:t>present</w:t>
      </w:r>
      <w:r w:rsidRPr="001A0CE2">
        <w:rPr>
          <w:rFonts w:cstheme="minorHAnsi"/>
        </w:rPr>
        <w:t xml:space="preserve"> benefits for some buildings, it also carries significant risks, including to reliable energy service and resilience in the face of wildfire and other disaster prevention and management.</w:t>
      </w:r>
      <w:r w:rsidR="00D00450" w:rsidRPr="001A0CE2">
        <w:rPr>
          <w:rFonts w:cstheme="minorHAnsi"/>
        </w:rPr>
        <w:t xml:space="preserve"> </w:t>
      </w:r>
      <w:r w:rsidRPr="001A0CE2">
        <w:rPr>
          <w:rFonts w:cstheme="minorHAnsi"/>
        </w:rPr>
        <w:t xml:space="preserve">Underground gas lines, which may carry increasing amounts of hydrogen, are comparatively less vulnerable with respect to fire </w:t>
      </w:r>
      <w:r w:rsidR="00D00450" w:rsidRPr="001A0CE2">
        <w:rPr>
          <w:rFonts w:cstheme="minorHAnsi"/>
        </w:rPr>
        <w:t xml:space="preserve">and other natural disasters </w:t>
      </w:r>
      <w:r w:rsidRPr="001A0CE2">
        <w:rPr>
          <w:rFonts w:cstheme="minorHAnsi"/>
        </w:rPr>
        <w:t xml:space="preserve">than overhead power grids.  </w:t>
      </w:r>
      <w:r w:rsidRPr="001A0CE2">
        <w:rPr>
          <w:rFonts w:eastAsia="Times New Roman" w:cstheme="minorHAnsi"/>
        </w:rPr>
        <w:t xml:space="preserve">As Californians plan for and try to cope with power shutdowns, the demand for combustion-based fossil fuel backup generators </w:t>
      </w:r>
      <w:r w:rsidR="00D00450" w:rsidRPr="001A0CE2">
        <w:rPr>
          <w:rFonts w:eastAsia="Times New Roman" w:cstheme="minorHAnsi"/>
        </w:rPr>
        <w:t xml:space="preserve">also </w:t>
      </w:r>
      <w:r w:rsidRPr="001A0CE2">
        <w:rPr>
          <w:rFonts w:eastAsia="Times New Roman" w:cstheme="minorHAnsi"/>
        </w:rPr>
        <w:t xml:space="preserve">has </w:t>
      </w:r>
      <w:r w:rsidR="00681A44">
        <w:rPr>
          <w:rFonts w:eastAsia="Times New Roman" w:cstheme="minorHAnsi"/>
        </w:rPr>
        <w:br/>
      </w:r>
      <w:r w:rsidR="00681A44">
        <w:rPr>
          <w:rFonts w:eastAsia="Times New Roman" w:cstheme="minorHAnsi"/>
        </w:rPr>
        <w:br/>
      </w:r>
      <w:r w:rsidR="00681A44">
        <w:rPr>
          <w:rFonts w:eastAsia="Times New Roman" w:cstheme="minorHAnsi"/>
        </w:rPr>
        <w:lastRenderedPageBreak/>
        <w:br/>
      </w:r>
      <w:r w:rsidRPr="001A0CE2">
        <w:rPr>
          <w:rFonts w:eastAsia="Times New Roman" w:cstheme="minorHAnsi"/>
        </w:rPr>
        <w:t xml:space="preserve">been rising as much as 1400%, which is </w:t>
      </w:r>
      <w:r w:rsidR="00D00450" w:rsidRPr="001A0CE2">
        <w:rPr>
          <w:rFonts w:eastAsia="Times New Roman" w:cstheme="minorHAnsi"/>
        </w:rPr>
        <w:t>detrimental</w:t>
      </w:r>
      <w:r w:rsidR="00A2602E">
        <w:rPr>
          <w:rFonts w:eastAsia="Times New Roman" w:cstheme="minorHAnsi"/>
        </w:rPr>
        <w:t xml:space="preserve"> to</w:t>
      </w:r>
      <w:r w:rsidR="00D00450" w:rsidRPr="001A0CE2">
        <w:rPr>
          <w:rFonts w:eastAsia="Times New Roman" w:cstheme="minorHAnsi"/>
        </w:rPr>
        <w:t xml:space="preserve"> </w:t>
      </w:r>
      <w:r w:rsidRPr="001A0CE2">
        <w:rPr>
          <w:rFonts w:eastAsia="Times New Roman" w:cstheme="minorHAnsi"/>
        </w:rPr>
        <w:t>decarbonization and air quality efforts.</w:t>
      </w:r>
      <w:r w:rsidRPr="001A0CE2">
        <w:rPr>
          <w:rStyle w:val="FootnoteReference"/>
          <w:rFonts w:eastAsia="Times New Roman" w:cstheme="minorHAnsi"/>
        </w:rPr>
        <w:footnoteReference w:id="30"/>
      </w:r>
      <w:r w:rsidRPr="001A0CE2">
        <w:rPr>
          <w:rFonts w:eastAsia="Times New Roman" w:cstheme="minorHAnsi"/>
        </w:rPr>
        <w:t xml:space="preserve"> </w:t>
      </w:r>
      <w:r w:rsidR="00D00450" w:rsidRPr="001A0CE2">
        <w:rPr>
          <w:rFonts w:eastAsia="Times New Roman" w:cstheme="minorHAnsi"/>
        </w:rPr>
        <w:t xml:space="preserve"> </w:t>
      </w:r>
      <w:r w:rsidRPr="001A0CE2">
        <w:rPr>
          <w:rFonts w:cstheme="minorHAnsi"/>
        </w:rPr>
        <w:t>Fuel cells, on the other hand, are capable of providing zero emissions long-duration storage and electricity generation onsite or on microgrids, even under extreme conditions. When powered</w:t>
      </w:r>
      <w:r w:rsidR="00D00450" w:rsidRPr="001A0CE2">
        <w:rPr>
          <w:rFonts w:cstheme="minorHAnsi"/>
        </w:rPr>
        <w:t xml:space="preserve"> zero carbon</w:t>
      </w:r>
      <w:r w:rsidRPr="001A0CE2">
        <w:rPr>
          <w:rFonts w:cstheme="minorHAnsi"/>
        </w:rPr>
        <w:t xml:space="preserve"> </w:t>
      </w:r>
      <w:r w:rsidR="00D00450" w:rsidRPr="001A0CE2">
        <w:rPr>
          <w:rFonts w:cstheme="minorHAnsi"/>
        </w:rPr>
        <w:t>hydrogen,</w:t>
      </w:r>
      <w:r w:rsidRPr="001A0CE2">
        <w:rPr>
          <w:rFonts w:cstheme="minorHAnsi"/>
        </w:rPr>
        <w:t xml:space="preserve"> fuel cells </w:t>
      </w:r>
      <w:r w:rsidR="00D00450" w:rsidRPr="001A0CE2">
        <w:rPr>
          <w:rFonts w:cstheme="minorHAnsi"/>
        </w:rPr>
        <w:t xml:space="preserve">are free of criterial pollutant, greenhouse gas and toxic emissions over their lifecycle. </w:t>
      </w:r>
      <w:r w:rsidRPr="001A0CE2">
        <w:rPr>
          <w:rFonts w:cstheme="minorHAnsi"/>
        </w:rPr>
        <w:br/>
      </w:r>
    </w:p>
    <w:p w14:paraId="12FC968A" w14:textId="1B661A79" w:rsidR="00DE561F" w:rsidRPr="00E556DD" w:rsidRDefault="00DE561F" w:rsidP="00E556DD">
      <w:pPr>
        <w:pStyle w:val="Body"/>
        <w:spacing w:line="276" w:lineRule="auto"/>
        <w:rPr>
          <w:rFonts w:asciiTheme="minorHAnsi" w:hAnsiTheme="minorHAnsi" w:cstheme="minorHAnsi"/>
          <w:b/>
          <w:i/>
          <w:iCs/>
          <w:sz w:val="24"/>
          <w:szCs w:val="24"/>
          <w:lang w:val="en-US"/>
        </w:rPr>
      </w:pPr>
      <w:r w:rsidRPr="00EE02DB">
        <w:rPr>
          <w:rFonts w:asciiTheme="minorHAnsi" w:hAnsiTheme="minorHAnsi" w:cstheme="minorHAnsi"/>
          <w:bCs/>
          <w:sz w:val="24"/>
          <w:szCs w:val="24"/>
          <w:lang w:val="en-US"/>
        </w:rPr>
        <w:t>Renewable hydrogen is</w:t>
      </w:r>
      <w:r w:rsidR="00EE02DB" w:rsidRPr="00EE02DB">
        <w:rPr>
          <w:rFonts w:asciiTheme="minorHAnsi" w:hAnsiTheme="minorHAnsi" w:cstheme="minorHAnsi"/>
          <w:bCs/>
          <w:sz w:val="24"/>
          <w:szCs w:val="24"/>
          <w:lang w:val="en-US"/>
        </w:rPr>
        <w:t xml:space="preserve"> notably</w:t>
      </w:r>
      <w:r w:rsidRPr="00EE02DB">
        <w:rPr>
          <w:rFonts w:asciiTheme="minorHAnsi" w:hAnsiTheme="minorHAnsi" w:cstheme="minorHAnsi"/>
          <w:bCs/>
          <w:sz w:val="24"/>
          <w:szCs w:val="24"/>
          <w:lang w:val="en-US"/>
        </w:rPr>
        <w:t xml:space="preserve"> being pursued for building heating and appliance applications in countries and regions around the world, where it is being recognized that a diverse approach will be required to achieve to deep decarbonization that includes efficiency, electrification, renewable hydrogen, and other renewable gas, among other strategies.</w:t>
      </w:r>
      <w:r w:rsidRPr="00E556DD">
        <w:rPr>
          <w:rFonts w:asciiTheme="minorHAnsi" w:hAnsiTheme="minorHAnsi" w:cstheme="minorHAnsi"/>
          <w:b/>
          <w:i/>
          <w:iCs/>
          <w:sz w:val="24"/>
          <w:szCs w:val="24"/>
          <w:lang w:val="en-US"/>
        </w:rPr>
        <w:t xml:space="preserve"> </w:t>
      </w:r>
      <w:r w:rsidR="00E556DD">
        <w:rPr>
          <w:rFonts w:asciiTheme="minorHAnsi" w:hAnsiTheme="minorHAnsi" w:cstheme="minorHAnsi"/>
          <w:bCs/>
          <w:sz w:val="24"/>
          <w:szCs w:val="24"/>
          <w:lang w:val="en-US"/>
        </w:rPr>
        <w:t>Examples in Europe include:</w:t>
      </w:r>
    </w:p>
    <w:p w14:paraId="62F4C35D" w14:textId="59C3B393" w:rsidR="00804F8B" w:rsidRPr="001A0CE2" w:rsidRDefault="00804F8B" w:rsidP="001A0CE2">
      <w:pPr>
        <w:pStyle w:val="Body"/>
        <w:numPr>
          <w:ilvl w:val="1"/>
          <w:numId w:val="6"/>
        </w:numPr>
        <w:spacing w:line="276" w:lineRule="auto"/>
        <w:rPr>
          <w:rFonts w:asciiTheme="minorHAnsi" w:eastAsia="Times New Roman" w:hAnsiTheme="minorHAnsi" w:cstheme="minorHAnsi"/>
          <w:sz w:val="24"/>
          <w:szCs w:val="24"/>
          <w:lang w:val="en-US"/>
        </w:rPr>
      </w:pPr>
      <w:r w:rsidRPr="001A0CE2">
        <w:rPr>
          <w:rFonts w:asciiTheme="minorHAnsi" w:hAnsiTheme="minorHAnsi" w:cstheme="minorHAnsi"/>
          <w:sz w:val="24"/>
          <w:szCs w:val="24"/>
          <w:lang w:val="en-US"/>
        </w:rPr>
        <w:t>The H100 Fife project in Scotland is being considered to switch 300 homes from natural gas to green electrolytic hydrogen for heating and appliances.</w:t>
      </w:r>
      <w:r w:rsidRPr="001A0CE2">
        <w:rPr>
          <w:rStyle w:val="FootnoteReference"/>
          <w:rFonts w:asciiTheme="minorHAnsi" w:hAnsiTheme="minorHAnsi" w:cstheme="minorHAnsi"/>
          <w:sz w:val="24"/>
          <w:szCs w:val="24"/>
          <w:lang w:val="en-US"/>
        </w:rPr>
        <w:footnoteReference w:id="31"/>
      </w:r>
      <w:r w:rsidRPr="001A0CE2">
        <w:rPr>
          <w:rFonts w:asciiTheme="minorHAnsi" w:hAnsiTheme="minorHAnsi" w:cstheme="minorHAnsi"/>
          <w:sz w:val="24"/>
          <w:szCs w:val="24"/>
          <w:lang w:val="en-US"/>
        </w:rPr>
        <w:t xml:space="preserve"> </w:t>
      </w:r>
    </w:p>
    <w:p w14:paraId="394CAEBE" w14:textId="453605EC" w:rsidR="00DE561F" w:rsidRPr="001A0CE2" w:rsidRDefault="00804F8B" w:rsidP="001A0CE2">
      <w:pPr>
        <w:pStyle w:val="Body"/>
        <w:numPr>
          <w:ilvl w:val="1"/>
          <w:numId w:val="6"/>
        </w:numPr>
        <w:spacing w:line="276" w:lineRule="auto"/>
        <w:rPr>
          <w:rFonts w:asciiTheme="minorHAnsi" w:eastAsia="Times New Roman" w:hAnsiTheme="minorHAnsi" w:cstheme="minorHAnsi"/>
          <w:sz w:val="24"/>
          <w:szCs w:val="24"/>
          <w:lang w:val="en-US"/>
        </w:rPr>
      </w:pPr>
      <w:r w:rsidRPr="001A0CE2">
        <w:rPr>
          <w:rFonts w:asciiTheme="minorHAnsi" w:hAnsiTheme="minorHAnsi" w:cstheme="minorHAnsi"/>
          <w:sz w:val="24"/>
          <w:szCs w:val="24"/>
          <w:lang w:val="en-US"/>
        </w:rPr>
        <w:t>H21 Leeds City Gate seeks to transition the UK’s fourth largest city to 100% hydrogen for heating.</w:t>
      </w:r>
      <w:r w:rsidRPr="001A0CE2">
        <w:rPr>
          <w:rStyle w:val="FootnoteReference"/>
          <w:rFonts w:asciiTheme="minorHAnsi" w:hAnsiTheme="minorHAnsi" w:cstheme="minorHAnsi"/>
          <w:sz w:val="24"/>
          <w:szCs w:val="24"/>
          <w:lang w:val="en-US"/>
        </w:rPr>
        <w:footnoteReference w:id="32"/>
      </w:r>
    </w:p>
    <w:p w14:paraId="4DD86F3D" w14:textId="0532084B" w:rsidR="00DE561F" w:rsidRPr="001A0CE2" w:rsidRDefault="00923FA1" w:rsidP="001A0CE2">
      <w:pPr>
        <w:pStyle w:val="Body"/>
        <w:numPr>
          <w:ilvl w:val="1"/>
          <w:numId w:val="6"/>
        </w:numPr>
        <w:spacing w:line="276" w:lineRule="auto"/>
        <w:rPr>
          <w:rFonts w:asciiTheme="minorHAnsi" w:eastAsia="Times New Roman" w:hAnsiTheme="minorHAnsi" w:cstheme="minorHAnsi"/>
          <w:sz w:val="24"/>
          <w:szCs w:val="24"/>
          <w:lang w:val="en-US"/>
        </w:rPr>
      </w:pPr>
      <w:r w:rsidRPr="001A0CE2">
        <w:rPr>
          <w:rFonts w:asciiTheme="minorHAnsi" w:hAnsiTheme="minorHAnsi" w:cstheme="minorHAnsi"/>
          <w:sz w:val="24"/>
          <w:szCs w:val="24"/>
          <w:lang w:val="en-US"/>
        </w:rPr>
        <w:t>200 residents in the village of</w:t>
      </w:r>
      <w:r w:rsidR="00804F8B" w:rsidRPr="001A0CE2">
        <w:rPr>
          <w:rFonts w:asciiTheme="minorHAnsi" w:hAnsiTheme="minorHAnsi" w:cstheme="minorHAnsi"/>
          <w:sz w:val="24"/>
          <w:szCs w:val="24"/>
          <w:lang w:val="en-US"/>
        </w:rPr>
        <w:t xml:space="preserve"> </w:t>
      </w:r>
      <w:proofErr w:type="spellStart"/>
      <w:r w:rsidR="00804F8B" w:rsidRPr="001A0CE2">
        <w:rPr>
          <w:rFonts w:asciiTheme="minorHAnsi" w:hAnsiTheme="minorHAnsi" w:cstheme="minorHAnsi"/>
          <w:sz w:val="24"/>
          <w:szCs w:val="24"/>
          <w:lang w:val="en-US"/>
        </w:rPr>
        <w:t>Rozenberg</w:t>
      </w:r>
      <w:proofErr w:type="spellEnd"/>
      <w:r w:rsidRPr="001A0CE2">
        <w:rPr>
          <w:rFonts w:asciiTheme="minorHAnsi" w:hAnsiTheme="minorHAnsi" w:cstheme="minorHAnsi"/>
          <w:sz w:val="24"/>
          <w:szCs w:val="24"/>
          <w:lang w:val="en-US"/>
        </w:rPr>
        <w:t xml:space="preserve"> in the Netherlands have their homes heated by hydrogen made from wind power and injected into the existing gas network.</w:t>
      </w:r>
      <w:r w:rsidRPr="001A0CE2">
        <w:rPr>
          <w:rStyle w:val="FootnoteReference"/>
          <w:rFonts w:asciiTheme="minorHAnsi" w:hAnsiTheme="minorHAnsi" w:cstheme="minorHAnsi"/>
          <w:sz w:val="24"/>
          <w:szCs w:val="24"/>
          <w:lang w:val="en-US"/>
        </w:rPr>
        <w:footnoteReference w:id="33"/>
      </w:r>
    </w:p>
    <w:p w14:paraId="03304431" w14:textId="77777777" w:rsidR="00DE561F" w:rsidRPr="001A0CE2" w:rsidRDefault="00DE561F" w:rsidP="001A0CE2">
      <w:pPr>
        <w:pStyle w:val="Body"/>
        <w:numPr>
          <w:ilvl w:val="1"/>
          <w:numId w:val="6"/>
        </w:numPr>
        <w:spacing w:line="276" w:lineRule="auto"/>
        <w:rPr>
          <w:rFonts w:asciiTheme="minorHAnsi" w:eastAsia="Times New Roman" w:hAnsiTheme="minorHAnsi" w:cstheme="minorHAnsi"/>
          <w:sz w:val="24"/>
          <w:szCs w:val="24"/>
          <w:lang w:val="en-US"/>
        </w:rPr>
      </w:pPr>
      <w:r w:rsidRPr="001A0CE2">
        <w:rPr>
          <w:rFonts w:asciiTheme="minorHAnsi" w:hAnsiTheme="minorHAnsi" w:cstheme="minorHAnsi"/>
          <w:sz w:val="24"/>
          <w:szCs w:val="24"/>
          <w:lang w:val="en-US"/>
        </w:rPr>
        <w:t>Blending hydrogen with natural gas across the U.K. is estimated to reduce 6 million tons of carbon annually, the equivalent of taking 2.5 million cars off the roads.</w:t>
      </w:r>
      <w:r w:rsidRPr="001A0CE2">
        <w:rPr>
          <w:rFonts w:asciiTheme="minorHAnsi" w:eastAsia="Times New Roman" w:hAnsiTheme="minorHAnsi" w:cstheme="minorHAnsi"/>
          <w:sz w:val="24"/>
          <w:szCs w:val="24"/>
          <w:vertAlign w:val="superscript"/>
        </w:rPr>
        <w:footnoteReference w:id="34"/>
      </w:r>
      <w:r w:rsidRPr="001A0CE2">
        <w:rPr>
          <w:rFonts w:asciiTheme="minorHAnsi" w:hAnsiTheme="minorHAnsi" w:cstheme="minorHAnsi"/>
          <w:sz w:val="24"/>
          <w:szCs w:val="24"/>
          <w:lang w:val="en-US"/>
        </w:rPr>
        <w:t xml:space="preserve"> </w:t>
      </w:r>
    </w:p>
    <w:p w14:paraId="6DB4B4C9" w14:textId="77777777" w:rsidR="00DE561F" w:rsidRPr="001A0CE2" w:rsidRDefault="00DE561F" w:rsidP="001A0CE2">
      <w:pPr>
        <w:pStyle w:val="Body"/>
        <w:numPr>
          <w:ilvl w:val="1"/>
          <w:numId w:val="6"/>
        </w:numPr>
        <w:spacing w:line="276" w:lineRule="auto"/>
        <w:rPr>
          <w:rFonts w:asciiTheme="minorHAnsi" w:eastAsia="Times New Roman" w:hAnsiTheme="minorHAnsi" w:cstheme="minorHAnsi"/>
          <w:sz w:val="24"/>
          <w:szCs w:val="24"/>
          <w:lang w:val="en-US"/>
        </w:rPr>
      </w:pPr>
      <w:r w:rsidRPr="001A0CE2">
        <w:rPr>
          <w:rFonts w:asciiTheme="minorHAnsi" w:hAnsiTheme="minorHAnsi" w:cstheme="minorHAnsi"/>
          <w:sz w:val="24"/>
          <w:szCs w:val="24"/>
          <w:lang w:val="en-US"/>
        </w:rPr>
        <w:t>Leeds, one of the largest cities in the U.K., also launched the Leeds H21 City Gate hydrogen project</w:t>
      </w:r>
      <w:r w:rsidRPr="001A0CE2">
        <w:rPr>
          <w:rFonts w:asciiTheme="minorHAnsi" w:eastAsia="Times New Roman" w:hAnsiTheme="minorHAnsi" w:cstheme="minorHAnsi"/>
          <w:sz w:val="24"/>
          <w:szCs w:val="24"/>
          <w:vertAlign w:val="superscript"/>
        </w:rPr>
        <w:footnoteReference w:id="35"/>
      </w:r>
      <w:r w:rsidRPr="001A0CE2">
        <w:rPr>
          <w:rFonts w:asciiTheme="minorHAnsi" w:hAnsiTheme="minorHAnsi" w:cstheme="minorHAnsi"/>
          <w:sz w:val="24"/>
          <w:szCs w:val="24"/>
          <w:lang w:val="en-US"/>
        </w:rPr>
        <w:t xml:space="preserve"> in 2016, targeting the conversion of the existing natural gas supply and distribution system to deliver hydrogen to consumers. </w:t>
      </w:r>
    </w:p>
    <w:p w14:paraId="48886A93" w14:textId="67665EA2" w:rsidR="00DE561F" w:rsidRPr="001A0CE2" w:rsidRDefault="00DE561F" w:rsidP="001A0CE2">
      <w:pPr>
        <w:pStyle w:val="Body"/>
        <w:numPr>
          <w:ilvl w:val="1"/>
          <w:numId w:val="6"/>
        </w:numPr>
        <w:spacing w:line="276" w:lineRule="auto"/>
        <w:rPr>
          <w:rFonts w:asciiTheme="minorHAnsi" w:eastAsia="Times New Roman" w:hAnsiTheme="minorHAnsi" w:cstheme="minorHAnsi"/>
          <w:sz w:val="24"/>
          <w:szCs w:val="24"/>
          <w:lang w:val="en-US"/>
        </w:rPr>
      </w:pPr>
      <w:r w:rsidRPr="001A0CE2">
        <w:rPr>
          <w:rFonts w:asciiTheme="minorHAnsi" w:hAnsiTheme="minorHAnsi" w:cstheme="minorHAnsi"/>
          <w:sz w:val="24"/>
          <w:szCs w:val="24"/>
          <w:lang w:val="en-US"/>
        </w:rPr>
        <w:t>Northern Germany is blending 20% hydrogen produced by renewable electricity into the gas distribution grid</w:t>
      </w:r>
      <w:r w:rsidR="00923FA1" w:rsidRPr="001A0CE2">
        <w:rPr>
          <w:rFonts w:asciiTheme="minorHAnsi" w:hAnsiTheme="minorHAnsi" w:cstheme="minorHAnsi"/>
          <w:sz w:val="24"/>
          <w:szCs w:val="24"/>
          <w:lang w:val="en-US"/>
        </w:rPr>
        <w:t>, in order to fuel</w:t>
      </w:r>
      <w:r w:rsidRPr="001A0CE2">
        <w:rPr>
          <w:rFonts w:asciiTheme="minorHAnsi" w:hAnsiTheme="minorHAnsi" w:cstheme="minorHAnsi"/>
          <w:sz w:val="24"/>
          <w:szCs w:val="24"/>
          <w:lang w:val="en-US"/>
        </w:rPr>
        <w:t xml:space="preserve"> heating systems </w:t>
      </w:r>
      <w:r w:rsidR="00923FA1" w:rsidRPr="001A0CE2">
        <w:rPr>
          <w:rFonts w:asciiTheme="minorHAnsi" w:hAnsiTheme="minorHAnsi" w:cstheme="minorHAnsi"/>
          <w:sz w:val="24"/>
          <w:szCs w:val="24"/>
          <w:lang w:val="en-US"/>
        </w:rPr>
        <w:t>and appliances for 400 homes.</w:t>
      </w:r>
      <w:r w:rsidRPr="001A0CE2">
        <w:rPr>
          <w:rFonts w:asciiTheme="minorHAnsi" w:eastAsia="Times New Roman" w:hAnsiTheme="minorHAnsi" w:cstheme="minorHAnsi"/>
          <w:sz w:val="24"/>
          <w:szCs w:val="24"/>
          <w:vertAlign w:val="superscript"/>
        </w:rPr>
        <w:footnoteReference w:id="36"/>
      </w:r>
      <w:r w:rsidRPr="001A0CE2">
        <w:rPr>
          <w:rFonts w:asciiTheme="minorHAnsi" w:hAnsiTheme="minorHAnsi" w:cstheme="minorHAnsi"/>
          <w:sz w:val="24"/>
          <w:szCs w:val="24"/>
          <w:lang w:val="en-US"/>
        </w:rPr>
        <w:t xml:space="preserve"> </w:t>
      </w:r>
    </w:p>
    <w:p w14:paraId="346D5502" w14:textId="77777777" w:rsidR="00DE561F" w:rsidRPr="001A0CE2" w:rsidRDefault="00DE561F" w:rsidP="001A0CE2">
      <w:pPr>
        <w:pStyle w:val="Body"/>
        <w:numPr>
          <w:ilvl w:val="1"/>
          <w:numId w:val="6"/>
        </w:numPr>
        <w:spacing w:line="276" w:lineRule="auto"/>
        <w:rPr>
          <w:rFonts w:asciiTheme="minorHAnsi" w:eastAsia="Times New Roman" w:hAnsiTheme="minorHAnsi" w:cstheme="minorHAnsi"/>
          <w:sz w:val="24"/>
          <w:szCs w:val="24"/>
          <w:lang w:val="en-US"/>
        </w:rPr>
      </w:pPr>
      <w:r w:rsidRPr="001A0CE2">
        <w:rPr>
          <w:rFonts w:asciiTheme="minorHAnsi" w:hAnsiTheme="minorHAnsi" w:cstheme="minorHAnsi"/>
          <w:sz w:val="24"/>
          <w:szCs w:val="24"/>
          <w:lang w:val="en-US"/>
        </w:rPr>
        <w:t>South Australia plans to transition to a renewable hydrogen economy to achieve low emissions across sectors and become a global hydrogen market leader.</w:t>
      </w:r>
      <w:r w:rsidRPr="001A0CE2">
        <w:rPr>
          <w:rStyle w:val="FootnoteReference"/>
          <w:rFonts w:asciiTheme="minorHAnsi" w:hAnsiTheme="minorHAnsi" w:cstheme="minorHAnsi"/>
          <w:sz w:val="24"/>
          <w:szCs w:val="24"/>
          <w:lang w:val="en-US"/>
        </w:rPr>
        <w:footnoteReference w:id="37"/>
      </w:r>
      <w:r w:rsidRPr="001A0CE2">
        <w:rPr>
          <w:rFonts w:asciiTheme="minorHAnsi" w:hAnsiTheme="minorHAnsi" w:cstheme="minorHAnsi"/>
          <w:sz w:val="24"/>
          <w:szCs w:val="24"/>
          <w:lang w:val="en-US"/>
        </w:rPr>
        <w:br/>
      </w:r>
    </w:p>
    <w:p w14:paraId="6162EBC4" w14:textId="4EA38E62" w:rsidR="00DE561F" w:rsidRPr="001A0CE2" w:rsidRDefault="001E2154" w:rsidP="001A0CE2">
      <w:pPr>
        <w:pStyle w:val="Body"/>
        <w:spacing w:line="276" w:lineRule="auto"/>
        <w:rPr>
          <w:rFonts w:asciiTheme="minorHAnsi" w:eastAsia="Times New Roman" w:hAnsiTheme="minorHAnsi" w:cstheme="minorHAnsi"/>
          <w:sz w:val="24"/>
          <w:szCs w:val="24"/>
          <w:lang w:val="en-US"/>
        </w:rPr>
      </w:pPr>
      <w:r>
        <w:rPr>
          <w:rFonts w:asciiTheme="minorHAnsi" w:hAnsiTheme="minorHAnsi" w:cstheme="minorHAnsi"/>
          <w:sz w:val="24"/>
          <w:szCs w:val="24"/>
          <w:lang w:val="en-US"/>
        </w:rPr>
        <w:t>Lastly,</w:t>
      </w:r>
      <w:r w:rsidR="002E770D">
        <w:rPr>
          <w:rFonts w:asciiTheme="minorHAnsi" w:hAnsiTheme="minorHAnsi" w:cstheme="minorHAnsi"/>
          <w:sz w:val="24"/>
          <w:szCs w:val="24"/>
          <w:lang w:val="en-US"/>
        </w:rPr>
        <w:t xml:space="preserve"> opinions </w:t>
      </w:r>
      <w:r w:rsidR="006C4EC7">
        <w:rPr>
          <w:rFonts w:asciiTheme="minorHAnsi" w:hAnsiTheme="minorHAnsi" w:cstheme="minorHAnsi"/>
          <w:sz w:val="24"/>
          <w:szCs w:val="24"/>
          <w:lang w:val="en-US"/>
        </w:rPr>
        <w:t>(</w:t>
      </w:r>
      <w:r w:rsidR="002E770D">
        <w:rPr>
          <w:rFonts w:asciiTheme="minorHAnsi" w:hAnsiTheme="minorHAnsi" w:cstheme="minorHAnsi"/>
          <w:sz w:val="24"/>
          <w:szCs w:val="24"/>
          <w:lang w:val="en-US"/>
        </w:rPr>
        <w:t>like E3</w:t>
      </w:r>
      <w:r w:rsidR="006C4EC7">
        <w:rPr>
          <w:rFonts w:asciiTheme="minorHAnsi" w:hAnsiTheme="minorHAnsi" w:cstheme="minorHAnsi"/>
          <w:sz w:val="24"/>
          <w:szCs w:val="24"/>
          <w:lang w:val="en-US"/>
        </w:rPr>
        <w:t>)</w:t>
      </w:r>
      <w:r w:rsidR="002E770D">
        <w:rPr>
          <w:rFonts w:asciiTheme="minorHAnsi" w:hAnsiTheme="minorHAnsi" w:cstheme="minorHAnsi"/>
          <w:sz w:val="24"/>
          <w:szCs w:val="24"/>
          <w:lang w:val="en-US"/>
        </w:rPr>
        <w:t xml:space="preserve"> that advocate for 100% electrification of all buildings tend to rely heavily on heat pumps for all space and water heating. The CHBC supports heat pumps and </w:t>
      </w:r>
      <w:r w:rsidR="00681A44">
        <w:rPr>
          <w:rFonts w:asciiTheme="minorHAnsi" w:hAnsiTheme="minorHAnsi" w:cstheme="minorHAnsi"/>
          <w:sz w:val="24"/>
          <w:szCs w:val="24"/>
          <w:lang w:val="en-US"/>
        </w:rPr>
        <w:br/>
      </w:r>
      <w:r w:rsidR="00681A44">
        <w:rPr>
          <w:rFonts w:asciiTheme="minorHAnsi" w:hAnsiTheme="minorHAnsi" w:cstheme="minorHAnsi"/>
          <w:sz w:val="24"/>
          <w:szCs w:val="24"/>
          <w:lang w:val="en-US"/>
        </w:rPr>
        <w:lastRenderedPageBreak/>
        <w:br/>
      </w:r>
      <w:r w:rsidR="002E770D">
        <w:rPr>
          <w:rFonts w:asciiTheme="minorHAnsi" w:hAnsiTheme="minorHAnsi" w:cstheme="minorHAnsi"/>
          <w:sz w:val="24"/>
          <w:szCs w:val="24"/>
          <w:lang w:val="en-US"/>
        </w:rPr>
        <w:t xml:space="preserve">other electrification solutions, but </w:t>
      </w:r>
      <w:r>
        <w:rPr>
          <w:rFonts w:asciiTheme="minorHAnsi" w:hAnsiTheme="minorHAnsi" w:cstheme="minorHAnsi"/>
          <w:sz w:val="24"/>
          <w:szCs w:val="24"/>
          <w:lang w:val="en-US"/>
        </w:rPr>
        <w:t xml:space="preserve">also </w:t>
      </w:r>
      <w:r w:rsidR="002E770D">
        <w:rPr>
          <w:rFonts w:asciiTheme="minorHAnsi" w:hAnsiTheme="minorHAnsi" w:cstheme="minorHAnsi"/>
          <w:sz w:val="24"/>
          <w:szCs w:val="24"/>
          <w:lang w:val="en-US"/>
        </w:rPr>
        <w:t xml:space="preserve">cautions </w:t>
      </w:r>
      <w:r>
        <w:rPr>
          <w:rFonts w:asciiTheme="minorHAnsi" w:hAnsiTheme="minorHAnsi" w:cstheme="minorHAnsi"/>
          <w:sz w:val="24"/>
          <w:szCs w:val="24"/>
          <w:lang w:val="en-US"/>
        </w:rPr>
        <w:t>against</w:t>
      </w:r>
      <w:r w:rsidR="002E770D">
        <w:rPr>
          <w:rFonts w:asciiTheme="minorHAnsi" w:hAnsiTheme="minorHAnsi" w:cstheme="minorHAnsi"/>
          <w:sz w:val="24"/>
          <w:szCs w:val="24"/>
          <w:lang w:val="en-US"/>
        </w:rPr>
        <w:t xml:space="preserve"> being overly reliant on this – or any one </w:t>
      </w:r>
      <w:r>
        <w:rPr>
          <w:rFonts w:asciiTheme="minorHAnsi" w:hAnsiTheme="minorHAnsi" w:cstheme="minorHAnsi"/>
          <w:sz w:val="24"/>
          <w:szCs w:val="24"/>
          <w:lang w:val="en-US"/>
        </w:rPr>
        <w:t>technology</w:t>
      </w:r>
      <w:r w:rsidR="002E770D">
        <w:rPr>
          <w:rFonts w:asciiTheme="minorHAnsi" w:hAnsiTheme="minorHAnsi" w:cstheme="minorHAnsi"/>
          <w:sz w:val="24"/>
          <w:szCs w:val="24"/>
          <w:lang w:val="en-US"/>
        </w:rPr>
        <w:t xml:space="preserve"> – in order to mitigate risks</w:t>
      </w:r>
      <w:r>
        <w:rPr>
          <w:rFonts w:asciiTheme="minorHAnsi" w:hAnsiTheme="minorHAnsi" w:cstheme="minorHAnsi"/>
          <w:sz w:val="24"/>
          <w:szCs w:val="24"/>
          <w:lang w:val="en-US"/>
        </w:rPr>
        <w:t xml:space="preserve"> inherent to</w:t>
      </w:r>
      <w:r w:rsidR="002E770D">
        <w:rPr>
          <w:rFonts w:asciiTheme="minorHAnsi" w:hAnsiTheme="minorHAnsi" w:cstheme="minorHAnsi"/>
          <w:sz w:val="24"/>
          <w:szCs w:val="24"/>
          <w:lang w:val="en-US"/>
        </w:rPr>
        <w:t xml:space="preserve"> nascent market</w:t>
      </w:r>
      <w:r>
        <w:rPr>
          <w:rFonts w:asciiTheme="minorHAnsi" w:hAnsiTheme="minorHAnsi" w:cstheme="minorHAnsi"/>
          <w:sz w:val="24"/>
          <w:szCs w:val="24"/>
          <w:lang w:val="en-US"/>
        </w:rPr>
        <w:t>s</w:t>
      </w:r>
      <w:r w:rsidR="002E770D">
        <w:rPr>
          <w:rFonts w:asciiTheme="minorHAnsi" w:hAnsiTheme="minorHAnsi" w:cstheme="minorHAnsi"/>
          <w:sz w:val="24"/>
          <w:szCs w:val="24"/>
          <w:lang w:val="en-US"/>
        </w:rPr>
        <w:t xml:space="preserve">, as well as </w:t>
      </w:r>
      <w:r>
        <w:rPr>
          <w:rFonts w:asciiTheme="minorHAnsi" w:hAnsiTheme="minorHAnsi" w:cstheme="minorHAnsi"/>
          <w:sz w:val="24"/>
          <w:szCs w:val="24"/>
          <w:lang w:val="en-US"/>
        </w:rPr>
        <w:t xml:space="preserve">risks </w:t>
      </w:r>
      <w:r w:rsidR="002E770D">
        <w:rPr>
          <w:rFonts w:asciiTheme="minorHAnsi" w:hAnsiTheme="minorHAnsi" w:cstheme="minorHAnsi"/>
          <w:sz w:val="24"/>
          <w:szCs w:val="24"/>
          <w:lang w:val="en-US"/>
        </w:rPr>
        <w:t xml:space="preserve">of unintended </w:t>
      </w:r>
      <w:r>
        <w:rPr>
          <w:rFonts w:asciiTheme="minorHAnsi" w:hAnsiTheme="minorHAnsi" w:cstheme="minorHAnsi"/>
          <w:sz w:val="24"/>
          <w:szCs w:val="24"/>
          <w:lang w:val="en-US"/>
        </w:rPr>
        <w:t xml:space="preserve">environmental </w:t>
      </w:r>
      <w:r w:rsidR="002E770D">
        <w:rPr>
          <w:rFonts w:asciiTheme="minorHAnsi" w:hAnsiTheme="minorHAnsi" w:cstheme="minorHAnsi"/>
          <w:sz w:val="24"/>
          <w:szCs w:val="24"/>
          <w:lang w:val="en-US"/>
        </w:rPr>
        <w:t xml:space="preserve">consequences. </w:t>
      </w:r>
      <w:r>
        <w:rPr>
          <w:rFonts w:asciiTheme="minorHAnsi" w:hAnsiTheme="minorHAnsi" w:cstheme="minorHAnsi"/>
          <w:sz w:val="24"/>
          <w:szCs w:val="24"/>
          <w:lang w:val="en-US"/>
        </w:rPr>
        <w:t>The</w:t>
      </w:r>
      <w:r w:rsidR="002E770D">
        <w:rPr>
          <w:rFonts w:asciiTheme="minorHAnsi" w:hAnsiTheme="minorHAnsi" w:cstheme="minorHAnsi"/>
          <w:sz w:val="24"/>
          <w:szCs w:val="24"/>
          <w:lang w:val="en-US"/>
        </w:rPr>
        <w:t xml:space="preserve"> likelihood of the California heat pump market being able to serve all homes for all heating needs</w:t>
      </w:r>
      <w:r>
        <w:rPr>
          <w:rFonts w:asciiTheme="minorHAnsi" w:hAnsiTheme="minorHAnsi" w:cstheme="minorHAnsi"/>
          <w:sz w:val="24"/>
          <w:szCs w:val="24"/>
          <w:lang w:val="en-US"/>
        </w:rPr>
        <w:t xml:space="preserve"> is questionable.</w:t>
      </w:r>
      <w:r w:rsidR="002E770D">
        <w:rPr>
          <w:rFonts w:asciiTheme="minorHAnsi" w:hAnsiTheme="minorHAnsi" w:cstheme="minorHAnsi"/>
          <w:sz w:val="24"/>
          <w:szCs w:val="24"/>
          <w:lang w:val="en-US"/>
        </w:rPr>
        <w:t xml:space="preserve"> </w:t>
      </w:r>
      <w:r>
        <w:rPr>
          <w:rFonts w:asciiTheme="minorHAnsi" w:hAnsiTheme="minorHAnsi" w:cstheme="minorHAnsi"/>
          <w:sz w:val="24"/>
          <w:szCs w:val="24"/>
          <w:lang w:val="en-US"/>
        </w:rPr>
        <w:t>T</w:t>
      </w:r>
      <w:r w:rsidR="002E770D">
        <w:rPr>
          <w:rFonts w:asciiTheme="minorHAnsi" w:hAnsiTheme="minorHAnsi" w:cstheme="minorHAnsi"/>
          <w:sz w:val="24"/>
          <w:szCs w:val="24"/>
          <w:lang w:val="en-US"/>
        </w:rPr>
        <w:t>he European</w:t>
      </w:r>
      <w:r w:rsidR="00DE561F" w:rsidRPr="001A0CE2">
        <w:rPr>
          <w:rFonts w:asciiTheme="minorHAnsi" w:hAnsiTheme="minorHAnsi" w:cstheme="minorHAnsi"/>
          <w:sz w:val="24"/>
          <w:szCs w:val="24"/>
          <w:lang w:val="en-US"/>
        </w:rPr>
        <w:t xml:space="preserve"> heat pump market</w:t>
      </w:r>
      <w:r w:rsidR="00DE561F" w:rsidRPr="001A0CE2">
        <w:rPr>
          <w:rFonts w:asciiTheme="minorHAnsi" w:eastAsia="Times New Roman" w:hAnsiTheme="minorHAnsi" w:cstheme="minorHAnsi"/>
          <w:sz w:val="24"/>
          <w:szCs w:val="24"/>
          <w:vertAlign w:val="superscript"/>
        </w:rPr>
        <w:footnoteReference w:id="38"/>
      </w:r>
      <w:r w:rsidR="00DE561F" w:rsidRPr="001A0CE2">
        <w:rPr>
          <w:rFonts w:asciiTheme="minorHAnsi" w:hAnsiTheme="minorHAnsi" w:cstheme="minorHAnsi"/>
          <w:sz w:val="24"/>
          <w:szCs w:val="24"/>
          <w:lang w:val="en-US"/>
        </w:rPr>
        <w:t xml:space="preserve"> is far ahead of California’s,</w:t>
      </w:r>
      <w:r w:rsidR="00DE561F" w:rsidRPr="001A0CE2">
        <w:rPr>
          <w:rFonts w:asciiTheme="minorHAnsi" w:eastAsia="Times New Roman" w:hAnsiTheme="minorHAnsi" w:cstheme="minorHAnsi"/>
          <w:sz w:val="24"/>
          <w:szCs w:val="24"/>
          <w:vertAlign w:val="superscript"/>
        </w:rPr>
        <w:footnoteReference w:id="39"/>
      </w:r>
      <w:r w:rsidR="00DE561F" w:rsidRPr="001A0CE2">
        <w:rPr>
          <w:rFonts w:asciiTheme="minorHAnsi" w:hAnsiTheme="minorHAnsi" w:cstheme="minorHAnsi"/>
          <w:sz w:val="24"/>
          <w:szCs w:val="24"/>
          <w:lang w:val="en-US"/>
        </w:rPr>
        <w:t xml:space="preserve"> </w:t>
      </w:r>
      <w:r>
        <w:rPr>
          <w:rFonts w:asciiTheme="minorHAnsi" w:hAnsiTheme="minorHAnsi" w:cstheme="minorHAnsi"/>
          <w:sz w:val="24"/>
          <w:szCs w:val="24"/>
          <w:lang w:val="en-US"/>
        </w:rPr>
        <w:t>yet</w:t>
      </w:r>
      <w:r w:rsidR="00DE561F" w:rsidRPr="001A0CE2">
        <w:rPr>
          <w:rFonts w:asciiTheme="minorHAnsi" w:hAnsiTheme="minorHAnsi" w:cstheme="minorHAnsi"/>
          <w:sz w:val="24"/>
          <w:szCs w:val="24"/>
          <w:lang w:val="en-US"/>
        </w:rPr>
        <w:t xml:space="preserve"> as promising a solution as they are for efficient heating and cooling, the European Commission forecasts that even in its high electrification scenario for deep decarbonization, only two thirds of buildings would adopt heat pumps by 2050.</w:t>
      </w:r>
      <w:r w:rsidR="00687C81">
        <w:rPr>
          <w:rStyle w:val="FootnoteReference"/>
          <w:rFonts w:asciiTheme="minorHAnsi" w:hAnsiTheme="minorHAnsi" w:cstheme="minorHAnsi"/>
          <w:sz w:val="24"/>
          <w:szCs w:val="24"/>
          <w:lang w:val="en-US"/>
        </w:rPr>
        <w:footnoteReference w:id="40"/>
      </w:r>
      <w:r w:rsidR="00DE561F" w:rsidRPr="001A0CE2">
        <w:rPr>
          <w:rFonts w:asciiTheme="minorHAnsi" w:hAnsiTheme="minorHAnsi" w:cstheme="minorHAnsi"/>
          <w:sz w:val="24"/>
          <w:szCs w:val="24"/>
          <w:lang w:val="en-US"/>
        </w:rPr>
        <w:t xml:space="preserve"> </w:t>
      </w:r>
      <w:r w:rsidR="00687C81">
        <w:rPr>
          <w:rFonts w:asciiTheme="minorHAnsi" w:hAnsiTheme="minorHAnsi" w:cstheme="minorHAnsi"/>
          <w:sz w:val="24"/>
          <w:szCs w:val="24"/>
          <w:lang w:val="en-US"/>
        </w:rPr>
        <w:t>Electric heat pumps also contain hydrofluorocarbons, a potent greenhouse gas, which risk leaking over its lifecycle</w:t>
      </w:r>
      <w:r>
        <w:rPr>
          <w:rFonts w:asciiTheme="minorHAnsi" w:hAnsiTheme="minorHAnsi" w:cstheme="minorHAnsi"/>
          <w:sz w:val="24"/>
          <w:szCs w:val="24"/>
          <w:lang w:val="en-US"/>
        </w:rPr>
        <w:t xml:space="preserve"> to the detriment of the climate</w:t>
      </w:r>
      <w:r w:rsidR="00687C81">
        <w:rPr>
          <w:rFonts w:asciiTheme="minorHAnsi" w:hAnsiTheme="minorHAnsi" w:cstheme="minorHAnsi"/>
          <w:sz w:val="24"/>
          <w:szCs w:val="24"/>
          <w:lang w:val="en-US"/>
        </w:rPr>
        <w:t xml:space="preserve">. Hydrogen by contrast, when produced with zero carbon feedstock, emits zero greenhouse gas over its lifecycle.  </w:t>
      </w:r>
      <w:r>
        <w:rPr>
          <w:rFonts w:asciiTheme="minorHAnsi" w:hAnsiTheme="minorHAnsi" w:cstheme="minorHAnsi"/>
          <w:sz w:val="24"/>
          <w:szCs w:val="24"/>
          <w:lang w:val="en-US"/>
        </w:rPr>
        <w:t>We hope, therefore, that CARB will consider hydrogen as an important option for fuel switching from natural gas for building end uses.</w:t>
      </w:r>
    </w:p>
    <w:p w14:paraId="63F8D518" w14:textId="14FA848B" w:rsidR="009C3671" w:rsidRDefault="00DE561F" w:rsidP="00FC3C33">
      <w:pPr>
        <w:spacing w:line="276" w:lineRule="auto"/>
        <w:rPr>
          <w:rFonts w:asciiTheme="majorHAnsi" w:hAnsiTheme="majorHAnsi" w:cstheme="majorHAnsi"/>
          <w:b/>
          <w:bCs/>
          <w:sz w:val="28"/>
          <w:szCs w:val="28"/>
        </w:rPr>
      </w:pPr>
      <w:r w:rsidRPr="001A0CE2">
        <w:rPr>
          <w:rFonts w:cstheme="minorHAnsi"/>
        </w:rPr>
        <w:br/>
      </w:r>
      <w:r w:rsidR="00687C81" w:rsidRPr="00FC3C33">
        <w:rPr>
          <w:rFonts w:asciiTheme="majorHAnsi" w:hAnsiTheme="majorHAnsi" w:cstheme="majorHAnsi"/>
          <w:b/>
          <w:bCs/>
          <w:sz w:val="28"/>
          <w:szCs w:val="28"/>
        </w:rPr>
        <w:t xml:space="preserve">In conclusion, we </w:t>
      </w:r>
      <w:r w:rsidR="009C3671">
        <w:rPr>
          <w:rFonts w:asciiTheme="majorHAnsi" w:hAnsiTheme="majorHAnsi" w:cstheme="majorHAnsi"/>
          <w:b/>
          <w:bCs/>
          <w:sz w:val="28"/>
          <w:szCs w:val="28"/>
        </w:rPr>
        <w:t xml:space="preserve">believe the E3 Carbon Neutrality Report is an important first step in CARB’s effort to study how California can fulfill its carbon neutrality objective and hope future steps will take a more comprehensive approach that more deeply examines optimized combinations of </w:t>
      </w:r>
      <w:r w:rsidR="001E2154">
        <w:rPr>
          <w:rFonts w:asciiTheme="majorHAnsi" w:hAnsiTheme="majorHAnsi" w:cstheme="majorHAnsi"/>
          <w:b/>
          <w:bCs/>
          <w:sz w:val="28"/>
          <w:szCs w:val="28"/>
        </w:rPr>
        <w:t xml:space="preserve">all zero carbon </w:t>
      </w:r>
      <w:r w:rsidR="009C3671">
        <w:rPr>
          <w:rFonts w:asciiTheme="majorHAnsi" w:hAnsiTheme="majorHAnsi" w:cstheme="majorHAnsi"/>
          <w:b/>
          <w:bCs/>
          <w:sz w:val="28"/>
          <w:szCs w:val="28"/>
        </w:rPr>
        <w:t>solutions</w:t>
      </w:r>
      <w:r w:rsidR="001E2154">
        <w:rPr>
          <w:rFonts w:asciiTheme="majorHAnsi" w:hAnsiTheme="majorHAnsi" w:cstheme="majorHAnsi"/>
          <w:b/>
          <w:bCs/>
          <w:sz w:val="28"/>
          <w:szCs w:val="28"/>
        </w:rPr>
        <w:t>, including hydrogen-based technologies.</w:t>
      </w:r>
    </w:p>
    <w:p w14:paraId="03E675BD" w14:textId="77777777" w:rsidR="009C3671" w:rsidRDefault="009C3671" w:rsidP="00FC3C33">
      <w:pPr>
        <w:spacing w:line="276" w:lineRule="auto"/>
        <w:rPr>
          <w:rFonts w:asciiTheme="majorHAnsi" w:hAnsiTheme="majorHAnsi" w:cstheme="majorHAnsi"/>
          <w:b/>
          <w:bCs/>
          <w:sz w:val="28"/>
          <w:szCs w:val="28"/>
        </w:rPr>
      </w:pPr>
    </w:p>
    <w:p w14:paraId="3AEB79E1" w14:textId="08965771" w:rsidR="00725EB7" w:rsidRDefault="009C3671" w:rsidP="009C3671">
      <w:pPr>
        <w:spacing w:line="276" w:lineRule="auto"/>
        <w:rPr>
          <w:rFonts w:ascii="Calibri" w:hAnsi="Calibri" w:cs="Calibri"/>
        </w:rPr>
      </w:pPr>
      <w:r>
        <w:rPr>
          <w:rFonts w:ascii="Calibri" w:hAnsi="Calibri" w:cs="Calibri"/>
        </w:rPr>
        <w:t>O</w:t>
      </w:r>
      <w:r w:rsidR="00FC3C33" w:rsidRPr="009C3671">
        <w:rPr>
          <w:rFonts w:ascii="Calibri" w:hAnsi="Calibri" w:cs="Calibri"/>
        </w:rPr>
        <w:t>nce again</w:t>
      </w:r>
      <w:r>
        <w:rPr>
          <w:rFonts w:ascii="Calibri" w:hAnsi="Calibri" w:cs="Calibri"/>
        </w:rPr>
        <w:t>, the CHBC</w:t>
      </w:r>
      <w:r w:rsidR="00FC3C33" w:rsidRPr="009C3671">
        <w:rPr>
          <w:rFonts w:ascii="Calibri" w:hAnsi="Calibri" w:cs="Calibri"/>
        </w:rPr>
        <w:t xml:space="preserve"> wholly support</w:t>
      </w:r>
      <w:r w:rsidR="001E2154">
        <w:rPr>
          <w:rFonts w:ascii="Calibri" w:hAnsi="Calibri" w:cs="Calibri"/>
        </w:rPr>
        <w:t>s</w:t>
      </w:r>
      <w:r w:rsidR="00FC3C33" w:rsidRPr="009C3671">
        <w:rPr>
          <w:rFonts w:ascii="Calibri" w:hAnsi="Calibri" w:cs="Calibri"/>
        </w:rPr>
        <w:t xml:space="preserve"> CARB spearheading California’s analysis of how to achieve </w:t>
      </w:r>
      <w:r w:rsidR="006C4EC7">
        <w:rPr>
          <w:rFonts w:ascii="Calibri" w:hAnsi="Calibri" w:cs="Calibri"/>
        </w:rPr>
        <w:t xml:space="preserve">economy-wide </w:t>
      </w:r>
      <w:r w:rsidR="00FC3C33" w:rsidRPr="009C3671">
        <w:rPr>
          <w:rFonts w:ascii="Calibri" w:hAnsi="Calibri" w:cs="Calibri"/>
        </w:rPr>
        <w:t xml:space="preserve">carbon neutrality. </w:t>
      </w:r>
      <w:r w:rsidR="00725EB7" w:rsidRPr="009C3671">
        <w:rPr>
          <w:rFonts w:ascii="Calibri" w:hAnsi="Calibri" w:cs="Calibri"/>
        </w:rPr>
        <w:t xml:space="preserve">By tackling this challenge, the state joins several other </w:t>
      </w:r>
      <w:r w:rsidR="00FC3C33" w:rsidRPr="009C3671">
        <w:rPr>
          <w:rFonts w:ascii="Calibri" w:hAnsi="Calibri" w:cs="Calibri"/>
        </w:rPr>
        <w:t xml:space="preserve">climate protection </w:t>
      </w:r>
      <w:r w:rsidR="00725EB7" w:rsidRPr="009C3671">
        <w:rPr>
          <w:rFonts w:ascii="Calibri" w:hAnsi="Calibri" w:cs="Calibri"/>
        </w:rPr>
        <w:t>frontrunner</w:t>
      </w:r>
      <w:r w:rsidR="00FC3C33" w:rsidRPr="009C3671">
        <w:rPr>
          <w:rFonts w:ascii="Calibri" w:hAnsi="Calibri" w:cs="Calibri"/>
        </w:rPr>
        <w:t xml:space="preserve"> regions</w:t>
      </w:r>
      <w:r w:rsidR="00725EB7" w:rsidRPr="009C3671">
        <w:rPr>
          <w:rFonts w:ascii="Calibri" w:hAnsi="Calibri" w:cs="Calibri"/>
        </w:rPr>
        <w:t xml:space="preserve"> from around the world</w:t>
      </w:r>
      <w:r w:rsidR="00FC3C33" w:rsidRPr="009C3671">
        <w:rPr>
          <w:rFonts w:ascii="Calibri" w:hAnsi="Calibri" w:cs="Calibri"/>
        </w:rPr>
        <w:t xml:space="preserve"> </w:t>
      </w:r>
      <w:r w:rsidR="00725EB7" w:rsidRPr="009C3671">
        <w:rPr>
          <w:rFonts w:ascii="Calibri" w:hAnsi="Calibri" w:cs="Calibri"/>
        </w:rPr>
        <w:t>in advancing one of the most urgently needed efforts of our time.</w:t>
      </w:r>
      <w:r w:rsidR="00FC3C33" w:rsidRPr="009C3671">
        <w:rPr>
          <w:rFonts w:ascii="Calibri" w:hAnsi="Calibri" w:cs="Calibri"/>
        </w:rPr>
        <w:t xml:space="preserve"> </w:t>
      </w:r>
      <w:r>
        <w:rPr>
          <w:rFonts w:ascii="Calibri" w:hAnsi="Calibri" w:cs="Calibri"/>
        </w:rPr>
        <w:t xml:space="preserve">We </w:t>
      </w:r>
      <w:r w:rsidR="00FC3C33" w:rsidRPr="00FC3C33">
        <w:rPr>
          <w:rFonts w:ascii="Calibri" w:hAnsi="Calibri" w:cs="Calibri"/>
        </w:rPr>
        <w:t xml:space="preserve">look forward to continuing to work with </w:t>
      </w:r>
      <w:r w:rsidR="00FC3C33">
        <w:rPr>
          <w:rFonts w:ascii="Calibri" w:hAnsi="Calibri" w:cs="Calibri"/>
        </w:rPr>
        <w:t xml:space="preserve">CARB to </w:t>
      </w:r>
      <w:r w:rsidR="009B2F27">
        <w:rPr>
          <w:rFonts w:ascii="Calibri" w:hAnsi="Calibri" w:cs="Calibri"/>
        </w:rPr>
        <w:t xml:space="preserve">pursue a holistic, thorough approach </w:t>
      </w:r>
      <w:r>
        <w:rPr>
          <w:rFonts w:ascii="Calibri" w:hAnsi="Calibri" w:cs="Calibri"/>
        </w:rPr>
        <w:t xml:space="preserve">that helps build </w:t>
      </w:r>
      <w:r w:rsidR="001E2154">
        <w:rPr>
          <w:rFonts w:ascii="Calibri" w:hAnsi="Calibri" w:cs="Calibri"/>
        </w:rPr>
        <w:t xml:space="preserve">better </w:t>
      </w:r>
      <w:r w:rsidRPr="009C3671">
        <w:rPr>
          <w:rFonts w:ascii="Calibri" w:hAnsi="Calibri" w:cs="Calibri"/>
        </w:rPr>
        <w:t>understand</w:t>
      </w:r>
      <w:r>
        <w:rPr>
          <w:rFonts w:ascii="Calibri" w:hAnsi="Calibri" w:cs="Calibri"/>
        </w:rPr>
        <w:t>ing of</w:t>
      </w:r>
      <w:r w:rsidRPr="009C3671">
        <w:rPr>
          <w:rFonts w:ascii="Calibri" w:hAnsi="Calibri" w:cs="Calibri"/>
        </w:rPr>
        <w:t xml:space="preserve"> </w:t>
      </w:r>
      <w:r>
        <w:rPr>
          <w:rFonts w:ascii="Calibri" w:hAnsi="Calibri" w:cs="Calibri"/>
        </w:rPr>
        <w:t xml:space="preserve">how various greenhouse gas neutral solutions, including zero carbon hydrogen and its derivatives, can be optimized and combined to achieve </w:t>
      </w:r>
      <w:r w:rsidRPr="009C3671">
        <w:rPr>
          <w:rFonts w:ascii="Calibri" w:hAnsi="Calibri" w:cs="Calibri"/>
        </w:rPr>
        <w:t>the most reliable</w:t>
      </w:r>
      <w:r>
        <w:rPr>
          <w:rFonts w:ascii="Calibri" w:hAnsi="Calibri" w:cs="Calibri"/>
        </w:rPr>
        <w:t xml:space="preserve">, </w:t>
      </w:r>
      <w:r w:rsidRPr="009C3671">
        <w:rPr>
          <w:rFonts w:ascii="Calibri" w:hAnsi="Calibri" w:cs="Calibri"/>
        </w:rPr>
        <w:t>economical</w:t>
      </w:r>
      <w:r w:rsidR="001E2154">
        <w:rPr>
          <w:rFonts w:ascii="Calibri" w:hAnsi="Calibri" w:cs="Calibri"/>
        </w:rPr>
        <w:t>, just</w:t>
      </w:r>
      <w:r w:rsidRPr="009C3671">
        <w:rPr>
          <w:rFonts w:ascii="Calibri" w:hAnsi="Calibri" w:cs="Calibri"/>
        </w:rPr>
        <w:t xml:space="preserve"> and resource efficient </w:t>
      </w:r>
      <w:r>
        <w:rPr>
          <w:rFonts w:ascii="Calibri" w:hAnsi="Calibri" w:cs="Calibri"/>
        </w:rPr>
        <w:t>carbon neutral energy system for California.</w:t>
      </w:r>
    </w:p>
    <w:p w14:paraId="7AE4E8A7" w14:textId="6FD9EAF2" w:rsidR="00FC3C33" w:rsidRDefault="00FC3C33" w:rsidP="00FC3C33">
      <w:pPr>
        <w:pStyle w:val="Body"/>
        <w:spacing w:line="276" w:lineRule="auto"/>
        <w:rPr>
          <w:rFonts w:ascii="Calibri" w:hAnsi="Calibri" w:cs="Calibri"/>
          <w:sz w:val="24"/>
          <w:szCs w:val="24"/>
          <w:lang w:val="en-US"/>
        </w:rPr>
      </w:pPr>
    </w:p>
    <w:p w14:paraId="16174692" w14:textId="15FAFDDF" w:rsidR="00440099" w:rsidRDefault="00440099" w:rsidP="00FC3C33">
      <w:pPr>
        <w:pStyle w:val="Body"/>
        <w:spacing w:line="276" w:lineRule="auto"/>
        <w:rPr>
          <w:rFonts w:ascii="Calibri" w:hAnsi="Calibri" w:cs="Calibri"/>
          <w:sz w:val="24"/>
          <w:szCs w:val="24"/>
          <w:lang w:val="en-US"/>
        </w:rPr>
      </w:pPr>
    </w:p>
    <w:p w14:paraId="58EA1BA4" w14:textId="2833554C" w:rsidR="00440099" w:rsidRDefault="00440099" w:rsidP="00FC3C33">
      <w:pPr>
        <w:pStyle w:val="Body"/>
        <w:spacing w:line="276" w:lineRule="auto"/>
        <w:rPr>
          <w:rFonts w:ascii="Calibri" w:hAnsi="Calibri" w:cs="Calibri"/>
          <w:sz w:val="24"/>
          <w:szCs w:val="24"/>
          <w:lang w:val="en-US"/>
        </w:rPr>
      </w:pPr>
    </w:p>
    <w:p w14:paraId="545BFB9B" w14:textId="67D04F95" w:rsidR="00440099" w:rsidRDefault="00440099" w:rsidP="00FC3C33">
      <w:pPr>
        <w:pStyle w:val="Body"/>
        <w:spacing w:line="276" w:lineRule="auto"/>
        <w:rPr>
          <w:rFonts w:ascii="Calibri" w:hAnsi="Calibri" w:cs="Calibri"/>
          <w:sz w:val="24"/>
          <w:szCs w:val="24"/>
          <w:lang w:val="en-US"/>
        </w:rPr>
      </w:pPr>
    </w:p>
    <w:p w14:paraId="3D8A0502" w14:textId="72EEFD8F" w:rsidR="00440099" w:rsidRDefault="00440099" w:rsidP="00FC3C33">
      <w:pPr>
        <w:pStyle w:val="Body"/>
        <w:spacing w:line="276" w:lineRule="auto"/>
        <w:rPr>
          <w:rFonts w:ascii="Calibri" w:hAnsi="Calibri" w:cs="Calibri"/>
          <w:sz w:val="24"/>
          <w:szCs w:val="24"/>
          <w:lang w:val="en-US"/>
        </w:rPr>
      </w:pPr>
    </w:p>
    <w:p w14:paraId="55823D00" w14:textId="77777777" w:rsidR="00440099" w:rsidRDefault="00440099" w:rsidP="00FC3C33">
      <w:pPr>
        <w:pStyle w:val="Body"/>
        <w:spacing w:line="276" w:lineRule="auto"/>
        <w:rPr>
          <w:rFonts w:ascii="Calibri" w:hAnsi="Calibri" w:cs="Calibri"/>
          <w:sz w:val="24"/>
          <w:szCs w:val="24"/>
          <w:lang w:val="en-US"/>
        </w:rPr>
      </w:pPr>
    </w:p>
    <w:p w14:paraId="2EB71749" w14:textId="40E3F6BF" w:rsidR="00FC3C33" w:rsidRDefault="00FC3C33" w:rsidP="00FC3C33">
      <w:pPr>
        <w:pStyle w:val="Body"/>
        <w:spacing w:line="276" w:lineRule="auto"/>
        <w:rPr>
          <w:rFonts w:ascii="Calibri" w:hAnsi="Calibri" w:cs="Calibri"/>
          <w:sz w:val="24"/>
          <w:szCs w:val="24"/>
          <w:lang w:val="en-US"/>
        </w:rPr>
      </w:pPr>
      <w:r>
        <w:rPr>
          <w:rFonts w:ascii="Calibri" w:hAnsi="Calibri" w:cs="Calibri"/>
          <w:sz w:val="24"/>
          <w:szCs w:val="24"/>
          <w:lang w:val="en-US"/>
        </w:rPr>
        <w:t xml:space="preserve">Respectfully, </w:t>
      </w:r>
    </w:p>
    <w:p w14:paraId="047DCA31" w14:textId="68CCF256" w:rsidR="00FC3C33" w:rsidRDefault="00FC3C33" w:rsidP="00FC3C33">
      <w:pPr>
        <w:pStyle w:val="Body"/>
        <w:spacing w:line="276" w:lineRule="auto"/>
        <w:rPr>
          <w:rFonts w:ascii="Calibri" w:hAnsi="Calibri" w:cs="Calibri"/>
          <w:sz w:val="24"/>
          <w:szCs w:val="24"/>
          <w:lang w:val="en-US"/>
        </w:rPr>
      </w:pPr>
    </w:p>
    <w:p w14:paraId="1979C727" w14:textId="27ED5D2E" w:rsidR="00440099" w:rsidRDefault="00440099" w:rsidP="00FC3C33">
      <w:pPr>
        <w:pStyle w:val="Body"/>
        <w:spacing w:line="276"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581C6741" wp14:editId="54B215A2">
            <wp:extent cx="3133725" cy="92646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926465"/>
                    </a:xfrm>
                    <a:prstGeom prst="rect">
                      <a:avLst/>
                    </a:prstGeom>
                    <a:noFill/>
                  </pic:spPr>
                </pic:pic>
              </a:graphicData>
            </a:graphic>
          </wp:inline>
        </w:drawing>
      </w:r>
    </w:p>
    <w:p w14:paraId="3E1AFC9D" w14:textId="77777777" w:rsidR="00440099" w:rsidRDefault="00440099" w:rsidP="00FC3C33">
      <w:pPr>
        <w:pStyle w:val="Body"/>
        <w:spacing w:line="276" w:lineRule="auto"/>
        <w:rPr>
          <w:rFonts w:ascii="Calibri" w:hAnsi="Calibri" w:cs="Calibri"/>
          <w:sz w:val="24"/>
          <w:szCs w:val="24"/>
          <w:lang w:val="en-US"/>
        </w:rPr>
      </w:pPr>
    </w:p>
    <w:p w14:paraId="06F26271" w14:textId="7E8136A9" w:rsidR="00FC3C33" w:rsidRDefault="00FC3C33" w:rsidP="00FC3C33">
      <w:pPr>
        <w:pStyle w:val="Body"/>
        <w:spacing w:line="276" w:lineRule="auto"/>
        <w:rPr>
          <w:rFonts w:ascii="Calibri" w:hAnsi="Calibri" w:cs="Calibri"/>
          <w:sz w:val="24"/>
          <w:szCs w:val="24"/>
          <w:lang w:val="en-US"/>
        </w:rPr>
      </w:pPr>
      <w:r>
        <w:rPr>
          <w:rFonts w:ascii="Calibri" w:hAnsi="Calibri" w:cs="Calibri"/>
          <w:sz w:val="24"/>
          <w:szCs w:val="24"/>
          <w:lang w:val="en-US"/>
        </w:rPr>
        <w:t>William Zobel</w:t>
      </w:r>
    </w:p>
    <w:p w14:paraId="1BC5393B" w14:textId="7CAB0844" w:rsidR="00FC3C33" w:rsidRDefault="00FC3C33" w:rsidP="00FC3C33">
      <w:pPr>
        <w:pStyle w:val="Body"/>
        <w:spacing w:line="276" w:lineRule="auto"/>
        <w:rPr>
          <w:rFonts w:ascii="Calibri" w:hAnsi="Calibri" w:cs="Calibri"/>
          <w:sz w:val="24"/>
          <w:szCs w:val="24"/>
          <w:lang w:val="en-US"/>
        </w:rPr>
      </w:pPr>
      <w:r>
        <w:rPr>
          <w:rFonts w:ascii="Calibri" w:hAnsi="Calibri" w:cs="Calibri"/>
          <w:sz w:val="24"/>
          <w:szCs w:val="24"/>
          <w:lang w:val="en-US"/>
        </w:rPr>
        <w:t>Executive Director</w:t>
      </w:r>
    </w:p>
    <w:p w14:paraId="48690F3D" w14:textId="20BA6365" w:rsidR="00FC3C33" w:rsidRDefault="00FC3C33" w:rsidP="00FC3C33">
      <w:pPr>
        <w:pStyle w:val="Body"/>
        <w:spacing w:line="276" w:lineRule="auto"/>
        <w:rPr>
          <w:rFonts w:ascii="Calibri" w:hAnsi="Calibri" w:cs="Calibri"/>
          <w:sz w:val="24"/>
          <w:szCs w:val="24"/>
          <w:lang w:val="en-US"/>
        </w:rPr>
      </w:pPr>
      <w:r>
        <w:rPr>
          <w:rFonts w:ascii="Calibri" w:hAnsi="Calibri" w:cs="Calibri"/>
          <w:sz w:val="24"/>
          <w:szCs w:val="24"/>
          <w:lang w:val="en-US"/>
        </w:rPr>
        <w:t>California Hydrogen Business Council</w:t>
      </w:r>
    </w:p>
    <w:p w14:paraId="2983D3C3" w14:textId="60FD899B" w:rsidR="00FC3C33" w:rsidRDefault="0073328F" w:rsidP="00FC3C33">
      <w:pPr>
        <w:pStyle w:val="Body"/>
        <w:spacing w:line="276" w:lineRule="auto"/>
        <w:rPr>
          <w:rFonts w:ascii="Calibri" w:hAnsi="Calibri" w:cs="Calibri"/>
          <w:sz w:val="24"/>
          <w:szCs w:val="24"/>
          <w:lang w:val="en-US"/>
        </w:rPr>
      </w:pPr>
      <w:hyperlink r:id="rId9" w:history="1">
        <w:r w:rsidR="00FC3C33" w:rsidRPr="00C31A94">
          <w:rPr>
            <w:rStyle w:val="Hyperlink"/>
            <w:rFonts w:ascii="Calibri" w:hAnsi="Calibri" w:cs="Calibri"/>
            <w:sz w:val="24"/>
            <w:szCs w:val="24"/>
            <w:lang w:val="en-US"/>
          </w:rPr>
          <w:t>wzobel@californiahydrogen.org</w:t>
        </w:r>
      </w:hyperlink>
    </w:p>
    <w:p w14:paraId="797D9CAF" w14:textId="77777777" w:rsidR="00FC3C33" w:rsidRDefault="00FC3C33" w:rsidP="00FC3C33">
      <w:pPr>
        <w:pStyle w:val="Body"/>
        <w:spacing w:line="276" w:lineRule="auto"/>
        <w:rPr>
          <w:rFonts w:ascii="Calibri" w:hAnsi="Calibri" w:cs="Calibri"/>
          <w:sz w:val="24"/>
          <w:szCs w:val="24"/>
          <w:lang w:val="en-US"/>
        </w:rPr>
      </w:pPr>
    </w:p>
    <w:p w14:paraId="3FF02313" w14:textId="77777777" w:rsidR="00FC3C33" w:rsidRPr="00FC3C33" w:rsidRDefault="00FC3C33" w:rsidP="00FC3C33">
      <w:pPr>
        <w:pStyle w:val="Body"/>
        <w:spacing w:line="276" w:lineRule="auto"/>
        <w:rPr>
          <w:rFonts w:asciiTheme="minorHAnsi" w:hAnsiTheme="minorHAnsi" w:cstheme="minorHAnsi"/>
          <w:sz w:val="24"/>
          <w:szCs w:val="24"/>
          <w:lang w:val="en-US"/>
        </w:rPr>
      </w:pPr>
    </w:p>
    <w:p w14:paraId="5BD8FA9B" w14:textId="76AF8C58" w:rsidR="00005A58" w:rsidRDefault="00725EB7" w:rsidP="00725EB7">
      <w:pPr>
        <w:pStyle w:val="ListParagraph"/>
        <w:ind w:left="360"/>
      </w:pPr>
      <w:r w:rsidRPr="00CD068A">
        <w:rPr>
          <w:b/>
          <w:bCs/>
        </w:rPr>
        <w:br/>
      </w:r>
    </w:p>
    <w:sectPr w:rsidR="00005A58" w:rsidSect="006448D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8BD4" w14:textId="77777777" w:rsidR="0073328F" w:rsidRDefault="0073328F" w:rsidP="0094282A">
      <w:r>
        <w:separator/>
      </w:r>
    </w:p>
  </w:endnote>
  <w:endnote w:type="continuationSeparator" w:id="0">
    <w:p w14:paraId="748C54BF" w14:textId="77777777" w:rsidR="0073328F" w:rsidRDefault="0073328F" w:rsidP="0094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11EAF" w14:textId="77777777" w:rsidR="0073328F" w:rsidRDefault="0073328F" w:rsidP="0094282A">
      <w:r>
        <w:separator/>
      </w:r>
    </w:p>
  </w:footnote>
  <w:footnote w:type="continuationSeparator" w:id="0">
    <w:p w14:paraId="1C0F270E" w14:textId="77777777" w:rsidR="0073328F" w:rsidRDefault="0073328F" w:rsidP="0094282A">
      <w:r>
        <w:continuationSeparator/>
      </w:r>
    </w:p>
  </w:footnote>
  <w:footnote w:id="1">
    <w:p w14:paraId="5425C79D" w14:textId="77777777" w:rsidR="00F43BB1" w:rsidRPr="00262FCC" w:rsidRDefault="00F43BB1" w:rsidP="00F43BB1">
      <w:pPr>
        <w:pStyle w:val="FootnoteText"/>
        <w:rPr>
          <w:rFonts w:ascii="Times New Roman" w:hAnsi="Times New Roman" w:cs="Times New Roman"/>
          <w:sz w:val="18"/>
          <w:szCs w:val="18"/>
        </w:rPr>
      </w:pPr>
      <w:r w:rsidRPr="00262FCC">
        <w:rPr>
          <w:rStyle w:val="FootnoteReference"/>
          <w:rFonts w:ascii="Times New Roman" w:hAnsi="Times New Roman" w:cs="Times New Roman"/>
          <w:sz w:val="18"/>
          <w:szCs w:val="18"/>
        </w:rPr>
        <w:footnoteRef/>
      </w:r>
      <w:r w:rsidRPr="00262FCC">
        <w:rPr>
          <w:rFonts w:ascii="Times New Roman" w:hAnsi="Times New Roman" w:cs="Times New Roman"/>
          <w:sz w:val="18"/>
          <w:szCs w:val="18"/>
        </w:rPr>
        <w:t xml:space="preserve"> The CHBC is comprised of over 100 companies and agencies involved in the business of hydrogen. Our mission is to advance the commercialization of hydrogen in the energy sector, including transportation, goods movement, and stationary power systems to reduce emissions and dependence on </w:t>
      </w:r>
      <w:proofErr w:type="spellStart"/>
      <w:r w:rsidRPr="00262FCC">
        <w:rPr>
          <w:rFonts w:ascii="Times New Roman" w:hAnsi="Times New Roman" w:cs="Times New Roman"/>
          <w:sz w:val="18"/>
          <w:szCs w:val="18"/>
        </w:rPr>
        <w:t>oil.The</w:t>
      </w:r>
      <w:proofErr w:type="spellEnd"/>
      <w:r w:rsidRPr="00262FCC">
        <w:rPr>
          <w:rFonts w:ascii="Times New Roman" w:hAnsi="Times New Roman" w:cs="Times New Roman"/>
          <w:sz w:val="18"/>
          <w:szCs w:val="18"/>
        </w:rPr>
        <w:t xml:space="preserve"> views expressed in these comments are those of the CHBC, and do not necessarily reflect the views of all of the individual CHBC member companies. Members are listed here: </w:t>
      </w:r>
      <w:hyperlink r:id="rId1" w:history="1">
        <w:r w:rsidRPr="00262FCC">
          <w:rPr>
            <w:rStyle w:val="Hyperlink"/>
            <w:rFonts w:ascii="Times New Roman" w:hAnsi="Times New Roman" w:cs="Times New Roman"/>
            <w:sz w:val="18"/>
            <w:szCs w:val="18"/>
          </w:rPr>
          <w:t>www.californiahydrogen.org/aboutus/chbc-members/</w:t>
        </w:r>
      </w:hyperlink>
      <w:r w:rsidRPr="00262FCC">
        <w:rPr>
          <w:rFonts w:ascii="Times New Roman" w:hAnsi="Times New Roman" w:cs="Times New Roman"/>
          <w:sz w:val="18"/>
          <w:szCs w:val="18"/>
        </w:rPr>
        <w:t xml:space="preserve"> </w:t>
      </w:r>
    </w:p>
  </w:footnote>
  <w:footnote w:id="2">
    <w:p w14:paraId="55172BDA" w14:textId="7FC6D76D" w:rsidR="00CC3DF9" w:rsidRDefault="00CC3DF9" w:rsidP="00CC3DF9">
      <w:pPr>
        <w:pStyle w:val="NormalWeb"/>
        <w:spacing w:before="0" w:beforeAutospacing="0" w:after="0" w:afterAutospacing="0"/>
      </w:pPr>
      <w:r>
        <w:rPr>
          <w:rStyle w:val="FootnoteReference"/>
        </w:rPr>
        <w:footnoteRef/>
      </w:r>
      <w:r>
        <w:t xml:space="preserve"> </w:t>
      </w:r>
      <w:r w:rsidRPr="00CC3DF9">
        <w:rPr>
          <w:rFonts w:ascii="Calibri" w:hAnsi="Calibri" w:cs="Calibri"/>
          <w:sz w:val="18"/>
          <w:szCs w:val="18"/>
        </w:rPr>
        <w:t xml:space="preserve">Bloomberg New Energy Finance, </w:t>
      </w:r>
      <w:r w:rsidRPr="00CC3DF9">
        <w:rPr>
          <w:rFonts w:ascii="Calibri" w:hAnsi="Calibri" w:cs="Calibri"/>
          <w:i/>
          <w:iCs/>
          <w:sz w:val="18"/>
          <w:szCs w:val="18"/>
        </w:rPr>
        <w:t>Hydrogen Economy Outlook, Key Messages</w:t>
      </w:r>
      <w:r w:rsidRPr="00CC3DF9">
        <w:rPr>
          <w:rFonts w:ascii="Calibri" w:hAnsi="Calibri" w:cs="Calibri"/>
          <w:sz w:val="18"/>
          <w:szCs w:val="18"/>
        </w:rPr>
        <w:t xml:space="preserve">, p.4; March 2020 </w:t>
      </w:r>
      <w:r w:rsidRPr="00CC3DF9">
        <w:rPr>
          <w:rFonts w:ascii="Calibri" w:hAnsi="Calibri" w:cs="Calibri"/>
          <w:color w:val="0000FF"/>
          <w:sz w:val="18"/>
          <w:szCs w:val="18"/>
        </w:rPr>
        <w:t xml:space="preserve">https://data.bloomberglp.com/professional/sites/24/BNEF-Hydrogen-Economy-Outlook-Key-Messages-30-Mar-2020.pdf </w:t>
      </w:r>
      <w:r w:rsidR="00CF160C">
        <w:rPr>
          <w:rFonts w:asciiTheme="minorHAnsi" w:hAnsiTheme="minorHAnsi" w:cstheme="minorHAnsi"/>
          <w:sz w:val="18"/>
          <w:szCs w:val="18"/>
        </w:rPr>
        <w:t xml:space="preserve">(footnote copied </w:t>
      </w:r>
      <w:proofErr w:type="gramStart"/>
      <w:r w:rsidR="00CF160C">
        <w:rPr>
          <w:rFonts w:asciiTheme="minorHAnsi" w:hAnsiTheme="minorHAnsi" w:cstheme="minorHAnsi"/>
          <w:sz w:val="18"/>
          <w:szCs w:val="18"/>
        </w:rPr>
        <w:t>from  Dr.</w:t>
      </w:r>
      <w:proofErr w:type="gramEnd"/>
      <w:r w:rsidR="00CF160C">
        <w:rPr>
          <w:rFonts w:asciiTheme="minorHAnsi" w:hAnsiTheme="minorHAnsi" w:cstheme="minorHAnsi"/>
          <w:sz w:val="18"/>
          <w:szCs w:val="18"/>
        </w:rPr>
        <w:t xml:space="preserve"> Jeffrey Reed, September 2020 </w:t>
      </w:r>
      <w:r w:rsidR="00CF160C" w:rsidRPr="00CF160C">
        <w:rPr>
          <w:rFonts w:asciiTheme="minorHAnsi" w:hAnsiTheme="minorHAnsi" w:cstheme="minorHAnsi"/>
          <w:i/>
          <w:iCs/>
          <w:sz w:val="20"/>
          <w:szCs w:val="20"/>
        </w:rPr>
        <w:t>The Potential Impact of Renewable Gaseous Fuel on Optimizing the California Renewable Portfolio, RESOLVE Model Analysis</w:t>
      </w:r>
      <w:r w:rsidR="00CF160C" w:rsidRPr="00CF160C">
        <w:rPr>
          <w:rFonts w:asciiTheme="minorHAnsi" w:hAnsiTheme="minorHAnsi" w:cstheme="minorHAnsi"/>
          <w:sz w:val="20"/>
          <w:szCs w:val="20"/>
        </w:rPr>
        <w:t>)</w:t>
      </w:r>
    </w:p>
  </w:footnote>
  <w:footnote w:id="3">
    <w:p w14:paraId="57ED2E36" w14:textId="5DEAABA4" w:rsidR="00CC3DF9" w:rsidRPr="00CC3DF9" w:rsidRDefault="00CC3DF9" w:rsidP="00CC3DF9">
      <w:pPr>
        <w:pStyle w:val="NormalWeb"/>
        <w:spacing w:before="0" w:beforeAutospacing="0" w:after="0" w:afterAutospacing="0"/>
        <w:rPr>
          <w:rFonts w:asciiTheme="minorHAnsi" w:hAnsiTheme="minorHAnsi" w:cstheme="minorHAnsi"/>
        </w:rPr>
      </w:pPr>
      <w:r w:rsidRPr="00CC3DF9">
        <w:rPr>
          <w:rStyle w:val="FootnoteReference"/>
          <w:rFonts w:asciiTheme="minorHAnsi" w:hAnsiTheme="minorHAnsi" w:cstheme="minorHAnsi"/>
        </w:rPr>
        <w:footnoteRef/>
      </w:r>
      <w:r w:rsidRPr="00CC3DF9">
        <w:rPr>
          <w:rFonts w:asciiTheme="minorHAnsi" w:hAnsiTheme="minorHAnsi" w:cstheme="minorHAnsi"/>
        </w:rPr>
        <w:t xml:space="preserve"> </w:t>
      </w:r>
      <w:r w:rsidRPr="00CC3DF9">
        <w:rPr>
          <w:rFonts w:asciiTheme="minorHAnsi" w:hAnsiTheme="minorHAnsi" w:cstheme="minorHAnsi"/>
          <w:sz w:val="18"/>
          <w:szCs w:val="18"/>
        </w:rPr>
        <w:t xml:space="preserve">Using analysis by McKinsey, the Hydrogen Council’s </w:t>
      </w:r>
      <w:r w:rsidRPr="00CC3DF9">
        <w:rPr>
          <w:rFonts w:asciiTheme="minorHAnsi" w:hAnsiTheme="minorHAnsi" w:cstheme="minorHAnsi"/>
          <w:i/>
          <w:iCs/>
          <w:sz w:val="18"/>
          <w:szCs w:val="18"/>
        </w:rPr>
        <w:t xml:space="preserve">Path to Hydrogen Competitiveness – A Cost Perspective, </w:t>
      </w:r>
      <w:r w:rsidRPr="00CC3DF9">
        <w:rPr>
          <w:rFonts w:asciiTheme="minorHAnsi" w:hAnsiTheme="minorHAnsi" w:cstheme="minorHAnsi"/>
          <w:sz w:val="18"/>
          <w:szCs w:val="18"/>
        </w:rPr>
        <w:t xml:space="preserve">on p. 15, concludes: “Within five to ten years – driven by strong reductions in </w:t>
      </w:r>
      <w:proofErr w:type="spellStart"/>
      <w:r w:rsidRPr="00CC3DF9">
        <w:rPr>
          <w:rFonts w:asciiTheme="minorHAnsi" w:hAnsiTheme="minorHAnsi" w:cstheme="minorHAnsi"/>
          <w:sz w:val="18"/>
          <w:szCs w:val="18"/>
        </w:rPr>
        <w:t>electrolyser</w:t>
      </w:r>
      <w:proofErr w:type="spellEnd"/>
      <w:r w:rsidRPr="00CC3DF9">
        <w:rPr>
          <w:rFonts w:asciiTheme="minorHAnsi" w:hAnsiTheme="minorHAnsi" w:cstheme="minorHAnsi"/>
          <w:sz w:val="18"/>
          <w:szCs w:val="18"/>
        </w:rPr>
        <w:t xml:space="preserve"> capex of about 70 to 80 per cent and falling renewables’ </w:t>
      </w:r>
      <w:proofErr w:type="spellStart"/>
      <w:r w:rsidRPr="00CC3DF9">
        <w:rPr>
          <w:rFonts w:asciiTheme="minorHAnsi" w:hAnsiTheme="minorHAnsi" w:cstheme="minorHAnsi"/>
          <w:sz w:val="18"/>
          <w:szCs w:val="18"/>
        </w:rPr>
        <w:t>levelised</w:t>
      </w:r>
      <w:proofErr w:type="spellEnd"/>
      <w:r w:rsidRPr="00CC3DF9">
        <w:rPr>
          <w:rFonts w:asciiTheme="minorHAnsi" w:hAnsiTheme="minorHAnsi" w:cstheme="minorHAnsi"/>
          <w:sz w:val="18"/>
          <w:szCs w:val="18"/>
        </w:rPr>
        <w:t xml:space="preserve"> costs of energy (LCOE) – renewable hydrogen costs could drop to about USD 1 to 1.50 per kg in optimal locations, and roughly USD 2 to 3 per kg under average conditions.” </w:t>
      </w:r>
      <w:r w:rsidR="00CF160C">
        <w:rPr>
          <w:rFonts w:asciiTheme="minorHAnsi" w:hAnsiTheme="minorHAnsi" w:cstheme="minorHAnsi"/>
          <w:sz w:val="18"/>
          <w:szCs w:val="18"/>
        </w:rPr>
        <w:t xml:space="preserve">(footnote copied </w:t>
      </w:r>
      <w:proofErr w:type="gramStart"/>
      <w:r w:rsidR="00CF160C">
        <w:rPr>
          <w:rFonts w:asciiTheme="minorHAnsi" w:hAnsiTheme="minorHAnsi" w:cstheme="minorHAnsi"/>
          <w:sz w:val="18"/>
          <w:szCs w:val="18"/>
        </w:rPr>
        <w:t>from  Dr.</w:t>
      </w:r>
      <w:proofErr w:type="gramEnd"/>
      <w:r w:rsidR="00CF160C">
        <w:rPr>
          <w:rFonts w:asciiTheme="minorHAnsi" w:hAnsiTheme="minorHAnsi" w:cstheme="minorHAnsi"/>
          <w:sz w:val="18"/>
          <w:szCs w:val="18"/>
        </w:rPr>
        <w:t xml:space="preserve"> Jeffrey Reed, September 2020 </w:t>
      </w:r>
      <w:r w:rsidR="00CF160C" w:rsidRPr="00CF160C">
        <w:rPr>
          <w:rFonts w:asciiTheme="minorHAnsi" w:hAnsiTheme="minorHAnsi" w:cstheme="minorHAnsi"/>
          <w:i/>
          <w:iCs/>
          <w:sz w:val="20"/>
          <w:szCs w:val="20"/>
        </w:rPr>
        <w:t>The Potential Impact of Renewable Gaseous Fuel on Optimizing the California Renewable Portfolio, RESOLVE Model Analysis</w:t>
      </w:r>
      <w:r w:rsidR="00CF160C" w:rsidRPr="00CF160C">
        <w:rPr>
          <w:rFonts w:asciiTheme="minorHAnsi" w:hAnsiTheme="minorHAnsi" w:cstheme="minorHAnsi"/>
          <w:sz w:val="20"/>
          <w:szCs w:val="20"/>
        </w:rPr>
        <w:t>)</w:t>
      </w:r>
    </w:p>
  </w:footnote>
  <w:footnote w:id="4">
    <w:p w14:paraId="57A26935" w14:textId="7E1605CC" w:rsidR="00CC3DF9" w:rsidRPr="00CC3DF9" w:rsidRDefault="00CC3DF9" w:rsidP="00CC3DF9">
      <w:pPr>
        <w:pStyle w:val="FootnoteText"/>
        <w:rPr>
          <w:rFonts w:cstheme="minorHAnsi"/>
        </w:rPr>
      </w:pPr>
      <w:r w:rsidRPr="00CC3DF9">
        <w:rPr>
          <w:rStyle w:val="FootnoteReference"/>
          <w:rFonts w:cstheme="minorHAnsi"/>
        </w:rPr>
        <w:footnoteRef/>
      </w:r>
      <w:r w:rsidRPr="00CC3DF9">
        <w:rPr>
          <w:rFonts w:cstheme="minorHAnsi"/>
        </w:rPr>
        <w:t xml:space="preserve"> p. 4</w:t>
      </w:r>
      <w:r w:rsidR="00CF160C">
        <w:rPr>
          <w:rFonts w:cstheme="minorHAnsi"/>
        </w:rPr>
        <w:t xml:space="preserve">, </w:t>
      </w:r>
      <w:hyperlink r:id="rId2" w:history="1">
        <w:r w:rsidR="00CF160C" w:rsidRPr="00CF160C">
          <w:rPr>
            <w:rStyle w:val="Hyperlink"/>
            <w:rFonts w:cstheme="minorHAnsi"/>
          </w:rPr>
          <w:t>http://www.apep.uci.edu/PDF_White_Papers/Impact_of_Renewable_Gasesous_Fuels_on_Grid_Resource_Optimization_Using_RESOLVE.pdf</w:t>
        </w:r>
      </w:hyperlink>
    </w:p>
  </w:footnote>
  <w:footnote w:id="5">
    <w:p w14:paraId="5E9B9F65" w14:textId="77777777" w:rsidR="00CC3DF9" w:rsidRPr="00CC3DF9" w:rsidRDefault="00CC3DF9" w:rsidP="00CC3DF9">
      <w:pPr>
        <w:pStyle w:val="NormalWeb"/>
        <w:spacing w:before="0" w:beforeAutospacing="0" w:after="0" w:afterAutospacing="0"/>
      </w:pPr>
      <w:r w:rsidRPr="00CC3DF9">
        <w:rPr>
          <w:rStyle w:val="FootnoteReference"/>
          <w:rFonts w:asciiTheme="minorHAnsi" w:hAnsiTheme="minorHAnsi" w:cstheme="minorHAnsi"/>
        </w:rPr>
        <w:footnoteRef/>
      </w:r>
      <w:r w:rsidRPr="00CC3DF9">
        <w:rPr>
          <w:rFonts w:asciiTheme="minorHAnsi" w:hAnsiTheme="minorHAnsi" w:cstheme="minorHAnsi"/>
        </w:rPr>
        <w:t xml:space="preserve"> </w:t>
      </w:r>
      <w:r w:rsidRPr="00CC3DF9">
        <w:rPr>
          <w:rFonts w:asciiTheme="minorHAnsi" w:hAnsiTheme="minorHAnsi" w:cstheme="minorHAnsi"/>
          <w:sz w:val="18"/>
          <w:szCs w:val="18"/>
        </w:rPr>
        <w:t xml:space="preserve">Reed, Jeffrey G, Emily E Dailey, Brendan P Shaffer, Blake A Lane, Robert J Flores, Amber A Fong, and G Scott </w:t>
      </w:r>
      <w:proofErr w:type="spellStart"/>
      <w:r w:rsidRPr="00CC3DF9">
        <w:rPr>
          <w:rFonts w:asciiTheme="minorHAnsi" w:hAnsiTheme="minorHAnsi" w:cstheme="minorHAnsi"/>
          <w:sz w:val="18"/>
          <w:szCs w:val="18"/>
        </w:rPr>
        <w:t>Samuelsen</w:t>
      </w:r>
      <w:proofErr w:type="spellEnd"/>
      <w:r w:rsidRPr="00CC3DF9">
        <w:rPr>
          <w:rFonts w:asciiTheme="minorHAnsi" w:hAnsiTheme="minorHAnsi" w:cstheme="minorHAnsi"/>
          <w:sz w:val="18"/>
          <w:szCs w:val="18"/>
        </w:rPr>
        <w:t>. 2020. “Roadmap for the</w:t>
      </w:r>
      <w:r w:rsidRPr="00CC3DF9">
        <w:rPr>
          <w:rFonts w:ascii="Calibri" w:hAnsi="Calibri" w:cs="Calibri"/>
          <w:sz w:val="18"/>
          <w:szCs w:val="18"/>
        </w:rPr>
        <w:t xml:space="preserve"> Deployment and Buildout of Renewable Hydrogen Production Plants in California.” </w:t>
      </w:r>
    </w:p>
    <w:p w14:paraId="34E3E4E2" w14:textId="133EC2D5" w:rsidR="00CC3DF9" w:rsidRDefault="00CC3DF9">
      <w:pPr>
        <w:pStyle w:val="FootnoteText"/>
      </w:pPr>
    </w:p>
  </w:footnote>
  <w:footnote w:id="6">
    <w:p w14:paraId="0712CBE6" w14:textId="77777777" w:rsidR="007927D7" w:rsidRPr="00515D33" w:rsidRDefault="007927D7" w:rsidP="007927D7">
      <w:pPr>
        <w:pStyle w:val="NormalWeb"/>
        <w:spacing w:before="0" w:beforeAutospacing="0" w:after="0" w:afterAutospacing="0"/>
        <w:rPr>
          <w:rFonts w:asciiTheme="minorHAnsi" w:hAnsiTheme="minorHAnsi" w:cstheme="minorHAnsi"/>
          <w:sz w:val="20"/>
          <w:szCs w:val="20"/>
        </w:rPr>
      </w:pPr>
      <w:r w:rsidRPr="001E79E4">
        <w:rPr>
          <w:rStyle w:val="FootnoteReference"/>
          <w:rFonts w:asciiTheme="minorHAnsi" w:hAnsiTheme="minorHAnsi" w:cstheme="minorHAnsi"/>
          <w:sz w:val="20"/>
          <w:szCs w:val="20"/>
        </w:rPr>
        <w:footnoteRef/>
      </w:r>
      <w:r w:rsidRPr="001E79E4">
        <w:rPr>
          <w:rFonts w:asciiTheme="minorHAnsi" w:hAnsiTheme="minorHAnsi" w:cstheme="minorHAnsi"/>
          <w:sz w:val="20"/>
          <w:szCs w:val="20"/>
        </w:rPr>
        <w:t xml:space="preserve"> </w:t>
      </w:r>
      <w:hyperlink r:id="rId3" w:history="1">
        <w:r w:rsidRPr="001E79E4">
          <w:rPr>
            <w:rStyle w:val="Hyperlink"/>
            <w:rFonts w:asciiTheme="minorHAnsi" w:hAnsiTheme="minorHAnsi" w:cstheme="minorHAnsi"/>
            <w:sz w:val="20"/>
            <w:szCs w:val="20"/>
          </w:rPr>
          <w:t>https://data.bloomberglp.com/professional/sites/24/BNEF-Hydrogen-Economy-Outlook-Key-Messages-30-Mar- 2020.pdf</w:t>
        </w:r>
      </w:hyperlink>
      <w:r w:rsidRPr="001E79E4">
        <w:rPr>
          <w:rFonts w:asciiTheme="minorHAnsi" w:hAnsiTheme="minorHAnsi" w:cstheme="minorHAnsi"/>
          <w:color w:val="0260BF"/>
          <w:sz w:val="20"/>
          <w:szCs w:val="20"/>
        </w:rPr>
        <w:t xml:space="preserve"> </w:t>
      </w:r>
      <w:r w:rsidRPr="001E79E4">
        <w:rPr>
          <w:rFonts w:asciiTheme="minorHAnsi" w:hAnsiTheme="minorHAnsi" w:cstheme="minorHAnsi"/>
          <w:sz w:val="20"/>
          <w:szCs w:val="20"/>
        </w:rPr>
        <w:t>(pg. 7)</w:t>
      </w:r>
    </w:p>
  </w:footnote>
  <w:footnote w:id="7">
    <w:p w14:paraId="7724EAED" w14:textId="77777777" w:rsidR="007927D7" w:rsidRDefault="007927D7" w:rsidP="007927D7">
      <w:pPr>
        <w:pStyle w:val="FootnoteText"/>
      </w:pPr>
      <w:r>
        <w:rPr>
          <w:rStyle w:val="FootnoteReference"/>
        </w:rPr>
        <w:footnoteRef/>
      </w:r>
      <w:r>
        <w:t xml:space="preserve"> </w:t>
      </w:r>
      <w:hyperlink r:id="rId4" w:history="1">
        <w:r w:rsidRPr="00515D33">
          <w:rPr>
            <w:rStyle w:val="Hyperlink"/>
          </w:rPr>
          <w:t>https://www.pathto100.org/wp-content/uploads/2020/03/path-to-100-renewables-for-california.pdf</w:t>
        </w:r>
      </w:hyperlink>
    </w:p>
  </w:footnote>
  <w:footnote w:id="8">
    <w:p w14:paraId="2E5BA6AA" w14:textId="1322BE78" w:rsidR="001A0CE2" w:rsidRDefault="001A0CE2">
      <w:pPr>
        <w:pStyle w:val="FootnoteText"/>
      </w:pPr>
      <w:r>
        <w:rPr>
          <w:rStyle w:val="FootnoteReference"/>
        </w:rPr>
        <w:footnoteRef/>
      </w:r>
      <w:r>
        <w:t xml:space="preserve"> </w:t>
      </w:r>
      <w:hyperlink r:id="rId5" w:history="1">
        <w:r w:rsidRPr="001A0CE2">
          <w:rPr>
            <w:rStyle w:val="Hyperlink"/>
          </w:rPr>
          <w:t>https://www.nrel.gov/analysis/los-angeles-100-percent-renewable-study.html</w:t>
        </w:r>
      </w:hyperlink>
    </w:p>
  </w:footnote>
  <w:footnote w:id="9">
    <w:p w14:paraId="6C83AFC3" w14:textId="1083FB74" w:rsidR="00D10B09" w:rsidRPr="0061310B" w:rsidRDefault="00D10B09" w:rsidP="0061310B">
      <w:pPr>
        <w:rPr>
          <w:rFonts w:ascii="Times New Roman" w:eastAsia="Times New Roman" w:hAnsi="Times New Roman" w:cs="Times New Roman"/>
        </w:rPr>
      </w:pPr>
      <w:r w:rsidRPr="00D10B09">
        <w:rPr>
          <w:rStyle w:val="FootnoteReference"/>
          <w:sz w:val="20"/>
          <w:szCs w:val="20"/>
        </w:rPr>
        <w:footnoteRef/>
      </w:r>
      <w:hyperlink r:id="rId6" w:history="1">
        <w:r w:rsidR="0061310B" w:rsidRPr="00C31A94">
          <w:rPr>
            <w:rStyle w:val="Hyperlink"/>
            <w:rFonts w:eastAsia="Times New Roman" w:cstheme="minorHAnsi"/>
            <w:sz w:val="20"/>
            <w:szCs w:val="20"/>
          </w:rPr>
          <w:t>https://www.ladwp.com/cs/idcplg?IdcService=GET_FILE&amp;dDocName=OPLADWPCCB726105&amp;RevisionSelectionMethod=LatestReleased</w:t>
        </w:r>
      </w:hyperlink>
    </w:p>
  </w:footnote>
  <w:footnote w:id="10">
    <w:p w14:paraId="7FE59A66" w14:textId="18D2605F" w:rsidR="0061310B" w:rsidRDefault="0061310B">
      <w:pPr>
        <w:pStyle w:val="FootnoteText"/>
      </w:pPr>
      <w:r>
        <w:rPr>
          <w:rStyle w:val="FootnoteReference"/>
        </w:rPr>
        <w:footnoteRef/>
      </w:r>
      <w:r>
        <w:t xml:space="preserve"> </w:t>
      </w:r>
      <w:hyperlink r:id="rId7" w:history="1">
        <w:r w:rsidRPr="0061310B">
          <w:rPr>
            <w:rStyle w:val="Hyperlink"/>
          </w:rPr>
          <w:t>https://ec.europa.eu/clima/sites/clima/files/docs/pages/com_2018_733_analysis_in_support_en_0.pdf</w:t>
        </w:r>
      </w:hyperlink>
    </w:p>
  </w:footnote>
  <w:footnote w:id="11">
    <w:p w14:paraId="1E669F03" w14:textId="7F165A5D" w:rsidR="00633C38" w:rsidRDefault="00633C38">
      <w:pPr>
        <w:pStyle w:val="FootnoteText"/>
      </w:pPr>
      <w:r>
        <w:rPr>
          <w:rStyle w:val="FootnoteReference"/>
        </w:rPr>
        <w:footnoteRef/>
      </w:r>
      <w:r>
        <w:t xml:space="preserve"> </w:t>
      </w:r>
      <w:hyperlink r:id="rId8" w:history="1">
        <w:r w:rsidRPr="00633C38">
          <w:rPr>
            <w:rStyle w:val="Hyperlink"/>
          </w:rPr>
          <w:t>https://ec.europa.eu/energy/sites/ener/files/hydrogen_strategy.pdf</w:t>
        </w:r>
      </w:hyperlink>
    </w:p>
  </w:footnote>
  <w:footnote w:id="12">
    <w:p w14:paraId="6379999B" w14:textId="1BD47165" w:rsidR="00633C38" w:rsidRDefault="00633C38">
      <w:pPr>
        <w:pStyle w:val="FootnoteText"/>
      </w:pPr>
      <w:r>
        <w:rPr>
          <w:rStyle w:val="FootnoteReference"/>
        </w:rPr>
        <w:footnoteRef/>
      </w:r>
      <w:r>
        <w:t xml:space="preserve"> p. 8 </w:t>
      </w:r>
      <w:hyperlink r:id="rId9" w:history="1">
        <w:r w:rsidRPr="00633C38">
          <w:rPr>
            <w:rStyle w:val="Hyperlink"/>
          </w:rPr>
          <w:t>https://eur-lex.europa.eu/resource.html?uri=cellar:4524c01c-a0e6-11ea-9d2d-01aa75ed71a1.0003.02/DOC_1&amp;format=PDF</w:t>
        </w:r>
      </w:hyperlink>
    </w:p>
  </w:footnote>
  <w:footnote w:id="13">
    <w:p w14:paraId="5690CEE0" w14:textId="670F580D" w:rsidR="00EE02DB" w:rsidRDefault="00EE02DB">
      <w:pPr>
        <w:pStyle w:val="FootnoteText"/>
      </w:pPr>
      <w:r>
        <w:rPr>
          <w:rStyle w:val="FootnoteReference"/>
        </w:rPr>
        <w:footnoteRef/>
      </w:r>
      <w:r>
        <w:t xml:space="preserve"> p. 34 </w:t>
      </w:r>
      <w:hyperlink r:id="rId10" w:history="1">
        <w:r w:rsidRPr="00EE02DB">
          <w:rPr>
            <w:rStyle w:val="Hyperlink"/>
          </w:rPr>
          <w:t>https://hydrogencouncil.com/wp-content/uploads/2020/01/Path-to-Hydrogen-Competitiveness_Full-Study-1.pdf</w:t>
        </w:r>
      </w:hyperlink>
    </w:p>
  </w:footnote>
  <w:footnote w:id="14">
    <w:p w14:paraId="1F29ACB7" w14:textId="6ECE51A3" w:rsidR="00152F6A" w:rsidRDefault="00152F6A">
      <w:pPr>
        <w:pStyle w:val="FootnoteText"/>
      </w:pPr>
      <w:r>
        <w:rPr>
          <w:rStyle w:val="FootnoteReference"/>
        </w:rPr>
        <w:footnoteRef/>
      </w:r>
      <w:r>
        <w:t xml:space="preserve"> This was reported by presenters at a June 11 </w:t>
      </w:r>
      <w:r w:rsidRPr="00152F6A">
        <w:t>IEPR Update workshops focused on Transportation Trends and a Light-Duty Zero-Emission Vehicle Market Update</w:t>
      </w:r>
      <w:r>
        <w:t xml:space="preserve">. See, e.g., Presentation by Jesse Gage, CEC Energy Assessments Division </w:t>
      </w:r>
      <w:r w:rsidRPr="00152F6A">
        <w:rPr>
          <w:i/>
          <w:iCs/>
        </w:rPr>
        <w:t>Light-duty vehicle trends Heavier, yet more efficient</w:t>
      </w:r>
      <w:r>
        <w:rPr>
          <w:i/>
          <w:iCs/>
        </w:rPr>
        <w:t xml:space="preserve"> </w:t>
      </w:r>
      <w:hyperlink r:id="rId11" w:history="1">
        <w:r w:rsidRPr="00152F6A">
          <w:rPr>
            <w:rStyle w:val="Hyperlink"/>
          </w:rPr>
          <w:t>https://www.energy.ca.gov/event/workshop/2020-06/session-1-light-duty-zev-update-and-trends-larger-vehicles-iepr-commissioner</w:t>
        </w:r>
      </w:hyperlink>
    </w:p>
  </w:footnote>
  <w:footnote w:id="15">
    <w:p w14:paraId="1B31C785" w14:textId="7AA3F1F1" w:rsidR="00152F6A" w:rsidRDefault="00152F6A">
      <w:pPr>
        <w:pStyle w:val="FootnoteText"/>
      </w:pPr>
      <w:r>
        <w:rPr>
          <w:rStyle w:val="FootnoteReference"/>
        </w:rPr>
        <w:footnoteRef/>
      </w:r>
      <w:r>
        <w:t xml:space="preserve"> </w:t>
      </w:r>
      <w:r w:rsidRPr="008165FA">
        <w:rPr>
          <w:i/>
        </w:rPr>
        <w:t xml:space="preserve">A Portfolio of Power Trains for Europe: A Fact-based Analysis, Executive Summary, </w:t>
      </w:r>
      <w:r w:rsidRPr="008165FA">
        <w:t xml:space="preserve">European Climate Foundation et al. </w:t>
      </w:r>
      <w:r w:rsidRPr="008165FA">
        <w:rPr>
          <w:rFonts w:cstheme="minorHAnsi"/>
          <w:bCs/>
        </w:rPr>
        <w:t xml:space="preserve">See p. 42 </w:t>
      </w:r>
      <w:hyperlink r:id="rId12" w:history="1">
        <w:r w:rsidRPr="008165FA">
          <w:rPr>
            <w:rStyle w:val="Hyperlink"/>
            <w:rFonts w:cstheme="minorHAnsi"/>
            <w:bCs/>
          </w:rPr>
          <w:t>https://www.fch.europa.eu/sites/default/files/documents/Power_trains_for_Europe.pdf</w:t>
        </w:r>
      </w:hyperlink>
    </w:p>
  </w:footnote>
  <w:footnote w:id="16">
    <w:p w14:paraId="5AE566FE" w14:textId="77777777" w:rsidR="00D6381F" w:rsidRDefault="00D6381F" w:rsidP="00D6381F">
      <w:pPr>
        <w:pStyle w:val="FootnoteText"/>
      </w:pPr>
      <w:r>
        <w:rPr>
          <w:rStyle w:val="FootnoteReference"/>
        </w:rPr>
        <w:footnoteRef/>
      </w:r>
      <w:r>
        <w:t xml:space="preserve"> </w:t>
      </w:r>
      <w:hyperlink r:id="rId13" w:history="1">
        <w:r w:rsidRPr="00500C64">
          <w:rPr>
            <w:rStyle w:val="Hyperlink"/>
          </w:rPr>
          <w:t>https://www.energy.gov/eere/electricvehicles/charging-home</w:t>
        </w:r>
      </w:hyperlink>
    </w:p>
  </w:footnote>
  <w:footnote w:id="17">
    <w:p w14:paraId="2DACF917" w14:textId="77777777" w:rsidR="00D6381F" w:rsidRDefault="00D6381F" w:rsidP="00D6381F">
      <w:pPr>
        <w:pStyle w:val="FootnoteText"/>
      </w:pPr>
      <w:r>
        <w:rPr>
          <w:rStyle w:val="FootnoteReference"/>
        </w:rPr>
        <w:footnoteRef/>
      </w:r>
      <w:r>
        <w:t xml:space="preserve"> </w:t>
      </w:r>
      <w:hyperlink r:id="rId14" w:history="1">
        <w:r w:rsidRPr="00500C64">
          <w:rPr>
            <w:rStyle w:val="Hyperlink"/>
          </w:rPr>
          <w:t>https://www.infoplease.com/us/census/california/housing-statistics</w:t>
        </w:r>
      </w:hyperlink>
    </w:p>
  </w:footnote>
  <w:footnote w:id="18">
    <w:p w14:paraId="52D4A616" w14:textId="6BF44D1B" w:rsidR="002D3681" w:rsidRDefault="002D3681">
      <w:pPr>
        <w:pStyle w:val="FootnoteText"/>
      </w:pPr>
      <w:r>
        <w:rPr>
          <w:rStyle w:val="FootnoteReference"/>
        </w:rPr>
        <w:footnoteRef/>
      </w:r>
      <w:r>
        <w:t xml:space="preserve"> </w:t>
      </w:r>
      <w:hyperlink r:id="rId15" w:history="1">
        <w:r w:rsidR="008D4037" w:rsidRPr="008D4037">
          <w:rPr>
            <w:rStyle w:val="Hyperlink"/>
          </w:rPr>
          <w:t>https://gcaptain.com/shipping-hydrogen-net-zero/</w:t>
        </w:r>
      </w:hyperlink>
    </w:p>
  </w:footnote>
  <w:footnote w:id="19">
    <w:p w14:paraId="58A349FF" w14:textId="6D7799BA" w:rsidR="002D3681" w:rsidRDefault="002D3681">
      <w:pPr>
        <w:pStyle w:val="FootnoteText"/>
      </w:pPr>
      <w:r>
        <w:rPr>
          <w:rStyle w:val="FootnoteReference"/>
        </w:rPr>
        <w:footnoteRef/>
      </w:r>
      <w:r>
        <w:t xml:space="preserve"> </w:t>
      </w:r>
      <w:hyperlink r:id="rId16" w:history="1">
        <w:r w:rsidRPr="002D3681">
          <w:rPr>
            <w:rStyle w:val="Hyperlink"/>
          </w:rPr>
          <w:t>https://www.airbus.com/newsroom/press-releases/en/2020/09/airbus-reveals-new-zeroemission-concept-aircraft.html</w:t>
        </w:r>
      </w:hyperlink>
    </w:p>
  </w:footnote>
  <w:footnote w:id="20">
    <w:p w14:paraId="21F9F8AB" w14:textId="77777777" w:rsidR="00E556DD" w:rsidRPr="003A6248" w:rsidRDefault="00E556DD" w:rsidP="00E556DD">
      <w:pPr>
        <w:pStyle w:val="FootnoteText"/>
        <w:rPr>
          <w:rFonts w:cstheme="minorHAnsi"/>
          <w:sz w:val="18"/>
          <w:szCs w:val="18"/>
        </w:rPr>
      </w:pPr>
      <w:r w:rsidRPr="003A6248">
        <w:rPr>
          <w:rStyle w:val="FootnoteReference"/>
          <w:rFonts w:cstheme="minorHAnsi"/>
          <w:sz w:val="18"/>
          <w:szCs w:val="18"/>
        </w:rPr>
        <w:footnoteRef/>
      </w:r>
      <w:r w:rsidRPr="003A6248">
        <w:rPr>
          <w:rFonts w:cstheme="minorHAnsi"/>
          <w:sz w:val="18"/>
          <w:szCs w:val="18"/>
        </w:rPr>
        <w:t xml:space="preserve"> See, e.g. NREL research on </w:t>
      </w:r>
      <w:r w:rsidRPr="003A6248">
        <w:rPr>
          <w:rFonts w:cstheme="minorHAnsi"/>
          <w:i/>
          <w:sz w:val="18"/>
          <w:szCs w:val="18"/>
        </w:rPr>
        <w:t xml:space="preserve">Dynamic Modeling and Validation of Electrolyzers in Real Time Grid Simulation  </w:t>
      </w:r>
      <w:hyperlink r:id="rId17" w:history="1">
        <w:r w:rsidRPr="003A6248">
          <w:rPr>
            <w:rStyle w:val="Hyperlink"/>
            <w:rFonts w:cstheme="minorHAnsi"/>
            <w:sz w:val="18"/>
            <w:szCs w:val="18"/>
          </w:rPr>
          <w:t>https://www.hydrogen.energy.gov/pdfs/review18/tv031_hovsapian_2018_o.pdf</w:t>
        </w:r>
      </w:hyperlink>
    </w:p>
  </w:footnote>
  <w:footnote w:id="21">
    <w:p w14:paraId="241E0B08" w14:textId="77777777" w:rsidR="00DE561F" w:rsidRPr="003A6248" w:rsidRDefault="00DE561F" w:rsidP="00DE561F">
      <w:pPr>
        <w:pStyle w:val="FootnoteText"/>
        <w:rPr>
          <w:rFonts w:cstheme="minorHAnsi"/>
          <w:sz w:val="18"/>
          <w:szCs w:val="18"/>
        </w:rPr>
      </w:pPr>
      <w:r w:rsidRPr="003A6248">
        <w:rPr>
          <w:rFonts w:eastAsia="Times New Roman" w:cstheme="minorHAnsi"/>
          <w:sz w:val="18"/>
          <w:szCs w:val="18"/>
          <w:vertAlign w:val="superscript"/>
        </w:rPr>
        <w:footnoteRef/>
      </w:r>
      <w:r w:rsidRPr="003A6248">
        <w:rPr>
          <w:rFonts w:cstheme="minorHAnsi"/>
          <w:sz w:val="18"/>
          <w:szCs w:val="18"/>
        </w:rPr>
        <w:t xml:space="preserve"> p. 69, </w:t>
      </w:r>
      <w:r w:rsidRPr="003A6248">
        <w:rPr>
          <w:rFonts w:cstheme="minorHAnsi"/>
          <w:i/>
          <w:iCs/>
          <w:sz w:val="18"/>
          <w:szCs w:val="18"/>
        </w:rPr>
        <w:t>Residential Building Decarbonization in California</w:t>
      </w:r>
      <w:r w:rsidRPr="003A6248">
        <w:rPr>
          <w:rFonts w:cstheme="minorHAnsi"/>
          <w:sz w:val="18"/>
          <w:szCs w:val="18"/>
        </w:rPr>
        <w:t>, E3; April 2019</w:t>
      </w:r>
    </w:p>
  </w:footnote>
  <w:footnote w:id="22">
    <w:p w14:paraId="2F9A059A" w14:textId="77777777" w:rsidR="00DE561F" w:rsidRPr="001D622E" w:rsidRDefault="00DE561F" w:rsidP="00DE561F">
      <w:pPr>
        <w:pStyle w:val="FootnoteText"/>
        <w:rPr>
          <w:rFonts w:ascii="Times New Roman" w:hAnsi="Times New Roman" w:cs="Times New Roman"/>
          <w:sz w:val="18"/>
          <w:szCs w:val="18"/>
        </w:rPr>
      </w:pPr>
      <w:r w:rsidRPr="003A6248">
        <w:rPr>
          <w:rFonts w:eastAsia="Times New Roman" w:cstheme="minorHAnsi"/>
          <w:bCs/>
          <w:iCs/>
          <w:sz w:val="18"/>
          <w:szCs w:val="18"/>
          <w:vertAlign w:val="superscript"/>
        </w:rPr>
        <w:footnoteRef/>
      </w:r>
      <w:r w:rsidRPr="003A6248">
        <w:rPr>
          <w:rFonts w:cstheme="minorHAnsi"/>
          <w:sz w:val="18"/>
          <w:szCs w:val="18"/>
        </w:rPr>
        <w:t xml:space="preserve"> p. 2, </w:t>
      </w:r>
      <w:r w:rsidRPr="003A6248">
        <w:rPr>
          <w:rFonts w:cstheme="minorHAnsi"/>
          <w:i/>
          <w:iCs/>
          <w:sz w:val="18"/>
          <w:szCs w:val="18"/>
        </w:rPr>
        <w:t>Building Electrification in California</w:t>
      </w:r>
      <w:r w:rsidRPr="003A6248">
        <w:rPr>
          <w:rFonts w:cstheme="minorHAnsi"/>
          <w:sz w:val="18"/>
          <w:szCs w:val="18"/>
        </w:rPr>
        <w:t xml:space="preserve">, E3; April 2019  </w:t>
      </w:r>
      <w:hyperlink r:id="rId18" w:history="1">
        <w:r w:rsidRPr="003A6248">
          <w:rPr>
            <w:rStyle w:val="Hyperlink0"/>
            <w:rFonts w:eastAsia="Palatino" w:cstheme="minorHAnsi"/>
          </w:rPr>
          <w:t>https://www.ethree.com/wp-content/uploads/2019/04/E3_Residential_Building_Electrification_in_California_April_2019.pdf</w:t>
        </w:r>
      </w:hyperlink>
    </w:p>
  </w:footnote>
  <w:footnote w:id="23">
    <w:p w14:paraId="42D5BAAA" w14:textId="77777777" w:rsidR="00DE561F" w:rsidRPr="005169BF" w:rsidRDefault="00DE561F" w:rsidP="00DE561F">
      <w:pPr>
        <w:pStyle w:val="FootnoteText"/>
        <w:rPr>
          <w:rFonts w:cstheme="minorHAnsi"/>
          <w:sz w:val="18"/>
          <w:szCs w:val="18"/>
          <w:lang w:val="es-ES"/>
        </w:rPr>
      </w:pPr>
      <w:r w:rsidRPr="003A6248">
        <w:rPr>
          <w:rStyle w:val="FootnoteReference"/>
          <w:rFonts w:cstheme="minorHAnsi"/>
          <w:sz w:val="18"/>
          <w:szCs w:val="18"/>
        </w:rPr>
        <w:footnoteRef/>
      </w:r>
      <w:r w:rsidRPr="005169BF">
        <w:rPr>
          <w:rFonts w:cstheme="minorHAnsi"/>
          <w:sz w:val="18"/>
          <w:szCs w:val="18"/>
          <w:lang w:val="es-ES"/>
        </w:rPr>
        <w:t xml:space="preserve"> Ibid.</w:t>
      </w:r>
    </w:p>
  </w:footnote>
  <w:footnote w:id="24">
    <w:p w14:paraId="76A30310" w14:textId="664180FA" w:rsidR="00E21644" w:rsidRPr="005169BF" w:rsidRDefault="00E21644">
      <w:pPr>
        <w:pStyle w:val="FootnoteText"/>
        <w:rPr>
          <w:lang w:val="es-ES"/>
        </w:rPr>
      </w:pPr>
      <w:r>
        <w:rPr>
          <w:rStyle w:val="FootnoteReference"/>
        </w:rPr>
        <w:footnoteRef/>
      </w:r>
      <w:r w:rsidRPr="005169BF">
        <w:rPr>
          <w:lang w:val="es-ES"/>
        </w:rPr>
        <w:t xml:space="preserve"> </w:t>
      </w:r>
      <w:hyperlink r:id="rId19" w:history="1">
        <w:r w:rsidRPr="005169BF">
          <w:rPr>
            <w:rStyle w:val="Hyperlink"/>
            <w:lang w:val="es-ES"/>
          </w:rPr>
          <w:t>https://www.nrdc.org/experts/rachel-fakhry/green-hydrogen-critical-powering-carbon-free-future</w:t>
        </w:r>
      </w:hyperlink>
    </w:p>
  </w:footnote>
  <w:footnote w:id="25">
    <w:p w14:paraId="1C66DDCF" w14:textId="77777777" w:rsidR="00DE561F" w:rsidRPr="003A6248" w:rsidRDefault="00DE561F" w:rsidP="00DE561F">
      <w:pPr>
        <w:pStyle w:val="FootnoteText"/>
        <w:rPr>
          <w:rFonts w:cstheme="minorHAnsi"/>
          <w:sz w:val="18"/>
          <w:szCs w:val="18"/>
        </w:rPr>
      </w:pPr>
      <w:r w:rsidRPr="003A6248">
        <w:rPr>
          <w:rStyle w:val="FootnoteReference"/>
          <w:rFonts w:cstheme="minorHAnsi"/>
          <w:sz w:val="18"/>
          <w:szCs w:val="18"/>
        </w:rPr>
        <w:footnoteRef/>
      </w:r>
      <w:r w:rsidRPr="003A6248">
        <w:rPr>
          <w:rFonts w:cstheme="minorHAnsi"/>
          <w:sz w:val="18"/>
          <w:szCs w:val="18"/>
        </w:rPr>
        <w:t xml:space="preserve"> ICF webinar on the analysis is available at: </w:t>
      </w:r>
      <w:hyperlink r:id="rId20" w:history="1">
        <w:r w:rsidRPr="003A6248">
          <w:rPr>
            <w:rStyle w:val="Hyperlink"/>
            <w:rFonts w:cstheme="minorHAnsi"/>
            <w:sz w:val="18"/>
            <w:szCs w:val="18"/>
          </w:rPr>
          <w:t>https://www.icf.com/resources/webinars/2019/gas-utilities-in-a-decarbonizing-world</w:t>
        </w:r>
      </w:hyperlink>
    </w:p>
  </w:footnote>
  <w:footnote w:id="26">
    <w:p w14:paraId="3157FDB4" w14:textId="77777777" w:rsidR="00DE561F" w:rsidRPr="003A6248" w:rsidRDefault="00DE561F" w:rsidP="00DE561F">
      <w:pPr>
        <w:pStyle w:val="FootnoteText"/>
        <w:rPr>
          <w:rFonts w:cstheme="minorHAnsi"/>
          <w:sz w:val="18"/>
          <w:szCs w:val="18"/>
        </w:rPr>
      </w:pPr>
      <w:r w:rsidRPr="003A6248">
        <w:rPr>
          <w:rStyle w:val="FootnoteReference"/>
          <w:rFonts w:cstheme="minorHAnsi"/>
          <w:sz w:val="18"/>
          <w:szCs w:val="18"/>
        </w:rPr>
        <w:footnoteRef/>
      </w:r>
      <w:r w:rsidRPr="003A6248">
        <w:rPr>
          <w:rFonts w:cstheme="minorHAnsi"/>
          <w:sz w:val="18"/>
          <w:szCs w:val="18"/>
        </w:rPr>
        <w:t xml:space="preserve">  Slide 17 of the ICF webinar available at: </w:t>
      </w:r>
      <w:hyperlink r:id="rId21" w:history="1">
        <w:r w:rsidRPr="003A6248">
          <w:rPr>
            <w:rStyle w:val="Hyperlink"/>
            <w:rFonts w:cstheme="minorHAnsi"/>
            <w:sz w:val="18"/>
            <w:szCs w:val="18"/>
          </w:rPr>
          <w:t>https://www.icf.com/resources/webinars/2019/gas-utilities-in-a-decarbonizing-world</w:t>
        </w:r>
      </w:hyperlink>
    </w:p>
  </w:footnote>
  <w:footnote w:id="27">
    <w:p w14:paraId="7839E618" w14:textId="72A25DBC" w:rsidR="002E770D" w:rsidRDefault="002E770D">
      <w:pPr>
        <w:pStyle w:val="FootnoteText"/>
      </w:pPr>
      <w:r>
        <w:rPr>
          <w:rStyle w:val="FootnoteReference"/>
        </w:rPr>
        <w:footnoteRef/>
      </w:r>
      <w:r>
        <w:t xml:space="preserve"> </w:t>
      </w:r>
      <w:hyperlink r:id="rId22" w:history="1">
        <w:r w:rsidRPr="002E770D">
          <w:rPr>
            <w:rStyle w:val="Hyperlink"/>
          </w:rPr>
          <w:t>https://rmi.org/the-truth-about-hydrogen/</w:t>
        </w:r>
      </w:hyperlink>
    </w:p>
  </w:footnote>
  <w:footnote w:id="28">
    <w:p w14:paraId="59A9AA80" w14:textId="77777777" w:rsidR="00DE561F" w:rsidRPr="003A6248" w:rsidRDefault="00DE561F" w:rsidP="00DE561F">
      <w:pPr>
        <w:pStyle w:val="FootnoteText"/>
        <w:rPr>
          <w:rFonts w:cstheme="minorHAnsi"/>
          <w:sz w:val="18"/>
          <w:szCs w:val="18"/>
        </w:rPr>
      </w:pPr>
      <w:r w:rsidRPr="003A6248">
        <w:rPr>
          <w:rStyle w:val="FootnoteReference"/>
          <w:rFonts w:cstheme="minorHAnsi"/>
          <w:sz w:val="18"/>
          <w:szCs w:val="18"/>
        </w:rPr>
        <w:footnoteRef/>
      </w:r>
      <w:r w:rsidRPr="003A6248">
        <w:rPr>
          <w:rFonts w:cstheme="minorHAnsi"/>
          <w:sz w:val="18"/>
          <w:szCs w:val="18"/>
        </w:rPr>
        <w:t xml:space="preserve"> See </w:t>
      </w:r>
      <w:r w:rsidRPr="003A6248">
        <w:rPr>
          <w:rFonts w:cstheme="minorHAnsi"/>
          <w:i/>
          <w:sz w:val="18"/>
          <w:szCs w:val="18"/>
        </w:rPr>
        <w:t xml:space="preserve">Future of Hydrogen </w:t>
      </w:r>
      <w:r w:rsidRPr="003A6248">
        <w:rPr>
          <w:rFonts w:cstheme="minorHAnsi"/>
          <w:sz w:val="18"/>
          <w:szCs w:val="18"/>
        </w:rPr>
        <w:t>Summary, IEA, https://www.iea.org/hydrogen2019/</w:t>
      </w:r>
    </w:p>
  </w:footnote>
  <w:footnote w:id="29">
    <w:p w14:paraId="3E5CF9F4" w14:textId="77777777" w:rsidR="00DE561F" w:rsidRPr="00D75D8C" w:rsidRDefault="00DE561F" w:rsidP="00DE561F">
      <w:pPr>
        <w:pStyle w:val="FootnoteText"/>
        <w:rPr>
          <w:sz w:val="18"/>
          <w:szCs w:val="18"/>
        </w:rPr>
      </w:pPr>
      <w:r w:rsidRPr="00D75D8C">
        <w:rPr>
          <w:rStyle w:val="FootnoteReference"/>
          <w:sz w:val="18"/>
          <w:szCs w:val="18"/>
        </w:rPr>
        <w:footnoteRef/>
      </w:r>
      <w:r w:rsidRPr="00D75D8C">
        <w:rPr>
          <w:sz w:val="18"/>
          <w:szCs w:val="18"/>
        </w:rPr>
        <w:t xml:space="preserve"> </w:t>
      </w:r>
      <w:hyperlink r:id="rId23" w:history="1">
        <w:r w:rsidRPr="00D75D8C">
          <w:rPr>
            <w:rStyle w:val="Hyperlink"/>
            <w:sz w:val="18"/>
            <w:szCs w:val="18"/>
          </w:rPr>
          <w:t>https://calmatters.org/economy/2019/08/pges-rate-increases-what-you-need-to-know/</w:t>
        </w:r>
      </w:hyperlink>
    </w:p>
  </w:footnote>
  <w:footnote w:id="30">
    <w:p w14:paraId="13A544E6" w14:textId="77777777" w:rsidR="00DE561F" w:rsidRPr="003A6248" w:rsidRDefault="00DE561F" w:rsidP="00DE561F">
      <w:pPr>
        <w:pStyle w:val="FootnoteText"/>
        <w:rPr>
          <w:rFonts w:cstheme="minorHAnsi"/>
          <w:sz w:val="18"/>
          <w:szCs w:val="18"/>
        </w:rPr>
      </w:pPr>
      <w:r w:rsidRPr="003A6248">
        <w:rPr>
          <w:rStyle w:val="FootnoteReference"/>
          <w:rFonts w:cstheme="minorHAnsi"/>
          <w:sz w:val="18"/>
          <w:szCs w:val="18"/>
        </w:rPr>
        <w:footnoteRef/>
      </w:r>
      <w:r w:rsidRPr="003A6248">
        <w:rPr>
          <w:rFonts w:cstheme="minorHAnsi"/>
          <w:sz w:val="18"/>
          <w:szCs w:val="18"/>
        </w:rPr>
        <w:t xml:space="preserve"> </w:t>
      </w:r>
      <w:hyperlink r:id="rId24" w:history="1">
        <w:r w:rsidRPr="003A6248">
          <w:rPr>
            <w:rStyle w:val="Hyperlink"/>
            <w:rFonts w:cstheme="minorHAnsi"/>
            <w:sz w:val="18"/>
            <w:szCs w:val="18"/>
          </w:rPr>
          <w:t>https://www.sfchronicle.com/business/article/Demand-for-generators-lights-up-as-PG-E-power-14054242.php</w:t>
        </w:r>
      </w:hyperlink>
    </w:p>
  </w:footnote>
  <w:footnote w:id="31">
    <w:p w14:paraId="2D8EAF24" w14:textId="4A9B8434" w:rsidR="00804F8B" w:rsidRDefault="00804F8B">
      <w:pPr>
        <w:pStyle w:val="FootnoteText"/>
      </w:pPr>
      <w:r>
        <w:rPr>
          <w:rStyle w:val="FootnoteReference"/>
        </w:rPr>
        <w:footnoteRef/>
      </w:r>
      <w:r>
        <w:t xml:space="preserve"> </w:t>
      </w:r>
      <w:hyperlink r:id="rId25" w:history="1">
        <w:r w:rsidRPr="00804F8B">
          <w:rPr>
            <w:rStyle w:val="Hyperlink"/>
          </w:rPr>
          <w:t>https://sgn.co.uk/H100Fife</w:t>
        </w:r>
      </w:hyperlink>
    </w:p>
  </w:footnote>
  <w:footnote w:id="32">
    <w:p w14:paraId="448E0042" w14:textId="759EE44B" w:rsidR="00804F8B" w:rsidRDefault="00804F8B">
      <w:pPr>
        <w:pStyle w:val="FootnoteText"/>
      </w:pPr>
      <w:r>
        <w:rPr>
          <w:rStyle w:val="FootnoteReference"/>
        </w:rPr>
        <w:footnoteRef/>
      </w:r>
      <w:r w:rsidR="00923FA1">
        <w:t xml:space="preserve"> </w:t>
      </w:r>
      <w:hyperlink r:id="rId26" w:history="1">
        <w:r w:rsidR="00923FA1" w:rsidRPr="00923FA1">
          <w:rPr>
            <w:rStyle w:val="Hyperlink"/>
          </w:rPr>
          <w:t>https://www.h21.green/projects/h21-leeds-city-gate/</w:t>
        </w:r>
      </w:hyperlink>
    </w:p>
  </w:footnote>
  <w:footnote w:id="33">
    <w:p w14:paraId="6B74D559" w14:textId="50AA80E3" w:rsidR="00923FA1" w:rsidRDefault="00923FA1">
      <w:pPr>
        <w:pStyle w:val="FootnoteText"/>
      </w:pPr>
      <w:r>
        <w:rPr>
          <w:rStyle w:val="FootnoteReference"/>
        </w:rPr>
        <w:footnoteRef/>
      </w:r>
      <w:r>
        <w:t xml:space="preserve"> </w:t>
      </w:r>
      <w:hyperlink r:id="rId27" w:history="1">
        <w:r w:rsidRPr="00923FA1">
          <w:rPr>
            <w:rStyle w:val="Hyperlink"/>
          </w:rPr>
          <w:t>https://fuelcellsworks.com/news/bdr-thermea-group-showcases-the-worlds-first-hydrogen-powered-domestic-boiler/</w:t>
        </w:r>
      </w:hyperlink>
    </w:p>
  </w:footnote>
  <w:footnote w:id="34">
    <w:p w14:paraId="60CD455F" w14:textId="77777777" w:rsidR="00DE561F" w:rsidRPr="00774FB4" w:rsidRDefault="00DE561F" w:rsidP="00DE561F">
      <w:pPr>
        <w:pStyle w:val="Body"/>
        <w:rPr>
          <w:rFonts w:ascii="Times New Roman" w:hAnsi="Times New Roman" w:cs="Times New Roman"/>
          <w:sz w:val="18"/>
          <w:szCs w:val="18"/>
          <w:lang w:val="en-US"/>
        </w:rPr>
      </w:pPr>
      <w:r w:rsidRPr="003A6248">
        <w:rPr>
          <w:rFonts w:asciiTheme="minorHAnsi" w:eastAsia="Times New Roman" w:hAnsiTheme="minorHAnsi" w:cstheme="minorHAnsi"/>
          <w:sz w:val="18"/>
          <w:szCs w:val="18"/>
          <w:vertAlign w:val="superscript"/>
        </w:rPr>
        <w:footnoteRef/>
      </w:r>
      <w:r w:rsidRPr="003A6248">
        <w:rPr>
          <w:rFonts w:asciiTheme="minorHAnsi" w:hAnsiTheme="minorHAnsi" w:cstheme="minorHAnsi"/>
          <w:sz w:val="18"/>
          <w:szCs w:val="18"/>
          <w:lang w:val="en-US"/>
        </w:rPr>
        <w:t xml:space="preserve"> </w:t>
      </w:r>
      <w:hyperlink r:id="rId28" w:history="1">
        <w:r w:rsidRPr="003A6248">
          <w:rPr>
            <w:rStyle w:val="Hyperlink0"/>
            <w:rFonts w:asciiTheme="minorHAnsi" w:eastAsia="Arial Unicode MS" w:hAnsiTheme="minorHAnsi" w:cstheme="minorHAnsi"/>
            <w:lang w:val="en-US"/>
          </w:rPr>
          <w:t>https://www.telegraph.co.uk/business/2018/01/06/hydrogen/</w:t>
        </w:r>
      </w:hyperlink>
      <w:r w:rsidRPr="00774FB4">
        <w:rPr>
          <w:rFonts w:ascii="Times New Roman" w:hAnsi="Times New Roman" w:cs="Times New Roman"/>
          <w:sz w:val="18"/>
          <w:szCs w:val="18"/>
          <w:lang w:val="en-US"/>
        </w:rPr>
        <w:t xml:space="preserve"> </w:t>
      </w:r>
    </w:p>
  </w:footnote>
  <w:footnote w:id="35">
    <w:p w14:paraId="3DEB2960" w14:textId="77777777" w:rsidR="00DE561F" w:rsidRPr="003A6248" w:rsidRDefault="00DE561F" w:rsidP="00DE561F">
      <w:pPr>
        <w:pStyle w:val="Body"/>
        <w:rPr>
          <w:rFonts w:asciiTheme="minorHAnsi" w:hAnsiTheme="minorHAnsi" w:cstheme="minorHAnsi"/>
          <w:sz w:val="18"/>
          <w:szCs w:val="18"/>
          <w:lang w:val="en-US"/>
        </w:rPr>
      </w:pPr>
      <w:r w:rsidRPr="003A6248">
        <w:rPr>
          <w:rFonts w:asciiTheme="minorHAnsi" w:eastAsia="Times New Roman" w:hAnsiTheme="minorHAnsi" w:cstheme="minorHAnsi"/>
          <w:sz w:val="18"/>
          <w:szCs w:val="18"/>
          <w:vertAlign w:val="superscript"/>
        </w:rPr>
        <w:footnoteRef/>
      </w:r>
      <w:r w:rsidRPr="003A6248">
        <w:rPr>
          <w:rFonts w:asciiTheme="minorHAnsi" w:hAnsiTheme="minorHAnsi" w:cstheme="minorHAnsi"/>
          <w:sz w:val="18"/>
          <w:szCs w:val="18"/>
          <w:lang w:val="en-US"/>
        </w:rPr>
        <w:t xml:space="preserve"> </w:t>
      </w:r>
      <w:hyperlink r:id="rId29" w:history="1">
        <w:r w:rsidRPr="003A6248">
          <w:rPr>
            <w:rStyle w:val="Hyperlink0"/>
            <w:rFonts w:asciiTheme="minorHAnsi" w:eastAsia="Arial Unicode MS" w:hAnsiTheme="minorHAnsi" w:cstheme="minorHAnsi"/>
            <w:lang w:val="en-US"/>
          </w:rPr>
          <w:t>https://www.northerngasnetworks.co.uk/2016/07/12/watch-our-h21-leeds-city-gate-film/</w:t>
        </w:r>
      </w:hyperlink>
    </w:p>
  </w:footnote>
  <w:footnote w:id="36">
    <w:p w14:paraId="019F15E1" w14:textId="77777777" w:rsidR="00DE561F" w:rsidRPr="003A6248" w:rsidRDefault="00DE561F" w:rsidP="00DE561F">
      <w:pPr>
        <w:pStyle w:val="FootnoteText"/>
        <w:rPr>
          <w:rFonts w:cstheme="minorHAnsi"/>
          <w:sz w:val="18"/>
          <w:szCs w:val="18"/>
        </w:rPr>
      </w:pPr>
      <w:r w:rsidRPr="003A6248">
        <w:rPr>
          <w:rFonts w:eastAsia="Times New Roman" w:cstheme="minorHAnsi"/>
          <w:sz w:val="18"/>
          <w:szCs w:val="18"/>
          <w:vertAlign w:val="superscript"/>
        </w:rPr>
        <w:footnoteRef/>
      </w:r>
      <w:r w:rsidRPr="003A6248">
        <w:rPr>
          <w:rFonts w:cstheme="minorHAnsi"/>
          <w:sz w:val="18"/>
          <w:szCs w:val="18"/>
        </w:rPr>
        <w:t xml:space="preserve"> h</w:t>
      </w:r>
      <w:hyperlink r:id="rId30" w:history="1">
        <w:r w:rsidRPr="003A6248">
          <w:rPr>
            <w:rStyle w:val="Hyperlink0"/>
            <w:rFonts w:eastAsia="Palatino" w:cstheme="minorHAnsi"/>
          </w:rPr>
          <w:t>ttps://www.eon.com/en/about-us/media/press-release/2019/hydrogen-levels-in-german-gas-distribution-system-to-be-raised-to-20-percent-for-the-first-time.html</w:t>
        </w:r>
      </w:hyperlink>
    </w:p>
  </w:footnote>
  <w:footnote w:id="37">
    <w:p w14:paraId="4F170F96" w14:textId="77777777" w:rsidR="00DE561F" w:rsidRPr="003A6248" w:rsidRDefault="00DE561F" w:rsidP="00DE561F">
      <w:pPr>
        <w:pStyle w:val="FootnoteText"/>
        <w:rPr>
          <w:rFonts w:cstheme="minorHAnsi"/>
          <w:sz w:val="18"/>
          <w:szCs w:val="18"/>
        </w:rPr>
      </w:pPr>
      <w:r w:rsidRPr="003A6248">
        <w:rPr>
          <w:rStyle w:val="FootnoteReference"/>
          <w:rFonts w:cstheme="minorHAnsi"/>
          <w:sz w:val="18"/>
          <w:szCs w:val="18"/>
        </w:rPr>
        <w:footnoteRef/>
      </w:r>
      <w:r w:rsidRPr="003A6248">
        <w:rPr>
          <w:rFonts w:cstheme="minorHAnsi"/>
          <w:sz w:val="18"/>
          <w:szCs w:val="18"/>
        </w:rPr>
        <w:t xml:space="preserve"> </w:t>
      </w:r>
      <w:hyperlink r:id="rId31" w:history="1">
        <w:r w:rsidRPr="003A6248">
          <w:rPr>
            <w:rStyle w:val="Hyperlink"/>
            <w:rFonts w:cstheme="minorHAnsi"/>
            <w:sz w:val="18"/>
            <w:szCs w:val="18"/>
          </w:rPr>
          <w:t>http://www.renewablessa.sa.gov.au/content/uploads/2019/09/south-australias-hydrogen-action-plan-online.pdf</w:t>
        </w:r>
      </w:hyperlink>
    </w:p>
  </w:footnote>
  <w:footnote w:id="38">
    <w:p w14:paraId="42BDC5D5" w14:textId="77777777" w:rsidR="00DE561F" w:rsidRPr="003A6248" w:rsidRDefault="00DE561F" w:rsidP="00DE561F">
      <w:pPr>
        <w:pStyle w:val="FootnoteText"/>
        <w:rPr>
          <w:rFonts w:cstheme="minorHAnsi"/>
          <w:sz w:val="18"/>
          <w:szCs w:val="18"/>
        </w:rPr>
      </w:pPr>
      <w:r w:rsidRPr="003A6248">
        <w:rPr>
          <w:rFonts w:eastAsia="Times New Roman" w:cstheme="minorHAnsi"/>
          <w:sz w:val="18"/>
          <w:szCs w:val="18"/>
          <w:vertAlign w:val="superscript"/>
        </w:rPr>
        <w:footnoteRef/>
      </w:r>
      <w:r w:rsidRPr="003A6248">
        <w:rPr>
          <w:rFonts w:cstheme="minorHAnsi"/>
          <w:sz w:val="18"/>
          <w:szCs w:val="18"/>
        </w:rPr>
        <w:t xml:space="preserve"> </w:t>
      </w:r>
      <w:r w:rsidRPr="003A6248">
        <w:rPr>
          <w:rFonts w:cstheme="minorHAnsi"/>
          <w:i/>
          <w:iCs/>
          <w:sz w:val="18"/>
          <w:szCs w:val="18"/>
        </w:rPr>
        <w:t>European Heat Pump Statistics and Market Report 2018</w:t>
      </w:r>
      <w:r w:rsidRPr="003A6248">
        <w:rPr>
          <w:rFonts w:cstheme="minorHAnsi"/>
          <w:sz w:val="18"/>
          <w:szCs w:val="18"/>
        </w:rPr>
        <w:t xml:space="preserve"> finds a growing market four years in succession, with over 10 million units sold. </w:t>
      </w:r>
      <w:hyperlink r:id="rId32" w:history="1">
        <w:r w:rsidRPr="003A6248">
          <w:rPr>
            <w:rStyle w:val="Hyperlink0"/>
            <w:rFonts w:eastAsia="Palatino" w:cstheme="minorHAnsi"/>
          </w:rPr>
          <w:t>https://www.researchandmarkets.com/research/6sgzkn/european_heat?w=5</w:t>
        </w:r>
      </w:hyperlink>
    </w:p>
  </w:footnote>
  <w:footnote w:id="39">
    <w:p w14:paraId="055B679B" w14:textId="77777777" w:rsidR="00DE561F" w:rsidRPr="003A6248" w:rsidRDefault="00DE561F" w:rsidP="00DE561F">
      <w:pPr>
        <w:pStyle w:val="FootnoteText"/>
        <w:rPr>
          <w:rFonts w:cstheme="minorHAnsi"/>
          <w:sz w:val="18"/>
          <w:szCs w:val="18"/>
        </w:rPr>
      </w:pPr>
      <w:r w:rsidRPr="003A6248">
        <w:rPr>
          <w:rFonts w:eastAsia="Times New Roman" w:cstheme="minorHAnsi"/>
          <w:sz w:val="18"/>
          <w:szCs w:val="18"/>
          <w:vertAlign w:val="superscript"/>
        </w:rPr>
        <w:footnoteRef/>
      </w:r>
      <w:r w:rsidRPr="003A6248">
        <w:rPr>
          <w:rFonts w:cstheme="minorHAnsi"/>
          <w:sz w:val="18"/>
          <w:szCs w:val="18"/>
        </w:rPr>
        <w:t xml:space="preserve"> </w:t>
      </w:r>
      <w:r w:rsidRPr="003A6248">
        <w:rPr>
          <w:rFonts w:cstheme="minorHAnsi"/>
          <w:i/>
          <w:iCs/>
          <w:sz w:val="18"/>
          <w:szCs w:val="18"/>
        </w:rPr>
        <w:t>Decarbonization of Heating Energy Use in California Buildings</w:t>
      </w:r>
      <w:r w:rsidRPr="003A6248">
        <w:rPr>
          <w:rFonts w:cstheme="minorHAnsi"/>
          <w:sz w:val="18"/>
          <w:szCs w:val="18"/>
        </w:rPr>
        <w:t>, Synapse Energy Economics, Inc; October 2018; p. 1 – States that heat pumps “ today represent a small share of California’s market, due to regulatory barriers and higher upfront costs in older homes.”</w:t>
      </w:r>
    </w:p>
  </w:footnote>
  <w:footnote w:id="40">
    <w:p w14:paraId="099584D5" w14:textId="08496C2D" w:rsidR="00687C81" w:rsidRDefault="00687C81">
      <w:pPr>
        <w:pStyle w:val="FootnoteText"/>
      </w:pPr>
      <w:r>
        <w:rPr>
          <w:rStyle w:val="FootnoteReference"/>
        </w:rPr>
        <w:footnoteRef/>
      </w:r>
      <w:r>
        <w:t xml:space="preserve"> p. 104 </w:t>
      </w:r>
      <w:hyperlink r:id="rId33" w:history="1">
        <w:r w:rsidRPr="00687C81">
          <w:rPr>
            <w:rStyle w:val="Hyperlink"/>
          </w:rPr>
          <w:t>https://ec.europa.eu/clima/sites/clima/files/docs/pages/com_2018_733_analysis_in_support_en_0.pdf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35EED" w14:textId="36411714" w:rsidR="007657C4" w:rsidRDefault="007657C4">
    <w:pPr>
      <w:pStyle w:val="Header"/>
    </w:pPr>
    <w:r w:rsidRPr="007657C4">
      <w:rPr>
        <w:noProof/>
      </w:rPr>
      <w:drawing>
        <wp:anchor distT="0" distB="0" distL="114300" distR="114300" simplePos="0" relativeHeight="251660288" behindDoc="1" locked="0" layoutInCell="1" allowOverlap="1" wp14:anchorId="72EA23CD" wp14:editId="76D6229C">
          <wp:simplePos x="0" y="0"/>
          <wp:positionH relativeFrom="margin">
            <wp:posOffset>-365760</wp:posOffset>
          </wp:positionH>
          <wp:positionV relativeFrom="paragraph">
            <wp:posOffset>-93980</wp:posOffset>
          </wp:positionV>
          <wp:extent cx="3034665" cy="603250"/>
          <wp:effectExtent l="0" t="0" r="635" b="6350"/>
          <wp:wrapTight wrapText="bothSides">
            <wp:wrapPolygon edited="0">
              <wp:start x="2260" y="0"/>
              <wp:lineTo x="1718" y="455"/>
              <wp:lineTo x="542" y="5457"/>
              <wp:lineTo x="542" y="7276"/>
              <wp:lineTo x="0" y="10004"/>
              <wp:lineTo x="0" y="10914"/>
              <wp:lineTo x="542" y="14552"/>
              <wp:lineTo x="542" y="15916"/>
              <wp:lineTo x="1808" y="21373"/>
              <wp:lineTo x="2079" y="21373"/>
              <wp:lineTo x="3345" y="21373"/>
              <wp:lineTo x="18712" y="18644"/>
              <wp:lineTo x="18260" y="14552"/>
              <wp:lineTo x="19254" y="14552"/>
              <wp:lineTo x="21514" y="9549"/>
              <wp:lineTo x="21514" y="4547"/>
              <wp:lineTo x="3164" y="0"/>
              <wp:lineTo x="2260" y="0"/>
            </wp:wrapPolygon>
          </wp:wrapTight>
          <wp:docPr id="32" name="Picture 32" descr="logo_cmyk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cmykOutlines"/>
                  <pic:cNvPicPr>
                    <a:picLocks noChangeAspect="1" noChangeArrowheads="1"/>
                  </pic:cNvPicPr>
                </pic:nvPicPr>
                <pic:blipFill>
                  <a:blip r:embed="rId1"/>
                  <a:srcRect/>
                  <a:stretch>
                    <a:fillRect/>
                  </a:stretch>
                </pic:blipFill>
                <pic:spPr bwMode="auto">
                  <a:xfrm>
                    <a:off x="0" y="0"/>
                    <a:ext cx="3034665" cy="603250"/>
                  </a:xfrm>
                  <a:prstGeom prst="rect">
                    <a:avLst/>
                  </a:prstGeom>
                  <a:noFill/>
                  <a:ln w="9525">
                    <a:noFill/>
                    <a:miter lim="800000"/>
                    <a:headEnd/>
                    <a:tailEnd/>
                  </a:ln>
                </pic:spPr>
              </pic:pic>
            </a:graphicData>
          </a:graphic>
        </wp:anchor>
      </w:drawing>
    </w:r>
    <w:r w:rsidRPr="007657C4">
      <w:rPr>
        <w:noProof/>
      </w:rPr>
      <mc:AlternateContent>
        <mc:Choice Requires="wps">
          <w:drawing>
            <wp:anchor distT="0" distB="0" distL="114300" distR="114300" simplePos="0" relativeHeight="251659264" behindDoc="1" locked="0" layoutInCell="1" allowOverlap="1" wp14:anchorId="634B2B88" wp14:editId="299CFDEB">
              <wp:simplePos x="0" y="0"/>
              <wp:positionH relativeFrom="margin">
                <wp:posOffset>-167640</wp:posOffset>
              </wp:positionH>
              <wp:positionV relativeFrom="paragraph">
                <wp:posOffset>-314960</wp:posOffset>
              </wp:positionV>
              <wp:extent cx="6086475" cy="8763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D7FB9" w14:textId="77777777" w:rsidR="007657C4" w:rsidRPr="005C1F02" w:rsidRDefault="007657C4" w:rsidP="007657C4">
                          <w:pPr>
                            <w:pStyle w:val="NormalWeb"/>
                            <w:ind w:left="2160" w:hanging="2160"/>
                            <w:jc w:val="right"/>
                            <w:rPr>
                              <w:b/>
                              <w:color w:val="460000"/>
                              <w:sz w:val="14"/>
                              <w:szCs w:val="14"/>
                            </w:rPr>
                          </w:pPr>
                          <w:r w:rsidRPr="005C1F02">
                            <w:rPr>
                              <w:b/>
                              <w:color w:val="460000"/>
                              <w:sz w:val="14"/>
                              <w:szCs w:val="14"/>
                            </w:rPr>
                            <w:t xml:space="preserve">               </w:t>
                          </w:r>
                        </w:p>
                        <w:p w14:paraId="46C99F91" w14:textId="77777777" w:rsidR="007657C4" w:rsidRPr="005131B3" w:rsidRDefault="007657C4" w:rsidP="007657C4">
                          <w:pPr>
                            <w:pStyle w:val="NormalWeb"/>
                            <w:ind w:left="2160" w:hanging="2160"/>
                            <w:jc w:val="right"/>
                            <w:rPr>
                              <w:sz w:val="14"/>
                              <w:szCs w:val="14"/>
                            </w:rPr>
                          </w:pPr>
                          <w:r w:rsidRPr="005C1F02">
                            <w:rPr>
                              <w:b/>
                              <w:color w:val="460000"/>
                              <w:sz w:val="14"/>
                              <w:szCs w:val="14"/>
                            </w:rPr>
                            <w:t xml:space="preserve"> </w:t>
                          </w:r>
                          <w:r w:rsidRPr="005131B3">
                            <w:rPr>
                              <w:b/>
                              <w:sz w:val="14"/>
                              <w:szCs w:val="14"/>
                            </w:rPr>
                            <w:t>CA Office</w:t>
                          </w:r>
                          <w:r w:rsidRPr="005131B3">
                            <w:rPr>
                              <w:sz w:val="14"/>
                              <w:szCs w:val="14"/>
                            </w:rPr>
                            <w:t xml:space="preserve">: </w:t>
                          </w:r>
                          <w:r>
                            <w:rPr>
                              <w:sz w:val="14"/>
                              <w:szCs w:val="14"/>
                            </w:rPr>
                            <w:t xml:space="preserve">     18847 Via Sereno</w:t>
                          </w:r>
                          <w:r w:rsidRPr="005131B3">
                            <w:rPr>
                              <w:sz w:val="14"/>
                              <w:szCs w:val="14"/>
                            </w:rPr>
                            <w:t xml:space="preserve">       </w:t>
                          </w:r>
                          <w:r w:rsidRPr="005131B3">
                            <w:rPr>
                              <w:b/>
                              <w:sz w:val="14"/>
                              <w:szCs w:val="14"/>
                            </w:rPr>
                            <w:t xml:space="preserve">DC Office:  </w:t>
                          </w:r>
                          <w:r>
                            <w:rPr>
                              <w:sz w:val="14"/>
                              <w:szCs w:val="14"/>
                            </w:rPr>
                            <w:t>1211 Connecticut Ave NW, Ste 65</w:t>
                          </w:r>
                          <w:r w:rsidRPr="005131B3">
                            <w:rPr>
                              <w:sz w:val="14"/>
                              <w:szCs w:val="14"/>
                            </w:rPr>
                            <w:t>0</w:t>
                          </w:r>
                        </w:p>
                        <w:p w14:paraId="3FFB62D4" w14:textId="77777777" w:rsidR="007657C4" w:rsidRPr="005131B3" w:rsidRDefault="007657C4" w:rsidP="007657C4">
                          <w:pPr>
                            <w:pStyle w:val="NormalWeb"/>
                            <w:ind w:left="2160" w:hanging="2160"/>
                            <w:jc w:val="right"/>
                            <w:rPr>
                              <w:sz w:val="14"/>
                              <w:szCs w:val="14"/>
                              <w:lang w:val="es-ES"/>
                            </w:rPr>
                          </w:pPr>
                          <w:r w:rsidRPr="00FA6539">
                            <w:rPr>
                              <w:sz w:val="14"/>
                              <w:szCs w:val="14"/>
                            </w:rPr>
                            <w:t xml:space="preserve">                                     </w:t>
                          </w:r>
                          <w:r>
                            <w:rPr>
                              <w:sz w:val="14"/>
                              <w:szCs w:val="14"/>
                            </w:rPr>
                            <w:t xml:space="preserve"> </w:t>
                          </w:r>
                          <w:r>
                            <w:rPr>
                              <w:sz w:val="14"/>
                              <w:szCs w:val="14"/>
                              <w:lang w:val="es-ES"/>
                            </w:rPr>
                            <w:t>Yorba Linda, CA 92886</w:t>
                          </w:r>
                          <w:r w:rsidRPr="005131B3">
                            <w:rPr>
                              <w:sz w:val="14"/>
                              <w:szCs w:val="14"/>
                              <w:lang w:val="es-ES"/>
                            </w:rPr>
                            <w:tab/>
                            <w:t>Washington, DC 20036</w:t>
                          </w:r>
                          <w:r w:rsidRPr="005131B3">
                            <w:rPr>
                              <w:sz w:val="14"/>
                              <w:szCs w:val="14"/>
                              <w:lang w:val="es-ES"/>
                            </w:rPr>
                            <w:br/>
                          </w:r>
                        </w:p>
                        <w:p w14:paraId="2A0B4119" w14:textId="77777777" w:rsidR="007657C4" w:rsidRPr="005131B3" w:rsidRDefault="007657C4" w:rsidP="007657C4">
                          <w:pPr>
                            <w:pBdr>
                              <w:bottom w:val="single" w:sz="6" w:space="1" w:color="auto"/>
                            </w:pBdr>
                            <w:contextualSpacing/>
                            <w:jc w:val="right"/>
                            <w:rPr>
                              <w:sz w:val="14"/>
                              <w:szCs w:val="14"/>
                            </w:rPr>
                          </w:pPr>
                          <w:r w:rsidRPr="005131B3">
                            <w:rPr>
                              <w:sz w:val="14"/>
                              <w:szCs w:val="14"/>
                            </w:rPr>
                            <w:t>Phone: (</w:t>
                          </w:r>
                          <w:r>
                            <w:rPr>
                              <w:sz w:val="14"/>
                              <w:szCs w:val="14"/>
                            </w:rPr>
                            <w:t>310</w:t>
                          </w:r>
                          <w:r w:rsidRPr="005131B3">
                            <w:rPr>
                              <w:sz w:val="14"/>
                              <w:szCs w:val="14"/>
                            </w:rPr>
                            <w:t xml:space="preserve">) </w:t>
                          </w:r>
                          <w:r>
                            <w:rPr>
                              <w:sz w:val="14"/>
                              <w:szCs w:val="14"/>
                            </w:rPr>
                            <w:t>455-6095</w:t>
                          </w:r>
                          <w:r w:rsidRPr="005131B3">
                            <w:rPr>
                              <w:sz w:val="14"/>
                              <w:szCs w:val="14"/>
                            </w:rPr>
                            <w:t xml:space="preserve"> | Fax: (202) 223-5537</w:t>
                          </w:r>
                          <w:r w:rsidRPr="005131B3">
                            <w:rPr>
                              <w:sz w:val="14"/>
                              <w:szCs w:val="14"/>
                            </w:rPr>
                            <w:br/>
                            <w:t>info@californiahydrogen.org | www.californiahydrogen.org</w:t>
                          </w:r>
                        </w:p>
                        <w:p w14:paraId="0CCD2D02" w14:textId="77777777" w:rsidR="007657C4" w:rsidRPr="005131B3" w:rsidRDefault="007657C4" w:rsidP="007657C4">
                          <w:pPr>
                            <w:pBdr>
                              <w:bottom w:val="single" w:sz="6" w:space="1" w:color="auto"/>
                            </w:pBdr>
                            <w:contextualSpacing/>
                            <w:jc w:val="right"/>
                            <w:rPr>
                              <w:sz w:val="14"/>
                              <w:szCs w:val="14"/>
                            </w:rPr>
                          </w:pPr>
                        </w:p>
                        <w:p w14:paraId="36445FCC" w14:textId="77777777" w:rsidR="007657C4" w:rsidRPr="005131B3" w:rsidRDefault="007657C4" w:rsidP="007657C4">
                          <w:pPr>
                            <w:contextualSpacing/>
                            <w:jc w:val="right"/>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B2B88" id="_x0000_t202" coordsize="21600,21600" o:spt="202" path="m,l,21600r21600,l21600,xe">
              <v:stroke joinstyle="miter"/>
              <v:path gradientshapeok="t" o:connecttype="rect"/>
            </v:shapetype>
            <v:shape id="Text Box 24" o:spid="_x0000_s1026" type="#_x0000_t202" style="position:absolute;margin-left:-13.2pt;margin-top:-24.8pt;width:479.25pt;height:6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" stroked="f">
              <v:textbox>
                <w:txbxContent>
                  <w:p w14:paraId="1F6D7FB9" w14:textId="77777777" w:rsidR="007657C4" w:rsidRPr="005C1F02" w:rsidRDefault="007657C4" w:rsidP="007657C4">
                    <w:pPr>
                      <w:pStyle w:val="NormalWeb"/>
                      <w:ind w:left="2160" w:hanging="2160"/>
                      <w:jc w:val="right"/>
                      <w:rPr>
                        <w:b/>
                        <w:color w:val="460000"/>
                        <w:sz w:val="14"/>
                        <w:szCs w:val="14"/>
                      </w:rPr>
                    </w:pPr>
                    <w:r w:rsidRPr="005C1F02">
                      <w:rPr>
                        <w:b/>
                        <w:color w:val="460000"/>
                        <w:sz w:val="14"/>
                        <w:szCs w:val="14"/>
                      </w:rPr>
                      <w:t xml:space="preserve">               </w:t>
                    </w:r>
                  </w:p>
                  <w:p w14:paraId="46C99F91" w14:textId="77777777" w:rsidR="007657C4" w:rsidRPr="005131B3" w:rsidRDefault="007657C4" w:rsidP="007657C4">
                    <w:pPr>
                      <w:pStyle w:val="NormalWeb"/>
                      <w:ind w:left="2160" w:hanging="2160"/>
                      <w:jc w:val="right"/>
                      <w:rPr>
                        <w:sz w:val="14"/>
                        <w:szCs w:val="14"/>
                      </w:rPr>
                    </w:pPr>
                    <w:r w:rsidRPr="005C1F02">
                      <w:rPr>
                        <w:b/>
                        <w:color w:val="460000"/>
                        <w:sz w:val="14"/>
                        <w:szCs w:val="14"/>
                      </w:rPr>
                      <w:t xml:space="preserve"> </w:t>
                    </w:r>
                    <w:r w:rsidRPr="005131B3">
                      <w:rPr>
                        <w:b/>
                        <w:sz w:val="14"/>
                        <w:szCs w:val="14"/>
                      </w:rPr>
                      <w:t>CA Office</w:t>
                    </w:r>
                    <w:r w:rsidRPr="005131B3">
                      <w:rPr>
                        <w:sz w:val="14"/>
                        <w:szCs w:val="14"/>
                      </w:rPr>
                      <w:t xml:space="preserve">: </w:t>
                    </w:r>
                    <w:r>
                      <w:rPr>
                        <w:sz w:val="14"/>
                        <w:szCs w:val="14"/>
                      </w:rPr>
                      <w:t xml:space="preserve">     18847 Via Sereno</w:t>
                    </w:r>
                    <w:r w:rsidRPr="005131B3">
                      <w:rPr>
                        <w:sz w:val="14"/>
                        <w:szCs w:val="14"/>
                      </w:rPr>
                      <w:t xml:space="preserve">       </w:t>
                    </w:r>
                    <w:r w:rsidRPr="005131B3">
                      <w:rPr>
                        <w:b/>
                        <w:sz w:val="14"/>
                        <w:szCs w:val="14"/>
                      </w:rPr>
                      <w:t xml:space="preserve">DC Office:  </w:t>
                    </w:r>
                    <w:r>
                      <w:rPr>
                        <w:sz w:val="14"/>
                        <w:szCs w:val="14"/>
                      </w:rPr>
                      <w:t>1211 Connecticut Ave NW, Ste 65</w:t>
                    </w:r>
                    <w:r w:rsidRPr="005131B3">
                      <w:rPr>
                        <w:sz w:val="14"/>
                        <w:szCs w:val="14"/>
                      </w:rPr>
                      <w:t>0</w:t>
                    </w:r>
                  </w:p>
                  <w:p w14:paraId="3FFB62D4" w14:textId="77777777" w:rsidR="007657C4" w:rsidRPr="005131B3" w:rsidRDefault="007657C4" w:rsidP="007657C4">
                    <w:pPr>
                      <w:pStyle w:val="NormalWeb"/>
                      <w:ind w:left="2160" w:hanging="2160"/>
                      <w:jc w:val="right"/>
                      <w:rPr>
                        <w:sz w:val="14"/>
                        <w:szCs w:val="14"/>
                        <w:lang w:val="es-ES"/>
                      </w:rPr>
                    </w:pPr>
                    <w:r w:rsidRPr="00FA6539">
                      <w:rPr>
                        <w:sz w:val="14"/>
                        <w:szCs w:val="14"/>
                      </w:rPr>
                      <w:t xml:space="preserve">                                     </w:t>
                    </w:r>
                    <w:r>
                      <w:rPr>
                        <w:sz w:val="14"/>
                        <w:szCs w:val="14"/>
                      </w:rPr>
                      <w:t xml:space="preserve"> </w:t>
                    </w:r>
                    <w:proofErr w:type="spellStart"/>
                    <w:r>
                      <w:rPr>
                        <w:sz w:val="14"/>
                        <w:szCs w:val="14"/>
                        <w:lang w:val="es-ES"/>
                      </w:rPr>
                      <w:t>Yorba</w:t>
                    </w:r>
                    <w:proofErr w:type="spellEnd"/>
                    <w:r>
                      <w:rPr>
                        <w:sz w:val="14"/>
                        <w:szCs w:val="14"/>
                        <w:lang w:val="es-ES"/>
                      </w:rPr>
                      <w:t xml:space="preserve"> Linda, CA 92886</w:t>
                    </w:r>
                    <w:r w:rsidRPr="005131B3">
                      <w:rPr>
                        <w:sz w:val="14"/>
                        <w:szCs w:val="14"/>
                        <w:lang w:val="es-ES"/>
                      </w:rPr>
                      <w:tab/>
                      <w:t>Washington, DC 20036</w:t>
                    </w:r>
                    <w:r w:rsidRPr="005131B3">
                      <w:rPr>
                        <w:sz w:val="14"/>
                        <w:szCs w:val="14"/>
                        <w:lang w:val="es-ES"/>
                      </w:rPr>
                      <w:br/>
                    </w:r>
                  </w:p>
                  <w:p w14:paraId="2A0B4119" w14:textId="77777777" w:rsidR="007657C4" w:rsidRPr="005131B3" w:rsidRDefault="007657C4" w:rsidP="007657C4">
                    <w:pPr>
                      <w:pBdr>
                        <w:bottom w:val="single" w:sz="6" w:space="1" w:color="auto"/>
                      </w:pBdr>
                      <w:contextualSpacing/>
                      <w:jc w:val="right"/>
                      <w:rPr>
                        <w:sz w:val="14"/>
                        <w:szCs w:val="14"/>
                      </w:rPr>
                    </w:pPr>
                    <w:r w:rsidRPr="005131B3">
                      <w:rPr>
                        <w:sz w:val="14"/>
                        <w:szCs w:val="14"/>
                      </w:rPr>
                      <w:t>Phone: (</w:t>
                    </w:r>
                    <w:r>
                      <w:rPr>
                        <w:sz w:val="14"/>
                        <w:szCs w:val="14"/>
                      </w:rPr>
                      <w:t>310</w:t>
                    </w:r>
                    <w:r w:rsidRPr="005131B3">
                      <w:rPr>
                        <w:sz w:val="14"/>
                        <w:szCs w:val="14"/>
                      </w:rPr>
                      <w:t xml:space="preserve">) </w:t>
                    </w:r>
                    <w:r>
                      <w:rPr>
                        <w:sz w:val="14"/>
                        <w:szCs w:val="14"/>
                      </w:rPr>
                      <w:t>455-6095</w:t>
                    </w:r>
                    <w:r w:rsidRPr="005131B3">
                      <w:rPr>
                        <w:sz w:val="14"/>
                        <w:szCs w:val="14"/>
                      </w:rPr>
                      <w:t xml:space="preserve"> | Fax: (202) 223-5537</w:t>
                    </w:r>
                    <w:r w:rsidRPr="005131B3">
                      <w:rPr>
                        <w:sz w:val="14"/>
                        <w:szCs w:val="14"/>
                      </w:rPr>
                      <w:br/>
                      <w:t>info@californiahydrogen.org | www.californiahydrogen.org</w:t>
                    </w:r>
                  </w:p>
                  <w:p w14:paraId="0CCD2D02" w14:textId="77777777" w:rsidR="007657C4" w:rsidRPr="005131B3" w:rsidRDefault="007657C4" w:rsidP="007657C4">
                    <w:pPr>
                      <w:pBdr>
                        <w:bottom w:val="single" w:sz="6" w:space="1" w:color="auto"/>
                      </w:pBdr>
                      <w:contextualSpacing/>
                      <w:jc w:val="right"/>
                      <w:rPr>
                        <w:sz w:val="14"/>
                        <w:szCs w:val="14"/>
                      </w:rPr>
                    </w:pPr>
                  </w:p>
                  <w:p w14:paraId="36445FCC" w14:textId="77777777" w:rsidR="007657C4" w:rsidRPr="005131B3" w:rsidRDefault="007657C4" w:rsidP="007657C4">
                    <w:pPr>
                      <w:contextualSpacing/>
                      <w:jc w:val="right"/>
                      <w:rPr>
                        <w:sz w:val="14"/>
                        <w:szCs w:val="14"/>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20133"/>
    <w:multiLevelType w:val="hybridMultilevel"/>
    <w:tmpl w:val="C334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60A63"/>
    <w:multiLevelType w:val="hybridMultilevel"/>
    <w:tmpl w:val="5FA25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A12D94"/>
    <w:multiLevelType w:val="hybridMultilevel"/>
    <w:tmpl w:val="ECE81ED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122946"/>
    <w:multiLevelType w:val="hybridMultilevel"/>
    <w:tmpl w:val="5EA44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B63C79"/>
    <w:multiLevelType w:val="hybridMultilevel"/>
    <w:tmpl w:val="F342DCEE"/>
    <w:lvl w:ilvl="0" w:tplc="115A0EB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06687"/>
    <w:multiLevelType w:val="hybridMultilevel"/>
    <w:tmpl w:val="5B74FB3E"/>
    <w:lvl w:ilvl="0" w:tplc="8D405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E06CBE"/>
    <w:multiLevelType w:val="hybridMultilevel"/>
    <w:tmpl w:val="C4DCD0A6"/>
    <w:lvl w:ilvl="0" w:tplc="A18881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41630"/>
    <w:multiLevelType w:val="hybridMultilevel"/>
    <w:tmpl w:val="C2A6E822"/>
    <w:lvl w:ilvl="0" w:tplc="AF0AC0FC">
      <w:start w:val="1"/>
      <w:numFmt w:val="upperRoman"/>
      <w:lvlText w:val="%1."/>
      <w:lvlJc w:val="left"/>
      <w:pPr>
        <w:ind w:left="1080" w:hanging="720"/>
      </w:pPr>
      <w:rPr>
        <w:rFonts w:hint="default"/>
      </w:rPr>
    </w:lvl>
    <w:lvl w:ilvl="1" w:tplc="0409000F">
      <w:start w:val="1"/>
      <w:numFmt w:val="decimal"/>
      <w:lvlText w:val="%2."/>
      <w:lvlJc w:val="left"/>
      <w:pPr>
        <w:ind w:left="1440" w:hanging="360"/>
      </w:pPr>
      <w:rPr>
        <w:b/>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5D"/>
    <w:rsid w:val="00005A58"/>
    <w:rsid w:val="00016A09"/>
    <w:rsid w:val="00043DD5"/>
    <w:rsid w:val="00062F29"/>
    <w:rsid w:val="000854F8"/>
    <w:rsid w:val="000C7A20"/>
    <w:rsid w:val="001425D8"/>
    <w:rsid w:val="00152F6A"/>
    <w:rsid w:val="001A0CE2"/>
    <w:rsid w:val="001E2154"/>
    <w:rsid w:val="001F6866"/>
    <w:rsid w:val="002108C5"/>
    <w:rsid w:val="00224D29"/>
    <w:rsid w:val="00233694"/>
    <w:rsid w:val="00247DAD"/>
    <w:rsid w:val="00280E0B"/>
    <w:rsid w:val="002A0AE3"/>
    <w:rsid w:val="002D3681"/>
    <w:rsid w:val="002D62D4"/>
    <w:rsid w:val="002E770D"/>
    <w:rsid w:val="00394E25"/>
    <w:rsid w:val="00400222"/>
    <w:rsid w:val="004276B9"/>
    <w:rsid w:val="00440099"/>
    <w:rsid w:val="0047483A"/>
    <w:rsid w:val="0047504A"/>
    <w:rsid w:val="00480D1B"/>
    <w:rsid w:val="004B14B8"/>
    <w:rsid w:val="00511DDA"/>
    <w:rsid w:val="005169BF"/>
    <w:rsid w:val="0061310B"/>
    <w:rsid w:val="00633C38"/>
    <w:rsid w:val="006448DC"/>
    <w:rsid w:val="00681A44"/>
    <w:rsid w:val="00687C81"/>
    <w:rsid w:val="006C4EC7"/>
    <w:rsid w:val="00725EB7"/>
    <w:rsid w:val="0073328F"/>
    <w:rsid w:val="007657C4"/>
    <w:rsid w:val="00791AB2"/>
    <w:rsid w:val="007927D7"/>
    <w:rsid w:val="00793800"/>
    <w:rsid w:val="007C185D"/>
    <w:rsid w:val="007C4B7C"/>
    <w:rsid w:val="00804F8B"/>
    <w:rsid w:val="00805B63"/>
    <w:rsid w:val="008A1593"/>
    <w:rsid w:val="008C647D"/>
    <w:rsid w:val="008D4037"/>
    <w:rsid w:val="00923FA1"/>
    <w:rsid w:val="00924AC5"/>
    <w:rsid w:val="0094282A"/>
    <w:rsid w:val="00977245"/>
    <w:rsid w:val="009B2EBC"/>
    <w:rsid w:val="009B2F27"/>
    <w:rsid w:val="009C3671"/>
    <w:rsid w:val="00A2602E"/>
    <w:rsid w:val="00A57F74"/>
    <w:rsid w:val="00A74F22"/>
    <w:rsid w:val="00A834A4"/>
    <w:rsid w:val="00A93EF6"/>
    <w:rsid w:val="00AD024E"/>
    <w:rsid w:val="00AD68F4"/>
    <w:rsid w:val="00AE7A1C"/>
    <w:rsid w:val="00B31F41"/>
    <w:rsid w:val="00C02210"/>
    <w:rsid w:val="00C22EFC"/>
    <w:rsid w:val="00C25AD1"/>
    <w:rsid w:val="00C67574"/>
    <w:rsid w:val="00C92EA6"/>
    <w:rsid w:val="00CA0432"/>
    <w:rsid w:val="00CC3DF9"/>
    <w:rsid w:val="00CD068A"/>
    <w:rsid w:val="00CE5A73"/>
    <w:rsid w:val="00CF160C"/>
    <w:rsid w:val="00D00450"/>
    <w:rsid w:val="00D03546"/>
    <w:rsid w:val="00D10B09"/>
    <w:rsid w:val="00D1560E"/>
    <w:rsid w:val="00D474BA"/>
    <w:rsid w:val="00D6381F"/>
    <w:rsid w:val="00D8572B"/>
    <w:rsid w:val="00DD79B0"/>
    <w:rsid w:val="00DE561F"/>
    <w:rsid w:val="00DF7D81"/>
    <w:rsid w:val="00E21644"/>
    <w:rsid w:val="00E556DD"/>
    <w:rsid w:val="00EA5243"/>
    <w:rsid w:val="00EC4699"/>
    <w:rsid w:val="00EE02DB"/>
    <w:rsid w:val="00F21ECB"/>
    <w:rsid w:val="00F2332E"/>
    <w:rsid w:val="00F43BB1"/>
    <w:rsid w:val="00F55F86"/>
    <w:rsid w:val="00FB319D"/>
    <w:rsid w:val="00FB3E4C"/>
    <w:rsid w:val="00FC3C33"/>
    <w:rsid w:val="00FE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D5B6"/>
  <w15:chartTrackingRefBased/>
  <w15:docId w15:val="{6F011753-3F52-D540-9F18-F6AD51C6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85D"/>
    <w:pPr>
      <w:ind w:left="720"/>
      <w:contextualSpacing/>
    </w:pPr>
  </w:style>
  <w:style w:type="paragraph" w:styleId="FootnoteText">
    <w:name w:val="footnote text"/>
    <w:aliases w:val="Footnote Text Char1,Footnote Text Char Char,TBG Style Char Char Char,Footnote Text Char2,TBG Style Char Char,Footnote Text Char3 Char,Footnote Text Char Char Char,Footnote Text Char1 Char Char Char,Footnote Text Char3,f,fn,ft,ft Char,Char1"/>
    <w:basedOn w:val="Normal"/>
    <w:link w:val="FootnoteTextChar"/>
    <w:uiPriority w:val="99"/>
    <w:unhideWhenUsed/>
    <w:qFormat/>
    <w:rsid w:val="0094282A"/>
    <w:rPr>
      <w:sz w:val="20"/>
      <w:szCs w:val="20"/>
    </w:rPr>
  </w:style>
  <w:style w:type="character" w:customStyle="1" w:styleId="FootnoteTextChar">
    <w:name w:val="Footnote Text Char"/>
    <w:aliases w:val="Footnote Text Char1 Char,Footnote Text Char Char Char1,TBG Style Char Char Char Char,Footnote Text Char2 Char,TBG Style Char Char Char1,Footnote Text Char3 Char Char,Footnote Text Char Char Char Char,Footnote Text Char3 Char1,f Char"/>
    <w:basedOn w:val="DefaultParagraphFont"/>
    <w:link w:val="FootnoteText"/>
    <w:uiPriority w:val="99"/>
    <w:rsid w:val="0094282A"/>
    <w:rPr>
      <w:sz w:val="20"/>
      <w:szCs w:val="20"/>
    </w:rPr>
  </w:style>
  <w:style w:type="character" w:styleId="FootnoteReference">
    <w:name w:val="footnote reference"/>
    <w:aliases w:val="o,o + Times New Roman,fr,Style 3,o1,o2,o3,o4,o5,o6,o11,o21,o7,Style 12,(NECG) Footnote Reference,Appel note de bas de p,Style 124,Style 24,Style 17,Style 11,Style 28,Style 8,Style 13,Style 15,Style 9,fr1,fr2,fr3,Style 18,Style 20"/>
    <w:basedOn w:val="DefaultParagraphFont"/>
    <w:uiPriority w:val="99"/>
    <w:unhideWhenUsed/>
    <w:qFormat/>
    <w:rsid w:val="0094282A"/>
    <w:rPr>
      <w:vertAlign w:val="superscript"/>
    </w:r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927D7"/>
    <w:rPr>
      <w:color w:val="0000FF"/>
      <w:u w:val="single"/>
    </w:rPr>
  </w:style>
  <w:style w:type="character" w:styleId="UnresolvedMention">
    <w:name w:val="Unresolved Mention"/>
    <w:basedOn w:val="DefaultParagraphFont"/>
    <w:uiPriority w:val="99"/>
    <w:semiHidden/>
    <w:unhideWhenUsed/>
    <w:rsid w:val="00CF160C"/>
    <w:rPr>
      <w:color w:val="605E5C"/>
      <w:shd w:val="clear" w:color="auto" w:fill="E1DFDD"/>
    </w:rPr>
  </w:style>
  <w:style w:type="paragraph" w:customStyle="1" w:styleId="Body">
    <w:name w:val="Body"/>
    <w:rsid w:val="00DE561F"/>
    <w:pPr>
      <w:pBdr>
        <w:top w:val="nil"/>
        <w:left w:val="nil"/>
        <w:bottom w:val="nil"/>
        <w:right w:val="nil"/>
        <w:between w:val="nil"/>
        <w:bar w:val="nil"/>
      </w:pBdr>
    </w:pPr>
    <w:rPr>
      <w:rFonts w:ascii="Palatino" w:eastAsia="Arial Unicode MS" w:hAnsi="Palatino" w:cs="Arial Unicode MS"/>
      <w:color w:val="000000"/>
      <w:sz w:val="26"/>
      <w:szCs w:val="26"/>
      <w:u w:color="000000"/>
      <w:bdr w:val="nil"/>
      <w:lang w:val="de-DE"/>
      <w14:textOutline w14:w="0" w14:cap="flat" w14:cmpd="sng" w14:algn="ctr">
        <w14:noFill/>
        <w14:prstDash w14:val="solid"/>
        <w14:bevel/>
      </w14:textOutline>
    </w:rPr>
  </w:style>
  <w:style w:type="character" w:customStyle="1" w:styleId="Hyperlink0">
    <w:name w:val="Hyperlink.0"/>
    <w:basedOn w:val="DefaultParagraphFont"/>
    <w:rsid w:val="00DE561F"/>
    <w:rPr>
      <w:rFonts w:ascii="Times New Roman" w:eastAsia="Times New Roman" w:hAnsi="Times New Roman" w:cs="Times New Roman"/>
      <w:color w:val="0000FF"/>
      <w:sz w:val="18"/>
      <w:szCs w:val="18"/>
      <w:u w:val="single" w:color="0000FF"/>
      <w14:textOutline w14:w="0" w14:cap="rnd" w14:cmpd="sng" w14:algn="ctr">
        <w14:noFill/>
        <w14:prstDash w14:val="solid"/>
        <w14:bevel/>
      </w14:textOutline>
    </w:rPr>
  </w:style>
  <w:style w:type="paragraph" w:customStyle="1" w:styleId="yiv1646857039msonormal">
    <w:name w:val="yiv1646857039msonormal"/>
    <w:basedOn w:val="Normal"/>
    <w:rsid w:val="00DE561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F6866"/>
    <w:rPr>
      <w:color w:val="954F72" w:themeColor="followedHyperlink"/>
      <w:u w:val="single"/>
    </w:rPr>
  </w:style>
  <w:style w:type="character" w:styleId="CommentReference">
    <w:name w:val="annotation reference"/>
    <w:basedOn w:val="DefaultParagraphFont"/>
    <w:uiPriority w:val="99"/>
    <w:semiHidden/>
    <w:unhideWhenUsed/>
    <w:rsid w:val="00D474BA"/>
    <w:rPr>
      <w:sz w:val="16"/>
      <w:szCs w:val="16"/>
    </w:rPr>
  </w:style>
  <w:style w:type="paragraph" w:styleId="CommentText">
    <w:name w:val="annotation text"/>
    <w:basedOn w:val="Normal"/>
    <w:link w:val="CommentTextChar"/>
    <w:uiPriority w:val="99"/>
    <w:semiHidden/>
    <w:unhideWhenUsed/>
    <w:rsid w:val="00D474BA"/>
    <w:rPr>
      <w:sz w:val="20"/>
      <w:szCs w:val="20"/>
    </w:rPr>
  </w:style>
  <w:style w:type="character" w:customStyle="1" w:styleId="CommentTextChar">
    <w:name w:val="Comment Text Char"/>
    <w:basedOn w:val="DefaultParagraphFont"/>
    <w:link w:val="CommentText"/>
    <w:uiPriority w:val="99"/>
    <w:semiHidden/>
    <w:rsid w:val="00D474BA"/>
    <w:rPr>
      <w:sz w:val="20"/>
      <w:szCs w:val="20"/>
    </w:rPr>
  </w:style>
  <w:style w:type="paragraph" w:styleId="CommentSubject">
    <w:name w:val="annotation subject"/>
    <w:basedOn w:val="CommentText"/>
    <w:next w:val="CommentText"/>
    <w:link w:val="CommentSubjectChar"/>
    <w:uiPriority w:val="99"/>
    <w:semiHidden/>
    <w:unhideWhenUsed/>
    <w:rsid w:val="00D474BA"/>
    <w:rPr>
      <w:b/>
      <w:bCs/>
    </w:rPr>
  </w:style>
  <w:style w:type="character" w:customStyle="1" w:styleId="CommentSubjectChar">
    <w:name w:val="Comment Subject Char"/>
    <w:basedOn w:val="CommentTextChar"/>
    <w:link w:val="CommentSubject"/>
    <w:uiPriority w:val="99"/>
    <w:semiHidden/>
    <w:rsid w:val="00D474BA"/>
    <w:rPr>
      <w:b/>
      <w:bCs/>
      <w:sz w:val="20"/>
      <w:szCs w:val="20"/>
    </w:rPr>
  </w:style>
  <w:style w:type="paragraph" w:styleId="Revision">
    <w:name w:val="Revision"/>
    <w:hidden/>
    <w:uiPriority w:val="99"/>
    <w:semiHidden/>
    <w:rsid w:val="00D474BA"/>
  </w:style>
  <w:style w:type="paragraph" w:styleId="BalloonText">
    <w:name w:val="Balloon Text"/>
    <w:basedOn w:val="Normal"/>
    <w:link w:val="BalloonTextChar"/>
    <w:uiPriority w:val="99"/>
    <w:semiHidden/>
    <w:unhideWhenUsed/>
    <w:rsid w:val="00D47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4BA"/>
    <w:rPr>
      <w:rFonts w:ascii="Segoe UI" w:hAnsi="Segoe UI" w:cs="Segoe UI"/>
      <w:sz w:val="18"/>
      <w:szCs w:val="18"/>
    </w:rPr>
  </w:style>
  <w:style w:type="paragraph" w:styleId="Header">
    <w:name w:val="header"/>
    <w:basedOn w:val="Normal"/>
    <w:link w:val="HeaderChar"/>
    <w:uiPriority w:val="99"/>
    <w:unhideWhenUsed/>
    <w:rsid w:val="007657C4"/>
    <w:pPr>
      <w:tabs>
        <w:tab w:val="center" w:pos="4680"/>
        <w:tab w:val="right" w:pos="9360"/>
      </w:tabs>
    </w:pPr>
  </w:style>
  <w:style w:type="character" w:customStyle="1" w:styleId="HeaderChar">
    <w:name w:val="Header Char"/>
    <w:basedOn w:val="DefaultParagraphFont"/>
    <w:link w:val="Header"/>
    <w:uiPriority w:val="99"/>
    <w:rsid w:val="007657C4"/>
  </w:style>
  <w:style w:type="paragraph" w:styleId="Footer">
    <w:name w:val="footer"/>
    <w:basedOn w:val="Normal"/>
    <w:link w:val="FooterChar"/>
    <w:uiPriority w:val="99"/>
    <w:unhideWhenUsed/>
    <w:rsid w:val="007657C4"/>
    <w:pPr>
      <w:tabs>
        <w:tab w:val="center" w:pos="4680"/>
        <w:tab w:val="right" w:pos="9360"/>
      </w:tabs>
    </w:pPr>
  </w:style>
  <w:style w:type="character" w:customStyle="1" w:styleId="FooterChar">
    <w:name w:val="Footer Char"/>
    <w:basedOn w:val="DefaultParagraphFont"/>
    <w:link w:val="Footer"/>
    <w:uiPriority w:val="99"/>
    <w:rsid w:val="0076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869060">
      <w:bodyDiv w:val="1"/>
      <w:marLeft w:val="0"/>
      <w:marRight w:val="0"/>
      <w:marTop w:val="0"/>
      <w:marBottom w:val="0"/>
      <w:divBdr>
        <w:top w:val="none" w:sz="0" w:space="0" w:color="auto"/>
        <w:left w:val="none" w:sz="0" w:space="0" w:color="auto"/>
        <w:bottom w:val="none" w:sz="0" w:space="0" w:color="auto"/>
        <w:right w:val="none" w:sz="0" w:space="0" w:color="auto"/>
      </w:divBdr>
    </w:div>
    <w:div w:id="566039581">
      <w:bodyDiv w:val="1"/>
      <w:marLeft w:val="0"/>
      <w:marRight w:val="0"/>
      <w:marTop w:val="0"/>
      <w:marBottom w:val="0"/>
      <w:divBdr>
        <w:top w:val="none" w:sz="0" w:space="0" w:color="auto"/>
        <w:left w:val="none" w:sz="0" w:space="0" w:color="auto"/>
        <w:bottom w:val="none" w:sz="0" w:space="0" w:color="auto"/>
        <w:right w:val="none" w:sz="0" w:space="0" w:color="auto"/>
      </w:divBdr>
      <w:divsChild>
        <w:div w:id="2087531991">
          <w:marLeft w:val="0"/>
          <w:marRight w:val="0"/>
          <w:marTop w:val="0"/>
          <w:marBottom w:val="0"/>
          <w:divBdr>
            <w:top w:val="none" w:sz="0" w:space="0" w:color="auto"/>
            <w:left w:val="none" w:sz="0" w:space="0" w:color="auto"/>
            <w:bottom w:val="none" w:sz="0" w:space="0" w:color="auto"/>
            <w:right w:val="none" w:sz="0" w:space="0" w:color="auto"/>
          </w:divBdr>
          <w:divsChild>
            <w:div w:id="1665356812">
              <w:marLeft w:val="0"/>
              <w:marRight w:val="0"/>
              <w:marTop w:val="0"/>
              <w:marBottom w:val="0"/>
              <w:divBdr>
                <w:top w:val="none" w:sz="0" w:space="0" w:color="auto"/>
                <w:left w:val="none" w:sz="0" w:space="0" w:color="auto"/>
                <w:bottom w:val="none" w:sz="0" w:space="0" w:color="auto"/>
                <w:right w:val="none" w:sz="0" w:space="0" w:color="auto"/>
              </w:divBdr>
              <w:divsChild>
                <w:div w:id="16532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9633">
      <w:bodyDiv w:val="1"/>
      <w:marLeft w:val="0"/>
      <w:marRight w:val="0"/>
      <w:marTop w:val="0"/>
      <w:marBottom w:val="0"/>
      <w:divBdr>
        <w:top w:val="none" w:sz="0" w:space="0" w:color="auto"/>
        <w:left w:val="none" w:sz="0" w:space="0" w:color="auto"/>
        <w:bottom w:val="none" w:sz="0" w:space="0" w:color="auto"/>
        <w:right w:val="none" w:sz="0" w:space="0" w:color="auto"/>
      </w:divBdr>
    </w:div>
    <w:div w:id="713312161">
      <w:bodyDiv w:val="1"/>
      <w:marLeft w:val="0"/>
      <w:marRight w:val="0"/>
      <w:marTop w:val="0"/>
      <w:marBottom w:val="0"/>
      <w:divBdr>
        <w:top w:val="none" w:sz="0" w:space="0" w:color="auto"/>
        <w:left w:val="none" w:sz="0" w:space="0" w:color="auto"/>
        <w:bottom w:val="none" w:sz="0" w:space="0" w:color="auto"/>
        <w:right w:val="none" w:sz="0" w:space="0" w:color="auto"/>
      </w:divBdr>
      <w:divsChild>
        <w:div w:id="749810522">
          <w:marLeft w:val="0"/>
          <w:marRight w:val="0"/>
          <w:marTop w:val="0"/>
          <w:marBottom w:val="0"/>
          <w:divBdr>
            <w:top w:val="none" w:sz="0" w:space="0" w:color="auto"/>
            <w:left w:val="none" w:sz="0" w:space="0" w:color="auto"/>
            <w:bottom w:val="none" w:sz="0" w:space="0" w:color="auto"/>
            <w:right w:val="none" w:sz="0" w:space="0" w:color="auto"/>
          </w:divBdr>
          <w:divsChild>
            <w:div w:id="1799301157">
              <w:marLeft w:val="0"/>
              <w:marRight w:val="0"/>
              <w:marTop w:val="0"/>
              <w:marBottom w:val="0"/>
              <w:divBdr>
                <w:top w:val="none" w:sz="0" w:space="0" w:color="auto"/>
                <w:left w:val="none" w:sz="0" w:space="0" w:color="auto"/>
                <w:bottom w:val="none" w:sz="0" w:space="0" w:color="auto"/>
                <w:right w:val="none" w:sz="0" w:space="0" w:color="auto"/>
              </w:divBdr>
              <w:divsChild>
                <w:div w:id="10315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9855">
      <w:bodyDiv w:val="1"/>
      <w:marLeft w:val="0"/>
      <w:marRight w:val="0"/>
      <w:marTop w:val="0"/>
      <w:marBottom w:val="0"/>
      <w:divBdr>
        <w:top w:val="none" w:sz="0" w:space="0" w:color="auto"/>
        <w:left w:val="none" w:sz="0" w:space="0" w:color="auto"/>
        <w:bottom w:val="none" w:sz="0" w:space="0" w:color="auto"/>
        <w:right w:val="none" w:sz="0" w:space="0" w:color="auto"/>
      </w:divBdr>
      <w:divsChild>
        <w:div w:id="908734265">
          <w:marLeft w:val="0"/>
          <w:marRight w:val="0"/>
          <w:marTop w:val="0"/>
          <w:marBottom w:val="0"/>
          <w:divBdr>
            <w:top w:val="none" w:sz="0" w:space="0" w:color="auto"/>
            <w:left w:val="none" w:sz="0" w:space="0" w:color="auto"/>
            <w:bottom w:val="none" w:sz="0" w:space="0" w:color="auto"/>
            <w:right w:val="none" w:sz="0" w:space="0" w:color="auto"/>
          </w:divBdr>
          <w:divsChild>
            <w:div w:id="962922575">
              <w:marLeft w:val="0"/>
              <w:marRight w:val="0"/>
              <w:marTop w:val="0"/>
              <w:marBottom w:val="0"/>
              <w:divBdr>
                <w:top w:val="none" w:sz="0" w:space="0" w:color="auto"/>
                <w:left w:val="none" w:sz="0" w:space="0" w:color="auto"/>
                <w:bottom w:val="none" w:sz="0" w:space="0" w:color="auto"/>
                <w:right w:val="none" w:sz="0" w:space="0" w:color="auto"/>
              </w:divBdr>
              <w:divsChild>
                <w:div w:id="21045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7024">
      <w:bodyDiv w:val="1"/>
      <w:marLeft w:val="0"/>
      <w:marRight w:val="0"/>
      <w:marTop w:val="0"/>
      <w:marBottom w:val="0"/>
      <w:divBdr>
        <w:top w:val="none" w:sz="0" w:space="0" w:color="auto"/>
        <w:left w:val="none" w:sz="0" w:space="0" w:color="auto"/>
        <w:bottom w:val="none" w:sz="0" w:space="0" w:color="auto"/>
        <w:right w:val="none" w:sz="0" w:space="0" w:color="auto"/>
      </w:divBdr>
    </w:div>
    <w:div w:id="1012224633">
      <w:bodyDiv w:val="1"/>
      <w:marLeft w:val="0"/>
      <w:marRight w:val="0"/>
      <w:marTop w:val="0"/>
      <w:marBottom w:val="0"/>
      <w:divBdr>
        <w:top w:val="none" w:sz="0" w:space="0" w:color="auto"/>
        <w:left w:val="none" w:sz="0" w:space="0" w:color="auto"/>
        <w:bottom w:val="none" w:sz="0" w:space="0" w:color="auto"/>
        <w:right w:val="none" w:sz="0" w:space="0" w:color="auto"/>
      </w:divBdr>
      <w:divsChild>
        <w:div w:id="1377972836">
          <w:marLeft w:val="0"/>
          <w:marRight w:val="0"/>
          <w:marTop w:val="0"/>
          <w:marBottom w:val="0"/>
          <w:divBdr>
            <w:top w:val="none" w:sz="0" w:space="0" w:color="auto"/>
            <w:left w:val="none" w:sz="0" w:space="0" w:color="auto"/>
            <w:bottom w:val="none" w:sz="0" w:space="0" w:color="auto"/>
            <w:right w:val="none" w:sz="0" w:space="0" w:color="auto"/>
          </w:divBdr>
          <w:divsChild>
            <w:div w:id="903877862">
              <w:marLeft w:val="0"/>
              <w:marRight w:val="0"/>
              <w:marTop w:val="0"/>
              <w:marBottom w:val="0"/>
              <w:divBdr>
                <w:top w:val="none" w:sz="0" w:space="0" w:color="auto"/>
                <w:left w:val="none" w:sz="0" w:space="0" w:color="auto"/>
                <w:bottom w:val="none" w:sz="0" w:space="0" w:color="auto"/>
                <w:right w:val="none" w:sz="0" w:space="0" w:color="auto"/>
              </w:divBdr>
              <w:divsChild>
                <w:div w:id="11772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41892">
      <w:bodyDiv w:val="1"/>
      <w:marLeft w:val="0"/>
      <w:marRight w:val="0"/>
      <w:marTop w:val="0"/>
      <w:marBottom w:val="0"/>
      <w:divBdr>
        <w:top w:val="none" w:sz="0" w:space="0" w:color="auto"/>
        <w:left w:val="none" w:sz="0" w:space="0" w:color="auto"/>
        <w:bottom w:val="none" w:sz="0" w:space="0" w:color="auto"/>
        <w:right w:val="none" w:sz="0" w:space="0" w:color="auto"/>
      </w:divBdr>
      <w:divsChild>
        <w:div w:id="127624194">
          <w:marLeft w:val="0"/>
          <w:marRight w:val="0"/>
          <w:marTop w:val="0"/>
          <w:marBottom w:val="0"/>
          <w:divBdr>
            <w:top w:val="none" w:sz="0" w:space="0" w:color="auto"/>
            <w:left w:val="none" w:sz="0" w:space="0" w:color="auto"/>
            <w:bottom w:val="none" w:sz="0" w:space="0" w:color="auto"/>
            <w:right w:val="none" w:sz="0" w:space="0" w:color="auto"/>
          </w:divBdr>
          <w:divsChild>
            <w:div w:id="651059203">
              <w:marLeft w:val="0"/>
              <w:marRight w:val="0"/>
              <w:marTop w:val="0"/>
              <w:marBottom w:val="0"/>
              <w:divBdr>
                <w:top w:val="none" w:sz="0" w:space="0" w:color="auto"/>
                <w:left w:val="none" w:sz="0" w:space="0" w:color="auto"/>
                <w:bottom w:val="none" w:sz="0" w:space="0" w:color="auto"/>
                <w:right w:val="none" w:sz="0" w:space="0" w:color="auto"/>
              </w:divBdr>
              <w:divsChild>
                <w:div w:id="6634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22467">
      <w:bodyDiv w:val="1"/>
      <w:marLeft w:val="0"/>
      <w:marRight w:val="0"/>
      <w:marTop w:val="0"/>
      <w:marBottom w:val="0"/>
      <w:divBdr>
        <w:top w:val="none" w:sz="0" w:space="0" w:color="auto"/>
        <w:left w:val="none" w:sz="0" w:space="0" w:color="auto"/>
        <w:bottom w:val="none" w:sz="0" w:space="0" w:color="auto"/>
        <w:right w:val="none" w:sz="0" w:space="0" w:color="auto"/>
      </w:divBdr>
    </w:div>
    <w:div w:id="15353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zobel@californiahydrogen.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nergy.gov/eere/electricvehicles/charging-home" TargetMode="External"/><Relationship Id="rId18" Type="http://schemas.openxmlformats.org/officeDocument/2006/relationships/hyperlink" Target="https://www.ethree.com/wp-content/uploads/2019/04/E3_Residential_Building_Electrification_in_California_April_2019.pdf" TargetMode="External"/><Relationship Id="rId26" Type="http://schemas.openxmlformats.org/officeDocument/2006/relationships/hyperlink" Target="https://www.h21.green/projects/h21-leeds-city-gate/" TargetMode="External"/><Relationship Id="rId3" Type="http://schemas.openxmlformats.org/officeDocument/2006/relationships/hyperlink" Target="https://data.bloomberglp.com/professional/sites/24/BNEF-Hydrogen-Economy-Outlook-Key-Messages-30-Mar-%202020.pdf%20(pg.%207)" TargetMode="External"/><Relationship Id="rId21" Type="http://schemas.openxmlformats.org/officeDocument/2006/relationships/hyperlink" Target="https://www.icf.com/resources/webinars/2019/gas-utilities-in-a-decarbonizing-world" TargetMode="External"/><Relationship Id="rId7" Type="http://schemas.openxmlformats.org/officeDocument/2006/relationships/hyperlink" Target="https://ec.europa.eu/clima/sites/clima/files/docs/pages/com_2018_733_analysis_in_support_en_0.pdf" TargetMode="External"/><Relationship Id="rId12" Type="http://schemas.openxmlformats.org/officeDocument/2006/relationships/hyperlink" Target="https://www.fch.europa.eu/sites/default/files/documents/Power_trains_for_Europe.pdf" TargetMode="External"/><Relationship Id="rId17" Type="http://schemas.openxmlformats.org/officeDocument/2006/relationships/hyperlink" Target="https://www.hydrogen.energy.gov/pdfs/review18/tv031_hovsapian_2018_o.pdf" TargetMode="External"/><Relationship Id="rId25" Type="http://schemas.openxmlformats.org/officeDocument/2006/relationships/hyperlink" Target="https://sgn.co.uk/H100Fife" TargetMode="External"/><Relationship Id="rId33" Type="http://schemas.openxmlformats.org/officeDocument/2006/relationships/hyperlink" Target="https://ec.europa.eu/clima/sites/clima/files/docs/pages/com_2018_733_analysis_in_support_en_0.pdf" TargetMode="External"/><Relationship Id="rId2" Type="http://schemas.openxmlformats.org/officeDocument/2006/relationships/hyperlink" Target="http://www.apep.uci.edu/PDF_White_Papers/Impact_of_Renewable_Gasesous_Fuels_on_Grid_Resource_Optimization_Using_RESOLVE.pdf" TargetMode="External"/><Relationship Id="rId16" Type="http://schemas.openxmlformats.org/officeDocument/2006/relationships/hyperlink" Target="https://www.airbus.com/newsroom/press-releases/en/2020/09/airbus-reveals-new-zeroemission-concept-aircraft.html" TargetMode="External"/><Relationship Id="rId20" Type="http://schemas.openxmlformats.org/officeDocument/2006/relationships/hyperlink" Target="https://www.icf.com/resources/webinars/2019/gas-utilities-in-a-decarbonizing-world" TargetMode="External"/><Relationship Id="rId29" Type="http://schemas.openxmlformats.org/officeDocument/2006/relationships/hyperlink" Target="https://www.northerngasnetworks.co.uk/2016/07/12/watch-our-h21-leeds-city-gate-film/" TargetMode="External"/><Relationship Id="rId1" Type="http://schemas.openxmlformats.org/officeDocument/2006/relationships/hyperlink" Target="http://www.californiahydrogen.org/aboutus/chbc-members/" TargetMode="External"/><Relationship Id="rId6" Type="http://schemas.openxmlformats.org/officeDocument/2006/relationships/hyperlink" Target="https://www.ladwp.com/cs/idcplg?IdcService=GET_FILE&amp;dDocName=OPLADWPCCB726105&amp;RevisionSelectionMethod=LatestReleased" TargetMode="External"/><Relationship Id="rId11" Type="http://schemas.openxmlformats.org/officeDocument/2006/relationships/hyperlink" Target="https://www.energy.ca.gov/event/workshop/2020-06/session-1-light-duty-zev-update-and-trends-larger-vehicles-iepr-commissioner" TargetMode="External"/><Relationship Id="rId24" Type="http://schemas.openxmlformats.org/officeDocument/2006/relationships/hyperlink" Target="https://www.sfchronicle.com/business/article/Demand-for-generators-lights-up-as-PG-E-power-14054242.php" TargetMode="External"/><Relationship Id="rId32" Type="http://schemas.openxmlformats.org/officeDocument/2006/relationships/hyperlink" Target="https://www.researchandmarkets.com/research/6sgzkn/european_heat?w=5" TargetMode="External"/><Relationship Id="rId5" Type="http://schemas.openxmlformats.org/officeDocument/2006/relationships/hyperlink" Target="https://www.nrel.gov/analysis/los-angeles-100-percent-renewable-study.html" TargetMode="External"/><Relationship Id="rId15" Type="http://schemas.openxmlformats.org/officeDocument/2006/relationships/hyperlink" Target="https://gcaptain.com/shipping-hydrogen-net-zero/" TargetMode="External"/><Relationship Id="rId23" Type="http://schemas.openxmlformats.org/officeDocument/2006/relationships/hyperlink" Target="https://calmatters.org/economy/2019/08/pges-rate-increases-what-you-need-to-know/" TargetMode="External"/><Relationship Id="rId28" Type="http://schemas.openxmlformats.org/officeDocument/2006/relationships/hyperlink" Target="https://www.telegraph.co.uk/business/2018/01/06/hydrogen/" TargetMode="External"/><Relationship Id="rId10" Type="http://schemas.openxmlformats.org/officeDocument/2006/relationships/hyperlink" Target="https://hydrogencouncil.com/wp-content/uploads/2020/01/Path-to-Hydrogen-Competitiveness_Full-Study-1.pdf" TargetMode="External"/><Relationship Id="rId19" Type="http://schemas.openxmlformats.org/officeDocument/2006/relationships/hyperlink" Target="https://www.nrdc.org/experts/rachel-fakhry/green-hydrogen-critical-powering-carbon-free-future" TargetMode="External"/><Relationship Id="rId31" Type="http://schemas.openxmlformats.org/officeDocument/2006/relationships/hyperlink" Target="http://www.renewablessa.sa.gov.au/content/uploads/2019/09/south-australias-hydrogen-action-plan-online.pdf" TargetMode="External"/><Relationship Id="rId4" Type="http://schemas.openxmlformats.org/officeDocument/2006/relationships/hyperlink" Target="https://www.pathto100.org/wp-content/uploads/2020/03/path-to-100-renewables-for-california.pdf" TargetMode="External"/><Relationship Id="rId9" Type="http://schemas.openxmlformats.org/officeDocument/2006/relationships/hyperlink" Target="https://eur-lex.europa.eu/resource.html?uri=cellar:4524c01c-a0e6-11ea-9d2d-01aa75ed71a1.0003.02/DOC_1&amp;format=PDF" TargetMode="External"/><Relationship Id="rId14" Type="http://schemas.openxmlformats.org/officeDocument/2006/relationships/hyperlink" Target="https://www.infoplease.com/us/census/california/housing-statistics" TargetMode="External"/><Relationship Id="rId22" Type="http://schemas.openxmlformats.org/officeDocument/2006/relationships/hyperlink" Target="https://rmi.org/the-truth-about-hydrogen/" TargetMode="External"/><Relationship Id="rId27" Type="http://schemas.openxmlformats.org/officeDocument/2006/relationships/hyperlink" Target="https://fuelcellsworks.com/news/bdr-thermea-group-showcases-the-worlds-first-hydrogen-powered-domestic-boiler/" TargetMode="External"/><Relationship Id="rId30" Type="http://schemas.openxmlformats.org/officeDocument/2006/relationships/hyperlink" Target="https://www.eon.com/en/about-us/media/press-release/2019/hydrogen-levels-in-german-gas-distribution-system-to-be-raised-to-20-percent-for-the-first-time.html" TargetMode="External"/><Relationship Id="rId8" Type="http://schemas.openxmlformats.org/officeDocument/2006/relationships/hyperlink" Target="https://ec.europa.eu/energy/sites/ener/files/hydrogen_strate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Moss</dc:creator>
  <cp:keywords/>
  <dc:description/>
  <cp:lastModifiedBy>Bill Zobel</cp:lastModifiedBy>
  <cp:revision>3</cp:revision>
  <dcterms:created xsi:type="dcterms:W3CDTF">2020-11-16T23:39:00Z</dcterms:created>
  <dcterms:modified xsi:type="dcterms:W3CDTF">2020-11-16T23:41:00Z</dcterms:modified>
</cp:coreProperties>
</file>