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2949"/>
        <w:gridCol w:w="3035"/>
      </w:tblGrid>
      <w:tr w:rsidR="0025639B" w14:paraId="530500F1" w14:textId="77777777" w:rsidTr="0025639B">
        <w:tc>
          <w:tcPr>
            <w:tcW w:w="3116" w:type="dxa"/>
          </w:tcPr>
          <w:p w14:paraId="394189A7" w14:textId="2DA71FA0" w:rsidR="0025639B" w:rsidRDefault="0025639B" w:rsidP="004C395A">
            <w:pPr>
              <w:widowControl w:val="0"/>
              <w:spacing w:before="120" w:after="120"/>
              <w:rPr>
                <w:rFonts w:asciiTheme="minorHAnsi" w:hAnsiTheme="minorHAnsi" w:cstheme="minorHAnsi"/>
                <w:color w:val="1E1919"/>
                <w:sz w:val="24"/>
              </w:rPr>
            </w:pPr>
            <w:r>
              <w:rPr>
                <w:rFonts w:asciiTheme="minorHAnsi" w:hAnsiTheme="minorHAnsi" w:cstheme="minorHAnsi"/>
                <w:color w:val="1E1919"/>
                <w:sz w:val="24"/>
              </w:rPr>
              <w:tab/>
            </w:r>
            <w:r>
              <w:rPr>
                <w:rFonts w:asciiTheme="minorHAnsi" w:hAnsiTheme="minorHAnsi" w:cstheme="minorHAnsi"/>
                <w:noProof/>
                <w:color w:val="1E1919"/>
                <w:sz w:val="24"/>
              </w:rPr>
              <w:drawing>
                <wp:inline distT="0" distB="0" distL="0" distR="0" wp14:anchorId="5F6C1910" wp14:editId="510A52DA">
                  <wp:extent cx="1548143" cy="104462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8408" cy="1051547"/>
                          </a:xfrm>
                          <a:prstGeom prst="rect">
                            <a:avLst/>
                          </a:prstGeom>
                        </pic:spPr>
                      </pic:pic>
                    </a:graphicData>
                  </a:graphic>
                </wp:inline>
              </w:drawing>
            </w:r>
          </w:p>
        </w:tc>
        <w:tc>
          <w:tcPr>
            <w:tcW w:w="3117" w:type="dxa"/>
          </w:tcPr>
          <w:p w14:paraId="224AA0B7" w14:textId="69E8119C" w:rsidR="0025639B" w:rsidRDefault="0025639B" w:rsidP="004C395A">
            <w:pPr>
              <w:widowControl w:val="0"/>
              <w:spacing w:before="120" w:after="120"/>
              <w:rPr>
                <w:rFonts w:asciiTheme="minorHAnsi" w:hAnsiTheme="minorHAnsi" w:cstheme="minorHAnsi"/>
                <w:color w:val="1E1919"/>
                <w:sz w:val="24"/>
              </w:rPr>
            </w:pPr>
            <w:r>
              <w:rPr>
                <w:noProof/>
              </w:rPr>
              <w:drawing>
                <wp:anchor distT="114300" distB="114300" distL="114300" distR="114300" simplePos="0" relativeHeight="251659264" behindDoc="0" locked="0" layoutInCell="1" hidden="0" allowOverlap="1" wp14:anchorId="09B2ACB7" wp14:editId="5499580D">
                  <wp:simplePos x="0" y="0"/>
                  <wp:positionH relativeFrom="column">
                    <wp:posOffset>205323</wp:posOffset>
                  </wp:positionH>
                  <wp:positionV relativeFrom="paragraph">
                    <wp:posOffset>341995</wp:posOffset>
                  </wp:positionV>
                  <wp:extent cx="1256270" cy="871538"/>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56270" cy="871538"/>
                          </a:xfrm>
                          <a:prstGeom prst="rect">
                            <a:avLst/>
                          </a:prstGeom>
                          <a:ln/>
                        </pic:spPr>
                      </pic:pic>
                    </a:graphicData>
                  </a:graphic>
                </wp:anchor>
              </w:drawing>
            </w:r>
          </w:p>
        </w:tc>
        <w:tc>
          <w:tcPr>
            <w:tcW w:w="3117" w:type="dxa"/>
          </w:tcPr>
          <w:p w14:paraId="7D99EABB" w14:textId="77777777" w:rsidR="0025639B" w:rsidRDefault="0025639B" w:rsidP="004C395A">
            <w:pPr>
              <w:widowControl w:val="0"/>
              <w:spacing w:before="120" w:after="120"/>
              <w:rPr>
                <w:rFonts w:asciiTheme="minorHAnsi" w:hAnsiTheme="minorHAnsi" w:cstheme="minorHAnsi"/>
                <w:color w:val="1E1919"/>
                <w:sz w:val="24"/>
              </w:rPr>
            </w:pPr>
          </w:p>
          <w:p w14:paraId="2404462D" w14:textId="0F407727" w:rsidR="0025639B" w:rsidRDefault="0025639B" w:rsidP="004C395A">
            <w:pPr>
              <w:widowControl w:val="0"/>
              <w:spacing w:before="120" w:after="120"/>
              <w:rPr>
                <w:rFonts w:asciiTheme="minorHAnsi" w:hAnsiTheme="minorHAnsi" w:cstheme="minorHAnsi"/>
                <w:color w:val="1E1919"/>
                <w:sz w:val="24"/>
              </w:rPr>
            </w:pPr>
            <w:r>
              <w:rPr>
                <w:rFonts w:asciiTheme="minorHAnsi" w:hAnsiTheme="minorHAnsi" w:cstheme="minorHAnsi"/>
                <w:noProof/>
                <w:color w:val="1E1919"/>
                <w:sz w:val="24"/>
              </w:rPr>
              <w:drawing>
                <wp:inline distT="0" distB="0" distL="0" distR="0" wp14:anchorId="3727C3A6" wp14:editId="0B897ECA">
                  <wp:extent cx="942921" cy="89629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973" cy="910601"/>
                          </a:xfrm>
                          <a:prstGeom prst="rect">
                            <a:avLst/>
                          </a:prstGeom>
                        </pic:spPr>
                      </pic:pic>
                    </a:graphicData>
                  </a:graphic>
                </wp:inline>
              </w:drawing>
            </w:r>
          </w:p>
        </w:tc>
      </w:tr>
    </w:tbl>
    <w:p w14:paraId="46A919D0" w14:textId="68A20FD8" w:rsidR="0025639B" w:rsidRDefault="0025639B" w:rsidP="004C395A">
      <w:pPr>
        <w:widowControl w:val="0"/>
        <w:spacing w:before="120" w:after="120"/>
        <w:rPr>
          <w:rFonts w:asciiTheme="minorHAnsi" w:hAnsiTheme="minorHAnsi" w:cstheme="minorHAnsi"/>
          <w:color w:val="1E1919"/>
          <w:sz w:val="24"/>
        </w:rPr>
      </w:pPr>
    </w:p>
    <w:p w14:paraId="2A868C1F" w14:textId="15906A32" w:rsidR="003066C4" w:rsidRPr="003C7A52" w:rsidRDefault="00DA1E08" w:rsidP="004C395A">
      <w:pPr>
        <w:widowControl w:val="0"/>
        <w:spacing w:before="120" w:after="120"/>
        <w:rPr>
          <w:rFonts w:asciiTheme="minorHAnsi" w:hAnsiTheme="minorHAnsi" w:cstheme="minorHAnsi"/>
          <w:color w:val="1E1919"/>
          <w:sz w:val="24"/>
        </w:rPr>
      </w:pPr>
      <w:r>
        <w:rPr>
          <w:rFonts w:asciiTheme="minorHAnsi" w:hAnsiTheme="minorHAnsi" w:cstheme="minorHAnsi"/>
          <w:color w:val="1E1919"/>
          <w:sz w:val="24"/>
        </w:rPr>
        <w:t xml:space="preserve">December </w:t>
      </w:r>
      <w:r w:rsidR="001E7BE0">
        <w:rPr>
          <w:rFonts w:asciiTheme="minorHAnsi" w:hAnsiTheme="minorHAnsi" w:cstheme="minorHAnsi"/>
          <w:color w:val="1E1919"/>
          <w:sz w:val="24"/>
        </w:rPr>
        <w:t>14</w:t>
      </w:r>
      <w:r w:rsidR="003066C4" w:rsidRPr="003C7A52">
        <w:rPr>
          <w:rFonts w:asciiTheme="minorHAnsi" w:hAnsiTheme="minorHAnsi" w:cstheme="minorHAnsi"/>
          <w:color w:val="1E1919"/>
          <w:sz w:val="24"/>
        </w:rPr>
        <w:t>, 2022</w:t>
      </w:r>
    </w:p>
    <w:p w14:paraId="06BA5928" w14:textId="77777777" w:rsidR="003066C4" w:rsidRPr="003C7A52" w:rsidRDefault="003066C4" w:rsidP="004C395A">
      <w:pPr>
        <w:widowControl w:val="0"/>
        <w:spacing w:before="120" w:after="120"/>
        <w:rPr>
          <w:rFonts w:asciiTheme="minorHAnsi" w:hAnsiTheme="minorHAnsi" w:cstheme="minorHAnsi"/>
          <w:color w:val="1E1919"/>
          <w:sz w:val="24"/>
        </w:rPr>
      </w:pPr>
    </w:p>
    <w:p w14:paraId="4B53D122" w14:textId="72784C63" w:rsidR="00F22743" w:rsidRPr="003C7A52" w:rsidRDefault="00F22743" w:rsidP="004C395A">
      <w:pPr>
        <w:widowControl w:val="0"/>
        <w:rPr>
          <w:rFonts w:asciiTheme="minorHAnsi" w:hAnsiTheme="minorHAnsi" w:cstheme="minorHAnsi"/>
          <w:sz w:val="24"/>
        </w:rPr>
      </w:pPr>
      <w:r w:rsidRPr="003C7A52">
        <w:rPr>
          <w:rFonts w:asciiTheme="minorHAnsi" w:hAnsiTheme="minorHAnsi" w:cstheme="minorHAnsi"/>
          <w:sz w:val="24"/>
        </w:rPr>
        <w:t>Cheryl Laskowski</w:t>
      </w:r>
      <w:r w:rsidR="006F49D5">
        <w:rPr>
          <w:rFonts w:asciiTheme="minorHAnsi" w:hAnsiTheme="minorHAnsi" w:cstheme="minorHAnsi"/>
          <w:sz w:val="24"/>
        </w:rPr>
        <w:t xml:space="preserve">, </w:t>
      </w:r>
      <w:r w:rsidRPr="003C7A52">
        <w:rPr>
          <w:rFonts w:asciiTheme="minorHAnsi" w:hAnsiTheme="minorHAnsi" w:cstheme="minorHAnsi"/>
          <w:sz w:val="24"/>
        </w:rPr>
        <w:t>Chief, Low Carbon Fuels Standard Branch</w:t>
      </w:r>
    </w:p>
    <w:p w14:paraId="4FEA9528" w14:textId="33232E3C" w:rsidR="00F22743" w:rsidRPr="003C7A52" w:rsidRDefault="00F22743" w:rsidP="004C395A">
      <w:pPr>
        <w:widowControl w:val="0"/>
        <w:rPr>
          <w:rFonts w:asciiTheme="minorHAnsi" w:hAnsiTheme="minorHAnsi" w:cstheme="minorHAnsi"/>
          <w:sz w:val="24"/>
        </w:rPr>
      </w:pPr>
      <w:r w:rsidRPr="003C7A52">
        <w:rPr>
          <w:rFonts w:asciiTheme="minorHAnsi" w:hAnsiTheme="minorHAnsi" w:cstheme="minorHAnsi"/>
          <w:sz w:val="24"/>
        </w:rPr>
        <w:t xml:space="preserve">Matthew </w:t>
      </w:r>
      <w:proofErr w:type="spellStart"/>
      <w:r w:rsidRPr="003C7A52">
        <w:rPr>
          <w:rFonts w:asciiTheme="minorHAnsi" w:hAnsiTheme="minorHAnsi" w:cstheme="minorHAnsi"/>
          <w:sz w:val="24"/>
        </w:rPr>
        <w:t>Botill</w:t>
      </w:r>
      <w:proofErr w:type="spellEnd"/>
      <w:r w:rsidR="006F49D5">
        <w:rPr>
          <w:rFonts w:asciiTheme="minorHAnsi" w:hAnsiTheme="minorHAnsi" w:cstheme="minorHAnsi"/>
          <w:sz w:val="24"/>
        </w:rPr>
        <w:t xml:space="preserve">, </w:t>
      </w:r>
      <w:r w:rsidRPr="003C7A52">
        <w:rPr>
          <w:rFonts w:asciiTheme="minorHAnsi" w:hAnsiTheme="minorHAnsi" w:cstheme="minorHAnsi"/>
          <w:sz w:val="24"/>
        </w:rPr>
        <w:t>Chief, Industrial Strategies Division</w:t>
      </w:r>
    </w:p>
    <w:p w14:paraId="7ED716E4" w14:textId="1ECFBADA" w:rsidR="00F22743" w:rsidRPr="003C7A52" w:rsidRDefault="00F22743" w:rsidP="004C395A">
      <w:pPr>
        <w:widowControl w:val="0"/>
        <w:rPr>
          <w:rFonts w:asciiTheme="minorHAnsi" w:hAnsiTheme="minorHAnsi" w:cstheme="minorHAnsi"/>
          <w:sz w:val="24"/>
        </w:rPr>
      </w:pPr>
      <w:r w:rsidRPr="003C7A52">
        <w:rPr>
          <w:rFonts w:asciiTheme="minorHAnsi" w:hAnsiTheme="minorHAnsi" w:cstheme="minorHAnsi"/>
          <w:sz w:val="24"/>
        </w:rPr>
        <w:t>California Air Resources Board</w:t>
      </w:r>
    </w:p>
    <w:p w14:paraId="224002E1" w14:textId="16D332A6" w:rsidR="00F22743" w:rsidRPr="003C7A52" w:rsidRDefault="00F22743" w:rsidP="004C395A">
      <w:pPr>
        <w:widowControl w:val="0"/>
        <w:rPr>
          <w:rFonts w:asciiTheme="minorHAnsi" w:hAnsiTheme="minorHAnsi" w:cstheme="minorHAnsi"/>
          <w:sz w:val="24"/>
        </w:rPr>
      </w:pPr>
      <w:r w:rsidRPr="003C7A52">
        <w:rPr>
          <w:rFonts w:asciiTheme="minorHAnsi" w:hAnsiTheme="minorHAnsi" w:cstheme="minorHAnsi"/>
          <w:sz w:val="24"/>
        </w:rPr>
        <w:t xml:space="preserve">Per email: </w:t>
      </w:r>
      <w:hyperlink r:id="rId10" w:history="1">
        <w:r w:rsidRPr="003C7A52">
          <w:rPr>
            <w:rStyle w:val="Hyperlink"/>
            <w:rFonts w:asciiTheme="minorHAnsi" w:hAnsiTheme="minorHAnsi" w:cstheme="minorHAnsi"/>
            <w:color w:val="327CAC"/>
            <w:sz w:val="24"/>
          </w:rPr>
          <w:t>LCFSWorkshop@arb.ca.gov</w:t>
        </w:r>
      </w:hyperlink>
    </w:p>
    <w:p w14:paraId="18F0ED5D" w14:textId="1D3C2E28" w:rsidR="00CA0110" w:rsidRPr="003C7A52" w:rsidRDefault="00CA0110" w:rsidP="004C395A">
      <w:pPr>
        <w:widowControl w:val="0"/>
        <w:spacing w:before="120" w:after="120"/>
        <w:rPr>
          <w:rFonts w:asciiTheme="minorHAnsi" w:hAnsiTheme="minorHAnsi" w:cstheme="minorHAnsi"/>
          <w:sz w:val="24"/>
        </w:rPr>
      </w:pPr>
      <w:r w:rsidRPr="003C7A52">
        <w:rPr>
          <w:rFonts w:asciiTheme="minorHAnsi" w:hAnsiTheme="minorHAnsi" w:cstheme="minorHAnsi"/>
          <w:sz w:val="24"/>
        </w:rPr>
        <w:t xml:space="preserve">Cc: </w:t>
      </w:r>
      <w:r w:rsidR="006F6C8D">
        <w:rPr>
          <w:rFonts w:asciiTheme="minorHAnsi" w:hAnsiTheme="minorHAnsi" w:cstheme="minorHAnsi"/>
          <w:sz w:val="24"/>
        </w:rPr>
        <w:t xml:space="preserve"> </w:t>
      </w:r>
      <w:r w:rsidR="00F160D5">
        <w:rPr>
          <w:rFonts w:asciiTheme="minorHAnsi" w:hAnsiTheme="minorHAnsi" w:cstheme="minorHAnsi"/>
          <w:sz w:val="24"/>
        </w:rPr>
        <w:t>Steve Cliff</w:t>
      </w:r>
      <w:r w:rsidRPr="003C7A52">
        <w:rPr>
          <w:rFonts w:asciiTheme="minorHAnsi" w:hAnsiTheme="minorHAnsi" w:cstheme="minorHAnsi"/>
          <w:sz w:val="24"/>
        </w:rPr>
        <w:t>,</w:t>
      </w:r>
      <w:r w:rsidR="004434F7">
        <w:rPr>
          <w:rFonts w:asciiTheme="minorHAnsi" w:hAnsiTheme="minorHAnsi" w:cstheme="minorHAnsi"/>
          <w:sz w:val="24"/>
        </w:rPr>
        <w:t xml:space="preserve"> CARB Executive Officer</w:t>
      </w:r>
      <w:r w:rsidRPr="003C7A52">
        <w:rPr>
          <w:rFonts w:asciiTheme="minorHAnsi" w:hAnsiTheme="minorHAnsi" w:cstheme="minorHAnsi"/>
          <w:sz w:val="24"/>
        </w:rPr>
        <w:t xml:space="preserve"> </w:t>
      </w:r>
      <w:r w:rsidR="00DF1EDB" w:rsidRPr="003C7A52">
        <w:rPr>
          <w:rFonts w:asciiTheme="minorHAnsi" w:hAnsiTheme="minorHAnsi" w:cstheme="minorHAnsi"/>
          <w:sz w:val="24"/>
        </w:rPr>
        <w:t xml:space="preserve"> and</w:t>
      </w:r>
      <w:r w:rsidR="00DA1E08">
        <w:rPr>
          <w:rFonts w:asciiTheme="minorHAnsi" w:hAnsiTheme="minorHAnsi" w:cstheme="minorHAnsi"/>
          <w:sz w:val="24"/>
        </w:rPr>
        <w:t xml:space="preserve"> CDFA</w:t>
      </w:r>
      <w:r w:rsidR="00B5484E" w:rsidRPr="003C7A52">
        <w:rPr>
          <w:rFonts w:asciiTheme="minorHAnsi" w:hAnsiTheme="minorHAnsi" w:cstheme="minorHAnsi"/>
          <w:sz w:val="24"/>
        </w:rPr>
        <w:t xml:space="preserve"> </w:t>
      </w:r>
      <w:r w:rsidR="00284E48">
        <w:rPr>
          <w:rFonts w:asciiTheme="minorHAnsi" w:hAnsiTheme="minorHAnsi" w:cstheme="minorHAnsi"/>
          <w:sz w:val="24"/>
        </w:rPr>
        <w:t>Secretary Karen Ross</w:t>
      </w:r>
    </w:p>
    <w:p w14:paraId="694519F2" w14:textId="5FF65F15" w:rsidR="00441108" w:rsidRPr="003C7A52" w:rsidRDefault="00F22743" w:rsidP="004C395A">
      <w:pPr>
        <w:widowControl w:val="0"/>
        <w:spacing w:before="120" w:after="120"/>
        <w:rPr>
          <w:rFonts w:asciiTheme="minorHAnsi" w:hAnsiTheme="minorHAnsi" w:cstheme="minorHAnsi"/>
          <w:color w:val="1E1919"/>
          <w:sz w:val="24"/>
        </w:rPr>
      </w:pPr>
      <w:r w:rsidRPr="003C7A52">
        <w:rPr>
          <w:rFonts w:asciiTheme="minorHAnsi" w:hAnsiTheme="minorHAnsi" w:cstheme="minorHAnsi"/>
          <w:color w:val="1E1919"/>
          <w:sz w:val="24"/>
        </w:rPr>
        <w:t>Th</w:t>
      </w:r>
      <w:r w:rsidR="00640A12">
        <w:rPr>
          <w:rFonts w:asciiTheme="minorHAnsi" w:hAnsiTheme="minorHAnsi" w:cstheme="minorHAnsi"/>
          <w:color w:val="1E1919"/>
          <w:sz w:val="24"/>
        </w:rPr>
        <w:t>ese</w:t>
      </w:r>
      <w:r w:rsidRPr="003C7A52">
        <w:rPr>
          <w:rFonts w:asciiTheme="minorHAnsi" w:hAnsiTheme="minorHAnsi" w:cstheme="minorHAnsi"/>
          <w:color w:val="1E1919"/>
          <w:sz w:val="24"/>
        </w:rPr>
        <w:t xml:space="preserve"> comment</w:t>
      </w:r>
      <w:r w:rsidR="00640A12">
        <w:rPr>
          <w:rFonts w:asciiTheme="minorHAnsi" w:hAnsiTheme="minorHAnsi" w:cstheme="minorHAnsi"/>
          <w:color w:val="1E1919"/>
          <w:sz w:val="24"/>
        </w:rPr>
        <w:t>s</w:t>
      </w:r>
      <w:r w:rsidRPr="003C7A52">
        <w:rPr>
          <w:rFonts w:asciiTheme="minorHAnsi" w:hAnsiTheme="minorHAnsi" w:cstheme="minorHAnsi"/>
          <w:color w:val="1E1919"/>
          <w:sz w:val="24"/>
        </w:rPr>
        <w:t xml:space="preserve"> </w:t>
      </w:r>
      <w:r w:rsidR="00640A12">
        <w:rPr>
          <w:rFonts w:asciiTheme="minorHAnsi" w:hAnsiTheme="minorHAnsi" w:cstheme="minorHAnsi"/>
          <w:color w:val="1E1919"/>
          <w:sz w:val="24"/>
        </w:rPr>
        <w:t>are</w:t>
      </w:r>
      <w:r w:rsidRPr="003C7A52">
        <w:rPr>
          <w:rFonts w:asciiTheme="minorHAnsi" w:hAnsiTheme="minorHAnsi" w:cstheme="minorHAnsi"/>
          <w:color w:val="1E1919"/>
          <w:sz w:val="24"/>
        </w:rPr>
        <w:t xml:space="preserve"> in response to the November 9, </w:t>
      </w:r>
      <w:r w:rsidR="00A25D45">
        <w:rPr>
          <w:rFonts w:asciiTheme="minorHAnsi" w:hAnsiTheme="minorHAnsi" w:cstheme="minorHAnsi"/>
          <w:color w:val="1E1919"/>
          <w:sz w:val="24"/>
        </w:rPr>
        <w:t xml:space="preserve">2022 </w:t>
      </w:r>
      <w:r w:rsidR="006F49D5">
        <w:rPr>
          <w:rFonts w:asciiTheme="minorHAnsi" w:hAnsiTheme="minorHAnsi" w:cstheme="minorHAnsi"/>
          <w:color w:val="1E1919"/>
          <w:sz w:val="24"/>
        </w:rPr>
        <w:t>Low Carbon Fuel Standard</w:t>
      </w:r>
      <w:r w:rsidR="006F49D5" w:rsidRPr="003C7A52">
        <w:rPr>
          <w:rFonts w:asciiTheme="minorHAnsi" w:hAnsiTheme="minorHAnsi" w:cstheme="minorHAnsi"/>
          <w:color w:val="1E1919"/>
          <w:sz w:val="24"/>
        </w:rPr>
        <w:t xml:space="preserve"> </w:t>
      </w:r>
      <w:r w:rsidRPr="003C7A52">
        <w:rPr>
          <w:rFonts w:asciiTheme="minorHAnsi" w:hAnsiTheme="minorHAnsi" w:cstheme="minorHAnsi"/>
          <w:color w:val="1E1919"/>
          <w:sz w:val="24"/>
        </w:rPr>
        <w:t>Workshop in which a number of new policy options were presented</w:t>
      </w:r>
      <w:r w:rsidR="00441108" w:rsidRPr="003C7A52">
        <w:rPr>
          <w:rFonts w:asciiTheme="minorHAnsi" w:hAnsiTheme="minorHAnsi" w:cstheme="minorHAnsi"/>
          <w:color w:val="1E1919"/>
          <w:sz w:val="24"/>
        </w:rPr>
        <w:t xml:space="preserve">. Our comments are </w:t>
      </w:r>
      <w:r w:rsidR="006F49D5">
        <w:rPr>
          <w:rFonts w:asciiTheme="minorHAnsi" w:hAnsiTheme="minorHAnsi" w:cstheme="minorHAnsi"/>
          <w:color w:val="1E1919"/>
          <w:sz w:val="24"/>
        </w:rPr>
        <w:t>limited to the discussion of</w:t>
      </w:r>
      <w:r w:rsidR="00DF1EDB" w:rsidRPr="003C7A52">
        <w:rPr>
          <w:rFonts w:asciiTheme="minorHAnsi" w:hAnsiTheme="minorHAnsi" w:cstheme="minorHAnsi"/>
          <w:color w:val="1E1919"/>
          <w:sz w:val="24"/>
        </w:rPr>
        <w:t xml:space="preserve"> </w:t>
      </w:r>
      <w:r w:rsidR="005568E7" w:rsidRPr="003C7A52">
        <w:rPr>
          <w:rFonts w:asciiTheme="minorHAnsi" w:hAnsiTheme="minorHAnsi" w:cstheme="minorHAnsi"/>
          <w:color w:val="1E1919"/>
          <w:sz w:val="24"/>
        </w:rPr>
        <w:t>dairy gas</w:t>
      </w:r>
      <w:r w:rsidR="006F49D5">
        <w:rPr>
          <w:rFonts w:asciiTheme="minorHAnsi" w:hAnsiTheme="minorHAnsi" w:cstheme="minorHAnsi"/>
          <w:color w:val="1E1919"/>
          <w:sz w:val="24"/>
        </w:rPr>
        <w:t xml:space="preserve"> and its place in the LCFS program.</w:t>
      </w:r>
    </w:p>
    <w:p w14:paraId="73F6E110" w14:textId="2D65B064" w:rsidR="00874FF1" w:rsidRPr="003C7A52" w:rsidRDefault="00874FF1" w:rsidP="004C395A">
      <w:pPr>
        <w:pStyle w:val="NormalWeb"/>
        <w:spacing w:before="120" w:beforeAutospacing="0" w:after="120" w:afterAutospacing="0"/>
        <w:rPr>
          <w:rFonts w:asciiTheme="minorHAnsi" w:hAnsiTheme="minorHAnsi" w:cstheme="minorHAnsi"/>
        </w:rPr>
      </w:pPr>
      <w:r w:rsidRPr="003C7A52">
        <w:rPr>
          <w:rFonts w:asciiTheme="minorHAnsi" w:hAnsiTheme="minorHAnsi" w:cstheme="minorHAnsi"/>
          <w:color w:val="1E1919"/>
        </w:rPr>
        <w:t xml:space="preserve">We thank you for formally and publicly including in </w:t>
      </w:r>
      <w:r>
        <w:rPr>
          <w:rFonts w:asciiTheme="minorHAnsi" w:hAnsiTheme="minorHAnsi" w:cstheme="minorHAnsi"/>
          <w:color w:val="1E1919"/>
        </w:rPr>
        <w:t xml:space="preserve">the LCFS discussion, a </w:t>
      </w:r>
      <w:r w:rsidRPr="0068768F">
        <w:rPr>
          <w:rFonts w:asciiTheme="minorHAnsi" w:hAnsiTheme="minorHAnsi" w:cstheme="minorHAnsi"/>
          <w:i/>
          <w:iCs/>
          <w:color w:val="1E1919"/>
        </w:rPr>
        <w:t>limited role</w:t>
      </w:r>
      <w:r>
        <w:rPr>
          <w:rFonts w:asciiTheme="minorHAnsi" w:hAnsiTheme="minorHAnsi" w:cstheme="minorHAnsi"/>
          <w:color w:val="1E1919"/>
        </w:rPr>
        <w:t xml:space="preserve"> </w:t>
      </w:r>
      <w:r w:rsidRPr="003C7A52">
        <w:rPr>
          <w:rFonts w:asciiTheme="minorHAnsi" w:hAnsiTheme="minorHAnsi" w:cstheme="minorHAnsi"/>
          <w:color w:val="1E1919"/>
        </w:rPr>
        <w:t>for biomethane</w:t>
      </w:r>
      <w:r>
        <w:rPr>
          <w:rFonts w:asciiTheme="minorHAnsi" w:hAnsiTheme="minorHAnsi" w:cstheme="minorHAnsi"/>
          <w:color w:val="1E1919"/>
        </w:rPr>
        <w:t xml:space="preserve"> (dairy gas) as noted in the Scoping Plan</w:t>
      </w:r>
      <w:r w:rsidRPr="003C7A52">
        <w:rPr>
          <w:rFonts w:asciiTheme="minorHAnsi" w:hAnsiTheme="minorHAnsi" w:cstheme="minorHAnsi"/>
          <w:color w:val="1E1919"/>
        </w:rPr>
        <w:t>: “</w:t>
      </w:r>
      <w:r w:rsidRPr="003C7A52">
        <w:rPr>
          <w:rFonts w:asciiTheme="minorHAnsi" w:hAnsiTheme="minorHAnsi" w:cstheme="minorHAnsi"/>
        </w:rPr>
        <w:t xml:space="preserve">Biomethane currently displaces fossil fuels in transportation and will largely be needed for hard-to-decarbonize sectors but will likely continue to play a targeted role in some fleets while the transportation sector transitions to ZEVs.”  We </w:t>
      </w:r>
      <w:r>
        <w:rPr>
          <w:rFonts w:asciiTheme="minorHAnsi" w:hAnsiTheme="minorHAnsi" w:cstheme="minorHAnsi"/>
        </w:rPr>
        <w:t>also appreciate</w:t>
      </w:r>
      <w:r w:rsidRPr="003C7A52">
        <w:rPr>
          <w:rFonts w:asciiTheme="minorHAnsi" w:hAnsiTheme="minorHAnsi" w:cstheme="minorHAnsi"/>
        </w:rPr>
        <w:t xml:space="preserve"> the new overall scoping plan standard of at least an 85</w:t>
      </w:r>
      <w:r>
        <w:rPr>
          <w:rFonts w:asciiTheme="minorHAnsi" w:hAnsiTheme="minorHAnsi" w:cstheme="minorHAnsi"/>
        </w:rPr>
        <w:t xml:space="preserve"> percent</w:t>
      </w:r>
      <w:r w:rsidRPr="003C7A52">
        <w:rPr>
          <w:rFonts w:asciiTheme="minorHAnsi" w:hAnsiTheme="minorHAnsi" w:cstheme="minorHAnsi"/>
        </w:rPr>
        <w:t xml:space="preserve"> reduction in anthropogenic greenhouse gases by 2045. Our comments </w:t>
      </w:r>
      <w:r>
        <w:rPr>
          <w:rFonts w:asciiTheme="minorHAnsi" w:hAnsiTheme="minorHAnsi" w:cstheme="minorHAnsi"/>
        </w:rPr>
        <w:t>speak to</w:t>
      </w:r>
      <w:r w:rsidRPr="003C7A52">
        <w:rPr>
          <w:rFonts w:asciiTheme="minorHAnsi" w:hAnsiTheme="minorHAnsi" w:cstheme="minorHAnsi"/>
        </w:rPr>
        <w:t xml:space="preserve"> these goals. </w:t>
      </w:r>
    </w:p>
    <w:p w14:paraId="61250844" w14:textId="49B0A48A" w:rsidR="00874FF1" w:rsidRDefault="00874FF1" w:rsidP="004C395A">
      <w:pPr>
        <w:pStyle w:val="NormalWeb"/>
        <w:shd w:val="clear" w:color="auto" w:fill="FFFFFF"/>
        <w:spacing w:before="120" w:beforeAutospacing="0" w:after="120" w:afterAutospacing="0"/>
        <w:rPr>
          <w:rFonts w:asciiTheme="minorHAnsi" w:hAnsiTheme="minorHAnsi" w:cstheme="minorHAnsi"/>
        </w:rPr>
      </w:pPr>
      <w:r w:rsidRPr="003C7A52">
        <w:rPr>
          <w:rFonts w:asciiTheme="minorHAnsi" w:hAnsiTheme="minorHAnsi" w:cstheme="minorHAnsi"/>
        </w:rPr>
        <w:t xml:space="preserve">The workshop presented two options with regard to biomethane: </w:t>
      </w:r>
      <w:r>
        <w:rPr>
          <w:rFonts w:asciiTheme="minorHAnsi" w:hAnsiTheme="minorHAnsi" w:cstheme="minorHAnsi"/>
        </w:rPr>
        <w:t>1) N</w:t>
      </w:r>
      <w:r w:rsidRPr="003C7A52">
        <w:rPr>
          <w:rFonts w:asciiTheme="minorHAnsi" w:hAnsiTheme="minorHAnsi" w:cstheme="minorHAnsi"/>
        </w:rPr>
        <w:t>o new fuel pathways would be certified with avoided methane after 2030</w:t>
      </w:r>
      <w:r>
        <w:rPr>
          <w:rFonts w:asciiTheme="minorHAnsi" w:hAnsiTheme="minorHAnsi" w:cstheme="minorHAnsi"/>
        </w:rPr>
        <w:t>,</w:t>
      </w:r>
      <w:r w:rsidRPr="003C7A52">
        <w:rPr>
          <w:rFonts w:asciiTheme="minorHAnsi" w:hAnsiTheme="minorHAnsi" w:cstheme="minorHAnsi"/>
        </w:rPr>
        <w:t xml:space="preserve"> and existing avoided methane pathways would be phased out by 2040</w:t>
      </w:r>
      <w:r>
        <w:rPr>
          <w:rFonts w:asciiTheme="minorHAnsi" w:hAnsiTheme="minorHAnsi" w:cstheme="minorHAnsi"/>
        </w:rPr>
        <w:t>; and 2) Use of renewable natural gas (</w:t>
      </w:r>
      <w:r w:rsidRPr="003C7A52">
        <w:rPr>
          <w:rFonts w:asciiTheme="minorHAnsi" w:hAnsiTheme="minorHAnsi" w:cstheme="minorHAnsi"/>
        </w:rPr>
        <w:t>RNG</w:t>
      </w:r>
      <w:r>
        <w:rPr>
          <w:rFonts w:asciiTheme="minorHAnsi" w:hAnsiTheme="minorHAnsi" w:cstheme="minorHAnsi"/>
        </w:rPr>
        <w:t>)</w:t>
      </w:r>
      <w:r w:rsidRPr="003C7A52">
        <w:rPr>
          <w:rFonts w:asciiTheme="minorHAnsi" w:hAnsiTheme="minorHAnsi" w:cstheme="minorHAnsi"/>
        </w:rPr>
        <w:t xml:space="preserve"> as </w:t>
      </w:r>
      <w:r>
        <w:rPr>
          <w:rFonts w:asciiTheme="minorHAnsi" w:hAnsiTheme="minorHAnsi" w:cstheme="minorHAnsi"/>
        </w:rPr>
        <w:t xml:space="preserve">a </w:t>
      </w:r>
      <w:r w:rsidRPr="003C7A52">
        <w:rPr>
          <w:rFonts w:asciiTheme="minorHAnsi" w:hAnsiTheme="minorHAnsi" w:cstheme="minorHAnsi"/>
        </w:rPr>
        <w:t xml:space="preserve">transportation fuel would be limited to projects in the Western natural gas network. </w:t>
      </w:r>
      <w:r>
        <w:rPr>
          <w:rFonts w:asciiTheme="minorHAnsi" w:hAnsiTheme="minorHAnsi" w:cstheme="minorHAnsi"/>
        </w:rPr>
        <w:t>We believe that neither of these options adequately addresses the pressing current dilemma created by the valuable credits assigned to biomethane from anaerobic digesters by the current LCFS program. O</w:t>
      </w:r>
      <w:r w:rsidRPr="003C7A52">
        <w:rPr>
          <w:rFonts w:asciiTheme="minorHAnsi" w:hAnsiTheme="minorHAnsi" w:cstheme="minorHAnsi"/>
        </w:rPr>
        <w:t>ther options are available</w:t>
      </w:r>
      <w:r>
        <w:rPr>
          <w:rFonts w:asciiTheme="minorHAnsi" w:hAnsiTheme="minorHAnsi" w:cstheme="minorHAnsi"/>
        </w:rPr>
        <w:t>, which</w:t>
      </w:r>
      <w:r w:rsidRPr="003C7A52">
        <w:rPr>
          <w:rFonts w:asciiTheme="minorHAnsi" w:hAnsiTheme="minorHAnsi" w:cstheme="minorHAnsi"/>
        </w:rPr>
        <w:t xml:space="preserve"> better fit the situation outlined by the most recent IPCC AR6 report.</w:t>
      </w:r>
      <w:r w:rsidRPr="003C7A52">
        <w:rPr>
          <w:rStyle w:val="FootnoteReference"/>
          <w:rFonts w:asciiTheme="minorHAnsi" w:hAnsiTheme="minorHAnsi" w:cstheme="minorHAnsi"/>
        </w:rPr>
        <w:footnoteReference w:id="1"/>
      </w:r>
    </w:p>
    <w:p w14:paraId="199961FB" w14:textId="50722B45" w:rsidR="003D727B" w:rsidRDefault="003D727B" w:rsidP="004C395A">
      <w:pPr>
        <w:pStyle w:val="NormalWeb"/>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 xml:space="preserve">Moral hazard and other problems with avoided methane certification under LCFS </w:t>
      </w:r>
    </w:p>
    <w:p w14:paraId="795FCA50" w14:textId="25468CCE" w:rsidR="00B01B9C" w:rsidRPr="00B01B9C" w:rsidRDefault="00B01B9C" w:rsidP="004C395A">
      <w:pPr>
        <w:pStyle w:val="ListParagraph"/>
        <w:numPr>
          <w:ilvl w:val="0"/>
          <w:numId w:val="11"/>
        </w:numPr>
        <w:spacing w:before="120" w:after="120"/>
        <w:contextualSpacing w:val="0"/>
        <w:rPr>
          <w:rFonts w:asciiTheme="minorHAnsi" w:hAnsiTheme="minorHAnsi" w:cstheme="minorHAnsi"/>
        </w:rPr>
      </w:pPr>
      <w:r w:rsidRPr="00B01B9C">
        <w:rPr>
          <w:rFonts w:asciiTheme="minorHAnsi" w:hAnsiTheme="minorHAnsi" w:cstheme="minorHAnsi"/>
        </w:rPr>
        <w:lastRenderedPageBreak/>
        <w:t xml:space="preserve">CAFOs are a cause of significant health problems and pollution of water and air, especially in the central valley. The LCFS negative carbon intensity ratings for captured manure methane are providing very large resources to CAFOs not only in California but in other parts of the country. Farms with large herds can earn more from selling their manure byproduct than from selling milk. This fact means the LCFS is incentivizing larger herd sizes (which can actually increase the overall emissions from a farm with a digester) and is locking into place the CAFO dairy organization. Digesters used to produce electricity are also a direct cause of air pollution (N0x) due to their reliance on combusting biogas. </w:t>
      </w:r>
      <w:r w:rsidR="00794608">
        <w:rPr>
          <w:rFonts w:asciiTheme="minorHAnsi" w:hAnsiTheme="minorHAnsi" w:cstheme="minorHAnsi"/>
        </w:rPr>
        <w:t>These same considerations, or worse, are likely to apply to producers in other states who use the biomethane LCFS program.</w:t>
      </w:r>
    </w:p>
    <w:p w14:paraId="3A265211" w14:textId="1269FD1F" w:rsidR="0068768F" w:rsidRPr="0068768F" w:rsidRDefault="003F1BE2" w:rsidP="004C395A">
      <w:pPr>
        <w:pStyle w:val="ListParagraph"/>
        <w:numPr>
          <w:ilvl w:val="0"/>
          <w:numId w:val="11"/>
        </w:numPr>
        <w:spacing w:before="120" w:after="120"/>
        <w:contextualSpacing w:val="0"/>
        <w:rPr>
          <w:rFonts w:asciiTheme="minorHAnsi" w:hAnsiTheme="minorHAnsi" w:cstheme="minorHAnsi"/>
        </w:rPr>
      </w:pPr>
      <w:r>
        <w:rPr>
          <w:rFonts w:asciiTheme="minorHAnsi" w:hAnsiTheme="minorHAnsi" w:cstheme="minorHAnsi"/>
        </w:rPr>
        <w:t>A</w:t>
      </w:r>
      <w:r w:rsidRPr="003C7A52">
        <w:rPr>
          <w:rFonts w:asciiTheme="minorHAnsi" w:hAnsiTheme="minorHAnsi" w:cstheme="minorHAnsi"/>
        </w:rPr>
        <w:t xml:space="preserve">voided emissions credits distort the low carbon fuel </w:t>
      </w:r>
      <w:r>
        <w:rPr>
          <w:rFonts w:asciiTheme="minorHAnsi" w:hAnsiTheme="minorHAnsi" w:cstheme="minorHAnsi"/>
        </w:rPr>
        <w:t xml:space="preserve">standard </w:t>
      </w:r>
      <w:r w:rsidRPr="003C7A52">
        <w:rPr>
          <w:rFonts w:asciiTheme="minorHAnsi" w:hAnsiTheme="minorHAnsi" w:cstheme="minorHAnsi"/>
        </w:rPr>
        <w:t xml:space="preserve">program itself as purchasers of </w:t>
      </w:r>
      <w:r>
        <w:rPr>
          <w:rFonts w:asciiTheme="minorHAnsi" w:hAnsiTheme="minorHAnsi" w:cstheme="minorHAnsi"/>
        </w:rPr>
        <w:t>the</w:t>
      </w:r>
      <w:r w:rsidRPr="003C7A52">
        <w:rPr>
          <w:rFonts w:asciiTheme="minorHAnsi" w:hAnsiTheme="minorHAnsi" w:cstheme="minorHAnsi"/>
        </w:rPr>
        <w:t xml:space="preserve"> methane reduction</w:t>
      </w:r>
      <w:r w:rsidR="00EB3C87">
        <w:rPr>
          <w:rFonts w:asciiTheme="minorHAnsi" w:hAnsiTheme="minorHAnsi" w:cstheme="minorHAnsi"/>
        </w:rPr>
        <w:t xml:space="preserve"> credit</w:t>
      </w:r>
      <w:r w:rsidRPr="003C7A52">
        <w:rPr>
          <w:rFonts w:asciiTheme="minorHAnsi" w:hAnsiTheme="minorHAnsi" w:cstheme="minorHAnsi"/>
        </w:rPr>
        <w:t xml:space="preserve">s </w:t>
      </w:r>
      <w:r w:rsidR="00EB3C87">
        <w:rPr>
          <w:rFonts w:asciiTheme="minorHAnsi" w:hAnsiTheme="minorHAnsi" w:cstheme="minorHAnsi"/>
        </w:rPr>
        <w:t xml:space="preserve">are rewarding polluters </w:t>
      </w:r>
      <w:r w:rsidRPr="003C7A52">
        <w:rPr>
          <w:rFonts w:asciiTheme="minorHAnsi" w:hAnsiTheme="minorHAnsi" w:cstheme="minorHAnsi"/>
        </w:rPr>
        <w:t xml:space="preserve">that should be controlled by regulation, as other SLCPs are. </w:t>
      </w:r>
      <w:r>
        <w:rPr>
          <w:rFonts w:asciiTheme="minorHAnsi" w:hAnsiTheme="minorHAnsi" w:cstheme="minorHAnsi"/>
        </w:rPr>
        <w:t>(</w:t>
      </w:r>
      <w:r w:rsidRPr="003C7A52">
        <w:rPr>
          <w:rFonts w:asciiTheme="minorHAnsi" w:hAnsiTheme="minorHAnsi" w:cstheme="minorHAnsi"/>
        </w:rPr>
        <w:t>We don’t pay owners of leaking abandoned wells to capture the methane; we fine them if they don’t eliminate it. Similarly</w:t>
      </w:r>
      <w:r>
        <w:rPr>
          <w:rFonts w:asciiTheme="minorHAnsi" w:hAnsiTheme="minorHAnsi" w:cstheme="minorHAnsi"/>
        </w:rPr>
        <w:t>,</w:t>
      </w:r>
      <w:r w:rsidRPr="003C7A52">
        <w:rPr>
          <w:rFonts w:asciiTheme="minorHAnsi" w:hAnsiTheme="minorHAnsi" w:cstheme="minorHAnsi"/>
        </w:rPr>
        <w:t xml:space="preserve"> CARB requires diesel truck owners to install equipment to reduce or eliminate black soot.</w:t>
      </w:r>
      <w:r>
        <w:rPr>
          <w:rFonts w:asciiTheme="minorHAnsi" w:hAnsiTheme="minorHAnsi" w:cstheme="minorHAnsi"/>
        </w:rPr>
        <w:t>)</w:t>
      </w:r>
    </w:p>
    <w:p w14:paraId="25C384B3" w14:textId="53C6ABE5" w:rsidR="003D727B" w:rsidRPr="0068768F" w:rsidRDefault="003D727B" w:rsidP="004C395A">
      <w:pPr>
        <w:pStyle w:val="ListParagraph"/>
        <w:numPr>
          <w:ilvl w:val="0"/>
          <w:numId w:val="11"/>
        </w:numPr>
        <w:spacing w:before="120" w:after="120"/>
        <w:contextualSpacing w:val="0"/>
        <w:rPr>
          <w:rFonts w:asciiTheme="minorHAnsi" w:hAnsiTheme="minorHAnsi" w:cstheme="minorHAnsi"/>
        </w:rPr>
      </w:pPr>
      <w:r w:rsidRPr="0068768F">
        <w:rPr>
          <w:rFonts w:asciiTheme="minorHAnsi" w:hAnsiTheme="minorHAnsi" w:cstheme="minorHAnsi"/>
        </w:rPr>
        <w:t xml:space="preserve">The anticipated </w:t>
      </w:r>
      <w:r w:rsidR="00EB3C87">
        <w:rPr>
          <w:rFonts w:asciiTheme="minorHAnsi" w:hAnsiTheme="minorHAnsi" w:cstheme="minorHAnsi"/>
        </w:rPr>
        <w:t xml:space="preserve">2030 </w:t>
      </w:r>
      <w:r w:rsidRPr="0068768F">
        <w:rPr>
          <w:rFonts w:asciiTheme="minorHAnsi" w:hAnsiTheme="minorHAnsi" w:cstheme="minorHAnsi"/>
        </w:rPr>
        <w:t>deadline is certain to set off a “gold rush” as dairies move to install digesters and collect the massive subsidies available through the avoided emissions credits.</w:t>
      </w:r>
    </w:p>
    <w:p w14:paraId="11038C52" w14:textId="7B4B0560" w:rsidR="0068768F" w:rsidRDefault="003D727B" w:rsidP="004C395A">
      <w:pPr>
        <w:pStyle w:val="ListParagraph"/>
        <w:numPr>
          <w:ilvl w:val="0"/>
          <w:numId w:val="11"/>
        </w:numPr>
        <w:spacing w:before="120" w:after="120"/>
        <w:contextualSpacing w:val="0"/>
        <w:rPr>
          <w:rFonts w:asciiTheme="minorHAnsi" w:hAnsiTheme="minorHAnsi" w:cstheme="minorHAnsi"/>
        </w:rPr>
      </w:pPr>
      <w:r w:rsidRPr="003C7A52">
        <w:rPr>
          <w:rFonts w:asciiTheme="minorHAnsi" w:hAnsiTheme="minorHAnsi" w:cstheme="minorHAnsi"/>
        </w:rPr>
        <w:t xml:space="preserve">Digesters that upgrade biogas to biomethane and </w:t>
      </w:r>
      <w:r w:rsidR="003F1BE2">
        <w:rPr>
          <w:rFonts w:asciiTheme="minorHAnsi" w:hAnsiTheme="minorHAnsi" w:cstheme="minorHAnsi"/>
        </w:rPr>
        <w:t>send it through</w:t>
      </w:r>
      <w:r w:rsidRPr="003C7A52">
        <w:rPr>
          <w:rFonts w:asciiTheme="minorHAnsi" w:hAnsiTheme="minorHAnsi" w:cstheme="minorHAnsi"/>
        </w:rPr>
        <w:t xml:space="preserve"> natural gas pipeline</w:t>
      </w:r>
      <w:r w:rsidR="00EB3C87">
        <w:rPr>
          <w:rFonts w:asciiTheme="minorHAnsi" w:hAnsiTheme="minorHAnsi" w:cstheme="minorHAnsi"/>
        </w:rPr>
        <w:t>s</w:t>
      </w:r>
      <w:r w:rsidRPr="003C7A52">
        <w:rPr>
          <w:rFonts w:asciiTheme="minorHAnsi" w:hAnsiTheme="minorHAnsi" w:cstheme="minorHAnsi"/>
        </w:rPr>
        <w:t xml:space="preserve"> contribute to public utilities</w:t>
      </w:r>
      <w:r w:rsidR="003F1BE2">
        <w:rPr>
          <w:rFonts w:asciiTheme="minorHAnsi" w:hAnsiTheme="minorHAnsi" w:cstheme="minorHAnsi"/>
        </w:rPr>
        <w:t>’</w:t>
      </w:r>
      <w:r w:rsidRPr="003C7A52">
        <w:rPr>
          <w:rFonts w:asciiTheme="minorHAnsi" w:hAnsiTheme="minorHAnsi" w:cstheme="minorHAnsi"/>
        </w:rPr>
        <w:t xml:space="preserve"> and related industries</w:t>
      </w:r>
      <w:r w:rsidR="003F1BE2">
        <w:rPr>
          <w:rFonts w:asciiTheme="minorHAnsi" w:hAnsiTheme="minorHAnsi" w:cstheme="minorHAnsi"/>
        </w:rPr>
        <w:t>’ resistance</w:t>
      </w:r>
      <w:r w:rsidRPr="003C7A52">
        <w:rPr>
          <w:rFonts w:asciiTheme="minorHAnsi" w:hAnsiTheme="minorHAnsi" w:cstheme="minorHAnsi"/>
        </w:rPr>
        <w:t xml:space="preserve"> to phasing out natural gas. </w:t>
      </w:r>
    </w:p>
    <w:p w14:paraId="081A2612" w14:textId="447755D2" w:rsidR="0068768F" w:rsidRDefault="0068768F" w:rsidP="004C395A">
      <w:pPr>
        <w:pStyle w:val="ListParagraph"/>
        <w:numPr>
          <w:ilvl w:val="0"/>
          <w:numId w:val="11"/>
        </w:numPr>
        <w:spacing w:before="120" w:after="120"/>
        <w:contextualSpacing w:val="0"/>
        <w:rPr>
          <w:rFonts w:asciiTheme="minorHAnsi" w:hAnsiTheme="minorHAnsi" w:cstheme="minorHAnsi"/>
        </w:rPr>
      </w:pPr>
      <w:r w:rsidRPr="0068768F">
        <w:rPr>
          <w:rFonts w:asciiTheme="minorHAnsi" w:hAnsiTheme="minorHAnsi" w:cstheme="minorHAnsi"/>
        </w:rPr>
        <w:t>Even though the scoping plan says that by 2045 biomethane should be limited to hard to decarbonize industries, there is no plan for how to implement that limitation.</w:t>
      </w:r>
      <w:r w:rsidR="0066702A">
        <w:rPr>
          <w:rStyle w:val="FootnoteReference"/>
          <w:rFonts w:asciiTheme="minorHAnsi" w:hAnsiTheme="minorHAnsi" w:cstheme="minorHAnsi"/>
        </w:rPr>
        <w:footnoteReference w:id="2"/>
      </w:r>
      <w:r w:rsidRPr="0068768F">
        <w:rPr>
          <w:rFonts w:asciiTheme="minorHAnsi" w:hAnsiTheme="minorHAnsi" w:cstheme="minorHAnsi"/>
        </w:rPr>
        <w:t xml:space="preserve"> </w:t>
      </w:r>
      <w:r w:rsidR="00794608">
        <w:rPr>
          <w:rFonts w:asciiTheme="minorHAnsi" w:hAnsiTheme="minorHAnsi" w:cstheme="minorHAnsi"/>
        </w:rPr>
        <w:t>How do we get from biomethane as a means of reducing the impact of fossil fuels to limiting its use to cement and steel and similar industries as needed?</w:t>
      </w:r>
      <w:r w:rsidR="009402F8">
        <w:rPr>
          <w:rFonts w:asciiTheme="minorHAnsi" w:hAnsiTheme="minorHAnsi" w:cstheme="minorHAnsi"/>
        </w:rPr>
        <w:t xml:space="preserve"> Biomethane should not be incentivized now without this path being clear.</w:t>
      </w:r>
    </w:p>
    <w:p w14:paraId="1322BF20" w14:textId="437F3114" w:rsidR="00C55923" w:rsidRPr="003C7A52" w:rsidRDefault="009402F8" w:rsidP="004C395A">
      <w:pPr>
        <w:pStyle w:val="Heading2"/>
        <w:spacing w:before="120" w:after="120"/>
        <w:rPr>
          <w:rFonts w:asciiTheme="minorHAnsi" w:eastAsia="Times New Roman" w:hAnsiTheme="minorHAnsi" w:cstheme="minorHAnsi"/>
          <w:sz w:val="24"/>
          <w:szCs w:val="24"/>
        </w:rPr>
      </w:pPr>
      <w:r>
        <w:rPr>
          <w:rFonts w:asciiTheme="minorHAnsi" w:eastAsia="Times New Roman" w:hAnsiTheme="minorHAnsi" w:cstheme="minorHAnsi"/>
          <w:sz w:val="24"/>
          <w:szCs w:val="24"/>
        </w:rPr>
        <w:t>RECOMMENDATIONS</w:t>
      </w:r>
    </w:p>
    <w:p w14:paraId="3B9C8A6E" w14:textId="31243920" w:rsidR="00050150" w:rsidRDefault="00050150" w:rsidP="004C395A">
      <w:pPr>
        <w:spacing w:before="120" w:after="120"/>
        <w:rPr>
          <w:rFonts w:asciiTheme="minorHAnsi" w:hAnsiTheme="minorHAnsi" w:cstheme="minorHAnsi"/>
          <w:sz w:val="24"/>
        </w:rPr>
      </w:pPr>
      <w:r w:rsidRPr="003C7A52">
        <w:rPr>
          <w:rFonts w:asciiTheme="minorHAnsi" w:hAnsiTheme="minorHAnsi" w:cstheme="minorHAnsi"/>
          <w:sz w:val="24"/>
        </w:rPr>
        <w:t>A wide range of policy</w:t>
      </w:r>
      <w:r w:rsidR="00FF3A62">
        <w:rPr>
          <w:rFonts w:asciiTheme="minorHAnsi" w:hAnsiTheme="minorHAnsi" w:cstheme="minorHAnsi"/>
          <w:sz w:val="24"/>
        </w:rPr>
        <w:t xml:space="preserve"> </w:t>
      </w:r>
      <w:r w:rsidRPr="003C7A52">
        <w:rPr>
          <w:rFonts w:asciiTheme="minorHAnsi" w:hAnsiTheme="minorHAnsi" w:cstheme="minorHAnsi"/>
          <w:sz w:val="24"/>
        </w:rPr>
        <w:t xml:space="preserve">makers and industry leaders in other states will take their cue from what California does </w:t>
      </w:r>
      <w:r w:rsidR="00FF3A62">
        <w:rPr>
          <w:rFonts w:asciiTheme="minorHAnsi" w:hAnsiTheme="minorHAnsi" w:cstheme="minorHAnsi"/>
          <w:sz w:val="24"/>
        </w:rPr>
        <w:t>about</w:t>
      </w:r>
      <w:r w:rsidR="00FF3A62" w:rsidRPr="003C7A52">
        <w:rPr>
          <w:rFonts w:asciiTheme="minorHAnsi" w:hAnsiTheme="minorHAnsi" w:cstheme="minorHAnsi"/>
          <w:sz w:val="24"/>
        </w:rPr>
        <w:t xml:space="preserve"> </w:t>
      </w:r>
      <w:r w:rsidRPr="003C7A52">
        <w:rPr>
          <w:rFonts w:asciiTheme="minorHAnsi" w:hAnsiTheme="minorHAnsi" w:cstheme="minorHAnsi"/>
          <w:sz w:val="24"/>
        </w:rPr>
        <w:t xml:space="preserve">dairy gas. </w:t>
      </w:r>
      <w:r w:rsidR="00146D96" w:rsidRPr="003C7A52">
        <w:rPr>
          <w:rFonts w:asciiTheme="minorHAnsi" w:hAnsiTheme="minorHAnsi" w:cstheme="minorHAnsi"/>
          <w:sz w:val="24"/>
        </w:rPr>
        <w:t xml:space="preserve">California’s policies should lead to resolution of the </w:t>
      </w:r>
      <w:r w:rsidR="00FF3A62">
        <w:rPr>
          <w:rFonts w:asciiTheme="minorHAnsi" w:hAnsiTheme="minorHAnsi" w:cstheme="minorHAnsi"/>
          <w:sz w:val="24"/>
        </w:rPr>
        <w:t xml:space="preserve">numerous environmental and social justice </w:t>
      </w:r>
      <w:r w:rsidR="00146D96" w:rsidRPr="003C7A52">
        <w:rPr>
          <w:rFonts w:asciiTheme="minorHAnsi" w:hAnsiTheme="minorHAnsi" w:cstheme="minorHAnsi"/>
          <w:sz w:val="24"/>
        </w:rPr>
        <w:t>problems caused by CAFO</w:t>
      </w:r>
      <w:r w:rsidR="00FF3A62">
        <w:rPr>
          <w:rFonts w:asciiTheme="minorHAnsi" w:hAnsiTheme="minorHAnsi" w:cstheme="minorHAnsi"/>
          <w:sz w:val="24"/>
        </w:rPr>
        <w:t>s</w:t>
      </w:r>
      <w:r w:rsidR="00146D96" w:rsidRPr="003C7A52">
        <w:rPr>
          <w:rFonts w:asciiTheme="minorHAnsi" w:hAnsiTheme="minorHAnsi" w:cstheme="minorHAnsi"/>
          <w:sz w:val="24"/>
        </w:rPr>
        <w:t xml:space="preserve"> in the </w:t>
      </w:r>
      <w:r w:rsidR="00FF3A62">
        <w:rPr>
          <w:rFonts w:asciiTheme="minorHAnsi" w:hAnsiTheme="minorHAnsi" w:cstheme="minorHAnsi"/>
          <w:sz w:val="24"/>
        </w:rPr>
        <w:t>C</w:t>
      </w:r>
      <w:r w:rsidR="00146D96" w:rsidRPr="003C7A52">
        <w:rPr>
          <w:rFonts w:asciiTheme="minorHAnsi" w:hAnsiTheme="minorHAnsi" w:cstheme="minorHAnsi"/>
          <w:sz w:val="24"/>
        </w:rPr>
        <w:t xml:space="preserve">entral </w:t>
      </w:r>
      <w:r w:rsidR="00FF3A62">
        <w:rPr>
          <w:rFonts w:asciiTheme="minorHAnsi" w:hAnsiTheme="minorHAnsi" w:cstheme="minorHAnsi"/>
          <w:sz w:val="24"/>
        </w:rPr>
        <w:t>V</w:t>
      </w:r>
      <w:r w:rsidR="00146D96" w:rsidRPr="003C7A52">
        <w:rPr>
          <w:rFonts w:asciiTheme="minorHAnsi" w:hAnsiTheme="minorHAnsi" w:cstheme="minorHAnsi"/>
          <w:sz w:val="24"/>
        </w:rPr>
        <w:t>alley and</w:t>
      </w:r>
      <w:r w:rsidR="00FF3A62">
        <w:rPr>
          <w:rFonts w:asciiTheme="minorHAnsi" w:hAnsiTheme="minorHAnsi" w:cstheme="minorHAnsi"/>
          <w:sz w:val="24"/>
        </w:rPr>
        <w:t xml:space="preserve"> remediate CARB’s apparent</w:t>
      </w:r>
      <w:r w:rsidR="00146D96" w:rsidRPr="003C7A52">
        <w:rPr>
          <w:rFonts w:asciiTheme="minorHAnsi" w:hAnsiTheme="minorHAnsi" w:cstheme="minorHAnsi"/>
          <w:sz w:val="24"/>
        </w:rPr>
        <w:t xml:space="preserve"> lack of planning </w:t>
      </w:r>
      <w:r w:rsidR="00FF3A62">
        <w:rPr>
          <w:rFonts w:asciiTheme="minorHAnsi" w:hAnsiTheme="minorHAnsi" w:cstheme="minorHAnsi"/>
          <w:sz w:val="24"/>
        </w:rPr>
        <w:t>to</w:t>
      </w:r>
      <w:r w:rsidR="00FF3A62" w:rsidRPr="003C7A52">
        <w:rPr>
          <w:rFonts w:asciiTheme="minorHAnsi" w:hAnsiTheme="minorHAnsi" w:cstheme="minorHAnsi"/>
          <w:sz w:val="24"/>
        </w:rPr>
        <w:t xml:space="preserve"> </w:t>
      </w:r>
      <w:r w:rsidR="00146D96" w:rsidRPr="003C7A52">
        <w:rPr>
          <w:rFonts w:asciiTheme="minorHAnsi" w:hAnsiTheme="minorHAnsi" w:cstheme="minorHAnsi"/>
          <w:sz w:val="24"/>
        </w:rPr>
        <w:t xml:space="preserve">divert biomethane </w:t>
      </w:r>
      <w:r w:rsidR="00FF3A62">
        <w:rPr>
          <w:rFonts w:asciiTheme="minorHAnsi" w:hAnsiTheme="minorHAnsi" w:cstheme="minorHAnsi"/>
          <w:sz w:val="24"/>
        </w:rPr>
        <w:t>for</w:t>
      </w:r>
      <w:r w:rsidR="00FF3A62" w:rsidRPr="003C7A52">
        <w:rPr>
          <w:rFonts w:asciiTheme="minorHAnsi" w:hAnsiTheme="minorHAnsi" w:cstheme="minorHAnsi"/>
          <w:sz w:val="24"/>
        </w:rPr>
        <w:t xml:space="preserve"> </w:t>
      </w:r>
      <w:r w:rsidR="00146D96" w:rsidRPr="003C7A52">
        <w:rPr>
          <w:rFonts w:asciiTheme="minorHAnsi" w:hAnsiTheme="minorHAnsi" w:cstheme="minorHAnsi"/>
          <w:sz w:val="24"/>
        </w:rPr>
        <w:t xml:space="preserve">use only in hard to decarbonize industries. </w:t>
      </w:r>
    </w:p>
    <w:p w14:paraId="3C78497C" w14:textId="7C6D8496" w:rsidR="009402F8" w:rsidRDefault="009402F8" w:rsidP="004C395A">
      <w:pPr>
        <w:spacing w:before="120" w:after="120"/>
        <w:rPr>
          <w:rFonts w:asciiTheme="minorHAnsi" w:hAnsiTheme="minorHAnsi" w:cstheme="minorHAnsi"/>
          <w:sz w:val="24"/>
        </w:rPr>
      </w:pPr>
      <w:r>
        <w:rPr>
          <w:rFonts w:asciiTheme="minorHAnsi" w:hAnsiTheme="minorHAnsi" w:cstheme="minorHAnsi"/>
          <w:sz w:val="24"/>
        </w:rPr>
        <w:t xml:space="preserve">The simplest and most effective way of dealing with the many negative effects of avoided emissions credits is to eliminate them. Stop them </w:t>
      </w:r>
      <w:r w:rsidR="00720793">
        <w:rPr>
          <w:rFonts w:asciiTheme="minorHAnsi" w:hAnsiTheme="minorHAnsi" w:cstheme="minorHAnsi"/>
          <w:sz w:val="24"/>
        </w:rPr>
        <w:t>now or in 2025</w:t>
      </w:r>
      <w:r w:rsidR="00720793">
        <w:rPr>
          <w:rStyle w:val="FootnoteReference"/>
          <w:rFonts w:asciiTheme="minorHAnsi" w:hAnsiTheme="minorHAnsi" w:cstheme="minorHAnsi"/>
          <w:sz w:val="24"/>
        </w:rPr>
        <w:footnoteReference w:id="3"/>
      </w:r>
      <w:r>
        <w:rPr>
          <w:rFonts w:asciiTheme="minorHAnsi" w:hAnsiTheme="minorHAnsi" w:cstheme="minorHAnsi"/>
          <w:sz w:val="24"/>
        </w:rPr>
        <w:t xml:space="preserve"> instead of in 2030. The policy </w:t>
      </w:r>
      <w:r>
        <w:rPr>
          <w:rFonts w:asciiTheme="minorHAnsi" w:hAnsiTheme="minorHAnsi" w:cstheme="minorHAnsi"/>
          <w:sz w:val="24"/>
        </w:rPr>
        <w:lastRenderedPageBreak/>
        <w:t xml:space="preserve">alternatives below are all more complicated, less certain, and less clearly </w:t>
      </w:r>
      <w:r w:rsidR="005A2DE3">
        <w:rPr>
          <w:rFonts w:asciiTheme="minorHAnsi" w:hAnsiTheme="minorHAnsi" w:cstheme="minorHAnsi"/>
          <w:sz w:val="24"/>
        </w:rPr>
        <w:t xml:space="preserve">within the authority </w:t>
      </w:r>
      <w:r>
        <w:rPr>
          <w:rFonts w:asciiTheme="minorHAnsi" w:hAnsiTheme="minorHAnsi" w:cstheme="minorHAnsi"/>
          <w:sz w:val="24"/>
        </w:rPr>
        <w:t>of the LCFS program.</w:t>
      </w:r>
    </w:p>
    <w:p w14:paraId="4C8451EA" w14:textId="7FA24061" w:rsidR="00146D96" w:rsidRPr="003C7A52" w:rsidRDefault="009402F8" w:rsidP="004C395A">
      <w:pPr>
        <w:pStyle w:val="NormalWeb"/>
        <w:spacing w:before="120" w:beforeAutospacing="0" w:after="120" w:afterAutospacing="0"/>
        <w:rPr>
          <w:rFonts w:asciiTheme="minorHAnsi" w:hAnsiTheme="minorHAnsi" w:cstheme="minorHAnsi"/>
        </w:rPr>
      </w:pPr>
      <w:r w:rsidRPr="00B01B9C">
        <w:rPr>
          <w:rFonts w:asciiTheme="minorHAnsi" w:hAnsiTheme="minorHAnsi" w:cstheme="minorHAnsi"/>
        </w:rPr>
        <w:t xml:space="preserve">Environmental justice advocates petitioned CARB a year ago to </w:t>
      </w:r>
      <w:r w:rsidR="005A2DE3">
        <w:rPr>
          <w:rFonts w:asciiTheme="minorHAnsi" w:hAnsiTheme="minorHAnsi" w:cstheme="minorHAnsi"/>
        </w:rPr>
        <w:t>end avoided emissions credits</w:t>
      </w:r>
      <w:r w:rsidRPr="00B01B9C">
        <w:rPr>
          <w:rFonts w:asciiTheme="minorHAnsi" w:hAnsiTheme="minorHAnsi" w:cstheme="minorHAnsi"/>
        </w:rPr>
        <w:t>;</w:t>
      </w:r>
      <w:r w:rsidRPr="003C7A52">
        <w:rPr>
          <w:rStyle w:val="FootnoteReference"/>
          <w:rFonts w:asciiTheme="minorHAnsi" w:hAnsiTheme="minorHAnsi" w:cstheme="minorHAnsi"/>
        </w:rPr>
        <w:footnoteReference w:id="4"/>
      </w:r>
      <w:r w:rsidRPr="00B01B9C">
        <w:rPr>
          <w:rFonts w:asciiTheme="minorHAnsi" w:hAnsiTheme="minorHAnsi" w:cstheme="minorHAnsi"/>
        </w:rPr>
        <w:t xml:space="preserve"> and CARB responded that alternatives would be provided in the scoping plan. In the event neither the final scoping plan nor the final report on reducing agricultural methane, nor this proposed LCFS alternative actually address the issues of the petition, CARB could choose to approve the petition. </w:t>
      </w:r>
    </w:p>
    <w:p w14:paraId="05C13EE4" w14:textId="77777777" w:rsidR="005A2DE3" w:rsidRDefault="009402F8" w:rsidP="004C395A">
      <w:pPr>
        <w:spacing w:before="120" w:after="120"/>
        <w:rPr>
          <w:rFonts w:asciiTheme="minorHAnsi" w:hAnsiTheme="minorHAnsi" w:cstheme="minorHAnsi"/>
          <w:sz w:val="24"/>
        </w:rPr>
      </w:pPr>
      <w:r>
        <w:rPr>
          <w:rFonts w:asciiTheme="minorHAnsi" w:hAnsiTheme="minorHAnsi" w:cstheme="minorHAnsi"/>
          <w:sz w:val="24"/>
        </w:rPr>
        <w:t>If avoided emissions are not eliminated, there are several other</w:t>
      </w:r>
      <w:r w:rsidR="005E388A" w:rsidRPr="003C7A52">
        <w:rPr>
          <w:rFonts w:asciiTheme="minorHAnsi" w:hAnsiTheme="minorHAnsi" w:cstheme="minorHAnsi"/>
          <w:sz w:val="24"/>
        </w:rPr>
        <w:t xml:space="preserve"> policies the LCFS</w:t>
      </w:r>
      <w:r>
        <w:rPr>
          <w:rFonts w:asciiTheme="minorHAnsi" w:hAnsiTheme="minorHAnsi" w:cstheme="minorHAnsi"/>
          <w:sz w:val="24"/>
        </w:rPr>
        <w:t xml:space="preserve"> could adopt that are</w:t>
      </w:r>
      <w:r w:rsidR="00FF3A62">
        <w:rPr>
          <w:rFonts w:asciiTheme="minorHAnsi" w:hAnsiTheme="minorHAnsi" w:cstheme="minorHAnsi"/>
          <w:sz w:val="24"/>
        </w:rPr>
        <w:t xml:space="preserve"> intended </w:t>
      </w:r>
      <w:r w:rsidR="00284E48">
        <w:rPr>
          <w:rFonts w:asciiTheme="minorHAnsi" w:hAnsiTheme="minorHAnsi" w:cstheme="minorHAnsi"/>
          <w:sz w:val="24"/>
        </w:rPr>
        <w:t xml:space="preserve">to </w:t>
      </w:r>
      <w:r w:rsidR="00FF3A62">
        <w:rPr>
          <w:rFonts w:asciiTheme="minorHAnsi" w:hAnsiTheme="minorHAnsi" w:cstheme="minorHAnsi"/>
          <w:sz w:val="24"/>
        </w:rPr>
        <w:t>address</w:t>
      </w:r>
      <w:r w:rsidR="005E388A" w:rsidRPr="003C7A52">
        <w:rPr>
          <w:rFonts w:asciiTheme="minorHAnsi" w:hAnsiTheme="minorHAnsi" w:cstheme="minorHAnsi"/>
          <w:sz w:val="24"/>
        </w:rPr>
        <w:t xml:space="preserve"> perverse incentives for natural gas utilities and for dairies. </w:t>
      </w:r>
    </w:p>
    <w:p w14:paraId="0E9077F1" w14:textId="357E7619" w:rsidR="005E388A" w:rsidRPr="005A2DE3" w:rsidRDefault="00FF3A62" w:rsidP="004C395A">
      <w:pPr>
        <w:pStyle w:val="ListParagraph"/>
        <w:numPr>
          <w:ilvl w:val="0"/>
          <w:numId w:val="12"/>
        </w:numPr>
        <w:spacing w:before="120" w:after="120"/>
        <w:contextualSpacing w:val="0"/>
        <w:rPr>
          <w:rFonts w:asciiTheme="minorHAnsi" w:hAnsiTheme="minorHAnsi" w:cstheme="minorHAnsi"/>
          <w:szCs w:val="26"/>
        </w:rPr>
      </w:pPr>
      <w:r w:rsidRPr="005A2DE3">
        <w:rPr>
          <w:rFonts w:asciiTheme="minorHAnsi" w:hAnsiTheme="minorHAnsi" w:cstheme="minorHAnsi"/>
          <w:szCs w:val="26"/>
        </w:rPr>
        <w:t>T</w:t>
      </w:r>
      <w:r w:rsidR="005E388A" w:rsidRPr="005A2DE3">
        <w:rPr>
          <w:rFonts w:asciiTheme="minorHAnsi" w:hAnsiTheme="minorHAnsi" w:cstheme="minorHAnsi"/>
          <w:szCs w:val="26"/>
        </w:rPr>
        <w:t>he “credit aggregator” suggested to CARB by Jeremy Martin of the Union of Concerned Scientists.</w:t>
      </w:r>
      <w:r w:rsidR="005E388A" w:rsidRPr="005A2DE3">
        <w:rPr>
          <w:rStyle w:val="FootnoteReference"/>
          <w:rFonts w:asciiTheme="minorHAnsi" w:hAnsiTheme="minorHAnsi" w:cstheme="minorHAnsi"/>
          <w:szCs w:val="26"/>
        </w:rPr>
        <w:footnoteReference w:id="5"/>
      </w:r>
      <w:r w:rsidR="005E388A" w:rsidRPr="005A2DE3">
        <w:rPr>
          <w:rFonts w:asciiTheme="minorHAnsi" w:hAnsiTheme="minorHAnsi" w:cstheme="minorHAnsi"/>
          <w:szCs w:val="26"/>
        </w:rPr>
        <w:t xml:space="preserve"> CARB </w:t>
      </w:r>
      <w:r w:rsidRPr="005A2DE3">
        <w:rPr>
          <w:rFonts w:asciiTheme="minorHAnsi" w:hAnsiTheme="minorHAnsi" w:cstheme="minorHAnsi"/>
          <w:szCs w:val="26"/>
        </w:rPr>
        <w:t>could “</w:t>
      </w:r>
      <w:r w:rsidR="005E388A" w:rsidRPr="005A2DE3">
        <w:rPr>
          <w:rFonts w:asciiTheme="minorHAnsi" w:hAnsiTheme="minorHAnsi" w:cstheme="minorHAnsi"/>
          <w:szCs w:val="26"/>
        </w:rPr>
        <w:t>appoint a credit aggregator to monetize avoided methane credits and distribute the funds in support of agricultural methane emissions reductions in a manner that supports best practices, avoids distorting the dairy market</w:t>
      </w:r>
      <w:r w:rsidRPr="005A2DE3">
        <w:rPr>
          <w:rFonts w:asciiTheme="minorHAnsi" w:hAnsiTheme="minorHAnsi" w:cstheme="minorHAnsi"/>
          <w:szCs w:val="26"/>
        </w:rPr>
        <w:t>,</w:t>
      </w:r>
      <w:r w:rsidR="005E388A" w:rsidRPr="005A2DE3">
        <w:rPr>
          <w:rFonts w:asciiTheme="minorHAnsi" w:hAnsiTheme="minorHAnsi" w:cstheme="minorHAnsi"/>
          <w:szCs w:val="26"/>
        </w:rPr>
        <w:t xml:space="preserve"> and is complimentary with other state policies and consistent with other state goals, including minimizing co-pollutants and promoting environmental justice.” </w:t>
      </w:r>
      <w:r w:rsidRPr="005A2DE3">
        <w:rPr>
          <w:rFonts w:asciiTheme="minorHAnsi" w:hAnsiTheme="minorHAnsi" w:cstheme="minorHAnsi"/>
          <w:szCs w:val="26"/>
        </w:rPr>
        <w:t>We are agnostic as to</w:t>
      </w:r>
      <w:r w:rsidR="005E388A" w:rsidRPr="005A2DE3">
        <w:rPr>
          <w:rFonts w:asciiTheme="minorHAnsi" w:hAnsiTheme="minorHAnsi" w:cstheme="minorHAnsi"/>
          <w:szCs w:val="26"/>
        </w:rPr>
        <w:t xml:space="preserve"> whether the LCFS could do this without enabling legislation</w:t>
      </w:r>
      <w:r w:rsidRPr="005A2DE3">
        <w:rPr>
          <w:rFonts w:asciiTheme="minorHAnsi" w:hAnsiTheme="minorHAnsi" w:cstheme="minorHAnsi"/>
          <w:szCs w:val="26"/>
        </w:rPr>
        <w:t>, but we would like to see</w:t>
      </w:r>
      <w:r w:rsidR="006D0308" w:rsidRPr="005A2DE3">
        <w:rPr>
          <w:rFonts w:asciiTheme="minorHAnsi" w:hAnsiTheme="minorHAnsi" w:cstheme="minorHAnsi"/>
          <w:szCs w:val="26"/>
        </w:rPr>
        <w:t xml:space="preserve"> </w:t>
      </w:r>
      <w:r w:rsidRPr="005A2DE3">
        <w:rPr>
          <w:rFonts w:asciiTheme="minorHAnsi" w:hAnsiTheme="minorHAnsi" w:cstheme="minorHAnsi"/>
          <w:szCs w:val="26"/>
        </w:rPr>
        <w:t>this implemented</w:t>
      </w:r>
      <w:r w:rsidR="005A2DE3">
        <w:rPr>
          <w:rFonts w:asciiTheme="minorHAnsi" w:hAnsiTheme="minorHAnsi" w:cstheme="minorHAnsi"/>
          <w:szCs w:val="26"/>
        </w:rPr>
        <w:t xml:space="preserve"> if avoided emissions are not terminated in the near future.</w:t>
      </w:r>
    </w:p>
    <w:p w14:paraId="14051E57" w14:textId="519662D8" w:rsidR="00EC02FD" w:rsidRDefault="005E388A" w:rsidP="004C395A">
      <w:pPr>
        <w:pStyle w:val="NormalWeb"/>
        <w:numPr>
          <w:ilvl w:val="0"/>
          <w:numId w:val="12"/>
        </w:numPr>
        <w:spacing w:before="120" w:beforeAutospacing="0" w:after="120" w:afterAutospacing="0"/>
        <w:rPr>
          <w:rFonts w:asciiTheme="minorHAnsi" w:hAnsiTheme="minorHAnsi" w:cstheme="minorHAnsi"/>
        </w:rPr>
      </w:pPr>
      <w:r w:rsidRPr="003C7A52">
        <w:rPr>
          <w:rFonts w:asciiTheme="minorHAnsi" w:hAnsiTheme="minorHAnsi" w:cstheme="minorHAnsi"/>
        </w:rPr>
        <w:t>A second alternative</w:t>
      </w:r>
      <w:r w:rsidR="00B01B9C">
        <w:rPr>
          <w:rFonts w:asciiTheme="minorHAnsi" w:hAnsiTheme="minorHAnsi" w:cstheme="minorHAnsi"/>
        </w:rPr>
        <w:t xml:space="preserve"> is coproduct allocation. “</w:t>
      </w:r>
      <w:r w:rsidR="00B01B9C">
        <w:rPr>
          <w:rFonts w:ascii="Calibri" w:hAnsi="Calibri" w:cs="Calibri"/>
        </w:rPr>
        <w:t>Manure is, at present, considered to be a waste product. Therefore, none of the emissions from milk production are allocated to manure or manure-based bioelectricity production. However, …a significant fraction of the revenue of a dairy farm with anaerobic digesters and a significant fraction of the profit from medium-to-large dairies with anaerobic digesters could come from manure that has been concentrated into anaerobic lagoons such that methane is created. The principles of lifecycle assessment suggest that some of the emissions associated with raising dairy cattle should therefore be attributed to this “valuable” coproduct.</w:t>
      </w:r>
      <w:r w:rsidRPr="003C7A52">
        <w:rPr>
          <w:rStyle w:val="FootnoteReference"/>
          <w:rFonts w:asciiTheme="minorHAnsi" w:hAnsiTheme="minorHAnsi" w:cstheme="minorHAnsi"/>
        </w:rPr>
        <w:footnoteReference w:id="6"/>
      </w:r>
      <w:r w:rsidRPr="003C7A52">
        <w:rPr>
          <w:rFonts w:asciiTheme="minorHAnsi" w:hAnsiTheme="minorHAnsi" w:cstheme="minorHAnsi"/>
        </w:rPr>
        <w:t xml:space="preserve"> We believe the LCFS could itself change the standards for its life cycle assessment so as to assign the value of</w:t>
      </w:r>
      <w:r w:rsidR="00FF432E">
        <w:rPr>
          <w:rFonts w:asciiTheme="minorHAnsi" w:hAnsiTheme="minorHAnsi" w:cstheme="minorHAnsi"/>
        </w:rPr>
        <w:t xml:space="preserve"> </w:t>
      </w:r>
      <w:r w:rsidRPr="003C7A52">
        <w:rPr>
          <w:rFonts w:asciiTheme="minorHAnsi" w:hAnsiTheme="minorHAnsi" w:cstheme="minorHAnsi"/>
        </w:rPr>
        <w:t>avoided emissions to co-production.</w:t>
      </w:r>
    </w:p>
    <w:p w14:paraId="115AD4A2" w14:textId="180054DB" w:rsidR="00E14EB3" w:rsidRDefault="00E14EB3" w:rsidP="00312018">
      <w:pPr>
        <w:pStyle w:val="NormalWeb"/>
        <w:numPr>
          <w:ilvl w:val="0"/>
          <w:numId w:val="12"/>
        </w:numPr>
        <w:rPr>
          <w:rFonts w:asciiTheme="minorHAnsi" w:hAnsiTheme="minorHAnsi" w:cstheme="minorHAnsi"/>
        </w:rPr>
      </w:pPr>
      <w:r>
        <w:rPr>
          <w:rFonts w:asciiTheme="minorHAnsi" w:hAnsiTheme="minorHAnsi" w:cstheme="minorHAnsi"/>
        </w:rPr>
        <w:t>LCFS could change the boundaries of the LCA used in evaluating the avoided emissions. As we and others have pointed out, digesters may capture most of the methane produced in a manure lagoon but increase emissions in other ways. If herd sizes increase, then enteric emissions increase. And the digestate is critical and can increase nitrous oxide emissions. Also different farms may have very different approaches to other sources of methane, in their manure management practices, for example. A more accurate way to calculate avoided emissions is by looking at the whole farm reductions (if any) associated with the digester.</w:t>
      </w:r>
      <w:r w:rsidR="005A2DE3">
        <w:rPr>
          <w:rFonts w:asciiTheme="minorHAnsi" w:hAnsiTheme="minorHAnsi" w:cstheme="minorHAnsi"/>
        </w:rPr>
        <w:t xml:space="preserve"> </w:t>
      </w:r>
      <w:r w:rsidR="005A2DE3" w:rsidRPr="00312018">
        <w:rPr>
          <w:rFonts w:asciiTheme="minorHAnsi" w:hAnsiTheme="minorHAnsi" w:cstheme="minorHAnsi"/>
        </w:rPr>
        <w:t xml:space="preserve">A somewhat alarming study tracked whole farm emissions on two farms for five years, from right before installation of a digester. </w:t>
      </w:r>
      <w:r w:rsidR="005A2DE3" w:rsidRPr="00312018">
        <w:rPr>
          <w:rFonts w:asciiTheme="minorHAnsi" w:hAnsiTheme="minorHAnsi" w:cstheme="minorHAnsi"/>
        </w:rPr>
        <w:lastRenderedPageBreak/>
        <w:t>Emissions actually increased over the five years.</w:t>
      </w:r>
      <w:r w:rsidR="005A2DE3" w:rsidRPr="00312018">
        <w:rPr>
          <w:rFonts w:asciiTheme="minorHAnsi" w:hAnsiTheme="minorHAnsi" w:cstheme="minorHAnsi"/>
          <w:vertAlign w:val="superscript"/>
        </w:rPr>
        <w:footnoteReference w:id="7"/>
      </w:r>
      <w:r w:rsidR="00312018" w:rsidRPr="00312018">
        <w:rPr>
          <w:rFonts w:asciiTheme="minorHAnsi" w:hAnsiTheme="minorHAnsi" w:cstheme="minorHAnsi"/>
        </w:rPr>
        <w:t xml:space="preserve"> And a</w:t>
      </w:r>
      <w:r w:rsidR="00312018">
        <w:rPr>
          <w:rFonts w:asciiTheme="minorHAnsi" w:hAnsiTheme="minorHAnsi" w:cstheme="minorHAnsi"/>
        </w:rPr>
        <w:t xml:space="preserve"> 2022</w:t>
      </w:r>
      <w:r w:rsidR="00312018" w:rsidRPr="00312018">
        <w:rPr>
          <w:rFonts w:asciiTheme="minorHAnsi" w:hAnsiTheme="minorHAnsi" w:cstheme="minorHAnsi"/>
        </w:rPr>
        <w:t xml:space="preserve"> study concluded that methane emissions along biogas and biomethane supply chains are substantially underestimated, with emissions at feedstock, biogas production, upgrading, and digestate handling</w:t>
      </w:r>
      <w:r w:rsidR="00312018">
        <w:rPr>
          <w:rFonts w:asciiTheme="minorHAnsi" w:hAnsiTheme="minorHAnsi" w:cstheme="minorHAnsi"/>
        </w:rPr>
        <w:t xml:space="preserve">. Findings led </w:t>
      </w:r>
      <w:r w:rsidR="00312018" w:rsidRPr="00312018">
        <w:rPr>
          <w:rFonts w:asciiTheme="minorHAnsi" w:hAnsiTheme="minorHAnsi" w:cstheme="minorHAnsi"/>
        </w:rPr>
        <w:t>the authors to conclude “a better understan</w:t>
      </w:r>
      <w:r w:rsidR="00312018">
        <w:rPr>
          <w:rFonts w:asciiTheme="minorHAnsi" w:hAnsiTheme="minorHAnsi" w:cstheme="minorHAnsi"/>
        </w:rPr>
        <w:t>d</w:t>
      </w:r>
      <w:r w:rsidR="00312018" w:rsidRPr="00312018">
        <w:rPr>
          <w:rFonts w:asciiTheme="minorHAnsi" w:hAnsiTheme="minorHAnsi" w:cstheme="minorHAnsi"/>
        </w:rPr>
        <w:t>ing of the counterfactual life cycle emissions for waste and by-product biomethane feedstocks must be developed.”</w:t>
      </w:r>
      <w:r w:rsidR="00312018" w:rsidRPr="00312018">
        <w:rPr>
          <w:rFonts w:asciiTheme="minorHAnsi" w:hAnsiTheme="minorHAnsi" w:cstheme="minorHAnsi"/>
          <w:vertAlign w:val="superscript"/>
        </w:rPr>
        <w:footnoteReference w:id="8"/>
      </w:r>
    </w:p>
    <w:p w14:paraId="642FDE82" w14:textId="688F8C6B" w:rsidR="00FF432E" w:rsidRPr="003C7A52" w:rsidRDefault="009402F8" w:rsidP="004C395A">
      <w:pPr>
        <w:pStyle w:val="NormalWeb"/>
        <w:numPr>
          <w:ilvl w:val="0"/>
          <w:numId w:val="12"/>
        </w:numPr>
        <w:spacing w:before="120" w:beforeAutospacing="0" w:after="120" w:afterAutospacing="0"/>
        <w:rPr>
          <w:rFonts w:asciiTheme="minorHAnsi" w:hAnsiTheme="minorHAnsi" w:cstheme="minorHAnsi"/>
        </w:rPr>
      </w:pPr>
      <w:r w:rsidRPr="003C7A52">
        <w:rPr>
          <w:rFonts w:asciiTheme="minorHAnsi" w:hAnsiTheme="minorHAnsi" w:cstheme="minorHAnsi"/>
        </w:rPr>
        <w:t xml:space="preserve">In 2024 CARB will be </w:t>
      </w:r>
      <w:r>
        <w:rPr>
          <w:rFonts w:asciiTheme="minorHAnsi" w:hAnsiTheme="minorHAnsi" w:cstheme="minorHAnsi"/>
        </w:rPr>
        <w:t>allowed by statute (SB 1383)</w:t>
      </w:r>
      <w:r w:rsidRPr="003C7A52">
        <w:rPr>
          <w:rFonts w:asciiTheme="minorHAnsi" w:hAnsiTheme="minorHAnsi" w:cstheme="minorHAnsi"/>
        </w:rPr>
        <w:t xml:space="preserve"> to regulate agricultural methane</w:t>
      </w:r>
      <w:r>
        <w:rPr>
          <w:rFonts w:asciiTheme="minorHAnsi" w:hAnsiTheme="minorHAnsi" w:cstheme="minorHAnsi"/>
        </w:rPr>
        <w:t>, and</w:t>
      </w:r>
      <w:r w:rsidRPr="003C7A52">
        <w:rPr>
          <w:rFonts w:asciiTheme="minorHAnsi" w:hAnsiTheme="minorHAnsi" w:cstheme="minorHAnsi"/>
        </w:rPr>
        <w:t xml:space="preserve"> so could change the counterfactual </w:t>
      </w:r>
      <w:r>
        <w:rPr>
          <w:rFonts w:asciiTheme="minorHAnsi" w:hAnsiTheme="minorHAnsi" w:cstheme="minorHAnsi"/>
        </w:rPr>
        <w:t xml:space="preserve">of “avoided emissions” from dairy gas. </w:t>
      </w:r>
      <w:r w:rsidR="00FF432E" w:rsidRPr="003C7A52">
        <w:rPr>
          <w:rFonts w:asciiTheme="minorHAnsi" w:hAnsiTheme="minorHAnsi" w:cstheme="minorHAnsi"/>
        </w:rPr>
        <w:t>LCFS assumes that all the methane captured in digesters is “waste” and that dairy methane would be released to the atmosphere if not processed by digesters</w:t>
      </w:r>
      <w:r w:rsidR="00FF432E">
        <w:rPr>
          <w:rFonts w:asciiTheme="minorHAnsi" w:hAnsiTheme="minorHAnsi" w:cstheme="minorHAnsi"/>
        </w:rPr>
        <w:t>—hence the “avoided emissions” argument</w:t>
      </w:r>
      <w:r w:rsidR="00FF432E" w:rsidRPr="003C7A52">
        <w:rPr>
          <w:rFonts w:asciiTheme="minorHAnsi" w:hAnsiTheme="minorHAnsi" w:cstheme="minorHAnsi"/>
        </w:rPr>
        <w:t>. If regulations, similar to those about to be implemented in New Zealand,</w:t>
      </w:r>
      <w:r w:rsidR="00FF432E" w:rsidRPr="003C7A52">
        <w:rPr>
          <w:rStyle w:val="FootnoteReference"/>
          <w:rFonts w:asciiTheme="minorHAnsi" w:hAnsiTheme="minorHAnsi" w:cstheme="minorHAnsi"/>
        </w:rPr>
        <w:footnoteReference w:id="9"/>
      </w:r>
      <w:r w:rsidR="00FF432E" w:rsidRPr="003C7A52">
        <w:rPr>
          <w:rFonts w:asciiTheme="minorHAnsi" w:hAnsiTheme="minorHAnsi" w:cstheme="minorHAnsi"/>
        </w:rPr>
        <w:t xml:space="preserve"> required fees on emissions</w:t>
      </w:r>
      <w:r w:rsidR="00FF432E">
        <w:rPr>
          <w:rFonts w:asciiTheme="minorHAnsi" w:hAnsiTheme="minorHAnsi" w:cstheme="minorHAnsi"/>
        </w:rPr>
        <w:t>,</w:t>
      </w:r>
      <w:r w:rsidR="00FF432E" w:rsidRPr="003C7A52">
        <w:rPr>
          <w:rFonts w:asciiTheme="minorHAnsi" w:hAnsiTheme="minorHAnsi" w:cstheme="minorHAnsi"/>
        </w:rPr>
        <w:t xml:space="preserve"> the counterfactual would change as methane would not be waste but regulated emissions. “If, for example, more stringent policies were to require all confined</w:t>
      </w:r>
      <w:r w:rsidR="00FF432E" w:rsidRPr="003C7A52">
        <w:rPr>
          <w:rFonts w:asciiTheme="minorHAnsi" w:hAnsiTheme="minorHAnsi" w:cstheme="minorHAnsi"/>
          <w:position w:val="6"/>
        </w:rPr>
        <w:t xml:space="preserve"> </w:t>
      </w:r>
      <w:r w:rsidR="00FF432E" w:rsidRPr="00FC7A19">
        <w:rPr>
          <w:rFonts w:asciiTheme="minorHAnsi" w:hAnsiTheme="minorHAnsi" w:cstheme="minorHAnsi"/>
        </w:rPr>
        <w:t>animal feeding operations to manage manure in enclosed anaerobic digesters, this assumption about the counterfactual would no longer hold true.</w:t>
      </w:r>
      <w:r w:rsidR="00FF432E" w:rsidRPr="003C7A52">
        <w:rPr>
          <w:rFonts w:asciiTheme="minorHAnsi" w:hAnsiTheme="minorHAnsi" w:cstheme="minorHAnsi"/>
        </w:rPr>
        <w:t>”</w:t>
      </w:r>
      <w:r w:rsidR="00FF432E" w:rsidRPr="003C7A52">
        <w:rPr>
          <w:rStyle w:val="FootnoteReference"/>
          <w:rFonts w:asciiTheme="minorHAnsi" w:hAnsiTheme="minorHAnsi" w:cstheme="minorHAnsi"/>
        </w:rPr>
        <w:footnoteReference w:id="10"/>
      </w:r>
      <w:r w:rsidR="00FF432E" w:rsidRPr="003C7A52">
        <w:rPr>
          <w:rFonts w:asciiTheme="minorHAnsi" w:hAnsiTheme="minorHAnsi" w:cstheme="minorHAnsi"/>
        </w:rPr>
        <w:t xml:space="preserve"> Even a simple requirement that methane in lagoons be captured and flared would change this counterfactual.</w:t>
      </w:r>
      <w:r w:rsidR="00FF432E" w:rsidRPr="003C7A52">
        <w:rPr>
          <w:rStyle w:val="FootnoteReference"/>
          <w:rFonts w:asciiTheme="minorHAnsi" w:hAnsiTheme="minorHAnsi" w:cstheme="minorHAnsi"/>
        </w:rPr>
        <w:footnoteReference w:id="11"/>
      </w:r>
      <w:r w:rsidR="00FF432E" w:rsidRPr="003C7A52">
        <w:rPr>
          <w:rFonts w:asciiTheme="minorHAnsi" w:hAnsiTheme="minorHAnsi" w:cstheme="minorHAnsi"/>
        </w:rPr>
        <w:t xml:space="preserve"> </w:t>
      </w:r>
    </w:p>
    <w:p w14:paraId="5065E3E0" w14:textId="4E2F82C5" w:rsidR="000C1E45" w:rsidRPr="00B01B9C" w:rsidRDefault="00F53916" w:rsidP="004C395A">
      <w:pPr>
        <w:pStyle w:val="NormalWeb"/>
        <w:numPr>
          <w:ilvl w:val="0"/>
          <w:numId w:val="12"/>
        </w:numPr>
        <w:spacing w:before="120" w:beforeAutospacing="0" w:after="120" w:afterAutospacing="0"/>
        <w:rPr>
          <w:rFonts w:asciiTheme="minorHAnsi" w:hAnsiTheme="minorHAnsi" w:cstheme="minorHAnsi"/>
        </w:rPr>
      </w:pPr>
      <w:r w:rsidRPr="00B01B9C">
        <w:rPr>
          <w:rFonts w:asciiTheme="minorHAnsi" w:hAnsiTheme="minorHAnsi" w:cstheme="minorHAnsi"/>
        </w:rPr>
        <w:t xml:space="preserve">A fourth </w:t>
      </w:r>
      <w:r w:rsidR="007F002F" w:rsidRPr="00B01B9C">
        <w:rPr>
          <w:rFonts w:asciiTheme="minorHAnsi" w:hAnsiTheme="minorHAnsi" w:cstheme="minorHAnsi"/>
        </w:rPr>
        <w:t xml:space="preserve">policy, inadequate in itself but of some value, would be to set standards for herd sizes in farms receiving the LCFS credits. The goal would be to ensure herd sizes </w:t>
      </w:r>
      <w:r w:rsidR="006D0308" w:rsidRPr="00B01B9C">
        <w:rPr>
          <w:rFonts w:asciiTheme="minorHAnsi" w:hAnsiTheme="minorHAnsi" w:cstheme="minorHAnsi"/>
        </w:rPr>
        <w:t xml:space="preserve">do </w:t>
      </w:r>
      <w:r w:rsidR="007F002F" w:rsidRPr="00B01B9C">
        <w:rPr>
          <w:rFonts w:asciiTheme="minorHAnsi" w:hAnsiTheme="minorHAnsi" w:cstheme="minorHAnsi"/>
        </w:rPr>
        <w:t>not increase during the period the LCFS credits for avoided emissions were being</w:t>
      </w:r>
      <w:r w:rsidR="006D0308" w:rsidRPr="00B01B9C">
        <w:rPr>
          <w:rFonts w:asciiTheme="minorHAnsi" w:hAnsiTheme="minorHAnsi" w:cstheme="minorHAnsi"/>
        </w:rPr>
        <w:t xml:space="preserve"> </w:t>
      </w:r>
      <w:r w:rsidR="007F002F" w:rsidRPr="00B01B9C">
        <w:rPr>
          <w:rFonts w:asciiTheme="minorHAnsi" w:hAnsiTheme="minorHAnsi" w:cstheme="minorHAnsi"/>
        </w:rPr>
        <w:t>received.</w:t>
      </w:r>
      <w:r w:rsidR="00B01B9C" w:rsidRPr="00B01B9C">
        <w:rPr>
          <w:rFonts w:asciiTheme="minorHAnsi" w:hAnsiTheme="minorHAnsi" w:cstheme="minorHAnsi"/>
        </w:rPr>
        <w:t xml:space="preserve"> </w:t>
      </w:r>
    </w:p>
    <w:p w14:paraId="03F5D9E8" w14:textId="667CB9E5" w:rsidR="000C1E45" w:rsidRPr="003C7A52" w:rsidRDefault="007F002F" w:rsidP="004C395A">
      <w:pPr>
        <w:pStyle w:val="NormalWeb"/>
        <w:numPr>
          <w:ilvl w:val="0"/>
          <w:numId w:val="12"/>
        </w:numPr>
        <w:spacing w:before="120" w:beforeAutospacing="0" w:after="120" w:afterAutospacing="0"/>
        <w:rPr>
          <w:rFonts w:asciiTheme="minorHAnsi" w:hAnsiTheme="minorHAnsi" w:cstheme="minorHAnsi"/>
        </w:rPr>
      </w:pPr>
      <w:r w:rsidRPr="003C7A52">
        <w:rPr>
          <w:rFonts w:asciiTheme="minorHAnsi" w:hAnsiTheme="minorHAnsi" w:cstheme="minorHAnsi"/>
        </w:rPr>
        <w:t xml:space="preserve">A final option would be for the LCFS to establish a moratorium on avoided emissions credits until actions by other agencies or branches of CARB </w:t>
      </w:r>
      <w:r w:rsidR="00ED3CFF">
        <w:rPr>
          <w:rFonts w:asciiTheme="minorHAnsi" w:hAnsiTheme="minorHAnsi" w:cstheme="minorHAnsi"/>
        </w:rPr>
        <w:t>have</w:t>
      </w:r>
      <w:r w:rsidR="00ED3CFF" w:rsidRPr="003C7A52">
        <w:rPr>
          <w:rFonts w:asciiTheme="minorHAnsi" w:hAnsiTheme="minorHAnsi" w:cstheme="minorHAnsi"/>
        </w:rPr>
        <w:t xml:space="preserve"> </w:t>
      </w:r>
      <w:r w:rsidRPr="003C7A52">
        <w:rPr>
          <w:rFonts w:asciiTheme="minorHAnsi" w:hAnsiTheme="minorHAnsi" w:cstheme="minorHAnsi"/>
        </w:rPr>
        <w:t>addressed the problem</w:t>
      </w:r>
      <w:r w:rsidR="00B01B9C">
        <w:rPr>
          <w:rFonts w:asciiTheme="minorHAnsi" w:hAnsiTheme="minorHAnsi" w:cstheme="minorHAnsi"/>
        </w:rPr>
        <w:t>s</w:t>
      </w:r>
      <w:r w:rsidR="00ED3CFF">
        <w:rPr>
          <w:rFonts w:asciiTheme="minorHAnsi" w:hAnsiTheme="minorHAnsi" w:cstheme="minorHAnsi"/>
        </w:rPr>
        <w:t xml:space="preserve"> </w:t>
      </w:r>
      <w:r w:rsidRPr="003C7A52">
        <w:rPr>
          <w:rFonts w:asciiTheme="minorHAnsi" w:hAnsiTheme="minorHAnsi" w:cstheme="minorHAnsi"/>
        </w:rPr>
        <w:t xml:space="preserve">of CAFOs and </w:t>
      </w:r>
      <w:r w:rsidR="00B01B9C">
        <w:rPr>
          <w:rFonts w:asciiTheme="minorHAnsi" w:hAnsiTheme="minorHAnsi" w:cstheme="minorHAnsi"/>
        </w:rPr>
        <w:t xml:space="preserve">offering false support to </w:t>
      </w:r>
      <w:r w:rsidRPr="003C7A52">
        <w:rPr>
          <w:rFonts w:asciiTheme="minorHAnsi" w:hAnsiTheme="minorHAnsi" w:cstheme="minorHAnsi"/>
        </w:rPr>
        <w:t>natural gas infrastructure.</w:t>
      </w:r>
      <w:r w:rsidR="00ED3CFF">
        <w:rPr>
          <w:rFonts w:asciiTheme="minorHAnsi" w:hAnsiTheme="minorHAnsi" w:cstheme="minorHAnsi"/>
        </w:rPr>
        <w:t xml:space="preserve"> CARB must </w:t>
      </w:r>
      <w:r w:rsidR="005A2DE3">
        <w:rPr>
          <w:rFonts w:asciiTheme="minorHAnsi" w:hAnsiTheme="minorHAnsi" w:cstheme="minorHAnsi"/>
        </w:rPr>
        <w:t xml:space="preserve">also </w:t>
      </w:r>
      <w:r w:rsidR="00ED3CFF">
        <w:rPr>
          <w:rFonts w:asciiTheme="minorHAnsi" w:hAnsiTheme="minorHAnsi" w:cstheme="minorHAnsi"/>
        </w:rPr>
        <w:t>make</w:t>
      </w:r>
      <w:r w:rsidR="000C1E45" w:rsidRPr="003C7A52">
        <w:rPr>
          <w:rFonts w:asciiTheme="minorHAnsi" w:hAnsiTheme="minorHAnsi" w:cstheme="minorHAnsi"/>
        </w:rPr>
        <w:t xml:space="preserve"> a plan for moving from 2022 to the desired state of using biomethane only for hard to decarbonize industries in 2045. </w:t>
      </w:r>
    </w:p>
    <w:p w14:paraId="09B5414C" w14:textId="11768577" w:rsidR="000C1E45" w:rsidRDefault="000C1E45" w:rsidP="004C395A">
      <w:pPr>
        <w:pStyle w:val="NormalWeb"/>
        <w:spacing w:before="120" w:beforeAutospacing="0" w:after="120" w:afterAutospacing="0"/>
        <w:ind w:left="720"/>
        <w:rPr>
          <w:rFonts w:asciiTheme="minorHAnsi" w:hAnsiTheme="minorHAnsi" w:cstheme="minorHAnsi"/>
        </w:rPr>
      </w:pPr>
      <w:r w:rsidRPr="003C7A52">
        <w:rPr>
          <w:rFonts w:asciiTheme="minorHAnsi" w:hAnsiTheme="minorHAnsi" w:cstheme="minorHAnsi"/>
        </w:rPr>
        <w:t xml:space="preserve">The moratorium should also apply to book and claim for RNG used as transportation fuel. If reinstated after the moratorium, it should include conditions that other states using Book and Claim deal with the associated problems in ways similar to California. It is unconscionable that we are incentivizing a greater concentration of hogs in North Carolina in order to produce biomethane to sell in California under the pretext that the </w:t>
      </w:r>
      <w:r w:rsidRPr="003C7A52">
        <w:rPr>
          <w:rFonts w:asciiTheme="minorHAnsi" w:hAnsiTheme="minorHAnsi" w:cstheme="minorHAnsi"/>
        </w:rPr>
        <w:lastRenderedPageBreak/>
        <w:t xml:space="preserve">manure would have existed without the LCFS incentives. </w:t>
      </w:r>
      <w:r w:rsidR="00B01B9C">
        <w:rPr>
          <w:rFonts w:asciiTheme="minorHAnsi" w:hAnsiTheme="minorHAnsi" w:cstheme="minorHAnsi"/>
        </w:rPr>
        <w:t>Our solutions need to take into account environmental justice in the central valley of California as well as any other states where farms claim biomethane credits.</w:t>
      </w:r>
    </w:p>
    <w:p w14:paraId="1EB5B943" w14:textId="2ECED27D" w:rsidR="003F1BE2" w:rsidRPr="00A13909" w:rsidRDefault="003F1BE2" w:rsidP="004C395A">
      <w:pPr>
        <w:pStyle w:val="Heading2"/>
        <w:spacing w:before="120" w:after="120"/>
        <w:rPr>
          <w:rFonts w:asciiTheme="minorHAnsi" w:hAnsiTheme="minorHAnsi" w:cstheme="minorHAnsi"/>
          <w:sz w:val="24"/>
          <w:szCs w:val="24"/>
        </w:rPr>
      </w:pPr>
      <w:r w:rsidRPr="00A13909">
        <w:rPr>
          <w:rFonts w:asciiTheme="minorHAnsi" w:hAnsiTheme="minorHAnsi" w:cstheme="minorHAnsi"/>
          <w:sz w:val="24"/>
          <w:szCs w:val="24"/>
        </w:rPr>
        <w:t>Context: The IPCC Goal not to Exceed 1.5</w:t>
      </w:r>
      <w:r w:rsidRPr="00A13909">
        <w:rPr>
          <w:rFonts w:asciiTheme="minorHAnsi" w:hAnsiTheme="minorHAnsi" w:cstheme="minorHAnsi"/>
          <w:sz w:val="24"/>
          <w:szCs w:val="24"/>
        </w:rPr>
        <w:sym w:font="Symbol" w:char="F0B0"/>
      </w:r>
      <w:r w:rsidRPr="00A13909">
        <w:rPr>
          <w:rFonts w:asciiTheme="minorHAnsi" w:hAnsiTheme="minorHAnsi" w:cstheme="minorHAnsi"/>
          <w:sz w:val="24"/>
          <w:szCs w:val="24"/>
        </w:rPr>
        <w:t xml:space="preserve">C Warming and </w:t>
      </w:r>
      <w:r w:rsidR="00FC2B12">
        <w:rPr>
          <w:rFonts w:asciiTheme="minorHAnsi" w:hAnsiTheme="minorHAnsi" w:cstheme="minorHAnsi"/>
          <w:sz w:val="24"/>
          <w:szCs w:val="24"/>
        </w:rPr>
        <w:t>the California Dairy Industry</w:t>
      </w:r>
    </w:p>
    <w:p w14:paraId="7F644088" w14:textId="2CDFC00B" w:rsidR="00FC2B12" w:rsidRDefault="00A01915" w:rsidP="004C395A">
      <w:pPr>
        <w:spacing w:before="120" w:after="120"/>
        <w:rPr>
          <w:rFonts w:asciiTheme="minorHAnsi" w:eastAsia="Times New Roman" w:hAnsiTheme="minorHAnsi" w:cstheme="minorHAnsi"/>
          <w:sz w:val="24"/>
        </w:rPr>
      </w:pPr>
      <w:r>
        <w:rPr>
          <w:rFonts w:asciiTheme="minorHAnsi" w:eastAsia="Times New Roman" w:hAnsiTheme="minorHAnsi" w:cstheme="minorHAnsi"/>
          <w:sz w:val="24"/>
        </w:rPr>
        <w:t>We have been discussing LCFS policies, but they occur in two contexts that must be the basic framework for LCFS decisions. The first is the world’s commitment to limiting warming to 1.5</w:t>
      </w:r>
      <w:r>
        <w:rPr>
          <w:rFonts w:asciiTheme="minorHAnsi" w:eastAsia="Times New Roman" w:hAnsiTheme="minorHAnsi" w:cstheme="minorHAnsi"/>
          <w:sz w:val="24"/>
        </w:rPr>
        <w:sym w:font="Symbol" w:char="F0B0"/>
      </w:r>
      <w:r>
        <w:rPr>
          <w:rFonts w:asciiTheme="minorHAnsi" w:eastAsia="Times New Roman" w:hAnsiTheme="minorHAnsi" w:cstheme="minorHAnsi"/>
          <w:sz w:val="24"/>
        </w:rPr>
        <w:t>C, and the second is the overall position of the dairy industry in relationship to the this goal.</w:t>
      </w:r>
    </w:p>
    <w:p w14:paraId="21F09462" w14:textId="1CB70BB4" w:rsidR="003F1BE2" w:rsidRDefault="003F1BE2" w:rsidP="004C395A">
      <w:pPr>
        <w:spacing w:before="120" w:after="120"/>
        <w:rPr>
          <w:rFonts w:asciiTheme="minorHAnsi" w:eastAsia="Times New Roman" w:hAnsiTheme="minorHAnsi" w:cstheme="minorHAnsi"/>
          <w:sz w:val="24"/>
        </w:rPr>
      </w:pPr>
      <w:r w:rsidRPr="003C7A52">
        <w:rPr>
          <w:rFonts w:asciiTheme="minorHAnsi" w:eastAsia="Times New Roman" w:hAnsiTheme="minorHAnsi" w:cstheme="minorHAnsi"/>
          <w:sz w:val="24"/>
        </w:rPr>
        <w:t>Keeping warming to 1.5</w:t>
      </w:r>
      <w:r w:rsidRPr="003C7A52">
        <w:rPr>
          <w:rFonts w:asciiTheme="minorHAnsi" w:eastAsia="Times New Roman" w:hAnsiTheme="minorHAnsi" w:cstheme="minorHAnsi"/>
          <w:sz w:val="24"/>
        </w:rPr>
        <w:sym w:font="Symbol" w:char="F0B0"/>
      </w:r>
      <w:r w:rsidRPr="003C7A52">
        <w:rPr>
          <w:rFonts w:asciiTheme="minorHAnsi" w:eastAsia="Times New Roman" w:hAnsiTheme="minorHAnsi" w:cstheme="minorHAnsi"/>
          <w:sz w:val="24"/>
        </w:rPr>
        <w:t>C is critical because it is the highest temperature consistent with averting multiple global tipping points.</w:t>
      </w:r>
      <w:r w:rsidRPr="003C7A52">
        <w:rPr>
          <w:rFonts w:asciiTheme="minorHAnsi" w:eastAsia="Times New Roman" w:hAnsiTheme="minorHAnsi" w:cstheme="minorHAnsi"/>
          <w:sz w:val="24"/>
          <w:vertAlign w:val="superscript"/>
        </w:rPr>
        <w:footnoteReference w:id="12"/>
      </w:r>
      <w:r w:rsidRPr="003C7A52">
        <w:rPr>
          <w:rFonts w:asciiTheme="minorHAnsi" w:eastAsia="Times New Roman" w:hAnsiTheme="minorHAnsi" w:cstheme="minorHAnsi"/>
          <w:sz w:val="24"/>
        </w:rPr>
        <w:t xml:space="preserve"> The primary concern is that the IPCC says we will not be able to keep warming to 1.5</w:t>
      </w:r>
      <w:r w:rsidRPr="003C7A52">
        <w:rPr>
          <w:rFonts w:asciiTheme="minorHAnsi" w:eastAsia="Times New Roman" w:hAnsiTheme="minorHAnsi" w:cstheme="minorHAnsi"/>
          <w:sz w:val="24"/>
        </w:rPr>
        <w:sym w:font="Symbol" w:char="F0B0"/>
      </w:r>
      <w:r w:rsidRPr="003C7A52">
        <w:rPr>
          <w:rFonts w:asciiTheme="minorHAnsi" w:eastAsia="Times New Roman" w:hAnsiTheme="minorHAnsi" w:cstheme="minorHAnsi"/>
          <w:sz w:val="24"/>
        </w:rPr>
        <w:t>C if we don’t cut emissions by about 50% in the next 8-10 years.</w:t>
      </w:r>
      <w:r w:rsidRPr="003C7A52">
        <w:rPr>
          <w:rFonts w:asciiTheme="minorHAnsi" w:eastAsia="Times New Roman" w:hAnsiTheme="minorHAnsi" w:cstheme="minorHAnsi"/>
          <w:sz w:val="24"/>
          <w:vertAlign w:val="superscript"/>
        </w:rPr>
        <w:footnoteReference w:id="13"/>
      </w:r>
      <w:r w:rsidRPr="003C7A52">
        <w:rPr>
          <w:rFonts w:asciiTheme="minorHAnsi" w:eastAsia="Times New Roman" w:hAnsiTheme="minorHAnsi" w:cstheme="minorHAnsi"/>
          <w:sz w:val="24"/>
        </w:rPr>
        <w:t xml:space="preserve"> </w:t>
      </w:r>
    </w:p>
    <w:p w14:paraId="4326426D" w14:textId="1EBDC5C7" w:rsidR="00FC2B12" w:rsidRDefault="003F1BE2" w:rsidP="004C395A">
      <w:pPr>
        <w:spacing w:before="120" w:after="120"/>
        <w:rPr>
          <w:rFonts w:asciiTheme="minorHAnsi" w:eastAsia="Times New Roman" w:hAnsiTheme="minorHAnsi" w:cstheme="minorHAnsi"/>
          <w:sz w:val="24"/>
        </w:rPr>
      </w:pPr>
      <w:r w:rsidRPr="003C7A52">
        <w:rPr>
          <w:rFonts w:asciiTheme="minorHAnsi" w:eastAsia="Times New Roman" w:hAnsiTheme="minorHAnsi" w:cstheme="minorHAnsi"/>
          <w:sz w:val="24"/>
        </w:rPr>
        <w:t xml:space="preserve">Rapid reduction of methane has the potential to slow the rate of warming. The dairy industry is contributing about </w:t>
      </w:r>
      <w:r w:rsidR="009F4442">
        <w:rPr>
          <w:rFonts w:asciiTheme="minorHAnsi" w:eastAsia="Times New Roman" w:hAnsiTheme="minorHAnsi" w:cstheme="minorHAnsi"/>
          <w:sz w:val="24"/>
        </w:rPr>
        <w:t>4</w:t>
      </w:r>
      <w:r w:rsidRPr="003C7A52">
        <w:rPr>
          <w:rFonts w:asciiTheme="minorHAnsi" w:eastAsia="Times New Roman" w:hAnsiTheme="minorHAnsi" w:cstheme="minorHAnsi"/>
          <w:sz w:val="24"/>
        </w:rPr>
        <w:t>5% of California methane, with 25% from manure management practices. Dairy methane in California is attributable to a very large increase in overall herd size, and concentration of small farms into large occurring from the 80s through 2008.</w:t>
      </w:r>
      <w:r w:rsidRPr="003C7A52">
        <w:rPr>
          <w:rStyle w:val="FootnoteReference"/>
          <w:rFonts w:asciiTheme="minorHAnsi" w:eastAsia="Times New Roman" w:hAnsiTheme="minorHAnsi" w:cstheme="minorHAnsi"/>
          <w:sz w:val="24"/>
        </w:rPr>
        <w:footnoteReference w:id="14"/>
      </w:r>
      <w:r w:rsidRPr="003C7A52">
        <w:rPr>
          <w:rFonts w:asciiTheme="minorHAnsi" w:eastAsia="Times New Roman" w:hAnsiTheme="minorHAnsi" w:cstheme="minorHAnsi"/>
          <w:sz w:val="24"/>
        </w:rPr>
        <w:t xml:space="preserve">  Even if there is a 40% reduction of methane as called for in SB 1383 the cumulative emissions in the atmosphere from this build-up will, in 2040, still be on the order of 600 million metric tons of CO2e, a cause of significant warming since 1990.</w:t>
      </w:r>
      <w:r w:rsidRPr="003C7A52">
        <w:rPr>
          <w:rStyle w:val="FootnoteReference"/>
          <w:rFonts w:asciiTheme="minorHAnsi" w:eastAsia="Times New Roman" w:hAnsiTheme="minorHAnsi" w:cstheme="minorHAnsi"/>
          <w:sz w:val="24"/>
        </w:rPr>
        <w:footnoteReference w:id="15"/>
      </w:r>
      <w:r w:rsidRPr="003C7A52">
        <w:rPr>
          <w:rFonts w:asciiTheme="minorHAnsi" w:eastAsia="Times New Roman" w:hAnsiTheme="minorHAnsi" w:cstheme="minorHAnsi"/>
          <w:sz w:val="24"/>
        </w:rPr>
        <w:t xml:space="preserve"> The dairy industry seems to have set a goal of </w:t>
      </w:r>
      <w:r w:rsidR="00D50FAC">
        <w:rPr>
          <w:rFonts w:asciiTheme="minorHAnsi" w:eastAsia="Times New Roman" w:hAnsiTheme="minorHAnsi" w:cstheme="minorHAnsi"/>
          <w:sz w:val="24"/>
        </w:rPr>
        <w:t>no increased warming</w:t>
      </w:r>
      <w:r w:rsidRPr="003C7A52">
        <w:rPr>
          <w:rFonts w:asciiTheme="minorHAnsi" w:eastAsia="Times New Roman" w:hAnsiTheme="minorHAnsi" w:cstheme="minorHAnsi"/>
          <w:sz w:val="24"/>
        </w:rPr>
        <w:t>, called “climate neutrality”</w:t>
      </w:r>
      <w:r w:rsidRPr="003C7A52">
        <w:rPr>
          <w:rStyle w:val="FootnoteReference"/>
          <w:rFonts w:asciiTheme="minorHAnsi" w:eastAsia="Times New Roman" w:hAnsiTheme="minorHAnsi" w:cstheme="minorHAnsi"/>
          <w:sz w:val="24"/>
        </w:rPr>
        <w:t xml:space="preserve"> </w:t>
      </w:r>
      <w:r w:rsidRPr="003C7A52">
        <w:rPr>
          <w:rStyle w:val="FootnoteReference"/>
          <w:rFonts w:asciiTheme="minorHAnsi" w:eastAsia="Times New Roman" w:hAnsiTheme="minorHAnsi" w:cstheme="minorHAnsi"/>
          <w:sz w:val="24"/>
        </w:rPr>
        <w:footnoteReference w:id="16"/>
      </w:r>
      <w:r w:rsidRPr="003C7A52">
        <w:rPr>
          <w:rFonts w:asciiTheme="minorHAnsi" w:eastAsia="Times New Roman" w:hAnsiTheme="minorHAnsi" w:cstheme="minorHAnsi"/>
          <w:sz w:val="24"/>
        </w:rPr>
        <w:t xml:space="preserve"> rather than recognizing the need to decrease methane much more substantially. The goal is designed to sustain the current organization of most dairies as concentrated animal feeding operations (CAFOs), which is what has resulted in the large amounts of dairy manure either releasing methane or converting it to biogas/biomethane.</w:t>
      </w:r>
      <w:r w:rsidR="009F4442">
        <w:rPr>
          <w:rFonts w:asciiTheme="minorHAnsi" w:eastAsia="Times New Roman" w:hAnsiTheme="minorHAnsi" w:cstheme="minorHAnsi"/>
          <w:sz w:val="24"/>
        </w:rPr>
        <w:t xml:space="preserve"> </w:t>
      </w:r>
      <w:r w:rsidR="00FC2B12">
        <w:rPr>
          <w:rFonts w:asciiTheme="minorHAnsi" w:eastAsia="Times New Roman" w:hAnsiTheme="minorHAnsi" w:cstheme="minorHAnsi"/>
          <w:sz w:val="24"/>
        </w:rPr>
        <w:t xml:space="preserve">The goal is also based primarily in methane reduction, not </w:t>
      </w:r>
      <w:r w:rsidR="00A01915">
        <w:rPr>
          <w:rFonts w:asciiTheme="minorHAnsi" w:eastAsia="Times New Roman" w:hAnsiTheme="minorHAnsi" w:cstheme="minorHAnsi"/>
          <w:sz w:val="24"/>
        </w:rPr>
        <w:t xml:space="preserve">reducing </w:t>
      </w:r>
      <w:r w:rsidR="00FC2B12">
        <w:rPr>
          <w:rFonts w:asciiTheme="minorHAnsi" w:eastAsia="Times New Roman" w:hAnsiTheme="minorHAnsi" w:cstheme="minorHAnsi"/>
          <w:sz w:val="24"/>
        </w:rPr>
        <w:t>nitrous oxide or the greenhouse gases</w:t>
      </w:r>
      <w:r w:rsidR="00A01915">
        <w:rPr>
          <w:rFonts w:asciiTheme="minorHAnsi" w:eastAsia="Times New Roman" w:hAnsiTheme="minorHAnsi" w:cstheme="minorHAnsi"/>
          <w:sz w:val="24"/>
        </w:rPr>
        <w:t xml:space="preserve"> attributable to the </w:t>
      </w:r>
      <w:r w:rsidR="00FC2B12">
        <w:rPr>
          <w:rFonts w:asciiTheme="minorHAnsi" w:eastAsia="Times New Roman" w:hAnsiTheme="minorHAnsi" w:cstheme="minorHAnsi"/>
          <w:sz w:val="24"/>
        </w:rPr>
        <w:t xml:space="preserve">feed consumed </w:t>
      </w:r>
      <w:r w:rsidR="00A01915">
        <w:rPr>
          <w:rFonts w:asciiTheme="minorHAnsi" w:eastAsia="Times New Roman" w:hAnsiTheme="minorHAnsi" w:cstheme="minorHAnsi"/>
          <w:sz w:val="24"/>
        </w:rPr>
        <w:t>by</w:t>
      </w:r>
      <w:r w:rsidR="00FC2B12">
        <w:rPr>
          <w:rFonts w:asciiTheme="minorHAnsi" w:eastAsia="Times New Roman" w:hAnsiTheme="minorHAnsi" w:cstheme="minorHAnsi"/>
          <w:sz w:val="24"/>
        </w:rPr>
        <w:t xml:space="preserve"> </w:t>
      </w:r>
      <w:r w:rsidR="00A01915">
        <w:rPr>
          <w:rFonts w:asciiTheme="minorHAnsi" w:eastAsia="Times New Roman" w:hAnsiTheme="minorHAnsi" w:cstheme="minorHAnsi"/>
          <w:sz w:val="24"/>
        </w:rPr>
        <w:t>dairy cows in concentrated operations.</w:t>
      </w:r>
    </w:p>
    <w:p w14:paraId="37853E82" w14:textId="715926F3" w:rsidR="009F4442" w:rsidRDefault="00FC2B12" w:rsidP="004C395A">
      <w:pPr>
        <w:pStyle w:val="NormalWeb"/>
        <w:spacing w:before="120" w:beforeAutospacing="0" w:after="120" w:afterAutospacing="0"/>
        <w:rPr>
          <w:rFonts w:asciiTheme="minorHAnsi" w:hAnsiTheme="minorHAnsi" w:cstheme="minorHAnsi"/>
        </w:rPr>
      </w:pPr>
      <w:r>
        <w:rPr>
          <w:rFonts w:asciiTheme="minorHAnsi" w:hAnsiTheme="minorHAnsi" w:cstheme="minorHAnsi"/>
        </w:rPr>
        <w:t xml:space="preserve">Dairy digesters cannot be the foundation of CARB’s policy for reducing agricultural methane. That will lie in alternative manure management and in further enteric methane reduction </w:t>
      </w:r>
      <w:r>
        <w:rPr>
          <w:rFonts w:asciiTheme="minorHAnsi" w:hAnsiTheme="minorHAnsi" w:cstheme="minorHAnsi"/>
        </w:rPr>
        <w:lastRenderedPageBreak/>
        <w:t xml:space="preserve">research. Ultimately, though part of the solution must be decreasing herd size – which the current LCFS incentives make very difficult. </w:t>
      </w:r>
      <w:r w:rsidRPr="00B01B9C">
        <w:rPr>
          <w:rFonts w:asciiTheme="minorHAnsi" w:hAnsiTheme="minorHAnsi" w:cstheme="minorHAnsi"/>
        </w:rPr>
        <w:t>CARB</w:t>
      </w:r>
      <w:r>
        <w:rPr>
          <w:rFonts w:asciiTheme="minorHAnsi" w:hAnsiTheme="minorHAnsi" w:cstheme="minorHAnsi"/>
        </w:rPr>
        <w:t xml:space="preserve"> should consider incentivizing these reductions.</w:t>
      </w:r>
      <w:r w:rsidRPr="00B01B9C">
        <w:rPr>
          <w:rFonts w:asciiTheme="minorHAnsi" w:hAnsiTheme="minorHAnsi" w:cstheme="minorHAnsi"/>
        </w:rPr>
        <w:t xml:space="preserve"> For example, incentives could go to increasing fallowing of land in the central valley in ways that allow air and water pollution to be addressed under the Sustainable Groundwater Management Act (SGMA) or the </w:t>
      </w:r>
      <w:proofErr w:type="spellStart"/>
      <w:r w:rsidRPr="00B01B9C">
        <w:rPr>
          <w:rFonts w:asciiTheme="minorHAnsi" w:hAnsiTheme="minorHAnsi" w:cstheme="minorHAnsi"/>
        </w:rPr>
        <w:t>Multibenefit</w:t>
      </w:r>
      <w:proofErr w:type="spellEnd"/>
      <w:r w:rsidRPr="00B01B9C">
        <w:rPr>
          <w:rFonts w:asciiTheme="minorHAnsi" w:hAnsiTheme="minorHAnsi" w:cstheme="minorHAnsi"/>
        </w:rPr>
        <w:t xml:space="preserve"> Land Repurposing Program (MLRP). Although SB 1383 requires minimizing “leakage” of farms that leave California and take their farms and intact emissions to other state, there are two good reasons that this policy should be reconsidered. First, as noted above, the primary usefulness of California regulations is as a guide for other states. If California regulates herd sizes, it will make a statement that it is not acceptable to organize an industry so that it produces massive amounts of a wholly preventable waste product that is 85 times more warming than CO2 and which the industry treats as an externality.</w:t>
      </w:r>
      <w:r w:rsidRPr="003C7A52">
        <w:rPr>
          <w:rStyle w:val="FootnoteReference"/>
          <w:rFonts w:asciiTheme="minorHAnsi" w:hAnsiTheme="minorHAnsi" w:cstheme="minorHAnsi"/>
        </w:rPr>
        <w:footnoteReference w:id="17"/>
      </w:r>
      <w:r w:rsidRPr="00B01B9C">
        <w:rPr>
          <w:rFonts w:asciiTheme="minorHAnsi" w:hAnsiTheme="minorHAnsi" w:cstheme="minorHAnsi"/>
        </w:rPr>
        <w:t xml:space="preserve"> The second reason that “leakage” would not be negative is that only if herd sizes are reduced would the deleterious effects on air and water quality and health of CAFOs become manageable in the central valley. </w:t>
      </w:r>
    </w:p>
    <w:p w14:paraId="51E28983" w14:textId="301BFB4E" w:rsidR="009F4442" w:rsidRPr="00A13909" w:rsidRDefault="009F4442" w:rsidP="004C395A">
      <w:pPr>
        <w:pStyle w:val="Heading2"/>
        <w:spacing w:before="120" w:after="120"/>
      </w:pPr>
      <w:r w:rsidRPr="00A13909">
        <w:rPr>
          <w:rFonts w:asciiTheme="minorHAnsi" w:hAnsiTheme="minorHAnsi" w:cstheme="minorHAnsi"/>
          <w:sz w:val="24"/>
          <w:szCs w:val="24"/>
        </w:rPr>
        <w:t>Conclusion</w:t>
      </w:r>
    </w:p>
    <w:p w14:paraId="336BDD39" w14:textId="2A789557" w:rsidR="009F4442" w:rsidRDefault="009F4442" w:rsidP="004C395A">
      <w:pPr>
        <w:spacing w:before="120" w:after="120"/>
      </w:pPr>
      <w:r w:rsidRPr="009F4442">
        <w:t>W</w:t>
      </w:r>
      <w:r>
        <w:t xml:space="preserve">e are hopeful that you will </w:t>
      </w:r>
      <w:r w:rsidR="00A01915">
        <w:t xml:space="preserve">end avoided emissions from dairy gas. If you don’t feel that is possible yet, please </w:t>
      </w:r>
      <w:r>
        <w:t>take the time to explore each of the</w:t>
      </w:r>
      <w:r w:rsidR="00A01915">
        <w:t xml:space="preserve"> other</w:t>
      </w:r>
      <w:r>
        <w:t xml:space="preserve"> options we have suggested. Digesters </w:t>
      </w:r>
      <w:r w:rsidR="00A01915">
        <w:t xml:space="preserve">are </w:t>
      </w:r>
      <w:r w:rsidR="00A01915">
        <w:rPr>
          <w:i/>
          <w:iCs/>
        </w:rPr>
        <w:t>part</w:t>
      </w:r>
      <w:r w:rsidR="00A01915">
        <w:t xml:space="preserve"> of the solution </w:t>
      </w:r>
      <w:r>
        <w:t xml:space="preserve">if the problems in the current situation, particularly the avoided emission bonus, can be resolved. Unfortunately both the current policy and the proposal from the workshop do not address the real </w:t>
      </w:r>
      <w:r w:rsidR="006F6C8D">
        <w:t>issues</w:t>
      </w:r>
      <w:r>
        <w:t>, and the workshop proposal will in all likelihood make the problems digesters are embedded in much worse.</w:t>
      </w:r>
    </w:p>
    <w:p w14:paraId="48397E24" w14:textId="748C3DC7" w:rsidR="009F4442" w:rsidRDefault="009F4442" w:rsidP="004C395A">
      <w:pPr>
        <w:spacing w:before="120"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5639B" w14:paraId="2FC151D6" w14:textId="77777777" w:rsidTr="00C84A65">
        <w:tc>
          <w:tcPr>
            <w:tcW w:w="3116" w:type="dxa"/>
          </w:tcPr>
          <w:p w14:paraId="5A8769E2" w14:textId="77777777" w:rsidR="0025639B" w:rsidRDefault="0025639B" w:rsidP="0025639B">
            <w:pPr>
              <w:spacing w:before="120" w:after="120"/>
            </w:pPr>
            <w:r>
              <w:rPr>
                <w:noProof/>
              </w:rPr>
              <w:drawing>
                <wp:inline distT="0" distB="0" distL="0" distR="0" wp14:anchorId="36ACD5FE" wp14:editId="1F9A317D">
                  <wp:extent cx="1562100" cy="59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62100" cy="596900"/>
                          </a:xfrm>
                          <a:prstGeom prst="rect">
                            <a:avLst/>
                          </a:prstGeom>
                        </pic:spPr>
                      </pic:pic>
                    </a:graphicData>
                  </a:graphic>
                </wp:inline>
              </w:drawing>
            </w:r>
          </w:p>
          <w:p w14:paraId="17F5E1D0" w14:textId="77777777" w:rsidR="0025639B" w:rsidRDefault="0025639B" w:rsidP="0025639B">
            <w:pPr>
              <w:spacing w:before="120" w:after="120"/>
            </w:pPr>
            <w:r>
              <w:t xml:space="preserve">Daniel Chandler, </w:t>
            </w:r>
            <w:proofErr w:type="spellStart"/>
            <w:r>
              <w:t>Ph.D</w:t>
            </w:r>
            <w:proofErr w:type="spellEnd"/>
          </w:p>
          <w:p w14:paraId="4EE4B2D1" w14:textId="77777777" w:rsidR="0025639B" w:rsidRDefault="0025639B" w:rsidP="0025639B">
            <w:pPr>
              <w:spacing w:before="120" w:after="120"/>
            </w:pPr>
            <w:r>
              <w:t>350 Humboldt</w:t>
            </w:r>
          </w:p>
          <w:p w14:paraId="7C3947DC" w14:textId="77777777" w:rsidR="0025639B" w:rsidRDefault="0025639B" w:rsidP="004C395A">
            <w:pPr>
              <w:spacing w:before="120" w:after="120"/>
            </w:pPr>
          </w:p>
        </w:tc>
        <w:tc>
          <w:tcPr>
            <w:tcW w:w="3117" w:type="dxa"/>
          </w:tcPr>
          <w:p w14:paraId="01F61D75" w14:textId="77777777" w:rsidR="0025639B" w:rsidRDefault="0025639B" w:rsidP="0025639B">
            <w:pPr>
              <w:spacing w:before="120" w:after="120"/>
            </w:pPr>
            <w:r>
              <w:rPr>
                <w:noProof/>
              </w:rPr>
              <w:drawing>
                <wp:inline distT="0" distB="0" distL="0" distR="0" wp14:anchorId="33A24122" wp14:editId="72A97E41">
                  <wp:extent cx="1412341" cy="52962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6262" cy="534848"/>
                          </a:xfrm>
                          <a:prstGeom prst="rect">
                            <a:avLst/>
                          </a:prstGeom>
                        </pic:spPr>
                      </pic:pic>
                    </a:graphicData>
                  </a:graphic>
                </wp:inline>
              </w:drawing>
            </w:r>
          </w:p>
          <w:p w14:paraId="59D4BDB6" w14:textId="77777777" w:rsidR="0025639B" w:rsidRDefault="0025639B" w:rsidP="0025639B">
            <w:pPr>
              <w:spacing w:before="120" w:after="120"/>
            </w:pPr>
            <w:r>
              <w:t xml:space="preserve">Janet Cox, </w:t>
            </w:r>
          </w:p>
          <w:p w14:paraId="517ECF67" w14:textId="77777777" w:rsidR="0025639B" w:rsidRDefault="0025639B" w:rsidP="0025639B">
            <w:pPr>
              <w:spacing w:before="120" w:after="120"/>
            </w:pPr>
            <w:r>
              <w:t>Interim Director</w:t>
            </w:r>
          </w:p>
          <w:p w14:paraId="08E77C8F" w14:textId="77777777" w:rsidR="0025639B" w:rsidRDefault="0025639B" w:rsidP="0025639B">
            <w:pPr>
              <w:spacing w:before="120" w:after="120"/>
            </w:pPr>
            <w:r>
              <w:t>Climate Action California</w:t>
            </w:r>
          </w:p>
          <w:p w14:paraId="3C86CEE3" w14:textId="77777777" w:rsidR="0025639B" w:rsidRDefault="0025639B" w:rsidP="004C395A">
            <w:pPr>
              <w:spacing w:before="120" w:after="120"/>
            </w:pPr>
          </w:p>
        </w:tc>
        <w:tc>
          <w:tcPr>
            <w:tcW w:w="3117" w:type="dxa"/>
          </w:tcPr>
          <w:p w14:paraId="3203AB41" w14:textId="092FCD57" w:rsidR="0025639B" w:rsidRDefault="00C84A65" w:rsidP="004C395A">
            <w:pPr>
              <w:spacing w:before="120" w:after="120"/>
            </w:pPr>
            <w:r>
              <w:rPr>
                <w:noProof/>
              </w:rPr>
              <w:drawing>
                <wp:inline distT="0" distB="0" distL="0" distR="0" wp14:anchorId="1DBC9742" wp14:editId="670382A2">
                  <wp:extent cx="1662430" cy="45339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2430" cy="453390"/>
                          </a:xfrm>
                          <a:prstGeom prst="rect">
                            <a:avLst/>
                          </a:prstGeom>
                          <a:noFill/>
                          <a:ln>
                            <a:noFill/>
                          </a:ln>
                        </pic:spPr>
                      </pic:pic>
                    </a:graphicData>
                  </a:graphic>
                </wp:inline>
              </w:drawing>
            </w:r>
          </w:p>
          <w:p w14:paraId="69A3D387" w14:textId="77777777" w:rsidR="00C84A65" w:rsidRDefault="00C84A65" w:rsidP="00C84A65">
            <w:r>
              <w:t>Gregg J. Gold, Ph.D.</w:t>
            </w:r>
          </w:p>
          <w:p w14:paraId="4CF6DAFA" w14:textId="77777777" w:rsidR="00C84A65" w:rsidRDefault="00C84A65" w:rsidP="00C84A65">
            <w:r>
              <w:t>Redwood Chapter Sierra Club</w:t>
            </w:r>
          </w:p>
          <w:p w14:paraId="353B891B" w14:textId="77777777" w:rsidR="00C84A65" w:rsidRDefault="00C84A65" w:rsidP="00C84A65">
            <w:r>
              <w:t>North Group Chair</w:t>
            </w:r>
          </w:p>
          <w:p w14:paraId="1ABBBFFF" w14:textId="3C9275E2" w:rsidR="0025639B" w:rsidRDefault="0025639B" w:rsidP="004C395A">
            <w:pPr>
              <w:spacing w:before="120" w:after="120"/>
            </w:pPr>
          </w:p>
        </w:tc>
      </w:tr>
    </w:tbl>
    <w:p w14:paraId="432AF4D4" w14:textId="77777777" w:rsidR="0025639B" w:rsidRDefault="0025639B" w:rsidP="004C395A">
      <w:pPr>
        <w:spacing w:before="120" w:after="120"/>
      </w:pPr>
    </w:p>
    <w:p w14:paraId="0BAAE7AA" w14:textId="77777777" w:rsidR="006D0AF3" w:rsidRPr="003C7A52" w:rsidRDefault="00000000" w:rsidP="004C395A">
      <w:pPr>
        <w:spacing w:before="120" w:after="120"/>
        <w:rPr>
          <w:rFonts w:asciiTheme="minorHAnsi" w:hAnsiTheme="minorHAnsi" w:cstheme="minorHAnsi"/>
          <w:sz w:val="24"/>
        </w:rPr>
      </w:pPr>
      <w:bookmarkStart w:id="0" w:name="_ppa5r06952jn" w:colFirst="0" w:colLast="0"/>
      <w:bookmarkEnd w:id="0"/>
    </w:p>
    <w:sectPr w:rsidR="006D0AF3" w:rsidRPr="003C7A52" w:rsidSect="002D5799">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7BF0" w14:textId="77777777" w:rsidR="00C72AB2" w:rsidRDefault="00C72AB2" w:rsidP="00FF2713">
      <w:r>
        <w:separator/>
      </w:r>
    </w:p>
  </w:endnote>
  <w:endnote w:type="continuationSeparator" w:id="0">
    <w:p w14:paraId="26F4A6B2" w14:textId="77777777" w:rsidR="00C72AB2" w:rsidRDefault="00C72AB2" w:rsidP="00F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052825"/>
      <w:docPartObj>
        <w:docPartGallery w:val="Page Numbers (Bottom of Page)"/>
        <w:docPartUnique/>
      </w:docPartObj>
    </w:sdtPr>
    <w:sdtContent>
      <w:p w14:paraId="0C92D530" w14:textId="17F6F1BC" w:rsidR="00515998" w:rsidRDefault="00515998" w:rsidP="006226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1FA0F" w14:textId="77777777" w:rsidR="00515998" w:rsidRDefault="00515998" w:rsidP="00515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914147"/>
      <w:docPartObj>
        <w:docPartGallery w:val="Page Numbers (Bottom of Page)"/>
        <w:docPartUnique/>
      </w:docPartObj>
    </w:sdtPr>
    <w:sdtContent>
      <w:p w14:paraId="2BCF7364" w14:textId="682AB735" w:rsidR="00515998" w:rsidRDefault="00515998" w:rsidP="006226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B062EA" w14:textId="77777777" w:rsidR="00515998" w:rsidRDefault="00515998" w:rsidP="005159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2161" w14:textId="77777777" w:rsidR="00C72AB2" w:rsidRDefault="00C72AB2" w:rsidP="00FF2713">
      <w:r>
        <w:separator/>
      </w:r>
    </w:p>
  </w:footnote>
  <w:footnote w:type="continuationSeparator" w:id="0">
    <w:p w14:paraId="187E6F97" w14:textId="77777777" w:rsidR="00C72AB2" w:rsidRDefault="00C72AB2" w:rsidP="00FF2713">
      <w:r>
        <w:continuationSeparator/>
      </w:r>
    </w:p>
  </w:footnote>
  <w:footnote w:id="1">
    <w:p w14:paraId="64BAF071" w14:textId="0145E220" w:rsidR="00874FF1" w:rsidRPr="003C7A52" w:rsidRDefault="00874FF1" w:rsidP="005A2DE3">
      <w:pPr>
        <w:pStyle w:val="FootnoteText"/>
      </w:pPr>
      <w:r w:rsidRPr="003C7A52">
        <w:rPr>
          <w:rStyle w:val="FootnoteReference"/>
          <w:rFonts w:asciiTheme="minorHAnsi" w:hAnsiTheme="minorHAnsi" w:cstheme="minorHAnsi"/>
        </w:rPr>
        <w:footnoteRef/>
      </w:r>
      <w:r w:rsidRPr="003C7A52">
        <w:t xml:space="preserve"> </w:t>
      </w:r>
      <w:r>
        <w:t xml:space="preserve">J. </w:t>
      </w:r>
      <w:proofErr w:type="spellStart"/>
      <w:r w:rsidRPr="003C7A52">
        <w:t>Rogelj</w:t>
      </w:r>
      <w:proofErr w:type="spellEnd"/>
      <w:r>
        <w:t xml:space="preserve"> et al.,</w:t>
      </w:r>
      <w:r w:rsidRPr="003C7A52">
        <w:t xml:space="preserve"> </w:t>
      </w:r>
      <w:r>
        <w:t>“</w:t>
      </w:r>
      <w:r w:rsidRPr="003C7A52">
        <w:t>Mitigation Pathways Compatible with 1.5°C in the Context of Sustainable Development</w:t>
      </w:r>
      <w:r>
        <w:t>,”</w:t>
      </w:r>
      <w:r w:rsidRPr="003C7A52">
        <w:t xml:space="preserve"> In: </w:t>
      </w:r>
      <w:r w:rsidRPr="003C7A52">
        <w:rPr>
          <w:rStyle w:val="Emphasis"/>
          <w:rFonts w:asciiTheme="minorHAnsi" w:hAnsiTheme="minorHAnsi" w:cstheme="minorHAnsi"/>
        </w:rPr>
        <w:t xml:space="preserv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sidRPr="003C7A52">
        <w:t>[</w:t>
      </w:r>
      <w:r>
        <w:t xml:space="preserve">V. </w:t>
      </w:r>
      <w:r w:rsidRPr="003C7A52">
        <w:t>Masson-</w:t>
      </w:r>
      <w:proofErr w:type="spellStart"/>
      <w:r w:rsidRPr="003C7A52">
        <w:t>Delmotte</w:t>
      </w:r>
      <w:proofErr w:type="spellEnd"/>
      <w:r>
        <w:t xml:space="preserve"> et al.</w:t>
      </w:r>
      <w:r w:rsidRPr="003C7A52">
        <w:t xml:space="preserve"> (eds.)</w:t>
      </w:r>
      <w:r>
        <w:t>,</w:t>
      </w:r>
      <w:r w:rsidRPr="003C7A52">
        <w:t xml:space="preserve"> Cambridge University Press, Cambridge, UK and New York, NY, USA, </w:t>
      </w:r>
      <w:r>
        <w:t xml:space="preserve">2018, </w:t>
      </w:r>
      <w:r w:rsidRPr="003C7A52">
        <w:t>pp. 93-174, doi:</w:t>
      </w:r>
      <w:hyperlink r:id="rId1" w:history="1">
        <w:r w:rsidRPr="003C7A52">
          <w:rPr>
            <w:rStyle w:val="Hyperlink"/>
            <w:rFonts w:asciiTheme="minorHAnsi" w:hAnsiTheme="minorHAnsi" w:cstheme="minorHAnsi"/>
          </w:rPr>
          <w:t>10.1017/9781009157940.004</w:t>
        </w:r>
      </w:hyperlink>
      <w:r w:rsidRPr="003C7A52">
        <w:t>.</w:t>
      </w:r>
    </w:p>
  </w:footnote>
  <w:footnote w:id="2">
    <w:p w14:paraId="33FC1261" w14:textId="21771AD3" w:rsidR="0066702A" w:rsidRDefault="0066702A" w:rsidP="005A2DE3">
      <w:pPr>
        <w:pStyle w:val="FootnoteText"/>
      </w:pPr>
      <w:r>
        <w:rPr>
          <w:rStyle w:val="FootnoteReference"/>
        </w:rPr>
        <w:footnoteRef/>
      </w:r>
      <w:r>
        <w:t xml:space="preserve"> Analysts are beginning to focus on this transition process, which is not likely to go smoothly. It is important to actually plan the transition. </w:t>
      </w:r>
      <w:proofErr w:type="spellStart"/>
      <w:r>
        <w:t>Grubert</w:t>
      </w:r>
      <w:proofErr w:type="spellEnd"/>
      <w:r>
        <w:t>, Emily, and Sara Hastings</w:t>
      </w:r>
      <w:r>
        <w:rPr>
          <w:rFonts w:ascii="Cambria Math" w:hAnsi="Cambria Math" w:cs="Cambria Math"/>
        </w:rPr>
        <w:t>‐</w:t>
      </w:r>
      <w:r>
        <w:t>Simon. "Designing the mid</w:t>
      </w:r>
      <w:r>
        <w:rPr>
          <w:rFonts w:ascii="Cambria Math" w:hAnsi="Cambria Math" w:cs="Cambria Math"/>
        </w:rPr>
        <w:t>‐</w:t>
      </w:r>
      <w:r>
        <w:t>transition: A review of medium</w:t>
      </w:r>
      <w:r>
        <w:rPr>
          <w:rFonts w:ascii="Cambria Math" w:hAnsi="Cambria Math" w:cs="Cambria Math"/>
        </w:rPr>
        <w:t>‐</w:t>
      </w:r>
      <w:r>
        <w:t xml:space="preserve">term challenges for coordinated decarbonization in the United States." </w:t>
      </w:r>
      <w:r>
        <w:rPr>
          <w:i/>
          <w:iCs/>
        </w:rPr>
        <w:t>Wiley Interdisciplinary Reviews: Climate Change</w:t>
      </w:r>
      <w:r>
        <w:t xml:space="preserve"> (2022): e768.</w:t>
      </w:r>
    </w:p>
  </w:footnote>
  <w:footnote w:id="3">
    <w:p w14:paraId="072CE3FF" w14:textId="29C6DFD4" w:rsidR="00720793" w:rsidRDefault="00720793" w:rsidP="005A2DE3">
      <w:pPr>
        <w:pStyle w:val="FootnoteText"/>
      </w:pPr>
      <w:r>
        <w:rPr>
          <w:rStyle w:val="FootnoteReference"/>
        </w:rPr>
        <w:footnoteRef/>
      </w:r>
      <w:r>
        <w:t xml:space="preserve"> </w:t>
      </w:r>
      <w:r w:rsidR="005A2DE3">
        <w:t>The reason for waiting for 2025 is to see what form CARB regulations of agricultural methane take. They might, as noted later, affect the judgment that dairy gas is “waste.”</w:t>
      </w:r>
    </w:p>
  </w:footnote>
  <w:footnote w:id="4">
    <w:p w14:paraId="297916DA" w14:textId="77777777" w:rsidR="009402F8" w:rsidRPr="003C7A52" w:rsidRDefault="009402F8" w:rsidP="005A2DE3">
      <w:pPr>
        <w:pStyle w:val="FootnoteText"/>
      </w:pPr>
      <w:r w:rsidRPr="003C7A52">
        <w:rPr>
          <w:rStyle w:val="FootnoteReference"/>
        </w:rPr>
        <w:footnoteRef/>
      </w:r>
      <w:r w:rsidRPr="003C7A52">
        <w:t xml:space="preserve"> </w:t>
      </w:r>
      <w:r w:rsidRPr="003C7A52">
        <w:rPr>
          <w:rStyle w:val="markedcontent"/>
          <w:rFonts w:cs="Arial"/>
          <w:szCs w:val="30"/>
        </w:rPr>
        <w:t>Petition for Rulemaking to Exclude All Fuels Derived from Biomethane from</w:t>
      </w:r>
      <w:r>
        <w:t xml:space="preserve"> </w:t>
      </w:r>
      <w:r w:rsidRPr="003C7A52">
        <w:rPr>
          <w:rStyle w:val="markedcontent"/>
          <w:rFonts w:cs="Arial"/>
          <w:szCs w:val="30"/>
        </w:rPr>
        <w:t>Dairy and Swine Manure from the Low Carbon Fuel Standard Program</w:t>
      </w:r>
      <w:r>
        <w:rPr>
          <w:rStyle w:val="markedcontent"/>
          <w:rFonts w:cs="Arial"/>
          <w:szCs w:val="30"/>
        </w:rPr>
        <w:t xml:space="preserve">. </w:t>
      </w:r>
      <w:hyperlink r:id="rId2" w:history="1">
        <w:r w:rsidRPr="00475EF5">
          <w:rPr>
            <w:rStyle w:val="Hyperlink"/>
            <w:rFonts w:cs="Arial"/>
            <w:szCs w:val="30"/>
          </w:rPr>
          <w:t>https://ww2.arb.ca.gov/sites/default/files/2022-01/2021.10.27%20Petition%20for%20Rulemaking%20AIR%20et%20al_.pdf</w:t>
        </w:r>
      </w:hyperlink>
      <w:r>
        <w:rPr>
          <w:rStyle w:val="markedcontent"/>
          <w:rFonts w:cs="Arial"/>
          <w:szCs w:val="30"/>
        </w:rPr>
        <w:t xml:space="preserve"> </w:t>
      </w:r>
    </w:p>
  </w:footnote>
  <w:footnote w:id="5">
    <w:p w14:paraId="57561970" w14:textId="77777777" w:rsidR="005E388A" w:rsidRPr="003C7A52" w:rsidRDefault="005E388A" w:rsidP="005A2DE3">
      <w:pPr>
        <w:pStyle w:val="FootnoteText"/>
      </w:pPr>
      <w:r w:rsidRPr="003C7A52">
        <w:rPr>
          <w:rStyle w:val="FootnoteReference"/>
          <w:rFonts w:asciiTheme="minorHAnsi" w:hAnsiTheme="minorHAnsi" w:cstheme="minorHAnsi"/>
        </w:rPr>
        <w:footnoteRef/>
      </w:r>
      <w:r w:rsidRPr="003C7A52">
        <w:t xml:space="preserve"> https://www.arb.ca.gov/lists/com-attach/19-dairywkshp220329-ws-VCFXMlQmWVVWNFQ1.pdf</w:t>
      </w:r>
    </w:p>
  </w:footnote>
  <w:footnote w:id="6">
    <w:p w14:paraId="21A512A3" w14:textId="77777777" w:rsidR="005E388A" w:rsidRPr="003C7A52" w:rsidRDefault="005E388A" w:rsidP="005A2DE3">
      <w:pPr>
        <w:pStyle w:val="FootnoteText"/>
      </w:pPr>
      <w:r w:rsidRPr="003C7A52">
        <w:rPr>
          <w:rStyle w:val="FootnoteReference"/>
          <w:rFonts w:asciiTheme="minorHAnsi" w:hAnsiTheme="minorHAnsi" w:cstheme="minorHAnsi"/>
        </w:rPr>
        <w:footnoteRef/>
      </w:r>
      <w:r w:rsidRPr="003C7A52">
        <w:t xml:space="preserve"> Younes and Fingerman, op cit.</w:t>
      </w:r>
    </w:p>
  </w:footnote>
  <w:footnote w:id="7">
    <w:p w14:paraId="522401B8" w14:textId="17FE9092" w:rsidR="005A2DE3" w:rsidRPr="008605B2" w:rsidRDefault="005A2DE3" w:rsidP="005A2DE3">
      <w:pPr>
        <w:pStyle w:val="FootnoteText"/>
      </w:pPr>
      <w:r w:rsidRPr="008605B2">
        <w:rPr>
          <w:rStyle w:val="FootnoteReference"/>
          <w:rFonts w:cs="Arial"/>
        </w:rPr>
        <w:footnoteRef/>
      </w:r>
      <w:r w:rsidRPr="008605B2">
        <w:t xml:space="preserve"> </w:t>
      </w:r>
      <w:proofErr w:type="spellStart"/>
      <w:r w:rsidRPr="008605B2">
        <w:rPr>
          <w:rStyle w:val="author"/>
          <w:rFonts w:cs="Arial"/>
        </w:rPr>
        <w:t>Debruyn</w:t>
      </w:r>
      <w:proofErr w:type="spellEnd"/>
      <w:r w:rsidRPr="008605B2">
        <w:rPr>
          <w:rStyle w:val="author"/>
          <w:rFonts w:cs="Arial"/>
        </w:rPr>
        <w:t>, Z</w:t>
      </w:r>
      <w:r w:rsidRPr="008605B2">
        <w:t xml:space="preserve">, </w:t>
      </w:r>
      <w:proofErr w:type="spellStart"/>
      <w:r w:rsidRPr="008605B2">
        <w:rPr>
          <w:rStyle w:val="author"/>
          <w:rFonts w:cs="Arial"/>
        </w:rPr>
        <w:t>VanderZaag</w:t>
      </w:r>
      <w:proofErr w:type="spellEnd"/>
      <w:r w:rsidRPr="008605B2">
        <w:rPr>
          <w:rStyle w:val="author"/>
          <w:rFonts w:cs="Arial"/>
        </w:rPr>
        <w:t>, A</w:t>
      </w:r>
      <w:r w:rsidRPr="008605B2">
        <w:t xml:space="preserve">, </w:t>
      </w:r>
      <w:r w:rsidRPr="008605B2">
        <w:rPr>
          <w:rStyle w:val="author"/>
          <w:rFonts w:cs="Arial"/>
        </w:rPr>
        <w:t>Wagner-Riddle, C</w:t>
      </w:r>
      <w:r w:rsidRPr="008605B2">
        <w:t xml:space="preserve">. </w:t>
      </w:r>
      <w:r w:rsidRPr="008605B2">
        <w:rPr>
          <w:rStyle w:val="articletitle"/>
          <w:rFonts w:cs="Arial"/>
        </w:rPr>
        <w:t>Increased dairy farm methane concentrations linked to anaerobic digester in a five-year study</w:t>
      </w:r>
      <w:r w:rsidRPr="008605B2">
        <w:t xml:space="preserve">. </w:t>
      </w:r>
      <w:r w:rsidRPr="008605B2">
        <w:rPr>
          <w:i/>
          <w:iCs/>
        </w:rPr>
        <w:t>J. Environ. Qual.</w:t>
      </w:r>
      <w:r w:rsidRPr="008605B2">
        <w:t xml:space="preserve"> </w:t>
      </w:r>
      <w:r w:rsidRPr="008605B2">
        <w:rPr>
          <w:rStyle w:val="pubyear"/>
          <w:rFonts w:cs="Arial"/>
        </w:rPr>
        <w:t>2020</w:t>
      </w:r>
      <w:r w:rsidRPr="008605B2">
        <w:t xml:space="preserve">; </w:t>
      </w:r>
      <w:r w:rsidRPr="008605B2">
        <w:rPr>
          <w:rStyle w:val="vol"/>
          <w:rFonts w:cs="Arial"/>
        </w:rPr>
        <w:t>49</w:t>
      </w:r>
      <w:r w:rsidRPr="008605B2">
        <w:t xml:space="preserve">: </w:t>
      </w:r>
      <w:r w:rsidRPr="008605B2">
        <w:rPr>
          <w:rStyle w:val="pagefirst"/>
          <w:rFonts w:cs="Arial"/>
        </w:rPr>
        <w:t>509</w:t>
      </w:r>
      <w:r w:rsidRPr="008605B2">
        <w:t xml:space="preserve">– </w:t>
      </w:r>
      <w:r w:rsidRPr="008605B2">
        <w:rPr>
          <w:rStyle w:val="pagelast"/>
          <w:rFonts w:cs="Arial"/>
        </w:rPr>
        <w:t>515</w:t>
      </w:r>
      <w:r w:rsidRPr="008605B2">
        <w:t xml:space="preserve">. </w:t>
      </w:r>
      <w:hyperlink r:id="rId3" w:history="1">
        <w:r w:rsidRPr="008605B2">
          <w:rPr>
            <w:rStyle w:val="Hyperlink"/>
            <w:rFonts w:cs="Arial"/>
          </w:rPr>
          <w:t>https://doi.org/10.1002/jeq2.20052</w:t>
        </w:r>
      </w:hyperlink>
      <w:r w:rsidRPr="008605B2">
        <w:t>.</w:t>
      </w:r>
    </w:p>
  </w:footnote>
  <w:footnote w:id="8">
    <w:p w14:paraId="30D87BDD" w14:textId="5934571A" w:rsidR="00312018" w:rsidRDefault="00312018">
      <w:pPr>
        <w:pStyle w:val="FootnoteText"/>
      </w:pPr>
      <w:r>
        <w:rPr>
          <w:rStyle w:val="FootnoteReference"/>
        </w:rPr>
        <w:footnoteRef/>
      </w:r>
      <w:r>
        <w:t xml:space="preserve"> </w:t>
      </w:r>
      <w:proofErr w:type="spellStart"/>
      <w:r>
        <w:t>Bakkaloglu</w:t>
      </w:r>
      <w:proofErr w:type="spellEnd"/>
      <w:r>
        <w:t xml:space="preserve">, </w:t>
      </w:r>
      <w:proofErr w:type="spellStart"/>
      <w:r>
        <w:t>Semra</w:t>
      </w:r>
      <w:proofErr w:type="spellEnd"/>
      <w:r>
        <w:t xml:space="preserve">, Jasmin Cooper, and Adam Hawkes. "Methane emissions along biomethane and biogas supply chains are underestimated." </w:t>
      </w:r>
      <w:r>
        <w:rPr>
          <w:i/>
          <w:iCs/>
        </w:rPr>
        <w:t>One Earth</w:t>
      </w:r>
      <w:r>
        <w:t xml:space="preserve"> 5, no. 6 (2022): 724-736.</w:t>
      </w:r>
    </w:p>
  </w:footnote>
  <w:footnote w:id="9">
    <w:p w14:paraId="1B7818D1" w14:textId="77777777" w:rsidR="00FF432E" w:rsidRPr="003C7A52" w:rsidRDefault="00FF432E" w:rsidP="005A2DE3">
      <w:pPr>
        <w:pStyle w:val="FootnoteText"/>
      </w:pPr>
      <w:r w:rsidRPr="003C7A52">
        <w:rPr>
          <w:rStyle w:val="FootnoteReference"/>
          <w:rFonts w:asciiTheme="minorHAnsi" w:hAnsiTheme="minorHAnsi" w:cstheme="minorHAnsi"/>
        </w:rPr>
        <w:footnoteRef/>
      </w:r>
      <w:r w:rsidRPr="003C7A52">
        <w:t xml:space="preserve"> https://www.theguardian.com/world/2022/nov/12/19-years-after-the-fart-tax-new-zealands-farmers-are-fighting-emissions</w:t>
      </w:r>
    </w:p>
  </w:footnote>
  <w:footnote w:id="10">
    <w:p w14:paraId="695CB981" w14:textId="1BEFE87A" w:rsidR="00FF432E" w:rsidRPr="003C7A52" w:rsidRDefault="00FF432E" w:rsidP="005A2DE3">
      <w:pPr>
        <w:pStyle w:val="FootnoteText"/>
      </w:pPr>
      <w:r w:rsidRPr="003C7A52">
        <w:rPr>
          <w:rStyle w:val="FootnoteReference"/>
          <w:rFonts w:asciiTheme="minorHAnsi" w:hAnsiTheme="minorHAnsi" w:cstheme="minorHAnsi"/>
        </w:rPr>
        <w:footnoteRef/>
      </w:r>
      <w:r w:rsidRPr="003C7A52">
        <w:t xml:space="preserve"> National Academies of Sciences, Engineering, and Medicine</w:t>
      </w:r>
      <w:r>
        <w:t>,</w:t>
      </w:r>
      <w:r w:rsidRPr="003C7A52">
        <w:t xml:space="preserve"> "Current Methods for Life Cycle Analyses of Low-Carbon Transportation Fuels in the United States</w:t>
      </w:r>
      <w:r>
        <w:t>,</w:t>
      </w:r>
      <w:r w:rsidRPr="003C7A52">
        <w:t>" 2022.</w:t>
      </w:r>
      <w:r>
        <w:t xml:space="preserve"> </w:t>
      </w:r>
      <w:hyperlink r:id="rId4" w:history="1">
        <w:r w:rsidRPr="00475EF5">
          <w:rPr>
            <w:rStyle w:val="Hyperlink"/>
          </w:rPr>
          <w:t>https://nap.nationalacademies.org/download/26402</w:t>
        </w:r>
      </w:hyperlink>
      <w:r>
        <w:t xml:space="preserve"> </w:t>
      </w:r>
    </w:p>
  </w:footnote>
  <w:footnote w:id="11">
    <w:p w14:paraId="254570D1" w14:textId="77777777" w:rsidR="00FF432E" w:rsidRPr="003C7A52" w:rsidRDefault="00FF432E" w:rsidP="005A2DE3">
      <w:pPr>
        <w:pStyle w:val="FootnoteText"/>
      </w:pPr>
      <w:r w:rsidRPr="003C7A52">
        <w:rPr>
          <w:rStyle w:val="FootnoteReference"/>
          <w:rFonts w:asciiTheme="minorHAnsi" w:hAnsiTheme="minorHAnsi" w:cstheme="minorHAnsi"/>
        </w:rPr>
        <w:footnoteRef/>
      </w:r>
      <w:r w:rsidRPr="003C7A52">
        <w:t xml:space="preserve"> In practice, this would not be a good policy option because of the relatively high amount of methane not combusted during the flaring process and the many other pollutants released. But it clearly illustrates the issue.</w:t>
      </w:r>
    </w:p>
  </w:footnote>
  <w:footnote w:id="12">
    <w:p w14:paraId="4EA7ECC6" w14:textId="77777777" w:rsidR="003F1BE2" w:rsidRPr="003C7A52" w:rsidRDefault="003F1BE2" w:rsidP="005A2DE3">
      <w:pPr>
        <w:pStyle w:val="FootnoteText"/>
      </w:pPr>
      <w:r w:rsidRPr="003C7A52">
        <w:rPr>
          <w:rStyle w:val="FootnoteReference"/>
          <w:rFonts w:asciiTheme="minorHAnsi" w:hAnsiTheme="minorHAnsi" w:cstheme="minorHAnsi"/>
        </w:rPr>
        <w:footnoteRef/>
      </w:r>
      <w:r w:rsidRPr="003C7A52">
        <w:t xml:space="preserve"> “Current global warming of ~1.1°C above pre-industrial already lies within the lower end of five Climate Tipping Point (CTP) uncertainty ranges. Six CTPs become likely (with a further four possible) within the Paris Agreement range of 1.5 to &lt;2°C warming, including collapse of the Greenland and West Antarctic ice sheets, die-off of low-latitude coral reefs, and widespread abrupt permafrost thaw.” Science. 9/02/22 </w:t>
      </w:r>
      <w:hyperlink r:id="rId5" w:history="1">
        <w:r w:rsidRPr="003C7A52">
          <w:rPr>
            <w:rStyle w:val="Hyperlink"/>
            <w:rFonts w:asciiTheme="minorHAnsi" w:hAnsiTheme="minorHAnsi" w:cstheme="minorHAnsi"/>
          </w:rPr>
          <w:t>https://www.science.org/doi/10.1126/science.abn7950</w:t>
        </w:r>
      </w:hyperlink>
      <w:r w:rsidRPr="003C7A52">
        <w:t xml:space="preserve"> </w:t>
      </w:r>
    </w:p>
  </w:footnote>
  <w:footnote w:id="13">
    <w:p w14:paraId="1B334F8F" w14:textId="77777777" w:rsidR="003F1BE2" w:rsidRPr="003C7A52" w:rsidRDefault="003F1BE2" w:rsidP="005A2DE3">
      <w:pPr>
        <w:pStyle w:val="FootnoteText"/>
      </w:pPr>
      <w:r w:rsidRPr="003C7A52">
        <w:rPr>
          <w:rStyle w:val="FootnoteReference"/>
          <w:rFonts w:asciiTheme="minorHAnsi" w:hAnsiTheme="minorHAnsi" w:cstheme="minorHAnsi"/>
        </w:rPr>
        <w:footnoteRef/>
      </w:r>
      <w:r w:rsidRPr="003C7A52">
        <w:t xml:space="preserve"> The amount of carbon we can still emit before passing 1.5</w:t>
      </w:r>
      <w:r w:rsidRPr="003C7A52">
        <w:sym w:font="Symbol" w:char="F0B0"/>
      </w:r>
      <w:r w:rsidRPr="003C7A52">
        <w:t>C is established by the IPCC at 500 GtCO2</w:t>
      </w:r>
      <w:r>
        <w:t>, with</w:t>
      </w:r>
      <w:r w:rsidRPr="003C7A52">
        <w:t xml:space="preserve"> a 50% likelihood of achieving that goal. If we want a 67% likelihood, the carbon budget </w:t>
      </w:r>
      <w:r>
        <w:t>must decrease</w:t>
      </w:r>
      <w:r w:rsidRPr="003C7A52">
        <w:t xml:space="preserve"> to 400 GtCO2. “Global CO2 emissions are about 36 billion tonnes per year, so 400 billion tonnes will last just 11 years if no reductions are made, i.e. the global carbon budget runs out at the end of 2030.”Summary of IPCC AR6 at: </w:t>
      </w:r>
      <w:hyperlink r:id="rId6" w:history="1">
        <w:r w:rsidRPr="003C7A52">
          <w:rPr>
            <w:rStyle w:val="Hyperlink"/>
            <w:rFonts w:asciiTheme="minorHAnsi" w:hAnsiTheme="minorHAnsi" w:cstheme="minorHAnsi"/>
          </w:rPr>
          <w:t>https://www.carbonindependent.org/54.html</w:t>
        </w:r>
      </w:hyperlink>
      <w:r w:rsidRPr="003C7A52">
        <w:t xml:space="preserve">. </w:t>
      </w:r>
    </w:p>
  </w:footnote>
  <w:footnote w:id="14">
    <w:p w14:paraId="1A7FDC72" w14:textId="77777777" w:rsidR="003F1BE2" w:rsidRPr="003C7A52" w:rsidRDefault="003F1BE2" w:rsidP="005A2DE3">
      <w:pPr>
        <w:pStyle w:val="FootnoteText"/>
      </w:pPr>
      <w:r w:rsidRPr="003C7A52">
        <w:rPr>
          <w:rStyle w:val="FootnoteReference"/>
          <w:rFonts w:asciiTheme="minorHAnsi" w:hAnsiTheme="minorHAnsi" w:cstheme="minorHAnsi"/>
        </w:rPr>
        <w:footnoteRef/>
      </w:r>
      <w:r w:rsidRPr="003C7A52">
        <w:t xml:space="preserve"> Liu, </w:t>
      </w:r>
      <w:proofErr w:type="spellStart"/>
      <w:r w:rsidRPr="003C7A52">
        <w:t>Shule</w:t>
      </w:r>
      <w:proofErr w:type="spellEnd"/>
      <w:r w:rsidRPr="003C7A52">
        <w:t xml:space="preserve">, Joe </w:t>
      </w:r>
      <w:proofErr w:type="spellStart"/>
      <w:r w:rsidRPr="003C7A52">
        <w:t>Proudman</w:t>
      </w:r>
      <w:proofErr w:type="spellEnd"/>
      <w:r w:rsidRPr="003C7A52">
        <w:t xml:space="preserve">, and Frank M. </w:t>
      </w:r>
      <w:proofErr w:type="spellStart"/>
      <w:r w:rsidRPr="003C7A52">
        <w:t>Mitloehner</w:t>
      </w:r>
      <w:proofErr w:type="spellEnd"/>
      <w:r w:rsidRPr="003C7A52">
        <w:t xml:space="preserve">. "Rethinking methane from animal agriculture." </w:t>
      </w:r>
      <w:r w:rsidRPr="003C7A52">
        <w:rPr>
          <w:i/>
          <w:iCs/>
        </w:rPr>
        <w:t>CABI Agriculture and Bioscience</w:t>
      </w:r>
      <w:r w:rsidRPr="003C7A52">
        <w:t xml:space="preserve"> 2, no. 1 (2021): 1-13. </w:t>
      </w:r>
      <w:hyperlink r:id="rId7" w:history="1">
        <w:r w:rsidRPr="003C7A52">
          <w:rPr>
            <w:rStyle w:val="Hyperlink"/>
            <w:rFonts w:asciiTheme="minorHAnsi" w:hAnsiTheme="minorHAnsi" w:cstheme="minorHAnsi"/>
          </w:rPr>
          <w:t>https://link.springer.com/article/10.1186/s43170-021-00041-y</w:t>
        </w:r>
      </w:hyperlink>
      <w:r w:rsidRPr="003C7A52">
        <w:t xml:space="preserve"> The approach uses GWP* an innovative but not widely accepted alternative to the IPCC’s 100 year and 20 year GWP approach.</w:t>
      </w:r>
    </w:p>
  </w:footnote>
  <w:footnote w:id="15">
    <w:p w14:paraId="3638BD6F" w14:textId="77777777" w:rsidR="003F1BE2" w:rsidRPr="003C7A52" w:rsidRDefault="003F1BE2" w:rsidP="005A2DE3">
      <w:pPr>
        <w:pStyle w:val="FootnoteText"/>
      </w:pPr>
      <w:r w:rsidRPr="003C7A52">
        <w:rPr>
          <w:rStyle w:val="FootnoteReference"/>
          <w:rFonts w:asciiTheme="minorHAnsi" w:hAnsiTheme="minorHAnsi" w:cstheme="minorHAnsi"/>
        </w:rPr>
        <w:footnoteRef/>
      </w:r>
      <w:r w:rsidRPr="003C7A52">
        <w:t xml:space="preserve"> Ibid. Figure 5.</w:t>
      </w:r>
    </w:p>
  </w:footnote>
  <w:footnote w:id="16">
    <w:p w14:paraId="39C811C2" w14:textId="77777777" w:rsidR="003F1BE2" w:rsidRPr="003C7A52" w:rsidRDefault="003F1BE2" w:rsidP="005A2DE3">
      <w:pPr>
        <w:pStyle w:val="FootnoteText"/>
      </w:pPr>
      <w:r w:rsidRPr="003C7A52">
        <w:rPr>
          <w:rStyle w:val="FootnoteReference"/>
          <w:rFonts w:asciiTheme="minorHAnsi" w:hAnsiTheme="minorHAnsi" w:cstheme="minorHAnsi"/>
        </w:rPr>
        <w:footnoteRef/>
      </w:r>
      <w:r w:rsidRPr="003C7A52">
        <w:t xml:space="preserve"> See the video called Achieving Climate Neutrality at https://www.youtube.com/playlist?list=PLJEeYejb4pU_Ay3h57j-jCr7yVZTWJWXE</w:t>
      </w:r>
    </w:p>
  </w:footnote>
  <w:footnote w:id="17">
    <w:p w14:paraId="5E05299B" w14:textId="77777777" w:rsidR="00FC2B12" w:rsidRPr="003C7A52" w:rsidRDefault="00FC2B12" w:rsidP="005A2DE3">
      <w:pPr>
        <w:pStyle w:val="FootnoteText"/>
      </w:pPr>
      <w:r w:rsidRPr="003C7A52">
        <w:rPr>
          <w:rStyle w:val="FootnoteReference"/>
        </w:rPr>
        <w:footnoteRef/>
      </w:r>
      <w:r w:rsidRPr="003C7A52">
        <w:t xml:space="preserve"> The EPA’s new draft standard for the social cost of carbon (and other greenhouse gases) puts the cost of a ton of emitted methane at $1,600. See the discussion at: https://www.resources.org/common-resources/the-us-environmental-protection-agency-introduces-a-new-social-cost-of-carbon-for-public-comment/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219"/>
    <w:multiLevelType w:val="hybridMultilevel"/>
    <w:tmpl w:val="E68AD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F61F1"/>
    <w:multiLevelType w:val="hybridMultilevel"/>
    <w:tmpl w:val="449CA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04829"/>
    <w:multiLevelType w:val="hybridMultilevel"/>
    <w:tmpl w:val="8F0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E630A"/>
    <w:multiLevelType w:val="hybridMultilevel"/>
    <w:tmpl w:val="CFFEECA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339F151D"/>
    <w:multiLevelType w:val="hybridMultilevel"/>
    <w:tmpl w:val="6C9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65DA5"/>
    <w:multiLevelType w:val="hybridMultilevel"/>
    <w:tmpl w:val="092422AC"/>
    <w:lvl w:ilvl="0" w:tplc="38568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03D10"/>
    <w:multiLevelType w:val="hybridMultilevel"/>
    <w:tmpl w:val="52D294E4"/>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48E0469"/>
    <w:multiLevelType w:val="hybridMultilevel"/>
    <w:tmpl w:val="805A7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1B24D4"/>
    <w:multiLevelType w:val="multilevel"/>
    <w:tmpl w:val="15C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0A2C94"/>
    <w:multiLevelType w:val="hybridMultilevel"/>
    <w:tmpl w:val="5B30C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56FA8"/>
    <w:multiLevelType w:val="hybridMultilevel"/>
    <w:tmpl w:val="C9740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407AE"/>
    <w:multiLevelType w:val="multilevel"/>
    <w:tmpl w:val="B42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F6FCA"/>
    <w:multiLevelType w:val="hybridMultilevel"/>
    <w:tmpl w:val="32600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869295">
    <w:abstractNumId w:val="11"/>
  </w:num>
  <w:num w:numId="2" w16cid:durableId="988747247">
    <w:abstractNumId w:val="5"/>
  </w:num>
  <w:num w:numId="3" w16cid:durableId="1019165615">
    <w:abstractNumId w:val="8"/>
  </w:num>
  <w:num w:numId="4" w16cid:durableId="1991016053">
    <w:abstractNumId w:val="4"/>
  </w:num>
  <w:num w:numId="5" w16cid:durableId="2078279087">
    <w:abstractNumId w:val="6"/>
  </w:num>
  <w:num w:numId="6" w16cid:durableId="1178545060">
    <w:abstractNumId w:val="9"/>
  </w:num>
  <w:num w:numId="7" w16cid:durableId="1137382280">
    <w:abstractNumId w:val="0"/>
  </w:num>
  <w:num w:numId="8" w16cid:durableId="963926185">
    <w:abstractNumId w:val="1"/>
  </w:num>
  <w:num w:numId="9" w16cid:durableId="1880821586">
    <w:abstractNumId w:val="10"/>
  </w:num>
  <w:num w:numId="10" w16cid:durableId="858667846">
    <w:abstractNumId w:val="3"/>
  </w:num>
  <w:num w:numId="11" w16cid:durableId="1879659098">
    <w:abstractNumId w:val="2"/>
  </w:num>
  <w:num w:numId="12" w16cid:durableId="1952397683">
    <w:abstractNumId w:val="12"/>
  </w:num>
  <w:num w:numId="13" w16cid:durableId="1496729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67"/>
    <w:rsid w:val="00001054"/>
    <w:rsid w:val="000014E4"/>
    <w:rsid w:val="00010906"/>
    <w:rsid w:val="0004340E"/>
    <w:rsid w:val="00050150"/>
    <w:rsid w:val="0009469B"/>
    <w:rsid w:val="000A1569"/>
    <w:rsid w:val="000A5426"/>
    <w:rsid w:val="000B2B7F"/>
    <w:rsid w:val="000B6461"/>
    <w:rsid w:val="000C1E45"/>
    <w:rsid w:val="00102428"/>
    <w:rsid w:val="00103174"/>
    <w:rsid w:val="00111D3C"/>
    <w:rsid w:val="00125F5C"/>
    <w:rsid w:val="00134C61"/>
    <w:rsid w:val="00146D96"/>
    <w:rsid w:val="00175511"/>
    <w:rsid w:val="001B0A8E"/>
    <w:rsid w:val="001D38D9"/>
    <w:rsid w:val="001E7BE0"/>
    <w:rsid w:val="00244BFB"/>
    <w:rsid w:val="00254F5C"/>
    <w:rsid w:val="0025639B"/>
    <w:rsid w:val="00262615"/>
    <w:rsid w:val="00265507"/>
    <w:rsid w:val="00284E48"/>
    <w:rsid w:val="002D5799"/>
    <w:rsid w:val="002F1935"/>
    <w:rsid w:val="002F6D04"/>
    <w:rsid w:val="003066C4"/>
    <w:rsid w:val="00312018"/>
    <w:rsid w:val="00353E98"/>
    <w:rsid w:val="00363CA0"/>
    <w:rsid w:val="003A1076"/>
    <w:rsid w:val="003A2883"/>
    <w:rsid w:val="003C3367"/>
    <w:rsid w:val="003C4734"/>
    <w:rsid w:val="003C6592"/>
    <w:rsid w:val="003C7A52"/>
    <w:rsid w:val="003D0B12"/>
    <w:rsid w:val="003D727B"/>
    <w:rsid w:val="003F1BE2"/>
    <w:rsid w:val="003F230B"/>
    <w:rsid w:val="003F70DE"/>
    <w:rsid w:val="004025A4"/>
    <w:rsid w:val="00417CE4"/>
    <w:rsid w:val="00441108"/>
    <w:rsid w:val="004434F7"/>
    <w:rsid w:val="00471D14"/>
    <w:rsid w:val="00492130"/>
    <w:rsid w:val="00494912"/>
    <w:rsid w:val="004A4F45"/>
    <w:rsid w:val="004B609F"/>
    <w:rsid w:val="004C395A"/>
    <w:rsid w:val="004D006F"/>
    <w:rsid w:val="004D3D31"/>
    <w:rsid w:val="00502CB8"/>
    <w:rsid w:val="005133C7"/>
    <w:rsid w:val="00515998"/>
    <w:rsid w:val="005568E7"/>
    <w:rsid w:val="005609DD"/>
    <w:rsid w:val="00573594"/>
    <w:rsid w:val="005A2DE3"/>
    <w:rsid w:val="005D60A8"/>
    <w:rsid w:val="005E388A"/>
    <w:rsid w:val="0061332C"/>
    <w:rsid w:val="00622847"/>
    <w:rsid w:val="00640A12"/>
    <w:rsid w:val="00665D17"/>
    <w:rsid w:val="0066702A"/>
    <w:rsid w:val="0068768F"/>
    <w:rsid w:val="006A4AA5"/>
    <w:rsid w:val="006D0308"/>
    <w:rsid w:val="006D7B68"/>
    <w:rsid w:val="006F49D5"/>
    <w:rsid w:val="006F5EE2"/>
    <w:rsid w:val="006F6C8D"/>
    <w:rsid w:val="00715E6D"/>
    <w:rsid w:val="00720793"/>
    <w:rsid w:val="007217DB"/>
    <w:rsid w:val="007677FD"/>
    <w:rsid w:val="00794608"/>
    <w:rsid w:val="007A7367"/>
    <w:rsid w:val="007B7A0D"/>
    <w:rsid w:val="007C362D"/>
    <w:rsid w:val="007F002F"/>
    <w:rsid w:val="008007C4"/>
    <w:rsid w:val="00823881"/>
    <w:rsid w:val="00824CAA"/>
    <w:rsid w:val="008653E4"/>
    <w:rsid w:val="008658E5"/>
    <w:rsid w:val="00874FF1"/>
    <w:rsid w:val="0088544D"/>
    <w:rsid w:val="00896688"/>
    <w:rsid w:val="008C4195"/>
    <w:rsid w:val="008C78F8"/>
    <w:rsid w:val="008E1276"/>
    <w:rsid w:val="00920BB5"/>
    <w:rsid w:val="009402F8"/>
    <w:rsid w:val="009F15C0"/>
    <w:rsid w:val="009F1CF4"/>
    <w:rsid w:val="009F4442"/>
    <w:rsid w:val="00A01915"/>
    <w:rsid w:val="00A13909"/>
    <w:rsid w:val="00A25D45"/>
    <w:rsid w:val="00A55EE4"/>
    <w:rsid w:val="00A85C59"/>
    <w:rsid w:val="00AB1C80"/>
    <w:rsid w:val="00AB3254"/>
    <w:rsid w:val="00AB6C43"/>
    <w:rsid w:val="00AE21D1"/>
    <w:rsid w:val="00AF127F"/>
    <w:rsid w:val="00B01B9C"/>
    <w:rsid w:val="00B45972"/>
    <w:rsid w:val="00B5484E"/>
    <w:rsid w:val="00B67A7B"/>
    <w:rsid w:val="00BA3988"/>
    <w:rsid w:val="00BD6586"/>
    <w:rsid w:val="00C03226"/>
    <w:rsid w:val="00C14805"/>
    <w:rsid w:val="00C20D71"/>
    <w:rsid w:val="00C55923"/>
    <w:rsid w:val="00C62D36"/>
    <w:rsid w:val="00C72AB2"/>
    <w:rsid w:val="00C84A65"/>
    <w:rsid w:val="00C9466E"/>
    <w:rsid w:val="00CA0110"/>
    <w:rsid w:val="00CE5780"/>
    <w:rsid w:val="00D46123"/>
    <w:rsid w:val="00D50FAC"/>
    <w:rsid w:val="00D71482"/>
    <w:rsid w:val="00D94D5C"/>
    <w:rsid w:val="00DA1E08"/>
    <w:rsid w:val="00DD60F1"/>
    <w:rsid w:val="00DF1EDB"/>
    <w:rsid w:val="00DF4FB2"/>
    <w:rsid w:val="00E14EB3"/>
    <w:rsid w:val="00E566FE"/>
    <w:rsid w:val="00EA433A"/>
    <w:rsid w:val="00EB03F8"/>
    <w:rsid w:val="00EB3C87"/>
    <w:rsid w:val="00EB758B"/>
    <w:rsid w:val="00EC02FD"/>
    <w:rsid w:val="00ED1B49"/>
    <w:rsid w:val="00ED3CFF"/>
    <w:rsid w:val="00ED4C5B"/>
    <w:rsid w:val="00F160D5"/>
    <w:rsid w:val="00F22743"/>
    <w:rsid w:val="00F22CDF"/>
    <w:rsid w:val="00F3368C"/>
    <w:rsid w:val="00F34029"/>
    <w:rsid w:val="00F53916"/>
    <w:rsid w:val="00F54936"/>
    <w:rsid w:val="00F74221"/>
    <w:rsid w:val="00F754BD"/>
    <w:rsid w:val="00F934D3"/>
    <w:rsid w:val="00FC2B12"/>
    <w:rsid w:val="00FC7A19"/>
    <w:rsid w:val="00FF2713"/>
    <w:rsid w:val="00FF3A62"/>
    <w:rsid w:val="00FF432E"/>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09C29"/>
  <w15:chartTrackingRefBased/>
  <w15:docId w15:val="{9C82656E-14DB-EB4F-88CA-C94495D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67"/>
    <w:rPr>
      <w:rFonts w:ascii="Arial" w:hAnsi="Arial"/>
      <w:sz w:val="22"/>
    </w:rPr>
  </w:style>
  <w:style w:type="paragraph" w:styleId="Heading1">
    <w:name w:val="heading 1"/>
    <w:basedOn w:val="Normal"/>
    <w:next w:val="Normal"/>
    <w:link w:val="Heading1Char"/>
    <w:uiPriority w:val="9"/>
    <w:qFormat/>
    <w:rsid w:val="004411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7B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66C4"/>
    <w:pPr>
      <w:keepNext/>
      <w:keepLines/>
      <w:spacing w:before="320" w:after="80" w:line="276" w:lineRule="auto"/>
      <w:outlineLvl w:val="2"/>
    </w:pPr>
    <w:rPr>
      <w:rFonts w:eastAsia="Arial" w:cs="Arial"/>
      <w:color w:val="434343"/>
      <w:sz w:val="28"/>
      <w:szCs w:val="28"/>
      <w:lang w:val="en"/>
    </w:rPr>
  </w:style>
  <w:style w:type="paragraph" w:styleId="Heading7">
    <w:name w:val="heading 7"/>
    <w:basedOn w:val="Normal"/>
    <w:next w:val="Normal"/>
    <w:link w:val="Heading7Char"/>
    <w:uiPriority w:val="9"/>
    <w:semiHidden/>
    <w:unhideWhenUsed/>
    <w:qFormat/>
    <w:rsid w:val="004D3D3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5A2DE3"/>
    <w:pPr>
      <w:contextualSpacing/>
    </w:pPr>
    <w:rPr>
      <w:rFonts w:eastAsiaTheme="majorEastAsia"/>
      <w:sz w:val="20"/>
      <w:szCs w:val="20"/>
    </w:rPr>
  </w:style>
  <w:style w:type="character" w:customStyle="1" w:styleId="FootnoteTextChar">
    <w:name w:val="Footnote Text Char"/>
    <w:basedOn w:val="DefaultParagraphFont"/>
    <w:link w:val="FootnoteText"/>
    <w:uiPriority w:val="99"/>
    <w:rsid w:val="005A2DE3"/>
    <w:rPr>
      <w:rFonts w:ascii="Arial" w:eastAsiaTheme="majorEastAsia" w:hAnsi="Arial"/>
      <w:sz w:val="20"/>
      <w:szCs w:val="20"/>
    </w:rPr>
  </w:style>
  <w:style w:type="character" w:customStyle="1" w:styleId="Heading2Char">
    <w:name w:val="Heading 2 Char"/>
    <w:basedOn w:val="DefaultParagraphFont"/>
    <w:link w:val="Heading2"/>
    <w:uiPriority w:val="9"/>
    <w:rsid w:val="006D7B68"/>
    <w:rPr>
      <w:rFonts w:asciiTheme="majorHAnsi" w:eastAsiaTheme="majorEastAsia" w:hAnsiTheme="majorHAnsi" w:cstheme="majorBidi"/>
      <w:color w:val="2F5496" w:themeColor="accent1" w:themeShade="BF"/>
      <w:sz w:val="26"/>
      <w:szCs w:val="26"/>
    </w:rPr>
  </w:style>
  <w:style w:type="character" w:styleId="FootnoteReference">
    <w:name w:val="footnote reference"/>
    <w:basedOn w:val="DefaultParagraphFont"/>
    <w:uiPriority w:val="99"/>
    <w:unhideWhenUsed/>
    <w:rsid w:val="00FF2713"/>
    <w:rPr>
      <w:vertAlign w:val="superscript"/>
    </w:rPr>
  </w:style>
  <w:style w:type="character" w:customStyle="1" w:styleId="Heading3Char">
    <w:name w:val="Heading 3 Char"/>
    <w:basedOn w:val="DefaultParagraphFont"/>
    <w:link w:val="Heading3"/>
    <w:uiPriority w:val="9"/>
    <w:rsid w:val="003066C4"/>
    <w:rPr>
      <w:rFonts w:ascii="Arial" w:eastAsia="Arial" w:hAnsi="Arial" w:cs="Arial"/>
      <w:color w:val="434343"/>
      <w:sz w:val="28"/>
      <w:szCs w:val="28"/>
      <w:lang w:val="en"/>
    </w:rPr>
  </w:style>
  <w:style w:type="character" w:styleId="Hyperlink">
    <w:name w:val="Hyperlink"/>
    <w:basedOn w:val="DefaultParagraphFont"/>
    <w:uiPriority w:val="99"/>
    <w:unhideWhenUsed/>
    <w:rsid w:val="00F22743"/>
    <w:rPr>
      <w:color w:val="0000FF"/>
      <w:u w:val="single"/>
    </w:rPr>
  </w:style>
  <w:style w:type="paragraph" w:styleId="NormalWeb">
    <w:name w:val="Normal (Web)"/>
    <w:basedOn w:val="Normal"/>
    <w:uiPriority w:val="99"/>
    <w:unhideWhenUsed/>
    <w:rsid w:val="00F22743"/>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441108"/>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semiHidden/>
    <w:rsid w:val="004D3D31"/>
    <w:rPr>
      <w:rFonts w:asciiTheme="majorHAnsi" w:eastAsiaTheme="majorEastAsia" w:hAnsiTheme="majorHAnsi" w:cstheme="majorBidi"/>
      <w:i/>
      <w:iCs/>
      <w:color w:val="1F3763" w:themeColor="accent1" w:themeShade="7F"/>
      <w:sz w:val="22"/>
    </w:rPr>
  </w:style>
  <w:style w:type="character" w:customStyle="1" w:styleId="apple-converted-space">
    <w:name w:val="apple-converted-space"/>
    <w:basedOn w:val="DefaultParagraphFont"/>
    <w:rsid w:val="00C62D36"/>
  </w:style>
  <w:style w:type="character" w:styleId="UnresolvedMention">
    <w:name w:val="Unresolved Mention"/>
    <w:basedOn w:val="DefaultParagraphFont"/>
    <w:uiPriority w:val="99"/>
    <w:semiHidden/>
    <w:unhideWhenUsed/>
    <w:rsid w:val="00F54936"/>
    <w:rPr>
      <w:color w:val="605E5C"/>
      <w:shd w:val="clear" w:color="auto" w:fill="E1DFDD"/>
    </w:rPr>
  </w:style>
  <w:style w:type="paragraph" w:styleId="ListParagraph">
    <w:name w:val="List Paragraph"/>
    <w:basedOn w:val="Normal"/>
    <w:uiPriority w:val="34"/>
    <w:qFormat/>
    <w:rsid w:val="008653E4"/>
    <w:pPr>
      <w:ind w:left="720"/>
      <w:contextualSpacing/>
    </w:pPr>
    <w:rPr>
      <w:rFonts w:ascii="Times New Roman" w:eastAsia="Times New Roman" w:hAnsi="Times New Roman" w:cs="Times New Roman"/>
      <w:sz w:val="24"/>
    </w:rPr>
  </w:style>
  <w:style w:type="character" w:customStyle="1" w:styleId="anchor-text">
    <w:name w:val="anchor-text"/>
    <w:basedOn w:val="DefaultParagraphFont"/>
    <w:rsid w:val="00823881"/>
  </w:style>
  <w:style w:type="paragraph" w:styleId="Footer">
    <w:name w:val="footer"/>
    <w:basedOn w:val="Normal"/>
    <w:link w:val="FooterChar"/>
    <w:uiPriority w:val="99"/>
    <w:unhideWhenUsed/>
    <w:rsid w:val="00515998"/>
    <w:pPr>
      <w:tabs>
        <w:tab w:val="center" w:pos="4680"/>
        <w:tab w:val="right" w:pos="9360"/>
      </w:tabs>
    </w:pPr>
  </w:style>
  <w:style w:type="character" w:customStyle="1" w:styleId="FooterChar">
    <w:name w:val="Footer Char"/>
    <w:basedOn w:val="DefaultParagraphFont"/>
    <w:link w:val="Footer"/>
    <w:uiPriority w:val="99"/>
    <w:rsid w:val="00515998"/>
    <w:rPr>
      <w:rFonts w:ascii="Arial" w:hAnsi="Arial"/>
      <w:sz w:val="22"/>
    </w:rPr>
  </w:style>
  <w:style w:type="character" w:styleId="PageNumber">
    <w:name w:val="page number"/>
    <w:basedOn w:val="DefaultParagraphFont"/>
    <w:uiPriority w:val="99"/>
    <w:semiHidden/>
    <w:unhideWhenUsed/>
    <w:rsid w:val="00515998"/>
  </w:style>
  <w:style w:type="character" w:styleId="Emphasis">
    <w:name w:val="Emphasis"/>
    <w:basedOn w:val="DefaultParagraphFont"/>
    <w:uiPriority w:val="20"/>
    <w:qFormat/>
    <w:rsid w:val="006A4AA5"/>
    <w:rPr>
      <w:i/>
      <w:iCs/>
    </w:rPr>
  </w:style>
  <w:style w:type="character" w:customStyle="1" w:styleId="markedcontent">
    <w:name w:val="markedcontent"/>
    <w:basedOn w:val="DefaultParagraphFont"/>
    <w:rsid w:val="003C7A52"/>
  </w:style>
  <w:style w:type="paragraph" w:styleId="Revision">
    <w:name w:val="Revision"/>
    <w:hidden/>
    <w:uiPriority w:val="99"/>
    <w:semiHidden/>
    <w:rsid w:val="00A25D45"/>
    <w:rPr>
      <w:rFonts w:ascii="Arial" w:hAnsi="Arial"/>
      <w:sz w:val="22"/>
    </w:rPr>
  </w:style>
  <w:style w:type="character" w:styleId="CommentReference">
    <w:name w:val="annotation reference"/>
    <w:basedOn w:val="DefaultParagraphFont"/>
    <w:uiPriority w:val="99"/>
    <w:semiHidden/>
    <w:unhideWhenUsed/>
    <w:rsid w:val="00284E48"/>
    <w:rPr>
      <w:sz w:val="16"/>
      <w:szCs w:val="16"/>
    </w:rPr>
  </w:style>
  <w:style w:type="paragraph" w:styleId="CommentText">
    <w:name w:val="annotation text"/>
    <w:basedOn w:val="Normal"/>
    <w:link w:val="CommentTextChar"/>
    <w:uiPriority w:val="99"/>
    <w:semiHidden/>
    <w:unhideWhenUsed/>
    <w:rsid w:val="00284E48"/>
    <w:rPr>
      <w:sz w:val="20"/>
      <w:szCs w:val="20"/>
    </w:rPr>
  </w:style>
  <w:style w:type="character" w:customStyle="1" w:styleId="CommentTextChar">
    <w:name w:val="Comment Text Char"/>
    <w:basedOn w:val="DefaultParagraphFont"/>
    <w:link w:val="CommentText"/>
    <w:uiPriority w:val="99"/>
    <w:semiHidden/>
    <w:rsid w:val="00284E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4E48"/>
    <w:rPr>
      <w:b/>
      <w:bCs/>
    </w:rPr>
  </w:style>
  <w:style w:type="character" w:customStyle="1" w:styleId="CommentSubjectChar">
    <w:name w:val="Comment Subject Char"/>
    <w:basedOn w:val="CommentTextChar"/>
    <w:link w:val="CommentSubject"/>
    <w:uiPriority w:val="99"/>
    <w:semiHidden/>
    <w:rsid w:val="00284E48"/>
    <w:rPr>
      <w:rFonts w:ascii="Arial" w:hAnsi="Arial"/>
      <w:b/>
      <w:bCs/>
      <w:sz w:val="20"/>
      <w:szCs w:val="20"/>
    </w:rPr>
  </w:style>
  <w:style w:type="character" w:customStyle="1" w:styleId="author">
    <w:name w:val="author"/>
    <w:basedOn w:val="DefaultParagraphFont"/>
    <w:rsid w:val="005A2DE3"/>
  </w:style>
  <w:style w:type="character" w:customStyle="1" w:styleId="articletitle">
    <w:name w:val="articletitle"/>
    <w:basedOn w:val="DefaultParagraphFont"/>
    <w:rsid w:val="005A2DE3"/>
  </w:style>
  <w:style w:type="character" w:customStyle="1" w:styleId="pubyear">
    <w:name w:val="pubyear"/>
    <w:basedOn w:val="DefaultParagraphFont"/>
    <w:rsid w:val="005A2DE3"/>
  </w:style>
  <w:style w:type="character" w:customStyle="1" w:styleId="vol">
    <w:name w:val="vol"/>
    <w:basedOn w:val="DefaultParagraphFont"/>
    <w:rsid w:val="005A2DE3"/>
  </w:style>
  <w:style w:type="character" w:customStyle="1" w:styleId="pagefirst">
    <w:name w:val="pagefirst"/>
    <w:basedOn w:val="DefaultParagraphFont"/>
    <w:rsid w:val="005A2DE3"/>
  </w:style>
  <w:style w:type="character" w:customStyle="1" w:styleId="pagelast">
    <w:name w:val="pagelast"/>
    <w:basedOn w:val="DefaultParagraphFont"/>
    <w:rsid w:val="005A2DE3"/>
  </w:style>
  <w:style w:type="table" w:styleId="TableGrid">
    <w:name w:val="Table Grid"/>
    <w:basedOn w:val="TableNormal"/>
    <w:uiPriority w:val="39"/>
    <w:rsid w:val="0025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490">
      <w:bodyDiv w:val="1"/>
      <w:marLeft w:val="0"/>
      <w:marRight w:val="0"/>
      <w:marTop w:val="0"/>
      <w:marBottom w:val="0"/>
      <w:divBdr>
        <w:top w:val="none" w:sz="0" w:space="0" w:color="auto"/>
        <w:left w:val="none" w:sz="0" w:space="0" w:color="auto"/>
        <w:bottom w:val="none" w:sz="0" w:space="0" w:color="auto"/>
        <w:right w:val="none" w:sz="0" w:space="0" w:color="auto"/>
      </w:divBdr>
      <w:divsChild>
        <w:div w:id="636833571">
          <w:marLeft w:val="0"/>
          <w:marRight w:val="0"/>
          <w:marTop w:val="0"/>
          <w:marBottom w:val="0"/>
          <w:divBdr>
            <w:top w:val="none" w:sz="0" w:space="0" w:color="auto"/>
            <w:left w:val="none" w:sz="0" w:space="0" w:color="auto"/>
            <w:bottom w:val="none" w:sz="0" w:space="0" w:color="auto"/>
            <w:right w:val="none" w:sz="0" w:space="0" w:color="auto"/>
          </w:divBdr>
          <w:divsChild>
            <w:div w:id="668289233">
              <w:marLeft w:val="0"/>
              <w:marRight w:val="0"/>
              <w:marTop w:val="0"/>
              <w:marBottom w:val="0"/>
              <w:divBdr>
                <w:top w:val="none" w:sz="0" w:space="0" w:color="auto"/>
                <w:left w:val="none" w:sz="0" w:space="0" w:color="auto"/>
                <w:bottom w:val="none" w:sz="0" w:space="0" w:color="auto"/>
                <w:right w:val="none" w:sz="0" w:space="0" w:color="auto"/>
              </w:divBdr>
              <w:divsChild>
                <w:div w:id="6393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332">
      <w:bodyDiv w:val="1"/>
      <w:marLeft w:val="0"/>
      <w:marRight w:val="0"/>
      <w:marTop w:val="0"/>
      <w:marBottom w:val="0"/>
      <w:divBdr>
        <w:top w:val="none" w:sz="0" w:space="0" w:color="auto"/>
        <w:left w:val="none" w:sz="0" w:space="0" w:color="auto"/>
        <w:bottom w:val="none" w:sz="0" w:space="0" w:color="auto"/>
        <w:right w:val="none" w:sz="0" w:space="0" w:color="auto"/>
      </w:divBdr>
      <w:divsChild>
        <w:div w:id="543492070">
          <w:marLeft w:val="0"/>
          <w:marRight w:val="0"/>
          <w:marTop w:val="0"/>
          <w:marBottom w:val="0"/>
          <w:divBdr>
            <w:top w:val="none" w:sz="0" w:space="0" w:color="auto"/>
            <w:left w:val="none" w:sz="0" w:space="0" w:color="auto"/>
            <w:bottom w:val="none" w:sz="0" w:space="0" w:color="auto"/>
            <w:right w:val="none" w:sz="0" w:space="0" w:color="auto"/>
          </w:divBdr>
          <w:divsChild>
            <w:div w:id="1648587751">
              <w:marLeft w:val="0"/>
              <w:marRight w:val="0"/>
              <w:marTop w:val="0"/>
              <w:marBottom w:val="0"/>
              <w:divBdr>
                <w:top w:val="none" w:sz="0" w:space="0" w:color="auto"/>
                <w:left w:val="none" w:sz="0" w:space="0" w:color="auto"/>
                <w:bottom w:val="none" w:sz="0" w:space="0" w:color="auto"/>
                <w:right w:val="none" w:sz="0" w:space="0" w:color="auto"/>
              </w:divBdr>
              <w:divsChild>
                <w:div w:id="627200682">
                  <w:marLeft w:val="0"/>
                  <w:marRight w:val="0"/>
                  <w:marTop w:val="0"/>
                  <w:marBottom w:val="0"/>
                  <w:divBdr>
                    <w:top w:val="none" w:sz="0" w:space="0" w:color="auto"/>
                    <w:left w:val="none" w:sz="0" w:space="0" w:color="auto"/>
                    <w:bottom w:val="none" w:sz="0" w:space="0" w:color="auto"/>
                    <w:right w:val="none" w:sz="0" w:space="0" w:color="auto"/>
                  </w:divBdr>
                  <w:divsChild>
                    <w:div w:id="11312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516">
      <w:bodyDiv w:val="1"/>
      <w:marLeft w:val="0"/>
      <w:marRight w:val="0"/>
      <w:marTop w:val="0"/>
      <w:marBottom w:val="0"/>
      <w:divBdr>
        <w:top w:val="none" w:sz="0" w:space="0" w:color="auto"/>
        <w:left w:val="none" w:sz="0" w:space="0" w:color="auto"/>
        <w:bottom w:val="none" w:sz="0" w:space="0" w:color="auto"/>
        <w:right w:val="none" w:sz="0" w:space="0" w:color="auto"/>
      </w:divBdr>
      <w:divsChild>
        <w:div w:id="777720193">
          <w:marLeft w:val="0"/>
          <w:marRight w:val="0"/>
          <w:marTop w:val="0"/>
          <w:marBottom w:val="0"/>
          <w:divBdr>
            <w:top w:val="none" w:sz="0" w:space="0" w:color="auto"/>
            <w:left w:val="none" w:sz="0" w:space="0" w:color="auto"/>
            <w:bottom w:val="none" w:sz="0" w:space="0" w:color="auto"/>
            <w:right w:val="none" w:sz="0" w:space="0" w:color="auto"/>
          </w:divBdr>
          <w:divsChild>
            <w:div w:id="1328822147">
              <w:marLeft w:val="0"/>
              <w:marRight w:val="0"/>
              <w:marTop w:val="0"/>
              <w:marBottom w:val="0"/>
              <w:divBdr>
                <w:top w:val="none" w:sz="0" w:space="0" w:color="auto"/>
                <w:left w:val="none" w:sz="0" w:space="0" w:color="auto"/>
                <w:bottom w:val="none" w:sz="0" w:space="0" w:color="auto"/>
                <w:right w:val="none" w:sz="0" w:space="0" w:color="auto"/>
              </w:divBdr>
              <w:divsChild>
                <w:div w:id="1367217656">
                  <w:marLeft w:val="0"/>
                  <w:marRight w:val="0"/>
                  <w:marTop w:val="0"/>
                  <w:marBottom w:val="0"/>
                  <w:divBdr>
                    <w:top w:val="none" w:sz="0" w:space="0" w:color="auto"/>
                    <w:left w:val="none" w:sz="0" w:space="0" w:color="auto"/>
                    <w:bottom w:val="none" w:sz="0" w:space="0" w:color="auto"/>
                    <w:right w:val="none" w:sz="0" w:space="0" w:color="auto"/>
                  </w:divBdr>
                  <w:divsChild>
                    <w:div w:id="1333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32229">
      <w:bodyDiv w:val="1"/>
      <w:marLeft w:val="0"/>
      <w:marRight w:val="0"/>
      <w:marTop w:val="0"/>
      <w:marBottom w:val="0"/>
      <w:divBdr>
        <w:top w:val="none" w:sz="0" w:space="0" w:color="auto"/>
        <w:left w:val="none" w:sz="0" w:space="0" w:color="auto"/>
        <w:bottom w:val="none" w:sz="0" w:space="0" w:color="auto"/>
        <w:right w:val="none" w:sz="0" w:space="0" w:color="auto"/>
      </w:divBdr>
      <w:divsChild>
        <w:div w:id="781606282">
          <w:marLeft w:val="0"/>
          <w:marRight w:val="0"/>
          <w:marTop w:val="0"/>
          <w:marBottom w:val="0"/>
          <w:divBdr>
            <w:top w:val="none" w:sz="0" w:space="0" w:color="auto"/>
            <w:left w:val="none" w:sz="0" w:space="0" w:color="auto"/>
            <w:bottom w:val="none" w:sz="0" w:space="0" w:color="auto"/>
            <w:right w:val="none" w:sz="0" w:space="0" w:color="auto"/>
          </w:divBdr>
        </w:div>
      </w:divsChild>
    </w:div>
    <w:div w:id="434057254">
      <w:bodyDiv w:val="1"/>
      <w:marLeft w:val="0"/>
      <w:marRight w:val="0"/>
      <w:marTop w:val="0"/>
      <w:marBottom w:val="0"/>
      <w:divBdr>
        <w:top w:val="none" w:sz="0" w:space="0" w:color="auto"/>
        <w:left w:val="none" w:sz="0" w:space="0" w:color="auto"/>
        <w:bottom w:val="none" w:sz="0" w:space="0" w:color="auto"/>
        <w:right w:val="none" w:sz="0" w:space="0" w:color="auto"/>
      </w:divBdr>
    </w:div>
    <w:div w:id="499664204">
      <w:bodyDiv w:val="1"/>
      <w:marLeft w:val="0"/>
      <w:marRight w:val="0"/>
      <w:marTop w:val="0"/>
      <w:marBottom w:val="0"/>
      <w:divBdr>
        <w:top w:val="none" w:sz="0" w:space="0" w:color="auto"/>
        <w:left w:val="none" w:sz="0" w:space="0" w:color="auto"/>
        <w:bottom w:val="none" w:sz="0" w:space="0" w:color="auto"/>
        <w:right w:val="none" w:sz="0" w:space="0" w:color="auto"/>
      </w:divBdr>
      <w:divsChild>
        <w:div w:id="89858394">
          <w:marLeft w:val="0"/>
          <w:marRight w:val="0"/>
          <w:marTop w:val="0"/>
          <w:marBottom w:val="0"/>
          <w:divBdr>
            <w:top w:val="none" w:sz="0" w:space="0" w:color="auto"/>
            <w:left w:val="none" w:sz="0" w:space="0" w:color="auto"/>
            <w:bottom w:val="none" w:sz="0" w:space="0" w:color="auto"/>
            <w:right w:val="none" w:sz="0" w:space="0" w:color="auto"/>
          </w:divBdr>
          <w:divsChild>
            <w:div w:id="303193585">
              <w:marLeft w:val="0"/>
              <w:marRight w:val="0"/>
              <w:marTop w:val="0"/>
              <w:marBottom w:val="0"/>
              <w:divBdr>
                <w:top w:val="none" w:sz="0" w:space="0" w:color="auto"/>
                <w:left w:val="none" w:sz="0" w:space="0" w:color="auto"/>
                <w:bottom w:val="none" w:sz="0" w:space="0" w:color="auto"/>
                <w:right w:val="none" w:sz="0" w:space="0" w:color="auto"/>
              </w:divBdr>
              <w:divsChild>
                <w:div w:id="12528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54637">
      <w:bodyDiv w:val="1"/>
      <w:marLeft w:val="0"/>
      <w:marRight w:val="0"/>
      <w:marTop w:val="0"/>
      <w:marBottom w:val="0"/>
      <w:divBdr>
        <w:top w:val="none" w:sz="0" w:space="0" w:color="auto"/>
        <w:left w:val="none" w:sz="0" w:space="0" w:color="auto"/>
        <w:bottom w:val="none" w:sz="0" w:space="0" w:color="auto"/>
        <w:right w:val="none" w:sz="0" w:space="0" w:color="auto"/>
      </w:divBdr>
      <w:divsChild>
        <w:div w:id="1182891691">
          <w:marLeft w:val="0"/>
          <w:marRight w:val="0"/>
          <w:marTop w:val="0"/>
          <w:marBottom w:val="0"/>
          <w:divBdr>
            <w:top w:val="none" w:sz="0" w:space="0" w:color="auto"/>
            <w:left w:val="none" w:sz="0" w:space="0" w:color="auto"/>
            <w:bottom w:val="none" w:sz="0" w:space="0" w:color="auto"/>
            <w:right w:val="none" w:sz="0" w:space="0" w:color="auto"/>
          </w:divBdr>
          <w:divsChild>
            <w:div w:id="195196294">
              <w:marLeft w:val="0"/>
              <w:marRight w:val="0"/>
              <w:marTop w:val="0"/>
              <w:marBottom w:val="0"/>
              <w:divBdr>
                <w:top w:val="none" w:sz="0" w:space="0" w:color="auto"/>
                <w:left w:val="none" w:sz="0" w:space="0" w:color="auto"/>
                <w:bottom w:val="none" w:sz="0" w:space="0" w:color="auto"/>
                <w:right w:val="none" w:sz="0" w:space="0" w:color="auto"/>
              </w:divBdr>
              <w:divsChild>
                <w:div w:id="8570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01703">
      <w:bodyDiv w:val="1"/>
      <w:marLeft w:val="0"/>
      <w:marRight w:val="0"/>
      <w:marTop w:val="0"/>
      <w:marBottom w:val="0"/>
      <w:divBdr>
        <w:top w:val="none" w:sz="0" w:space="0" w:color="auto"/>
        <w:left w:val="none" w:sz="0" w:space="0" w:color="auto"/>
        <w:bottom w:val="none" w:sz="0" w:space="0" w:color="auto"/>
        <w:right w:val="none" w:sz="0" w:space="0" w:color="auto"/>
      </w:divBdr>
      <w:divsChild>
        <w:div w:id="747776307">
          <w:marLeft w:val="0"/>
          <w:marRight w:val="0"/>
          <w:marTop w:val="0"/>
          <w:marBottom w:val="0"/>
          <w:divBdr>
            <w:top w:val="none" w:sz="0" w:space="0" w:color="auto"/>
            <w:left w:val="none" w:sz="0" w:space="0" w:color="auto"/>
            <w:bottom w:val="none" w:sz="0" w:space="0" w:color="auto"/>
            <w:right w:val="none" w:sz="0" w:space="0" w:color="auto"/>
          </w:divBdr>
          <w:divsChild>
            <w:div w:id="1942490384">
              <w:marLeft w:val="0"/>
              <w:marRight w:val="0"/>
              <w:marTop w:val="0"/>
              <w:marBottom w:val="0"/>
              <w:divBdr>
                <w:top w:val="none" w:sz="0" w:space="0" w:color="auto"/>
                <w:left w:val="none" w:sz="0" w:space="0" w:color="auto"/>
                <w:bottom w:val="none" w:sz="0" w:space="0" w:color="auto"/>
                <w:right w:val="none" w:sz="0" w:space="0" w:color="auto"/>
              </w:divBdr>
              <w:divsChild>
                <w:div w:id="831528344">
                  <w:marLeft w:val="0"/>
                  <w:marRight w:val="0"/>
                  <w:marTop w:val="0"/>
                  <w:marBottom w:val="0"/>
                  <w:divBdr>
                    <w:top w:val="none" w:sz="0" w:space="0" w:color="auto"/>
                    <w:left w:val="none" w:sz="0" w:space="0" w:color="auto"/>
                    <w:bottom w:val="none" w:sz="0" w:space="0" w:color="auto"/>
                    <w:right w:val="none" w:sz="0" w:space="0" w:color="auto"/>
                  </w:divBdr>
                  <w:divsChild>
                    <w:div w:id="4374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7502">
      <w:bodyDiv w:val="1"/>
      <w:marLeft w:val="0"/>
      <w:marRight w:val="0"/>
      <w:marTop w:val="0"/>
      <w:marBottom w:val="0"/>
      <w:divBdr>
        <w:top w:val="none" w:sz="0" w:space="0" w:color="auto"/>
        <w:left w:val="none" w:sz="0" w:space="0" w:color="auto"/>
        <w:bottom w:val="none" w:sz="0" w:space="0" w:color="auto"/>
        <w:right w:val="none" w:sz="0" w:space="0" w:color="auto"/>
      </w:divBdr>
      <w:divsChild>
        <w:div w:id="828401816">
          <w:marLeft w:val="0"/>
          <w:marRight w:val="0"/>
          <w:marTop w:val="0"/>
          <w:marBottom w:val="0"/>
          <w:divBdr>
            <w:top w:val="none" w:sz="0" w:space="0" w:color="auto"/>
            <w:left w:val="none" w:sz="0" w:space="0" w:color="auto"/>
            <w:bottom w:val="none" w:sz="0" w:space="0" w:color="auto"/>
            <w:right w:val="none" w:sz="0" w:space="0" w:color="auto"/>
          </w:divBdr>
          <w:divsChild>
            <w:div w:id="1711147587">
              <w:marLeft w:val="0"/>
              <w:marRight w:val="0"/>
              <w:marTop w:val="0"/>
              <w:marBottom w:val="0"/>
              <w:divBdr>
                <w:top w:val="none" w:sz="0" w:space="0" w:color="auto"/>
                <w:left w:val="none" w:sz="0" w:space="0" w:color="auto"/>
                <w:bottom w:val="none" w:sz="0" w:space="0" w:color="auto"/>
                <w:right w:val="none" w:sz="0" w:space="0" w:color="auto"/>
              </w:divBdr>
              <w:divsChild>
                <w:div w:id="6214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4989">
      <w:bodyDiv w:val="1"/>
      <w:marLeft w:val="0"/>
      <w:marRight w:val="0"/>
      <w:marTop w:val="0"/>
      <w:marBottom w:val="0"/>
      <w:divBdr>
        <w:top w:val="none" w:sz="0" w:space="0" w:color="auto"/>
        <w:left w:val="none" w:sz="0" w:space="0" w:color="auto"/>
        <w:bottom w:val="none" w:sz="0" w:space="0" w:color="auto"/>
        <w:right w:val="none" w:sz="0" w:space="0" w:color="auto"/>
      </w:divBdr>
      <w:divsChild>
        <w:div w:id="1681276387">
          <w:marLeft w:val="0"/>
          <w:marRight w:val="0"/>
          <w:marTop w:val="0"/>
          <w:marBottom w:val="0"/>
          <w:divBdr>
            <w:top w:val="none" w:sz="0" w:space="0" w:color="auto"/>
            <w:left w:val="none" w:sz="0" w:space="0" w:color="auto"/>
            <w:bottom w:val="none" w:sz="0" w:space="0" w:color="auto"/>
            <w:right w:val="none" w:sz="0" w:space="0" w:color="auto"/>
          </w:divBdr>
          <w:divsChild>
            <w:div w:id="932319349">
              <w:marLeft w:val="0"/>
              <w:marRight w:val="0"/>
              <w:marTop w:val="0"/>
              <w:marBottom w:val="0"/>
              <w:divBdr>
                <w:top w:val="none" w:sz="0" w:space="0" w:color="auto"/>
                <w:left w:val="none" w:sz="0" w:space="0" w:color="auto"/>
                <w:bottom w:val="none" w:sz="0" w:space="0" w:color="auto"/>
                <w:right w:val="none" w:sz="0" w:space="0" w:color="auto"/>
              </w:divBdr>
              <w:divsChild>
                <w:div w:id="16443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20968">
      <w:bodyDiv w:val="1"/>
      <w:marLeft w:val="0"/>
      <w:marRight w:val="0"/>
      <w:marTop w:val="0"/>
      <w:marBottom w:val="0"/>
      <w:divBdr>
        <w:top w:val="none" w:sz="0" w:space="0" w:color="auto"/>
        <w:left w:val="none" w:sz="0" w:space="0" w:color="auto"/>
        <w:bottom w:val="none" w:sz="0" w:space="0" w:color="auto"/>
        <w:right w:val="none" w:sz="0" w:space="0" w:color="auto"/>
      </w:divBdr>
      <w:divsChild>
        <w:div w:id="990183628">
          <w:marLeft w:val="0"/>
          <w:marRight w:val="0"/>
          <w:marTop w:val="0"/>
          <w:marBottom w:val="0"/>
          <w:divBdr>
            <w:top w:val="none" w:sz="0" w:space="0" w:color="auto"/>
            <w:left w:val="none" w:sz="0" w:space="0" w:color="auto"/>
            <w:bottom w:val="none" w:sz="0" w:space="0" w:color="auto"/>
            <w:right w:val="none" w:sz="0" w:space="0" w:color="auto"/>
          </w:divBdr>
          <w:divsChild>
            <w:div w:id="680351513">
              <w:marLeft w:val="0"/>
              <w:marRight w:val="0"/>
              <w:marTop w:val="0"/>
              <w:marBottom w:val="0"/>
              <w:divBdr>
                <w:top w:val="none" w:sz="0" w:space="0" w:color="auto"/>
                <w:left w:val="none" w:sz="0" w:space="0" w:color="auto"/>
                <w:bottom w:val="none" w:sz="0" w:space="0" w:color="auto"/>
                <w:right w:val="none" w:sz="0" w:space="0" w:color="auto"/>
              </w:divBdr>
              <w:divsChild>
                <w:div w:id="2077581617">
                  <w:marLeft w:val="0"/>
                  <w:marRight w:val="0"/>
                  <w:marTop w:val="0"/>
                  <w:marBottom w:val="0"/>
                  <w:divBdr>
                    <w:top w:val="none" w:sz="0" w:space="0" w:color="auto"/>
                    <w:left w:val="none" w:sz="0" w:space="0" w:color="auto"/>
                    <w:bottom w:val="none" w:sz="0" w:space="0" w:color="auto"/>
                    <w:right w:val="none" w:sz="0" w:space="0" w:color="auto"/>
                  </w:divBdr>
                </w:div>
              </w:divsChild>
            </w:div>
            <w:div w:id="1115565658">
              <w:marLeft w:val="0"/>
              <w:marRight w:val="0"/>
              <w:marTop w:val="0"/>
              <w:marBottom w:val="0"/>
              <w:divBdr>
                <w:top w:val="none" w:sz="0" w:space="0" w:color="auto"/>
                <w:left w:val="none" w:sz="0" w:space="0" w:color="auto"/>
                <w:bottom w:val="none" w:sz="0" w:space="0" w:color="auto"/>
                <w:right w:val="none" w:sz="0" w:space="0" w:color="auto"/>
              </w:divBdr>
              <w:divsChild>
                <w:div w:id="2367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005">
          <w:marLeft w:val="0"/>
          <w:marRight w:val="0"/>
          <w:marTop w:val="0"/>
          <w:marBottom w:val="0"/>
          <w:divBdr>
            <w:top w:val="none" w:sz="0" w:space="0" w:color="auto"/>
            <w:left w:val="none" w:sz="0" w:space="0" w:color="auto"/>
            <w:bottom w:val="none" w:sz="0" w:space="0" w:color="auto"/>
            <w:right w:val="none" w:sz="0" w:space="0" w:color="auto"/>
          </w:divBdr>
          <w:divsChild>
            <w:div w:id="1969118037">
              <w:marLeft w:val="0"/>
              <w:marRight w:val="0"/>
              <w:marTop w:val="0"/>
              <w:marBottom w:val="0"/>
              <w:divBdr>
                <w:top w:val="none" w:sz="0" w:space="0" w:color="auto"/>
                <w:left w:val="none" w:sz="0" w:space="0" w:color="auto"/>
                <w:bottom w:val="none" w:sz="0" w:space="0" w:color="auto"/>
                <w:right w:val="none" w:sz="0" w:space="0" w:color="auto"/>
              </w:divBdr>
              <w:divsChild>
                <w:div w:id="235170273">
                  <w:marLeft w:val="0"/>
                  <w:marRight w:val="0"/>
                  <w:marTop w:val="0"/>
                  <w:marBottom w:val="0"/>
                  <w:divBdr>
                    <w:top w:val="none" w:sz="0" w:space="0" w:color="auto"/>
                    <w:left w:val="none" w:sz="0" w:space="0" w:color="auto"/>
                    <w:bottom w:val="none" w:sz="0" w:space="0" w:color="auto"/>
                    <w:right w:val="none" w:sz="0" w:space="0" w:color="auto"/>
                  </w:divBdr>
                </w:div>
              </w:divsChild>
            </w:div>
            <w:div w:id="1916547131">
              <w:marLeft w:val="0"/>
              <w:marRight w:val="0"/>
              <w:marTop w:val="0"/>
              <w:marBottom w:val="0"/>
              <w:divBdr>
                <w:top w:val="none" w:sz="0" w:space="0" w:color="auto"/>
                <w:left w:val="none" w:sz="0" w:space="0" w:color="auto"/>
                <w:bottom w:val="none" w:sz="0" w:space="0" w:color="auto"/>
                <w:right w:val="none" w:sz="0" w:space="0" w:color="auto"/>
              </w:divBdr>
              <w:divsChild>
                <w:div w:id="1930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0709">
      <w:bodyDiv w:val="1"/>
      <w:marLeft w:val="0"/>
      <w:marRight w:val="0"/>
      <w:marTop w:val="0"/>
      <w:marBottom w:val="0"/>
      <w:divBdr>
        <w:top w:val="none" w:sz="0" w:space="0" w:color="auto"/>
        <w:left w:val="none" w:sz="0" w:space="0" w:color="auto"/>
        <w:bottom w:val="none" w:sz="0" w:space="0" w:color="auto"/>
        <w:right w:val="none" w:sz="0" w:space="0" w:color="auto"/>
      </w:divBdr>
      <w:divsChild>
        <w:div w:id="1311592733">
          <w:marLeft w:val="0"/>
          <w:marRight w:val="0"/>
          <w:marTop w:val="0"/>
          <w:marBottom w:val="0"/>
          <w:divBdr>
            <w:top w:val="none" w:sz="0" w:space="0" w:color="auto"/>
            <w:left w:val="none" w:sz="0" w:space="0" w:color="auto"/>
            <w:bottom w:val="none" w:sz="0" w:space="0" w:color="auto"/>
            <w:right w:val="none" w:sz="0" w:space="0" w:color="auto"/>
          </w:divBdr>
          <w:divsChild>
            <w:div w:id="1530994195">
              <w:marLeft w:val="0"/>
              <w:marRight w:val="0"/>
              <w:marTop w:val="0"/>
              <w:marBottom w:val="0"/>
              <w:divBdr>
                <w:top w:val="none" w:sz="0" w:space="0" w:color="auto"/>
                <w:left w:val="none" w:sz="0" w:space="0" w:color="auto"/>
                <w:bottom w:val="none" w:sz="0" w:space="0" w:color="auto"/>
                <w:right w:val="none" w:sz="0" w:space="0" w:color="auto"/>
              </w:divBdr>
              <w:divsChild>
                <w:div w:id="548953737">
                  <w:marLeft w:val="0"/>
                  <w:marRight w:val="0"/>
                  <w:marTop w:val="0"/>
                  <w:marBottom w:val="0"/>
                  <w:divBdr>
                    <w:top w:val="none" w:sz="0" w:space="0" w:color="auto"/>
                    <w:left w:val="none" w:sz="0" w:space="0" w:color="auto"/>
                    <w:bottom w:val="none" w:sz="0" w:space="0" w:color="auto"/>
                    <w:right w:val="none" w:sz="0" w:space="0" w:color="auto"/>
                  </w:divBdr>
                  <w:divsChild>
                    <w:div w:id="818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2393">
      <w:bodyDiv w:val="1"/>
      <w:marLeft w:val="0"/>
      <w:marRight w:val="0"/>
      <w:marTop w:val="0"/>
      <w:marBottom w:val="0"/>
      <w:divBdr>
        <w:top w:val="none" w:sz="0" w:space="0" w:color="auto"/>
        <w:left w:val="none" w:sz="0" w:space="0" w:color="auto"/>
        <w:bottom w:val="none" w:sz="0" w:space="0" w:color="auto"/>
        <w:right w:val="none" w:sz="0" w:space="0" w:color="auto"/>
      </w:divBdr>
      <w:divsChild>
        <w:div w:id="542324769">
          <w:marLeft w:val="0"/>
          <w:marRight w:val="0"/>
          <w:marTop w:val="0"/>
          <w:marBottom w:val="0"/>
          <w:divBdr>
            <w:top w:val="none" w:sz="0" w:space="0" w:color="auto"/>
            <w:left w:val="none" w:sz="0" w:space="0" w:color="auto"/>
            <w:bottom w:val="none" w:sz="0" w:space="0" w:color="auto"/>
            <w:right w:val="none" w:sz="0" w:space="0" w:color="auto"/>
          </w:divBdr>
          <w:divsChild>
            <w:div w:id="1555775787">
              <w:marLeft w:val="0"/>
              <w:marRight w:val="0"/>
              <w:marTop w:val="0"/>
              <w:marBottom w:val="0"/>
              <w:divBdr>
                <w:top w:val="none" w:sz="0" w:space="0" w:color="auto"/>
                <w:left w:val="none" w:sz="0" w:space="0" w:color="auto"/>
                <w:bottom w:val="none" w:sz="0" w:space="0" w:color="auto"/>
                <w:right w:val="none" w:sz="0" w:space="0" w:color="auto"/>
              </w:divBdr>
              <w:divsChild>
                <w:div w:id="61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FSWorkshop@arb.ca.gov"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2/jeq2.20052" TargetMode="External"/><Relationship Id="rId7" Type="http://schemas.openxmlformats.org/officeDocument/2006/relationships/hyperlink" Target="https://link.springer.com/article/10.1186/s43170-021-00041-y" TargetMode="External"/><Relationship Id="rId2" Type="http://schemas.openxmlformats.org/officeDocument/2006/relationships/hyperlink" Target="https://ww2.arb.ca.gov/sites/default/files/2022-01/2021.10.27%20Petition%20for%20Rulemaking%20AIR%20et%20al_.pdf" TargetMode="External"/><Relationship Id="rId1" Type="http://schemas.openxmlformats.org/officeDocument/2006/relationships/hyperlink" Target="https://doi.org/10.1017/9781009157940.004" TargetMode="External"/><Relationship Id="rId6" Type="http://schemas.openxmlformats.org/officeDocument/2006/relationships/hyperlink" Target="https://www.carbonindependent.org/54.html" TargetMode="External"/><Relationship Id="rId5" Type="http://schemas.openxmlformats.org/officeDocument/2006/relationships/hyperlink" Target="https://www.science.org/doi/10.1126/science.abn7950" TargetMode="External"/><Relationship Id="rId4" Type="http://schemas.openxmlformats.org/officeDocument/2006/relationships/hyperlink" Target="https://nap.nationalacademies.org/download/26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Chandler</dc:creator>
  <cp:keywords/>
  <dc:description/>
  <cp:lastModifiedBy>Dan Chandler</cp:lastModifiedBy>
  <cp:revision>4</cp:revision>
  <dcterms:created xsi:type="dcterms:W3CDTF">2022-12-08T04:34:00Z</dcterms:created>
  <dcterms:modified xsi:type="dcterms:W3CDTF">2022-12-15T00:21:00Z</dcterms:modified>
</cp:coreProperties>
</file>