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8CC9" w14:textId="0F8AF82A" w:rsidR="005E12B6" w:rsidRDefault="005E12B6" w:rsidP="005E12B6">
      <w:pPr>
        <w:jc w:val="right"/>
        <w:rPr>
          <w:sz w:val="28"/>
          <w:szCs w:val="28"/>
        </w:rPr>
      </w:pPr>
      <w:r w:rsidRPr="005E12B6">
        <w:rPr>
          <w:sz w:val="28"/>
          <w:szCs w:val="28"/>
        </w:rPr>
        <w:t>November 1</w:t>
      </w:r>
      <w:r w:rsidR="00742FD6">
        <w:rPr>
          <w:sz w:val="28"/>
          <w:szCs w:val="28"/>
        </w:rPr>
        <w:t>5</w:t>
      </w:r>
      <w:r w:rsidRPr="005E12B6">
        <w:rPr>
          <w:sz w:val="28"/>
          <w:szCs w:val="28"/>
        </w:rPr>
        <w:t>, 2021</w:t>
      </w:r>
    </w:p>
    <w:p w14:paraId="1FC1E51B" w14:textId="16983BC6" w:rsidR="005E12B6" w:rsidRDefault="005E12B6" w:rsidP="005E12B6">
      <w:pPr>
        <w:jc w:val="right"/>
        <w:rPr>
          <w:sz w:val="28"/>
          <w:szCs w:val="28"/>
        </w:rPr>
      </w:pPr>
    </w:p>
    <w:p w14:paraId="79BECBD7" w14:textId="0E658725" w:rsidR="004E19F3" w:rsidRDefault="004E19F3" w:rsidP="004E19F3">
      <w:pPr>
        <w:rPr>
          <w:sz w:val="28"/>
          <w:szCs w:val="28"/>
        </w:rPr>
      </w:pPr>
      <w:r w:rsidRPr="004E19F3">
        <w:rPr>
          <w:sz w:val="28"/>
          <w:szCs w:val="28"/>
        </w:rPr>
        <w:t>Clerk</w:t>
      </w:r>
      <w:r w:rsidR="00310851">
        <w:rPr>
          <w:sz w:val="28"/>
          <w:szCs w:val="28"/>
        </w:rPr>
        <w:t xml:space="preserve"> of the Board</w:t>
      </w:r>
    </w:p>
    <w:p w14:paraId="1931BB7C" w14:textId="77777777" w:rsidR="004E19F3" w:rsidRDefault="004E19F3" w:rsidP="004E19F3">
      <w:pPr>
        <w:rPr>
          <w:sz w:val="28"/>
          <w:szCs w:val="28"/>
        </w:rPr>
      </w:pPr>
      <w:r w:rsidRPr="004E19F3">
        <w:rPr>
          <w:sz w:val="28"/>
          <w:szCs w:val="28"/>
        </w:rPr>
        <w:t xml:space="preserve">California Air Resources Board </w:t>
      </w:r>
    </w:p>
    <w:p w14:paraId="20C9E484" w14:textId="77777777" w:rsidR="004E19F3" w:rsidRDefault="004E19F3" w:rsidP="004E19F3">
      <w:pPr>
        <w:rPr>
          <w:sz w:val="28"/>
          <w:szCs w:val="28"/>
        </w:rPr>
      </w:pPr>
      <w:r w:rsidRPr="004E19F3">
        <w:rPr>
          <w:sz w:val="28"/>
          <w:szCs w:val="28"/>
        </w:rPr>
        <w:t xml:space="preserve">1001 I Street, </w:t>
      </w:r>
    </w:p>
    <w:p w14:paraId="6939D286" w14:textId="7C5050B3" w:rsidR="004E19F3" w:rsidRDefault="004E19F3" w:rsidP="004E19F3">
      <w:pPr>
        <w:rPr>
          <w:sz w:val="28"/>
          <w:szCs w:val="28"/>
        </w:rPr>
      </w:pPr>
      <w:r w:rsidRPr="004E19F3">
        <w:rPr>
          <w:sz w:val="28"/>
          <w:szCs w:val="28"/>
        </w:rPr>
        <w:t>Sacramento, California 95814</w:t>
      </w:r>
    </w:p>
    <w:p w14:paraId="3034DE6F" w14:textId="77777777" w:rsidR="004E19F3" w:rsidRPr="004E19F3" w:rsidRDefault="004E19F3" w:rsidP="004E19F3">
      <w:pPr>
        <w:rPr>
          <w:sz w:val="28"/>
          <w:szCs w:val="28"/>
        </w:rPr>
      </w:pPr>
    </w:p>
    <w:p w14:paraId="6DCB382E" w14:textId="77777777" w:rsidR="00ED4274" w:rsidRDefault="005E12B6" w:rsidP="00ED4274">
      <w:pPr>
        <w:rPr>
          <w:sz w:val="28"/>
          <w:szCs w:val="28"/>
        </w:rPr>
      </w:pPr>
      <w:r>
        <w:rPr>
          <w:sz w:val="28"/>
          <w:szCs w:val="28"/>
        </w:rPr>
        <w:t xml:space="preserve">RE: Proposed Amendments to the </w:t>
      </w:r>
      <w:r w:rsidRPr="005E12B6">
        <w:rPr>
          <w:sz w:val="28"/>
          <w:szCs w:val="28"/>
        </w:rPr>
        <w:t xml:space="preserve">Commercial Harbor Craft </w:t>
      </w:r>
      <w:r>
        <w:rPr>
          <w:sz w:val="28"/>
          <w:szCs w:val="28"/>
        </w:rPr>
        <w:t>Rule</w:t>
      </w:r>
    </w:p>
    <w:p w14:paraId="655D45E6" w14:textId="1B2FA49D" w:rsidR="00ED4274" w:rsidRDefault="00ED4274" w:rsidP="00ED4274">
      <w:pPr>
        <w:rPr>
          <w:sz w:val="28"/>
          <w:szCs w:val="28"/>
        </w:rPr>
      </w:pPr>
    </w:p>
    <w:p w14:paraId="0DCAE1EC" w14:textId="70019A7E" w:rsidR="00806908" w:rsidRDefault="00806908" w:rsidP="00ED4274">
      <w:pPr>
        <w:rPr>
          <w:sz w:val="28"/>
          <w:szCs w:val="28"/>
        </w:rPr>
      </w:pPr>
      <w:r>
        <w:rPr>
          <w:sz w:val="28"/>
          <w:szCs w:val="28"/>
        </w:rPr>
        <w:t xml:space="preserve">Comments submitted electronically to: </w:t>
      </w:r>
    </w:p>
    <w:p w14:paraId="0890BB41" w14:textId="336C5A3F" w:rsidR="00806908" w:rsidRDefault="00806908" w:rsidP="00ED4274">
      <w:pPr>
        <w:rPr>
          <w:sz w:val="28"/>
          <w:szCs w:val="28"/>
        </w:rPr>
      </w:pPr>
    </w:p>
    <w:p w14:paraId="5ECEEE1D" w14:textId="77777777" w:rsidR="00806908" w:rsidRDefault="00806908" w:rsidP="00ED4274">
      <w:pPr>
        <w:rPr>
          <w:sz w:val="28"/>
          <w:szCs w:val="28"/>
        </w:rPr>
      </w:pPr>
    </w:p>
    <w:p w14:paraId="598AEC11" w14:textId="73839693" w:rsidR="004E19F3" w:rsidRDefault="004E19F3" w:rsidP="00ED4274">
      <w:pPr>
        <w:rPr>
          <w:sz w:val="28"/>
          <w:szCs w:val="28"/>
        </w:rPr>
      </w:pPr>
      <w:r>
        <w:rPr>
          <w:sz w:val="28"/>
          <w:szCs w:val="28"/>
        </w:rPr>
        <w:t>To the California Air Resources Board:</w:t>
      </w:r>
    </w:p>
    <w:p w14:paraId="1A34804A" w14:textId="77777777" w:rsidR="004E19F3" w:rsidRDefault="004E19F3" w:rsidP="00ED4274">
      <w:pPr>
        <w:rPr>
          <w:sz w:val="28"/>
          <w:szCs w:val="28"/>
        </w:rPr>
      </w:pPr>
    </w:p>
    <w:p w14:paraId="736C7596" w14:textId="6E102C4F" w:rsidR="00ED4274" w:rsidRDefault="005E12B6" w:rsidP="00ED4274">
      <w:pPr>
        <w:rPr>
          <w:rFonts w:eastAsia="Times New Roman" w:cs="Times New Roman"/>
          <w:color w:val="2D333D"/>
          <w:spacing w:val="12"/>
          <w:sz w:val="28"/>
          <w:szCs w:val="28"/>
        </w:rPr>
      </w:pPr>
      <w:r w:rsidRPr="005E12B6">
        <w:rPr>
          <w:rFonts w:eastAsia="Times New Roman" w:cs="Times New Roman"/>
          <w:color w:val="2D333D"/>
          <w:spacing w:val="12"/>
          <w:sz w:val="28"/>
          <w:szCs w:val="28"/>
        </w:rPr>
        <w:t xml:space="preserve">These comments are from the California Forestry Association and are only addressing the Commercial Harbor Craft use in Humboldt Bay. </w:t>
      </w:r>
    </w:p>
    <w:p w14:paraId="37B59897" w14:textId="6C91FFAB" w:rsidR="00ED4274" w:rsidRDefault="005E12B6" w:rsidP="005E12B6">
      <w:pPr>
        <w:rPr>
          <w:sz w:val="28"/>
          <w:szCs w:val="28"/>
        </w:rPr>
      </w:pPr>
      <w:r w:rsidRPr="005E12B6">
        <w:rPr>
          <w:rFonts w:eastAsia="Times New Roman" w:cs="Times New Roman"/>
          <w:color w:val="2D333D"/>
          <w:spacing w:val="12"/>
          <w:sz w:val="28"/>
          <w:szCs w:val="28"/>
        </w:rPr>
        <w:t xml:space="preserve"> </w:t>
      </w:r>
    </w:p>
    <w:p w14:paraId="256A78C1" w14:textId="741E58CA" w:rsidR="005E12B6" w:rsidRPr="005E12B6" w:rsidRDefault="00E47DAE" w:rsidP="005E12B6">
      <w:pPr>
        <w:rPr>
          <w:sz w:val="28"/>
          <w:szCs w:val="28"/>
        </w:rPr>
      </w:pPr>
      <w:r>
        <w:rPr>
          <w:sz w:val="28"/>
          <w:szCs w:val="28"/>
        </w:rPr>
        <w:t>Cal</w:t>
      </w:r>
      <w:r w:rsidR="0078403E">
        <w:rPr>
          <w:sz w:val="28"/>
          <w:szCs w:val="28"/>
        </w:rPr>
        <w:t>ifornia Forestry Association</w:t>
      </w:r>
      <w:r w:rsidR="005E12B6" w:rsidRPr="005E12B6">
        <w:rPr>
          <w:sz w:val="28"/>
          <w:szCs w:val="28"/>
        </w:rPr>
        <w:t xml:space="preserve"> is a trade association whose membership includes California sawmills, veneer mills, several biomass powerplants, and private industrial forest landowners</w:t>
      </w:r>
      <w:r w:rsidR="007733E2" w:rsidRPr="005E12B6">
        <w:rPr>
          <w:sz w:val="28"/>
          <w:szCs w:val="28"/>
        </w:rPr>
        <w:t xml:space="preserve">. </w:t>
      </w:r>
      <w:r w:rsidR="005E12B6" w:rsidRPr="005E12B6">
        <w:rPr>
          <w:sz w:val="28"/>
          <w:szCs w:val="28"/>
        </w:rPr>
        <w:t>Transportation of forest products, including logs and chips is a major component of California’s forestry industry.</w:t>
      </w:r>
    </w:p>
    <w:p w14:paraId="605AB915" w14:textId="77777777" w:rsidR="005E12B6" w:rsidRPr="004C2782" w:rsidRDefault="005E12B6" w:rsidP="005E12B6">
      <w:pPr>
        <w:shd w:val="clear" w:color="auto" w:fill="FFFFFF"/>
        <w:spacing w:before="100" w:beforeAutospacing="1" w:after="100" w:afterAutospacing="1"/>
        <w:outlineLvl w:val="2"/>
        <w:rPr>
          <w:rFonts w:eastAsia="Times New Roman" w:cs="Times New Roman"/>
          <w:color w:val="2D333D"/>
          <w:spacing w:val="12"/>
          <w:sz w:val="28"/>
          <w:szCs w:val="28"/>
        </w:rPr>
      </w:pPr>
      <w:r w:rsidRPr="004C2782">
        <w:rPr>
          <w:rFonts w:eastAsia="Times New Roman" w:cs="Times New Roman"/>
          <w:b/>
          <w:bCs/>
          <w:color w:val="2D333D"/>
          <w:spacing w:val="12"/>
          <w:sz w:val="28"/>
          <w:szCs w:val="28"/>
        </w:rPr>
        <w:br/>
      </w:r>
      <w:r w:rsidRPr="005E12B6">
        <w:rPr>
          <w:rFonts w:eastAsia="Times New Roman" w:cs="Times New Roman"/>
          <w:b/>
          <w:bCs/>
          <w:color w:val="2D333D"/>
          <w:spacing w:val="12"/>
          <w:sz w:val="28"/>
          <w:szCs w:val="28"/>
        </w:rPr>
        <w:t>Information from the Proposed Rule</w:t>
      </w:r>
    </w:p>
    <w:p w14:paraId="137B44A8" w14:textId="3DE48B02" w:rsidR="005E12B6" w:rsidRPr="005E12B6" w:rsidRDefault="005E12B6" w:rsidP="005E12B6">
      <w:pPr>
        <w:shd w:val="clear" w:color="auto" w:fill="FFFFFF"/>
        <w:spacing w:before="100" w:beforeAutospacing="1" w:after="100" w:afterAutospacing="1"/>
        <w:rPr>
          <w:rFonts w:eastAsia="Times New Roman" w:cs="Times New Roman"/>
          <w:color w:val="2D333D"/>
          <w:sz w:val="28"/>
          <w:szCs w:val="28"/>
        </w:rPr>
      </w:pPr>
      <w:r w:rsidRPr="005E12B6">
        <w:rPr>
          <w:rFonts w:eastAsia="Times New Roman" w:cs="Times New Roman"/>
          <w:color w:val="2D333D"/>
          <w:sz w:val="28"/>
          <w:szCs w:val="28"/>
        </w:rPr>
        <w:t xml:space="preserve">According to </w:t>
      </w:r>
      <w:r w:rsidR="0071407E">
        <w:rPr>
          <w:rFonts w:eastAsia="Times New Roman" w:cs="Times New Roman"/>
          <w:color w:val="2D333D"/>
          <w:sz w:val="28"/>
          <w:szCs w:val="28"/>
        </w:rPr>
        <w:t>the California Air Resources Board (</w:t>
      </w:r>
      <w:r w:rsidRPr="005E12B6">
        <w:rPr>
          <w:rFonts w:eastAsia="Times New Roman" w:cs="Times New Roman"/>
          <w:color w:val="2D333D"/>
          <w:sz w:val="28"/>
          <w:szCs w:val="28"/>
        </w:rPr>
        <w:t>CARB</w:t>
      </w:r>
      <w:r w:rsidR="0071407E">
        <w:rPr>
          <w:rFonts w:eastAsia="Times New Roman" w:cs="Times New Roman"/>
          <w:color w:val="2D333D"/>
          <w:sz w:val="28"/>
          <w:szCs w:val="28"/>
        </w:rPr>
        <w:t>)</w:t>
      </w:r>
      <w:r w:rsidRPr="005E12B6">
        <w:rPr>
          <w:rFonts w:eastAsia="Times New Roman" w:cs="Times New Roman"/>
          <w:color w:val="2D333D"/>
          <w:sz w:val="28"/>
          <w:szCs w:val="28"/>
        </w:rPr>
        <w:t xml:space="preserve"> a</w:t>
      </w:r>
      <w:r w:rsidRPr="004C2782">
        <w:rPr>
          <w:rFonts w:eastAsia="Times New Roman" w:cs="Times New Roman"/>
          <w:color w:val="2D333D"/>
          <w:sz w:val="28"/>
          <w:szCs w:val="28"/>
        </w:rPr>
        <w:t>s of 2021, there are 229 towing vessels statewide in three subcategories: escort/ship assist tugs, push/tow tugs, and articulated tug barges</w:t>
      </w:r>
      <w:r w:rsidR="004E19F3">
        <w:rPr>
          <w:rFonts w:eastAsia="Times New Roman" w:cs="Times New Roman"/>
          <w:color w:val="2D333D"/>
          <w:sz w:val="28"/>
          <w:szCs w:val="28"/>
        </w:rPr>
        <w:t>.</w:t>
      </w:r>
      <w:r w:rsidRPr="004C2782">
        <w:rPr>
          <w:rFonts w:eastAsia="Times New Roman" w:cs="Times New Roman"/>
          <w:color w:val="2D333D"/>
          <w:sz w:val="28"/>
          <w:szCs w:val="28"/>
        </w:rPr>
        <w:t xml:space="preserve"> </w:t>
      </w:r>
      <w:r w:rsidRPr="005E12B6">
        <w:rPr>
          <w:rFonts w:eastAsia="Times New Roman" w:cs="Times New Roman"/>
          <w:color w:val="2D333D"/>
          <w:sz w:val="28"/>
          <w:szCs w:val="28"/>
        </w:rPr>
        <w:t xml:space="preserve">There are 2 </w:t>
      </w:r>
      <w:r w:rsidR="007733E2">
        <w:rPr>
          <w:rFonts w:eastAsia="Times New Roman" w:cs="Times New Roman"/>
          <w:color w:val="2D333D"/>
          <w:sz w:val="28"/>
          <w:szCs w:val="28"/>
        </w:rPr>
        <w:t>inventoried t</w:t>
      </w:r>
      <w:r w:rsidR="003B4857">
        <w:rPr>
          <w:rFonts w:eastAsia="Times New Roman" w:cs="Times New Roman"/>
          <w:color w:val="2D333D"/>
          <w:sz w:val="28"/>
          <w:szCs w:val="28"/>
        </w:rPr>
        <w:t>owing vessels</w:t>
      </w:r>
      <w:r w:rsidR="007733E2">
        <w:rPr>
          <w:rFonts w:eastAsia="Times New Roman" w:cs="Times New Roman"/>
          <w:color w:val="2D333D"/>
          <w:sz w:val="28"/>
          <w:szCs w:val="28"/>
        </w:rPr>
        <w:t xml:space="preserve"> </w:t>
      </w:r>
      <w:r w:rsidRPr="005E12B6">
        <w:rPr>
          <w:rFonts w:eastAsia="Times New Roman" w:cs="Times New Roman"/>
          <w:color w:val="2D333D"/>
          <w:sz w:val="28"/>
          <w:szCs w:val="28"/>
        </w:rPr>
        <w:t>at Humboldt Bay.</w:t>
      </w:r>
    </w:p>
    <w:p w14:paraId="7B05A0CB" w14:textId="733C8586" w:rsidR="005E12B6" w:rsidRDefault="005E12B6" w:rsidP="005E12B6">
      <w:pPr>
        <w:shd w:val="clear" w:color="auto" w:fill="FFFFFF"/>
        <w:spacing w:before="100" w:beforeAutospacing="1" w:after="100" w:afterAutospacing="1"/>
        <w:rPr>
          <w:sz w:val="28"/>
          <w:szCs w:val="28"/>
        </w:rPr>
      </w:pPr>
      <w:r w:rsidRPr="005E12B6">
        <w:rPr>
          <w:rFonts w:eastAsia="Times New Roman" w:cs="Times New Roman"/>
          <w:color w:val="2D333D"/>
          <w:sz w:val="28"/>
          <w:szCs w:val="28"/>
        </w:rPr>
        <w:t xml:space="preserve">The Air Resources Board (ARB) states </w:t>
      </w:r>
      <w:r w:rsidRPr="005E12B6">
        <w:rPr>
          <w:sz w:val="28"/>
          <w:szCs w:val="28"/>
        </w:rPr>
        <w:t>the regulation is necessary to reduce emissions of diesel PM and NOx that cause adverse health effects for Californians</w:t>
      </w:r>
      <w:r w:rsidR="007733E2" w:rsidRPr="005E12B6">
        <w:rPr>
          <w:sz w:val="28"/>
          <w:szCs w:val="28"/>
        </w:rPr>
        <w:t xml:space="preserve">. </w:t>
      </w:r>
      <w:r w:rsidRPr="005E12B6">
        <w:rPr>
          <w:sz w:val="28"/>
          <w:szCs w:val="28"/>
        </w:rPr>
        <w:t>The ARB</w:t>
      </w:r>
      <w:r w:rsidRPr="005E12B6">
        <w:rPr>
          <w:rFonts w:eastAsiaTheme="minorHAnsi"/>
          <w:sz w:val="28"/>
          <w:szCs w:val="28"/>
        </w:rPr>
        <w:t xml:space="preserve"> </w:t>
      </w:r>
      <w:r w:rsidRPr="005E12B6">
        <w:rPr>
          <w:sz w:val="28"/>
          <w:szCs w:val="28"/>
        </w:rPr>
        <w:t xml:space="preserve">exposure study was done at the </w:t>
      </w:r>
      <w:r w:rsidR="007E7F7A">
        <w:rPr>
          <w:sz w:val="28"/>
          <w:szCs w:val="28"/>
        </w:rPr>
        <w:t>P</w:t>
      </w:r>
      <w:r w:rsidRPr="005E12B6">
        <w:rPr>
          <w:sz w:val="28"/>
          <w:szCs w:val="28"/>
        </w:rPr>
        <w:t xml:space="preserve">orts of Los </w:t>
      </w:r>
      <w:r w:rsidRPr="005E12B6">
        <w:rPr>
          <w:sz w:val="28"/>
          <w:szCs w:val="28"/>
        </w:rPr>
        <w:lastRenderedPageBreak/>
        <w:t>Angeles and Long Beach and found harbor craft to be the third highest source of diesel PM emissions contributing to the cancer risk from port activity.</w:t>
      </w:r>
    </w:p>
    <w:p w14:paraId="6F89B807" w14:textId="11D1A0EF" w:rsidR="0071407E" w:rsidRDefault="0071407E" w:rsidP="005E12B6">
      <w:pPr>
        <w:shd w:val="clear" w:color="auto" w:fill="FFFFFF"/>
        <w:spacing w:before="100" w:beforeAutospacing="1" w:after="100" w:afterAutospacing="1"/>
        <w:rPr>
          <w:sz w:val="28"/>
          <w:szCs w:val="28"/>
        </w:rPr>
      </w:pPr>
      <w:r>
        <w:rPr>
          <w:sz w:val="28"/>
          <w:szCs w:val="28"/>
        </w:rPr>
        <w:t xml:space="preserve">CARB used </w:t>
      </w:r>
      <w:r w:rsidRPr="0071407E">
        <w:rPr>
          <w:sz w:val="28"/>
          <w:szCs w:val="28"/>
        </w:rPr>
        <w:t>Port Emissions Inventor</w:t>
      </w:r>
      <w:r w:rsidR="007E7F7A">
        <w:rPr>
          <w:sz w:val="28"/>
          <w:szCs w:val="28"/>
        </w:rPr>
        <w:t>y</w:t>
      </w:r>
      <w:r w:rsidRPr="0071407E">
        <w:rPr>
          <w:sz w:val="28"/>
          <w:szCs w:val="28"/>
        </w:rPr>
        <w:t xml:space="preserve"> Data</w:t>
      </w:r>
      <w:r>
        <w:rPr>
          <w:sz w:val="28"/>
          <w:szCs w:val="28"/>
        </w:rPr>
        <w:t xml:space="preserve"> from</w:t>
      </w:r>
      <w:r w:rsidRPr="0071407E">
        <w:rPr>
          <w:sz w:val="28"/>
          <w:szCs w:val="28"/>
        </w:rPr>
        <w:t xml:space="preserve"> Port of Los Angeles, Port of Long Beach, </w:t>
      </w:r>
      <w:r>
        <w:rPr>
          <w:sz w:val="28"/>
          <w:szCs w:val="28"/>
        </w:rPr>
        <w:t xml:space="preserve">and </w:t>
      </w:r>
      <w:r w:rsidRPr="0071407E">
        <w:rPr>
          <w:sz w:val="28"/>
          <w:szCs w:val="28"/>
        </w:rPr>
        <w:t>Port of Oakland</w:t>
      </w:r>
      <w:r>
        <w:rPr>
          <w:sz w:val="28"/>
          <w:szCs w:val="28"/>
        </w:rPr>
        <w:t>.</w:t>
      </w:r>
      <w:r w:rsidRPr="0071407E">
        <w:rPr>
          <w:sz w:val="28"/>
          <w:szCs w:val="28"/>
        </w:rPr>
        <w:t xml:space="preserve"> </w:t>
      </w:r>
    </w:p>
    <w:p w14:paraId="19BF8FA2" w14:textId="5FA758EF" w:rsidR="0071407E" w:rsidRDefault="0071407E" w:rsidP="005E12B6">
      <w:pPr>
        <w:shd w:val="clear" w:color="auto" w:fill="FFFFFF"/>
        <w:spacing w:before="100" w:beforeAutospacing="1" w:after="100" w:afterAutospacing="1"/>
        <w:rPr>
          <w:sz w:val="28"/>
          <w:szCs w:val="28"/>
        </w:rPr>
      </w:pPr>
      <w:r w:rsidRPr="0071407E">
        <w:rPr>
          <w:sz w:val="28"/>
          <w:szCs w:val="28"/>
        </w:rPr>
        <w:t xml:space="preserve">CARB </w:t>
      </w:r>
      <w:r>
        <w:rPr>
          <w:sz w:val="28"/>
          <w:szCs w:val="28"/>
        </w:rPr>
        <w:t xml:space="preserve"> has </w:t>
      </w:r>
      <w:r w:rsidRPr="0071407E">
        <w:rPr>
          <w:sz w:val="28"/>
          <w:szCs w:val="28"/>
        </w:rPr>
        <w:t>reporting data</w:t>
      </w:r>
      <w:r>
        <w:rPr>
          <w:sz w:val="28"/>
          <w:szCs w:val="28"/>
        </w:rPr>
        <w:t xml:space="preserve"> from</w:t>
      </w:r>
      <w:r w:rsidRPr="0071407E">
        <w:rPr>
          <w:sz w:val="28"/>
          <w:szCs w:val="28"/>
        </w:rPr>
        <w:t xml:space="preserve"> </w:t>
      </w:r>
      <w:r>
        <w:rPr>
          <w:sz w:val="28"/>
          <w:szCs w:val="28"/>
        </w:rPr>
        <w:t xml:space="preserve">the </w:t>
      </w:r>
      <w:r w:rsidRPr="0071407E">
        <w:rPr>
          <w:sz w:val="28"/>
          <w:szCs w:val="28"/>
        </w:rPr>
        <w:t xml:space="preserve">Bay Area Bulk Terminal, Concord Naval Weapons Station, LA Berth 240, Port of Hueneme, Port of Redwood City, Port of Richmond, Port of Sacramento, Port of San Diego, Port of San Francisco, </w:t>
      </w:r>
      <w:r>
        <w:rPr>
          <w:sz w:val="28"/>
          <w:szCs w:val="28"/>
        </w:rPr>
        <w:t xml:space="preserve">and </w:t>
      </w:r>
      <w:r w:rsidRPr="0071407E">
        <w:rPr>
          <w:sz w:val="28"/>
          <w:szCs w:val="28"/>
        </w:rPr>
        <w:t>Port of Stockton</w:t>
      </w:r>
      <w:r w:rsidR="007733E2">
        <w:rPr>
          <w:sz w:val="28"/>
          <w:szCs w:val="28"/>
        </w:rPr>
        <w:t xml:space="preserve">. </w:t>
      </w:r>
    </w:p>
    <w:p w14:paraId="38141201" w14:textId="373566DA" w:rsidR="0071407E" w:rsidRPr="0071407E" w:rsidRDefault="0071407E" w:rsidP="005E12B6">
      <w:pPr>
        <w:shd w:val="clear" w:color="auto" w:fill="FFFFFF"/>
        <w:spacing w:before="100" w:beforeAutospacing="1" w:after="100" w:afterAutospacing="1"/>
        <w:rPr>
          <w:rFonts w:eastAsia="Times New Roman" w:cs="Times New Roman"/>
          <w:color w:val="2D333D"/>
          <w:sz w:val="28"/>
          <w:szCs w:val="28"/>
        </w:rPr>
      </w:pPr>
      <w:r>
        <w:rPr>
          <w:sz w:val="28"/>
          <w:szCs w:val="28"/>
        </w:rPr>
        <w:t>Note, CARB is not using data from the Port of Humboldt Bay.</w:t>
      </w:r>
    </w:p>
    <w:p w14:paraId="420D14AF" w14:textId="77777777" w:rsidR="007E7F7A" w:rsidRDefault="007E7F7A" w:rsidP="005E12B6">
      <w:pPr>
        <w:shd w:val="clear" w:color="auto" w:fill="FFFFFF"/>
        <w:spacing w:before="100" w:beforeAutospacing="1" w:after="100" w:afterAutospacing="1"/>
        <w:rPr>
          <w:rFonts w:eastAsia="Times New Roman" w:cs="Times New Roman"/>
          <w:b/>
          <w:bCs/>
          <w:color w:val="2D333D"/>
          <w:sz w:val="28"/>
          <w:szCs w:val="28"/>
        </w:rPr>
      </w:pPr>
      <w:r>
        <w:rPr>
          <w:rFonts w:eastAsia="Times New Roman" w:cs="Times New Roman"/>
          <w:b/>
          <w:bCs/>
          <w:color w:val="2D333D"/>
          <w:sz w:val="28"/>
          <w:szCs w:val="28"/>
        </w:rPr>
        <w:t>Proposed Rule Amendment Requirements</w:t>
      </w:r>
    </w:p>
    <w:p w14:paraId="07F3F72B" w14:textId="07F0F5A9" w:rsidR="005E12B6" w:rsidRPr="004C2782" w:rsidRDefault="005E12B6" w:rsidP="005E12B6">
      <w:pPr>
        <w:shd w:val="clear" w:color="auto" w:fill="FFFFFF"/>
        <w:spacing w:before="100" w:beforeAutospacing="1" w:after="100" w:afterAutospacing="1"/>
        <w:rPr>
          <w:rFonts w:eastAsia="Times New Roman" w:cs="Times New Roman"/>
          <w:color w:val="2D333D"/>
          <w:sz w:val="28"/>
          <w:szCs w:val="28"/>
        </w:rPr>
      </w:pPr>
      <w:r w:rsidRPr="004C2782">
        <w:rPr>
          <w:rFonts w:eastAsia="Times New Roman" w:cs="Times New Roman"/>
          <w:color w:val="2D333D"/>
          <w:sz w:val="28"/>
          <w:szCs w:val="28"/>
        </w:rPr>
        <w:t>Under the Proposed Amendments, towing vessels operating in Regulated California Waters would be subject to</w:t>
      </w:r>
      <w:r w:rsidRPr="005E12B6">
        <w:rPr>
          <w:rFonts w:eastAsia="Times New Roman" w:cs="Times New Roman"/>
          <w:color w:val="2D333D"/>
          <w:sz w:val="28"/>
          <w:szCs w:val="28"/>
        </w:rPr>
        <w:t>:</w:t>
      </w:r>
    </w:p>
    <w:p w14:paraId="355DD323" w14:textId="77777777" w:rsidR="005E12B6" w:rsidRPr="004C2782" w:rsidRDefault="005E12B6" w:rsidP="005E12B6">
      <w:pPr>
        <w:numPr>
          <w:ilvl w:val="1"/>
          <w:numId w:val="21"/>
        </w:numPr>
        <w:shd w:val="clear" w:color="auto" w:fill="FFFFFF"/>
        <w:tabs>
          <w:tab w:val="clear" w:pos="1440"/>
        </w:tabs>
        <w:spacing w:before="100" w:beforeAutospacing="1" w:after="100" w:afterAutospacing="1"/>
        <w:ind w:left="720"/>
        <w:rPr>
          <w:rFonts w:eastAsia="Times New Roman" w:cs="Times New Roman"/>
          <w:color w:val="2D333D"/>
          <w:sz w:val="28"/>
          <w:szCs w:val="28"/>
        </w:rPr>
      </w:pPr>
      <w:r w:rsidRPr="004C2782">
        <w:rPr>
          <w:rFonts w:eastAsia="Times New Roman" w:cs="Times New Roman"/>
          <w:color w:val="2D333D"/>
          <w:sz w:val="28"/>
          <w:szCs w:val="28"/>
        </w:rPr>
        <w:t>use of Tier 4 engines equipped with diesel particulate filters (DPF).</w:t>
      </w:r>
    </w:p>
    <w:p w14:paraId="6B79A720" w14:textId="77777777" w:rsidR="005E12B6" w:rsidRPr="004C2782" w:rsidRDefault="005E12B6" w:rsidP="005E12B6">
      <w:pPr>
        <w:numPr>
          <w:ilvl w:val="1"/>
          <w:numId w:val="21"/>
        </w:numPr>
        <w:shd w:val="clear" w:color="auto" w:fill="FFFFFF"/>
        <w:tabs>
          <w:tab w:val="clear" w:pos="1440"/>
        </w:tabs>
        <w:spacing w:before="100" w:beforeAutospacing="1" w:after="100" w:afterAutospacing="1"/>
        <w:ind w:left="720"/>
        <w:rPr>
          <w:rFonts w:eastAsia="Times New Roman" w:cs="Times New Roman"/>
          <w:color w:val="2D333D"/>
          <w:sz w:val="28"/>
          <w:szCs w:val="28"/>
        </w:rPr>
      </w:pPr>
      <w:r w:rsidRPr="004C2782">
        <w:rPr>
          <w:rFonts w:eastAsia="Times New Roman" w:cs="Times New Roman"/>
          <w:color w:val="2D333D"/>
          <w:sz w:val="28"/>
          <w:szCs w:val="28"/>
        </w:rPr>
        <w:t>if engines are rated below 600 kilowatts (kW) and Tier 4 engines are not available in required power subcategories, Tier 3 engines equipped with DPFs.</w:t>
      </w:r>
    </w:p>
    <w:p w14:paraId="350D666B" w14:textId="7DA35B75" w:rsidR="005E12B6" w:rsidRPr="004C2782" w:rsidRDefault="005E12B6" w:rsidP="005E12B6">
      <w:pPr>
        <w:shd w:val="clear" w:color="auto" w:fill="FFFFFF"/>
        <w:spacing w:after="165"/>
        <w:rPr>
          <w:rFonts w:eastAsia="Times New Roman" w:cs="Times New Roman"/>
          <w:color w:val="2D333D"/>
          <w:sz w:val="28"/>
          <w:szCs w:val="28"/>
        </w:rPr>
      </w:pPr>
      <w:r w:rsidRPr="005E12B6">
        <w:rPr>
          <w:rFonts w:eastAsia="Times New Roman" w:cs="Times New Roman"/>
          <w:b/>
          <w:bCs/>
          <w:color w:val="2D333D"/>
          <w:sz w:val="28"/>
          <w:szCs w:val="28"/>
        </w:rPr>
        <w:t xml:space="preserve">Excerpts from Proposed </w:t>
      </w:r>
      <w:r w:rsidR="007733E2">
        <w:rPr>
          <w:rFonts w:eastAsia="Times New Roman" w:cs="Times New Roman"/>
          <w:b/>
          <w:bCs/>
          <w:color w:val="2D333D"/>
          <w:sz w:val="28"/>
          <w:szCs w:val="28"/>
        </w:rPr>
        <w:t xml:space="preserve">Rule </w:t>
      </w:r>
      <w:r w:rsidRPr="004C2782">
        <w:rPr>
          <w:rFonts w:eastAsia="Times New Roman" w:cs="Times New Roman"/>
          <w:b/>
          <w:bCs/>
          <w:color w:val="2D333D"/>
          <w:sz w:val="28"/>
          <w:szCs w:val="28"/>
        </w:rPr>
        <w:t>Compliance Exceptions and Extensions</w:t>
      </w:r>
    </w:p>
    <w:p w14:paraId="5E1EF102" w14:textId="77777777" w:rsidR="005E12B6" w:rsidRPr="004C2782" w:rsidRDefault="005E12B6" w:rsidP="005E12B6">
      <w:pPr>
        <w:numPr>
          <w:ilvl w:val="0"/>
          <w:numId w:val="20"/>
        </w:numPr>
        <w:shd w:val="clear" w:color="auto" w:fill="FFFFFF"/>
        <w:spacing w:before="100" w:beforeAutospacing="1" w:after="100" w:afterAutospacing="1"/>
        <w:rPr>
          <w:rFonts w:eastAsia="Times New Roman" w:cs="Times New Roman"/>
          <w:color w:val="2D333D"/>
          <w:sz w:val="28"/>
          <w:szCs w:val="28"/>
        </w:rPr>
      </w:pPr>
      <w:r w:rsidRPr="004C2782">
        <w:rPr>
          <w:rFonts w:eastAsia="Times New Roman" w:cs="Times New Roman"/>
          <w:color w:val="2D333D"/>
          <w:sz w:val="28"/>
          <w:szCs w:val="28"/>
        </w:rPr>
        <w:t>With full compliance extensions, compliance dates for towing vessels would phase in between </w:t>
      </w:r>
      <w:r w:rsidRPr="004C2782">
        <w:rPr>
          <w:rFonts w:eastAsia="Times New Roman" w:cs="Times New Roman"/>
          <w:b/>
          <w:bCs/>
          <w:color w:val="2D333D"/>
          <w:sz w:val="28"/>
          <w:szCs w:val="28"/>
        </w:rPr>
        <w:t>2029 and 2034</w:t>
      </w:r>
      <w:r w:rsidRPr="004C2782">
        <w:rPr>
          <w:rFonts w:eastAsia="Times New Roman" w:cs="Times New Roman"/>
          <w:color w:val="2D333D"/>
          <w:sz w:val="28"/>
          <w:szCs w:val="28"/>
        </w:rPr>
        <w:t>.</w:t>
      </w:r>
    </w:p>
    <w:p w14:paraId="6410C745" w14:textId="3FC9E836" w:rsidR="005E12B6" w:rsidRPr="004C2782" w:rsidRDefault="005E12B6" w:rsidP="005E12B6">
      <w:pPr>
        <w:numPr>
          <w:ilvl w:val="0"/>
          <w:numId w:val="20"/>
        </w:numPr>
        <w:shd w:val="clear" w:color="auto" w:fill="FFFFFF"/>
        <w:spacing w:before="100" w:beforeAutospacing="1" w:after="100" w:afterAutospacing="1"/>
        <w:rPr>
          <w:rFonts w:eastAsia="Times New Roman" w:cs="Times New Roman"/>
          <w:color w:val="2D333D"/>
          <w:sz w:val="28"/>
          <w:szCs w:val="28"/>
        </w:rPr>
      </w:pPr>
      <w:r w:rsidRPr="004C2782">
        <w:rPr>
          <w:rFonts w:eastAsia="Times New Roman" w:cs="Times New Roman"/>
          <w:color w:val="2D333D"/>
          <w:sz w:val="28"/>
          <w:szCs w:val="28"/>
        </w:rPr>
        <w:t>Vessels operating under low-hour use thresholds</w:t>
      </w:r>
      <w:r w:rsidRPr="005E12B6">
        <w:rPr>
          <w:rFonts w:eastAsia="Times New Roman" w:cs="Times New Roman"/>
          <w:color w:val="2D333D"/>
          <w:sz w:val="28"/>
          <w:szCs w:val="28"/>
        </w:rPr>
        <w:t xml:space="preserve"> (</w:t>
      </w:r>
      <w:r w:rsidR="007733E2" w:rsidRPr="005E12B6">
        <w:rPr>
          <w:rFonts w:eastAsia="Times New Roman" w:cs="Times New Roman"/>
          <w:color w:val="2D333D"/>
          <w:sz w:val="28"/>
          <w:szCs w:val="28"/>
        </w:rPr>
        <w:t>80</w:t>
      </w:r>
      <w:r w:rsidRPr="005E12B6">
        <w:rPr>
          <w:rFonts w:eastAsia="Times New Roman" w:cs="Times New Roman"/>
          <w:color w:val="2D333D"/>
          <w:sz w:val="28"/>
          <w:szCs w:val="28"/>
        </w:rPr>
        <w:t xml:space="preserve"> hours annually for a dredge, and 300 hours annually for all other commercial harbor craft)</w:t>
      </w:r>
      <w:r w:rsidRPr="004C2782">
        <w:rPr>
          <w:rFonts w:eastAsia="Times New Roman" w:cs="Times New Roman"/>
          <w:color w:val="2D333D"/>
          <w:sz w:val="28"/>
          <w:szCs w:val="28"/>
        </w:rPr>
        <w:t xml:space="preserve"> within 24 nautical miles of the coast do not have to repower or retrofit their vessels.</w:t>
      </w:r>
    </w:p>
    <w:p w14:paraId="7C0B2096" w14:textId="7EF88C3D" w:rsidR="0071407E" w:rsidRDefault="005E12B6" w:rsidP="0071407E">
      <w:pPr>
        <w:numPr>
          <w:ilvl w:val="0"/>
          <w:numId w:val="20"/>
        </w:numPr>
        <w:shd w:val="clear" w:color="auto" w:fill="FFFFFF"/>
        <w:spacing w:before="100" w:beforeAutospacing="1" w:after="100" w:afterAutospacing="1"/>
        <w:rPr>
          <w:rFonts w:eastAsia="Times New Roman" w:cs="Times New Roman"/>
          <w:color w:val="2D333D"/>
          <w:sz w:val="28"/>
          <w:szCs w:val="28"/>
        </w:rPr>
      </w:pPr>
      <w:r w:rsidRPr="004C2782">
        <w:rPr>
          <w:rFonts w:eastAsia="Times New Roman" w:cs="Times New Roman"/>
          <w:color w:val="2D333D"/>
          <w:sz w:val="28"/>
          <w:szCs w:val="28"/>
        </w:rPr>
        <w:lastRenderedPageBreak/>
        <w:t>If compliance requires vessel replacement, towing vessel owners can receive up to six years of compliance extensions or 2034, whichever is earlier, if they can demonstrate financial difficulty</w:t>
      </w:r>
      <w:r w:rsidR="0071407E">
        <w:rPr>
          <w:rFonts w:eastAsia="Times New Roman" w:cs="Times New Roman"/>
          <w:color w:val="2D333D"/>
          <w:sz w:val="28"/>
          <w:szCs w:val="28"/>
        </w:rPr>
        <w:t>.</w:t>
      </w:r>
    </w:p>
    <w:p w14:paraId="6B979218" w14:textId="77777777" w:rsidR="003B4857" w:rsidRDefault="003B4857" w:rsidP="007733E2">
      <w:pPr>
        <w:shd w:val="clear" w:color="auto" w:fill="FFFFFF"/>
        <w:spacing w:before="100" w:beforeAutospacing="1" w:after="100" w:afterAutospacing="1"/>
        <w:rPr>
          <w:rFonts w:eastAsia="Times New Roman" w:cs="Times New Roman"/>
          <w:b/>
          <w:bCs/>
          <w:color w:val="2D333D"/>
          <w:sz w:val="28"/>
          <w:szCs w:val="28"/>
        </w:rPr>
      </w:pPr>
    </w:p>
    <w:p w14:paraId="2029005D" w14:textId="03B5AC17" w:rsidR="007733E2" w:rsidRPr="007733E2" w:rsidRDefault="007733E2" w:rsidP="007733E2">
      <w:pPr>
        <w:shd w:val="clear" w:color="auto" w:fill="FFFFFF"/>
        <w:spacing w:before="100" w:beforeAutospacing="1" w:after="100" w:afterAutospacing="1"/>
        <w:rPr>
          <w:rFonts w:eastAsia="Times New Roman" w:cs="Times New Roman"/>
          <w:b/>
          <w:bCs/>
          <w:color w:val="2D333D"/>
          <w:sz w:val="28"/>
          <w:szCs w:val="28"/>
        </w:rPr>
      </w:pPr>
      <w:r>
        <w:rPr>
          <w:rFonts w:eastAsia="Times New Roman" w:cs="Times New Roman"/>
          <w:b/>
          <w:bCs/>
          <w:color w:val="2D333D"/>
          <w:sz w:val="28"/>
          <w:szCs w:val="28"/>
        </w:rPr>
        <w:t>The Proposed Rule Schedule</w:t>
      </w:r>
    </w:p>
    <w:p w14:paraId="5529B5C0" w14:textId="7C72B855" w:rsidR="0071407E" w:rsidRPr="00E47DAE" w:rsidRDefault="0071407E" w:rsidP="0071407E">
      <w:pPr>
        <w:shd w:val="clear" w:color="auto" w:fill="FFFFFF"/>
        <w:spacing w:before="100" w:beforeAutospacing="1" w:after="100" w:afterAutospacing="1"/>
        <w:rPr>
          <w:rFonts w:eastAsia="Times New Roman"/>
          <w:color w:val="2D333D"/>
          <w:sz w:val="28"/>
          <w:szCs w:val="28"/>
        </w:rPr>
      </w:pPr>
      <w:r w:rsidRPr="0071407E">
        <w:rPr>
          <w:rFonts w:eastAsia="Times New Roman"/>
          <w:color w:val="2D333D"/>
          <w:sz w:val="28"/>
          <w:szCs w:val="28"/>
        </w:rPr>
        <w:t xml:space="preserve">The Proposed Amendments are scheduled for initial Board consideration </w:t>
      </w:r>
      <w:r w:rsidR="007733E2">
        <w:rPr>
          <w:rFonts w:eastAsia="Times New Roman"/>
          <w:color w:val="2D333D"/>
          <w:sz w:val="28"/>
          <w:szCs w:val="28"/>
        </w:rPr>
        <w:t xml:space="preserve">December 9, </w:t>
      </w:r>
      <w:r w:rsidRPr="0071407E">
        <w:rPr>
          <w:rFonts w:eastAsia="Times New Roman"/>
          <w:color w:val="2D333D"/>
          <w:sz w:val="28"/>
          <w:szCs w:val="28"/>
        </w:rPr>
        <w:t>2021, final consideration in early 2022, and would take effect beginning in 2023.</w:t>
      </w:r>
    </w:p>
    <w:p w14:paraId="54095FF7" w14:textId="77777777" w:rsidR="005E12B6" w:rsidRPr="005E12B6" w:rsidRDefault="005E12B6" w:rsidP="005E12B6">
      <w:pPr>
        <w:shd w:val="clear" w:color="auto" w:fill="FFFFFF"/>
        <w:spacing w:before="100" w:beforeAutospacing="1" w:after="100" w:afterAutospacing="1"/>
        <w:rPr>
          <w:rFonts w:eastAsia="Times New Roman" w:cs="Times New Roman"/>
          <w:b/>
          <w:bCs/>
          <w:color w:val="2D333D"/>
          <w:sz w:val="28"/>
          <w:szCs w:val="28"/>
        </w:rPr>
      </w:pPr>
      <w:r w:rsidRPr="005E12B6">
        <w:rPr>
          <w:rFonts w:eastAsia="Times New Roman" w:cs="Times New Roman"/>
          <w:b/>
          <w:bCs/>
          <w:color w:val="2D333D"/>
          <w:sz w:val="28"/>
          <w:szCs w:val="28"/>
        </w:rPr>
        <w:t>Situation at Humboldt Bay</w:t>
      </w:r>
    </w:p>
    <w:p w14:paraId="06B36AC3" w14:textId="4CF7DA0E" w:rsidR="005E12B6" w:rsidRPr="005E12B6" w:rsidRDefault="005E12B6" w:rsidP="005E12B6">
      <w:pPr>
        <w:shd w:val="clear" w:color="auto" w:fill="FFFFFF"/>
        <w:spacing w:after="165"/>
        <w:rPr>
          <w:rFonts w:eastAsia="Times New Roman" w:cs="Times New Roman"/>
          <w:color w:val="2D333D"/>
          <w:sz w:val="28"/>
          <w:szCs w:val="28"/>
        </w:rPr>
      </w:pPr>
      <w:r w:rsidRPr="005E12B6">
        <w:rPr>
          <w:rFonts w:eastAsia="Times New Roman" w:cs="Times New Roman"/>
          <w:color w:val="2D333D"/>
          <w:sz w:val="28"/>
          <w:szCs w:val="28"/>
        </w:rPr>
        <w:t>According to the</w:t>
      </w:r>
      <w:r w:rsidR="007733E2">
        <w:rPr>
          <w:rFonts w:eastAsia="Times New Roman" w:cs="Times New Roman"/>
          <w:color w:val="2D333D"/>
          <w:sz w:val="28"/>
          <w:szCs w:val="28"/>
        </w:rPr>
        <w:t xml:space="preserve"> C</w:t>
      </w:r>
      <w:r w:rsidRPr="005E12B6">
        <w:rPr>
          <w:rFonts w:eastAsia="Times New Roman" w:cs="Times New Roman"/>
          <w:color w:val="2D333D"/>
          <w:sz w:val="28"/>
          <w:szCs w:val="28"/>
        </w:rPr>
        <w:t>ARB fact sheet, there are 2 towing vessels on the North Coast; there are 6 commercial sportfishing vessels on the North Coast.</w:t>
      </w:r>
    </w:p>
    <w:p w14:paraId="70EEBF3D" w14:textId="77777777" w:rsidR="006504EB" w:rsidRDefault="005E12B6" w:rsidP="005E12B6">
      <w:pPr>
        <w:shd w:val="clear" w:color="auto" w:fill="FFFFFF"/>
        <w:spacing w:after="165"/>
        <w:rPr>
          <w:rFonts w:eastAsia="Times New Roman" w:cs="Times New Roman"/>
          <w:noProof/>
          <w:color w:val="2D333D"/>
          <w:sz w:val="28"/>
          <w:szCs w:val="28"/>
        </w:rPr>
      </w:pPr>
      <w:r w:rsidRPr="005E12B6">
        <w:rPr>
          <w:rFonts w:eastAsia="Times New Roman" w:cs="Times New Roman"/>
          <w:noProof/>
          <w:color w:val="2D333D"/>
          <w:sz w:val="28"/>
          <w:szCs w:val="28"/>
        </w:rPr>
        <w:t xml:space="preserve">Air Quality is in </w:t>
      </w:r>
      <w:r w:rsidRPr="005E12B6">
        <w:rPr>
          <w:rFonts w:eastAsia="Times New Roman" w:cs="Times New Roman"/>
          <w:b/>
          <w:bCs/>
          <w:noProof/>
          <w:color w:val="2D333D"/>
          <w:sz w:val="28"/>
          <w:szCs w:val="28"/>
        </w:rPr>
        <w:t>Attainment</w:t>
      </w:r>
      <w:r w:rsidRPr="005E12B6">
        <w:rPr>
          <w:rFonts w:eastAsia="Times New Roman" w:cs="Times New Roman"/>
          <w:noProof/>
          <w:color w:val="2D333D"/>
          <w:sz w:val="28"/>
          <w:szCs w:val="28"/>
        </w:rPr>
        <w:t xml:space="preserve"> in the Eureka area (Humboldt Bay).  </w:t>
      </w:r>
    </w:p>
    <w:p w14:paraId="2C138120" w14:textId="33FCD393" w:rsidR="005E12B6" w:rsidRPr="005E12B6" w:rsidRDefault="005E12B6" w:rsidP="005E12B6">
      <w:pPr>
        <w:shd w:val="clear" w:color="auto" w:fill="FFFFFF"/>
        <w:spacing w:after="165"/>
        <w:rPr>
          <w:rFonts w:eastAsia="Times New Roman" w:cs="Times New Roman"/>
          <w:noProof/>
          <w:color w:val="2D333D"/>
          <w:sz w:val="28"/>
          <w:szCs w:val="28"/>
        </w:rPr>
      </w:pPr>
      <w:r w:rsidRPr="005E12B6">
        <w:rPr>
          <w:rFonts w:eastAsia="Times New Roman" w:cs="Times New Roman"/>
          <w:noProof/>
          <w:color w:val="2D333D"/>
          <w:sz w:val="28"/>
          <w:szCs w:val="28"/>
        </w:rPr>
        <w:t xml:space="preserve">There is no </w:t>
      </w:r>
      <w:r w:rsidR="006504EB">
        <w:rPr>
          <w:rFonts w:eastAsia="Times New Roman" w:cs="Times New Roman"/>
          <w:noProof/>
          <w:color w:val="2D333D"/>
          <w:sz w:val="28"/>
          <w:szCs w:val="28"/>
        </w:rPr>
        <w:t xml:space="preserve">apparent </w:t>
      </w:r>
      <w:r w:rsidRPr="005E12B6">
        <w:rPr>
          <w:rFonts w:eastAsia="Times New Roman" w:cs="Times New Roman"/>
          <w:noProof/>
          <w:color w:val="2D333D"/>
          <w:sz w:val="28"/>
          <w:szCs w:val="28"/>
        </w:rPr>
        <w:t>reason to require private owners to make major investments for 6 commercial sportfishing vessels and 2 tugboats.  There is also a dredge used annually in Humboldt Bay</w:t>
      </w:r>
      <w:r w:rsidR="0078403E">
        <w:rPr>
          <w:rFonts w:eastAsia="Times New Roman" w:cs="Times New Roman"/>
          <w:noProof/>
          <w:color w:val="2D333D"/>
          <w:sz w:val="28"/>
          <w:szCs w:val="28"/>
        </w:rPr>
        <w:t xml:space="preserve"> that may not be able to stay under the low use limit</w:t>
      </w:r>
      <w:r w:rsidRPr="005E12B6">
        <w:rPr>
          <w:rFonts w:eastAsia="Times New Roman" w:cs="Times New Roman"/>
          <w:noProof/>
          <w:color w:val="2D333D"/>
          <w:sz w:val="28"/>
          <w:szCs w:val="28"/>
        </w:rPr>
        <w:t>.</w:t>
      </w:r>
    </w:p>
    <w:p w14:paraId="034D6AA4" w14:textId="5B753781" w:rsidR="005E12B6" w:rsidRDefault="005E12B6" w:rsidP="005E12B6">
      <w:pPr>
        <w:shd w:val="clear" w:color="auto" w:fill="FFFFFF"/>
        <w:spacing w:after="165"/>
        <w:rPr>
          <w:rFonts w:eastAsia="Times New Roman" w:cs="Times New Roman"/>
          <w:noProof/>
          <w:color w:val="2D333D"/>
          <w:sz w:val="28"/>
          <w:szCs w:val="28"/>
        </w:rPr>
      </w:pPr>
      <w:r w:rsidRPr="005E12B6">
        <w:rPr>
          <w:rFonts w:eastAsia="Times New Roman" w:cs="Times New Roman"/>
          <w:noProof/>
          <w:color w:val="2D333D"/>
          <w:sz w:val="28"/>
          <w:szCs w:val="28"/>
        </w:rPr>
        <w:t>There are usually only 5-6 freighters that use the Port at Humboldt Bay annually.</w:t>
      </w:r>
    </w:p>
    <w:p w14:paraId="6194CE83" w14:textId="3A61CCD0" w:rsidR="007733E2" w:rsidRPr="005E12B6" w:rsidRDefault="007733E2" w:rsidP="005E12B6">
      <w:pPr>
        <w:shd w:val="clear" w:color="auto" w:fill="FFFFFF"/>
        <w:spacing w:after="165"/>
        <w:rPr>
          <w:rFonts w:eastAsia="Times New Roman" w:cs="Times New Roman"/>
          <w:noProof/>
          <w:color w:val="2D333D"/>
          <w:sz w:val="28"/>
          <w:szCs w:val="28"/>
        </w:rPr>
      </w:pPr>
      <w:r>
        <w:rPr>
          <w:rFonts w:eastAsia="Times New Roman" w:cs="Times New Roman"/>
          <w:noProof/>
          <w:color w:val="2D333D"/>
          <w:sz w:val="28"/>
          <w:szCs w:val="28"/>
        </w:rPr>
        <w:t>There’s no data to indicate that the Port of Humboldt Bay should be administered the same as the Port of Long Beach</w:t>
      </w:r>
      <w:r w:rsidR="006504EB">
        <w:rPr>
          <w:rFonts w:eastAsia="Times New Roman" w:cs="Times New Roman"/>
          <w:noProof/>
          <w:color w:val="2D333D"/>
          <w:sz w:val="28"/>
          <w:szCs w:val="28"/>
        </w:rPr>
        <w:t xml:space="preserve"> or Los Angeles or any other major California Port</w:t>
      </w:r>
      <w:r>
        <w:rPr>
          <w:rFonts w:eastAsia="Times New Roman" w:cs="Times New Roman"/>
          <w:noProof/>
          <w:color w:val="2D333D"/>
          <w:sz w:val="28"/>
          <w:szCs w:val="28"/>
        </w:rPr>
        <w:t xml:space="preserve"> under this proposed Rule. </w:t>
      </w:r>
    </w:p>
    <w:p w14:paraId="4C00CA07" w14:textId="77777777" w:rsidR="005E12B6" w:rsidRPr="00E47DAE" w:rsidRDefault="005E12B6" w:rsidP="005E12B6">
      <w:pPr>
        <w:shd w:val="clear" w:color="auto" w:fill="FFFFFF"/>
        <w:spacing w:after="165"/>
        <w:rPr>
          <w:rFonts w:eastAsia="Times New Roman" w:cs="Times New Roman"/>
          <w:b/>
          <w:bCs/>
          <w:noProof/>
          <w:color w:val="2D333D"/>
          <w:sz w:val="28"/>
          <w:szCs w:val="28"/>
        </w:rPr>
      </w:pPr>
      <w:r w:rsidRPr="00E47DAE">
        <w:rPr>
          <w:rFonts w:eastAsia="Times New Roman" w:cs="Times New Roman"/>
          <w:b/>
          <w:bCs/>
          <w:noProof/>
          <w:color w:val="2D333D"/>
          <w:sz w:val="28"/>
          <w:szCs w:val="28"/>
        </w:rPr>
        <w:t>Recommendation:</w:t>
      </w:r>
    </w:p>
    <w:p w14:paraId="1ACBC1D7" w14:textId="58168E7D" w:rsidR="003B4857" w:rsidRPr="00E47DAE" w:rsidRDefault="005E12B6" w:rsidP="00E47DAE">
      <w:pPr>
        <w:shd w:val="clear" w:color="auto" w:fill="FFFFFF"/>
        <w:spacing w:after="165"/>
        <w:rPr>
          <w:rFonts w:eastAsia="Times New Roman" w:cs="Times New Roman"/>
          <w:color w:val="2D333D"/>
          <w:sz w:val="28"/>
          <w:szCs w:val="28"/>
        </w:rPr>
      </w:pPr>
      <w:r w:rsidRPr="005E12B6">
        <w:rPr>
          <w:rFonts w:eastAsia="Times New Roman" w:cs="Times New Roman"/>
          <w:color w:val="2D333D"/>
          <w:sz w:val="28"/>
          <w:szCs w:val="28"/>
        </w:rPr>
        <w:t>Humboldt Bay should be exempt from the Commercial Harbor Craft Rule.</w:t>
      </w:r>
    </w:p>
    <w:p w14:paraId="2D2CC5BA" w14:textId="77777777" w:rsidR="0078403E" w:rsidRDefault="0078403E" w:rsidP="005E12B6">
      <w:pPr>
        <w:shd w:val="clear" w:color="auto" w:fill="FFFFFF"/>
        <w:spacing w:before="100" w:beforeAutospacing="1" w:after="100" w:afterAutospacing="1"/>
        <w:jc w:val="both"/>
        <w:rPr>
          <w:rFonts w:eastAsia="Times New Roman" w:cs="Times New Roman"/>
          <w:b/>
          <w:bCs/>
          <w:color w:val="2D333D"/>
          <w:spacing w:val="12"/>
          <w:sz w:val="28"/>
          <w:szCs w:val="28"/>
        </w:rPr>
      </w:pPr>
    </w:p>
    <w:p w14:paraId="052EED3C" w14:textId="77777777" w:rsidR="0078403E" w:rsidRDefault="0078403E" w:rsidP="005E12B6">
      <w:pPr>
        <w:shd w:val="clear" w:color="auto" w:fill="FFFFFF"/>
        <w:spacing w:before="100" w:beforeAutospacing="1" w:after="100" w:afterAutospacing="1"/>
        <w:jc w:val="both"/>
        <w:rPr>
          <w:rFonts w:eastAsia="Times New Roman" w:cs="Times New Roman"/>
          <w:b/>
          <w:bCs/>
          <w:color w:val="2D333D"/>
          <w:spacing w:val="12"/>
          <w:sz w:val="28"/>
          <w:szCs w:val="28"/>
        </w:rPr>
      </w:pPr>
    </w:p>
    <w:p w14:paraId="3323FBB5" w14:textId="77777777" w:rsidR="0078403E" w:rsidRDefault="0078403E" w:rsidP="005E12B6">
      <w:pPr>
        <w:shd w:val="clear" w:color="auto" w:fill="FFFFFF"/>
        <w:spacing w:before="100" w:beforeAutospacing="1" w:after="100" w:afterAutospacing="1"/>
        <w:jc w:val="both"/>
        <w:rPr>
          <w:rFonts w:eastAsia="Times New Roman" w:cs="Times New Roman"/>
          <w:b/>
          <w:bCs/>
          <w:color w:val="2D333D"/>
          <w:spacing w:val="12"/>
          <w:sz w:val="28"/>
          <w:szCs w:val="28"/>
        </w:rPr>
      </w:pPr>
    </w:p>
    <w:p w14:paraId="63032E57" w14:textId="77777777" w:rsidR="0078403E" w:rsidRDefault="0078403E" w:rsidP="005E12B6">
      <w:pPr>
        <w:shd w:val="clear" w:color="auto" w:fill="FFFFFF"/>
        <w:spacing w:before="100" w:beforeAutospacing="1" w:after="100" w:afterAutospacing="1"/>
        <w:jc w:val="both"/>
        <w:rPr>
          <w:rFonts w:eastAsia="Times New Roman" w:cs="Times New Roman"/>
          <w:b/>
          <w:bCs/>
          <w:color w:val="2D333D"/>
          <w:spacing w:val="12"/>
          <w:sz w:val="28"/>
          <w:szCs w:val="28"/>
        </w:rPr>
      </w:pPr>
    </w:p>
    <w:p w14:paraId="77E73672" w14:textId="067C20CE" w:rsidR="005E12B6" w:rsidRPr="00E47DAE" w:rsidRDefault="005E12B6" w:rsidP="005E12B6">
      <w:pPr>
        <w:shd w:val="clear" w:color="auto" w:fill="FFFFFF"/>
        <w:spacing w:before="100" w:beforeAutospacing="1" w:after="100" w:afterAutospacing="1"/>
        <w:jc w:val="both"/>
        <w:rPr>
          <w:rFonts w:eastAsia="Times New Roman" w:cs="Times New Roman"/>
          <w:b/>
          <w:bCs/>
          <w:color w:val="2D333D"/>
          <w:spacing w:val="12"/>
          <w:sz w:val="28"/>
          <w:szCs w:val="28"/>
        </w:rPr>
      </w:pPr>
      <w:r w:rsidRPr="00E47DAE">
        <w:rPr>
          <w:rFonts w:eastAsia="Times New Roman" w:cs="Times New Roman"/>
          <w:b/>
          <w:bCs/>
          <w:color w:val="2D333D"/>
          <w:spacing w:val="12"/>
          <w:sz w:val="28"/>
          <w:szCs w:val="28"/>
        </w:rPr>
        <w:t>Closing</w:t>
      </w:r>
    </w:p>
    <w:p w14:paraId="7C20A3CE" w14:textId="6F6DE2C5" w:rsidR="005E12B6" w:rsidRPr="00E47DAE" w:rsidRDefault="005E12B6" w:rsidP="00E47DAE">
      <w:pPr>
        <w:shd w:val="clear" w:color="auto" w:fill="FFFFFF"/>
        <w:spacing w:after="165"/>
        <w:rPr>
          <w:rFonts w:eastAsia="Times New Roman" w:cs="Times New Roman"/>
          <w:color w:val="2D333D"/>
          <w:sz w:val="28"/>
          <w:szCs w:val="28"/>
        </w:rPr>
      </w:pPr>
      <w:r w:rsidRPr="00E47DAE">
        <w:rPr>
          <w:rFonts w:eastAsia="Times New Roman" w:cs="Times New Roman"/>
          <w:color w:val="2D333D"/>
          <w:sz w:val="28"/>
          <w:szCs w:val="28"/>
        </w:rPr>
        <w:t>Thank you for the opportunity to comment.</w:t>
      </w:r>
      <w:r w:rsidR="003B4857" w:rsidRPr="00E47DAE">
        <w:rPr>
          <w:rFonts w:eastAsia="Times New Roman" w:cs="Times New Roman"/>
          <w:color w:val="2D333D"/>
          <w:sz w:val="28"/>
          <w:szCs w:val="28"/>
        </w:rPr>
        <w:t xml:space="preserve"> Direct any questions to Steve Brink.</w:t>
      </w:r>
    </w:p>
    <w:p w14:paraId="0B39015D" w14:textId="77777777" w:rsidR="005E12B6" w:rsidRPr="005E12B6" w:rsidRDefault="005E12B6" w:rsidP="005E12B6">
      <w:pPr>
        <w:shd w:val="clear" w:color="auto" w:fill="FFFFFF"/>
        <w:spacing w:before="100" w:beforeAutospacing="1" w:after="100" w:afterAutospacing="1"/>
        <w:jc w:val="both"/>
        <w:rPr>
          <w:rFonts w:eastAsia="Times New Roman" w:cs="Times New Roman"/>
          <w:color w:val="2D333D"/>
          <w:spacing w:val="12"/>
          <w:sz w:val="28"/>
          <w:szCs w:val="28"/>
        </w:rPr>
      </w:pPr>
      <w:r w:rsidRPr="005E12B6">
        <w:rPr>
          <w:rFonts w:eastAsia="Times New Roman" w:cs="Times New Roman"/>
          <w:color w:val="2D333D"/>
          <w:spacing w:val="12"/>
          <w:sz w:val="28"/>
          <w:szCs w:val="28"/>
        </w:rPr>
        <w:t>Sincerely,</w:t>
      </w:r>
    </w:p>
    <w:p w14:paraId="24F5F313" w14:textId="77777777" w:rsidR="005E12B6" w:rsidRPr="003B5C58" w:rsidRDefault="005E12B6" w:rsidP="005E12B6">
      <w:pPr>
        <w:rPr>
          <w:rFonts w:eastAsia="Times New Roman" w:cs="Times New Roman"/>
          <w:sz w:val="28"/>
          <w:szCs w:val="28"/>
        </w:rPr>
      </w:pPr>
      <w:r w:rsidRPr="005E12B6">
        <w:rPr>
          <w:rFonts w:eastAsia="Times New Roman" w:cs="Times New Roman"/>
          <w:noProof/>
          <w:sz w:val="28"/>
          <w:szCs w:val="28"/>
        </w:rPr>
        <w:drawing>
          <wp:inline distT="0" distB="0" distL="0" distR="0" wp14:anchorId="27876780" wp14:editId="109A639B">
            <wp:extent cx="2061845" cy="457200"/>
            <wp:effectExtent l="0" t="0" r="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845" cy="457200"/>
                    </a:xfrm>
                    <a:prstGeom prst="rect">
                      <a:avLst/>
                    </a:prstGeom>
                    <a:noFill/>
                    <a:ln>
                      <a:noFill/>
                    </a:ln>
                  </pic:spPr>
                </pic:pic>
              </a:graphicData>
            </a:graphic>
          </wp:inline>
        </w:drawing>
      </w:r>
    </w:p>
    <w:p w14:paraId="0A7AF2C7" w14:textId="77777777" w:rsidR="005E12B6" w:rsidRPr="003B5C58" w:rsidRDefault="005E12B6" w:rsidP="005E12B6">
      <w:pPr>
        <w:rPr>
          <w:rFonts w:eastAsia="Times New Roman" w:cs="Times New Roman"/>
          <w:sz w:val="28"/>
          <w:szCs w:val="28"/>
        </w:rPr>
      </w:pPr>
    </w:p>
    <w:p w14:paraId="29C06BB9" w14:textId="77777777" w:rsidR="005E12B6" w:rsidRPr="003B5C58" w:rsidRDefault="005E12B6" w:rsidP="005E12B6">
      <w:pPr>
        <w:rPr>
          <w:rFonts w:eastAsia="Times New Roman" w:cs="Times New Roman"/>
          <w:sz w:val="28"/>
          <w:szCs w:val="28"/>
        </w:rPr>
      </w:pPr>
      <w:r w:rsidRPr="003B5C58">
        <w:rPr>
          <w:rFonts w:eastAsia="Times New Roman" w:cs="Times New Roman"/>
          <w:sz w:val="28"/>
          <w:szCs w:val="28"/>
        </w:rPr>
        <w:t>STEVEN A. BRINK</w:t>
      </w:r>
    </w:p>
    <w:p w14:paraId="55F17139" w14:textId="15D815EC" w:rsidR="005E12B6" w:rsidRDefault="005E12B6" w:rsidP="005E12B6">
      <w:pPr>
        <w:rPr>
          <w:rFonts w:eastAsia="Times New Roman" w:cs="Times New Roman"/>
          <w:sz w:val="28"/>
          <w:szCs w:val="28"/>
        </w:rPr>
      </w:pPr>
      <w:r w:rsidRPr="003B5C58">
        <w:rPr>
          <w:rFonts w:eastAsia="Times New Roman" w:cs="Times New Roman"/>
          <w:sz w:val="28"/>
          <w:szCs w:val="28"/>
        </w:rPr>
        <w:t>Vice President – Public Resources</w:t>
      </w:r>
    </w:p>
    <w:p w14:paraId="1DCDB6C8" w14:textId="529413BE" w:rsidR="003B4857" w:rsidRDefault="00806908" w:rsidP="005E12B6">
      <w:pPr>
        <w:rPr>
          <w:rFonts w:eastAsia="Times New Roman" w:cs="Times New Roman"/>
          <w:sz w:val="28"/>
          <w:szCs w:val="28"/>
        </w:rPr>
      </w:pPr>
      <w:hyperlink r:id="rId8" w:history="1">
        <w:r w:rsidR="003B4857" w:rsidRPr="00E04935">
          <w:rPr>
            <w:rStyle w:val="Hyperlink"/>
            <w:rFonts w:eastAsia="Times New Roman" w:cs="Times New Roman"/>
            <w:sz w:val="28"/>
            <w:szCs w:val="28"/>
          </w:rPr>
          <w:t>steveb@calforests.org</w:t>
        </w:r>
      </w:hyperlink>
      <w:r w:rsidR="003B4857">
        <w:rPr>
          <w:rFonts w:eastAsia="Times New Roman" w:cs="Times New Roman"/>
          <w:sz w:val="28"/>
          <w:szCs w:val="28"/>
        </w:rPr>
        <w:t xml:space="preserve"> </w:t>
      </w:r>
    </w:p>
    <w:p w14:paraId="15C6391E" w14:textId="4D1F729C" w:rsidR="003B4857" w:rsidRPr="003B5C58" w:rsidRDefault="003B4857" w:rsidP="005E12B6">
      <w:pPr>
        <w:rPr>
          <w:rFonts w:eastAsia="Times New Roman" w:cs="Times New Roman"/>
          <w:sz w:val="28"/>
          <w:szCs w:val="28"/>
        </w:rPr>
      </w:pPr>
      <w:r>
        <w:rPr>
          <w:rFonts w:eastAsia="Times New Roman" w:cs="Times New Roman"/>
          <w:sz w:val="28"/>
          <w:szCs w:val="28"/>
        </w:rPr>
        <w:t>916-208-2425</w:t>
      </w:r>
    </w:p>
    <w:p w14:paraId="2A916975" w14:textId="77777777" w:rsidR="005E12B6" w:rsidRDefault="005E12B6" w:rsidP="005E12B6">
      <w:pPr>
        <w:shd w:val="clear" w:color="auto" w:fill="FFFFFF"/>
        <w:spacing w:before="100" w:beforeAutospacing="1" w:after="100" w:afterAutospacing="1"/>
        <w:jc w:val="both"/>
        <w:rPr>
          <w:rFonts w:ascii="Cambria" w:eastAsia="Times New Roman" w:hAnsi="Cambria" w:cs="Times New Roman"/>
          <w:color w:val="2D333D"/>
          <w:spacing w:val="12"/>
          <w:sz w:val="27"/>
          <w:szCs w:val="27"/>
        </w:rPr>
      </w:pPr>
    </w:p>
    <w:p w14:paraId="46AA4F78" w14:textId="7072489B" w:rsidR="00BD0BD2" w:rsidRPr="005E12B6" w:rsidRDefault="00BD0BD2" w:rsidP="005E12B6"/>
    <w:sectPr w:rsidR="00BD0BD2" w:rsidRPr="005E12B6" w:rsidSect="008F2441">
      <w:headerReference w:type="default" r:id="rId9"/>
      <w:footerReference w:type="default" r:id="rId10"/>
      <w:pgSz w:w="12240" w:h="15840"/>
      <w:pgMar w:top="252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59A7" w14:textId="77777777" w:rsidR="008F2441" w:rsidRDefault="008F2441" w:rsidP="008F2441">
      <w:r>
        <w:separator/>
      </w:r>
    </w:p>
  </w:endnote>
  <w:endnote w:type="continuationSeparator" w:id="0">
    <w:p w14:paraId="203917C9" w14:textId="77777777" w:rsidR="008F2441" w:rsidRDefault="008F2441" w:rsidP="008F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083"/>
      <w:docPartObj>
        <w:docPartGallery w:val="Page Numbers (Bottom of Page)"/>
        <w:docPartUnique/>
      </w:docPartObj>
    </w:sdtPr>
    <w:sdtEndPr/>
    <w:sdtContent>
      <w:p w14:paraId="017FA783" w14:textId="77777777" w:rsidR="007B65F5" w:rsidRDefault="007A0494">
        <w:pPr>
          <w:pStyle w:val="Footer"/>
          <w:jc w:val="center"/>
        </w:pPr>
        <w:r>
          <w:fldChar w:fldCharType="begin"/>
        </w:r>
        <w:r>
          <w:instrText xml:space="preserve"> PAGE   \* MERGEFORMAT </w:instrText>
        </w:r>
        <w:r>
          <w:fldChar w:fldCharType="separate"/>
        </w:r>
        <w:r w:rsidR="00A675BF">
          <w:rPr>
            <w:noProof/>
          </w:rPr>
          <w:t>1</w:t>
        </w:r>
        <w:r>
          <w:rPr>
            <w:noProof/>
          </w:rPr>
          <w:fldChar w:fldCharType="end"/>
        </w:r>
      </w:p>
    </w:sdtContent>
  </w:sdt>
  <w:p w14:paraId="1949FC19" w14:textId="77777777" w:rsidR="008B6A9D" w:rsidRDefault="008B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7A46" w14:textId="77777777" w:rsidR="008F2441" w:rsidRDefault="008F2441" w:rsidP="008F2441">
      <w:r>
        <w:separator/>
      </w:r>
    </w:p>
  </w:footnote>
  <w:footnote w:type="continuationSeparator" w:id="0">
    <w:p w14:paraId="6F7D71B0" w14:textId="77777777" w:rsidR="008F2441" w:rsidRDefault="008F2441" w:rsidP="008F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9CF" w14:textId="77777777" w:rsidR="008F2441" w:rsidRDefault="008F2441">
    <w:pPr>
      <w:pStyle w:val="Header"/>
    </w:pPr>
    <w:r>
      <w:rPr>
        <w:noProof/>
      </w:rPr>
      <w:drawing>
        <wp:anchor distT="0" distB="0" distL="114300" distR="114300" simplePos="0" relativeHeight="251658240" behindDoc="1" locked="0" layoutInCell="1" allowOverlap="1" wp14:anchorId="519C254C" wp14:editId="6E4FAB4D">
          <wp:simplePos x="0" y="0"/>
          <wp:positionH relativeFrom="column">
            <wp:posOffset>-1257300</wp:posOffset>
          </wp:positionH>
          <wp:positionV relativeFrom="paragraph">
            <wp:posOffset>-571500</wp:posOffset>
          </wp:positionV>
          <wp:extent cx="8001267" cy="102873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SYSTEM-02.png"/>
                  <pic:cNvPicPr/>
                </pic:nvPicPr>
                <pic:blipFill>
                  <a:blip r:embed="rId1">
                    <a:extLst>
                      <a:ext uri="{28A0092B-C50C-407E-A947-70E740481C1C}">
                        <a14:useLocalDpi xmlns:a14="http://schemas.microsoft.com/office/drawing/2010/main" val="0"/>
                      </a:ext>
                    </a:extLst>
                  </a:blip>
                  <a:stretch>
                    <a:fillRect/>
                  </a:stretch>
                </pic:blipFill>
                <pic:spPr>
                  <a:xfrm>
                    <a:off x="0" y="0"/>
                    <a:ext cx="8001267" cy="10287343"/>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0AE"/>
    <w:multiLevelType w:val="hybridMultilevel"/>
    <w:tmpl w:val="ADC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165C"/>
    <w:multiLevelType w:val="hybridMultilevel"/>
    <w:tmpl w:val="22F2026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AB32790"/>
    <w:multiLevelType w:val="hybridMultilevel"/>
    <w:tmpl w:val="9E349884"/>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E2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35BF5"/>
    <w:multiLevelType w:val="hybridMultilevel"/>
    <w:tmpl w:val="4E20AE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D73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77675D"/>
    <w:multiLevelType w:val="hybridMultilevel"/>
    <w:tmpl w:val="CEB6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86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B224D1"/>
    <w:multiLevelType w:val="hybridMultilevel"/>
    <w:tmpl w:val="9CAE2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FE0C2A"/>
    <w:multiLevelType w:val="hybridMultilevel"/>
    <w:tmpl w:val="0D1C3D08"/>
    <w:lvl w:ilvl="0" w:tplc="B59A4A26">
      <w:start w:val="1"/>
      <w:numFmt w:val="decimal"/>
      <w:lvlText w:val="%1)"/>
      <w:lvlJc w:val="left"/>
      <w:pPr>
        <w:ind w:left="720" w:hanging="360"/>
      </w:pPr>
      <w:rPr>
        <w:rFonts w:ascii="Cambria" w:hAnsi="Cambri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E03CE"/>
    <w:multiLevelType w:val="multilevel"/>
    <w:tmpl w:val="428A0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73C9D"/>
    <w:multiLevelType w:val="hybridMultilevel"/>
    <w:tmpl w:val="3566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C3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8A28CE"/>
    <w:multiLevelType w:val="hybridMultilevel"/>
    <w:tmpl w:val="3D1AA0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DE2117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56D7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4007E4"/>
    <w:multiLevelType w:val="hybridMultilevel"/>
    <w:tmpl w:val="EE7A8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1965D4"/>
    <w:multiLevelType w:val="multilevel"/>
    <w:tmpl w:val="6CF0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B7A1B"/>
    <w:multiLevelType w:val="hybridMultilevel"/>
    <w:tmpl w:val="A184E3E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80D6607"/>
    <w:multiLevelType w:val="hybridMultilevel"/>
    <w:tmpl w:val="D6F05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EC476F"/>
    <w:multiLevelType w:val="hybridMultilevel"/>
    <w:tmpl w:val="A560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num>
  <w:num w:numId="6">
    <w:abstractNumId w:val="1"/>
  </w:num>
  <w:num w:numId="7">
    <w:abstractNumId w:val="11"/>
  </w:num>
  <w:num w:numId="8">
    <w:abstractNumId w:val="2"/>
  </w:num>
  <w:num w:numId="9">
    <w:abstractNumId w:val="13"/>
  </w:num>
  <w:num w:numId="10">
    <w:abstractNumId w:val="8"/>
  </w:num>
  <w:num w:numId="11">
    <w:abstractNumId w:val="19"/>
  </w:num>
  <w:num w:numId="12">
    <w:abstractNumId w:val="6"/>
  </w:num>
  <w:num w:numId="13">
    <w:abstractNumId w:val="14"/>
    <w:lvlOverride w:ilvl="0">
      <w:startOverride w:val="1"/>
    </w:lvlOverride>
  </w:num>
  <w:num w:numId="14">
    <w:abstractNumId w:val="7"/>
  </w:num>
  <w:num w:numId="15">
    <w:abstractNumId w:val="3"/>
  </w:num>
  <w:num w:numId="16">
    <w:abstractNumId w:val="12"/>
  </w:num>
  <w:num w:numId="17">
    <w:abstractNumId w:val="15"/>
  </w:num>
  <w:num w:numId="18">
    <w:abstractNumId w:val="5"/>
  </w:num>
  <w:num w:numId="19">
    <w:abstractNumId w:val="0"/>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41"/>
    <w:rsid w:val="00060FA1"/>
    <w:rsid w:val="001864C3"/>
    <w:rsid w:val="001A72F2"/>
    <w:rsid w:val="001C0D6D"/>
    <w:rsid w:val="002275B4"/>
    <w:rsid w:val="00265321"/>
    <w:rsid w:val="00310851"/>
    <w:rsid w:val="00317293"/>
    <w:rsid w:val="00362D01"/>
    <w:rsid w:val="003B4857"/>
    <w:rsid w:val="004265A3"/>
    <w:rsid w:val="004E19F3"/>
    <w:rsid w:val="00501303"/>
    <w:rsid w:val="005E12B6"/>
    <w:rsid w:val="006504EB"/>
    <w:rsid w:val="006567F1"/>
    <w:rsid w:val="0071407E"/>
    <w:rsid w:val="00742FD6"/>
    <w:rsid w:val="007733E2"/>
    <w:rsid w:val="007778E4"/>
    <w:rsid w:val="0078403E"/>
    <w:rsid w:val="007A0494"/>
    <w:rsid w:val="007B65F5"/>
    <w:rsid w:val="007E0971"/>
    <w:rsid w:val="007E7F7A"/>
    <w:rsid w:val="00806908"/>
    <w:rsid w:val="00894596"/>
    <w:rsid w:val="008B6A9D"/>
    <w:rsid w:val="008F2441"/>
    <w:rsid w:val="00A46C1E"/>
    <w:rsid w:val="00A675BF"/>
    <w:rsid w:val="00AC3A15"/>
    <w:rsid w:val="00B3621D"/>
    <w:rsid w:val="00BD0BD2"/>
    <w:rsid w:val="00C046E5"/>
    <w:rsid w:val="00D455EA"/>
    <w:rsid w:val="00E07C74"/>
    <w:rsid w:val="00E47DAE"/>
    <w:rsid w:val="00E607DB"/>
    <w:rsid w:val="00E8709F"/>
    <w:rsid w:val="00EA218C"/>
    <w:rsid w:val="00EB6281"/>
    <w:rsid w:val="00ED4274"/>
    <w:rsid w:val="00EF3FA3"/>
    <w:rsid w:val="00F16E06"/>
    <w:rsid w:val="00F77CE4"/>
    <w:rsid w:val="00F819D1"/>
    <w:rsid w:val="00FB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F0CC3"/>
  <w15:docId w15:val="{1B31D036-3151-413F-A6AC-C0E6D812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41"/>
    <w:pPr>
      <w:tabs>
        <w:tab w:val="center" w:pos="4320"/>
        <w:tab w:val="right" w:pos="8640"/>
      </w:tabs>
    </w:pPr>
  </w:style>
  <w:style w:type="character" w:customStyle="1" w:styleId="HeaderChar">
    <w:name w:val="Header Char"/>
    <w:basedOn w:val="DefaultParagraphFont"/>
    <w:link w:val="Header"/>
    <w:uiPriority w:val="99"/>
    <w:rsid w:val="008F2441"/>
  </w:style>
  <w:style w:type="paragraph" w:styleId="Footer">
    <w:name w:val="footer"/>
    <w:basedOn w:val="Normal"/>
    <w:link w:val="FooterChar"/>
    <w:uiPriority w:val="99"/>
    <w:unhideWhenUsed/>
    <w:rsid w:val="008F2441"/>
    <w:pPr>
      <w:tabs>
        <w:tab w:val="center" w:pos="4320"/>
        <w:tab w:val="right" w:pos="8640"/>
      </w:tabs>
    </w:pPr>
  </w:style>
  <w:style w:type="character" w:customStyle="1" w:styleId="FooterChar">
    <w:name w:val="Footer Char"/>
    <w:basedOn w:val="DefaultParagraphFont"/>
    <w:link w:val="Footer"/>
    <w:uiPriority w:val="99"/>
    <w:rsid w:val="008F2441"/>
  </w:style>
  <w:style w:type="paragraph" w:styleId="BalloonText">
    <w:name w:val="Balloon Text"/>
    <w:basedOn w:val="Normal"/>
    <w:link w:val="BalloonTextChar"/>
    <w:uiPriority w:val="99"/>
    <w:semiHidden/>
    <w:unhideWhenUsed/>
    <w:rsid w:val="008F24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441"/>
    <w:rPr>
      <w:rFonts w:ascii="Lucida Grande" w:hAnsi="Lucida Grande" w:cs="Lucida Grande"/>
      <w:sz w:val="18"/>
      <w:szCs w:val="18"/>
    </w:rPr>
  </w:style>
  <w:style w:type="paragraph" w:styleId="ListParagraph">
    <w:name w:val="List Paragraph"/>
    <w:basedOn w:val="Normal"/>
    <w:uiPriority w:val="34"/>
    <w:qFormat/>
    <w:rsid w:val="00F77CE4"/>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link w:val="HTMLPreformattedChar"/>
    <w:uiPriority w:val="99"/>
    <w:semiHidden/>
    <w:unhideWhenUsed/>
    <w:rsid w:val="00F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77CE4"/>
    <w:rPr>
      <w:rFonts w:ascii="Courier New" w:eastAsia="Calibri" w:hAnsi="Courier New" w:cs="Courier New"/>
      <w:color w:val="000000"/>
      <w:sz w:val="20"/>
      <w:szCs w:val="20"/>
    </w:rPr>
  </w:style>
  <w:style w:type="character" w:styleId="Hyperlink">
    <w:name w:val="Hyperlink"/>
    <w:uiPriority w:val="99"/>
    <w:unhideWhenUsed/>
    <w:rsid w:val="008B6A9D"/>
    <w:rPr>
      <w:color w:val="0000FF"/>
      <w:u w:val="single"/>
    </w:rPr>
  </w:style>
  <w:style w:type="paragraph" w:customStyle="1" w:styleId="InsideAddress">
    <w:name w:val="Inside Address"/>
    <w:basedOn w:val="Normal"/>
    <w:rsid w:val="006567F1"/>
    <w:rPr>
      <w:rFonts w:ascii="Times New Roman" w:eastAsia="Times New Roman" w:hAnsi="Times New Roman" w:cs="Times New Roman"/>
    </w:rPr>
  </w:style>
  <w:style w:type="paragraph" w:styleId="NormalWeb">
    <w:name w:val="Normal (Web)"/>
    <w:basedOn w:val="Normal"/>
    <w:uiPriority w:val="99"/>
    <w:unhideWhenUsed/>
    <w:rsid w:val="007B65F5"/>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semiHidden/>
    <w:unhideWhenUsed/>
    <w:rsid w:val="00BD0BD2"/>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BD0BD2"/>
    <w:rPr>
      <w:rFonts w:ascii="Calibri" w:eastAsiaTheme="minorHAnsi" w:hAnsi="Calibri"/>
      <w:sz w:val="22"/>
      <w:szCs w:val="21"/>
    </w:rPr>
  </w:style>
  <w:style w:type="table" w:styleId="TableGrid">
    <w:name w:val="Table Grid"/>
    <w:basedOn w:val="TableNormal"/>
    <w:uiPriority w:val="39"/>
    <w:rsid w:val="0031729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C3A15"/>
    <w:rPr>
      <w:color w:val="800080" w:themeColor="followedHyperlink"/>
      <w:u w:val="single"/>
    </w:rPr>
  </w:style>
  <w:style w:type="character" w:customStyle="1" w:styleId="lrzxr">
    <w:name w:val="lrzxr"/>
    <w:rsid w:val="001A72F2"/>
  </w:style>
  <w:style w:type="character" w:styleId="UnresolvedMention">
    <w:name w:val="Unresolved Mention"/>
    <w:basedOn w:val="DefaultParagraphFont"/>
    <w:uiPriority w:val="99"/>
    <w:semiHidden/>
    <w:unhideWhenUsed/>
    <w:rsid w:val="003B4857"/>
    <w:rPr>
      <w:color w:val="605E5C"/>
      <w:shd w:val="clear" w:color="auto" w:fill="E1DFDD"/>
    </w:rPr>
  </w:style>
  <w:style w:type="character" w:styleId="CommentReference">
    <w:name w:val="annotation reference"/>
    <w:basedOn w:val="DefaultParagraphFont"/>
    <w:uiPriority w:val="99"/>
    <w:semiHidden/>
    <w:unhideWhenUsed/>
    <w:rsid w:val="00E47DAE"/>
    <w:rPr>
      <w:sz w:val="16"/>
      <w:szCs w:val="16"/>
    </w:rPr>
  </w:style>
  <w:style w:type="paragraph" w:styleId="CommentText">
    <w:name w:val="annotation text"/>
    <w:basedOn w:val="Normal"/>
    <w:link w:val="CommentTextChar"/>
    <w:uiPriority w:val="99"/>
    <w:semiHidden/>
    <w:unhideWhenUsed/>
    <w:rsid w:val="00E47DAE"/>
    <w:rPr>
      <w:sz w:val="20"/>
      <w:szCs w:val="20"/>
    </w:rPr>
  </w:style>
  <w:style w:type="character" w:customStyle="1" w:styleId="CommentTextChar">
    <w:name w:val="Comment Text Char"/>
    <w:basedOn w:val="DefaultParagraphFont"/>
    <w:link w:val="CommentText"/>
    <w:uiPriority w:val="99"/>
    <w:semiHidden/>
    <w:rsid w:val="00E47DAE"/>
    <w:rPr>
      <w:sz w:val="20"/>
      <w:szCs w:val="20"/>
    </w:rPr>
  </w:style>
  <w:style w:type="paragraph" w:styleId="CommentSubject">
    <w:name w:val="annotation subject"/>
    <w:basedOn w:val="CommentText"/>
    <w:next w:val="CommentText"/>
    <w:link w:val="CommentSubjectChar"/>
    <w:uiPriority w:val="99"/>
    <w:semiHidden/>
    <w:unhideWhenUsed/>
    <w:rsid w:val="00E47DAE"/>
    <w:rPr>
      <w:b/>
      <w:bCs/>
    </w:rPr>
  </w:style>
  <w:style w:type="character" w:customStyle="1" w:styleId="CommentSubjectChar">
    <w:name w:val="Comment Subject Char"/>
    <w:basedOn w:val="CommentTextChar"/>
    <w:link w:val="CommentSubject"/>
    <w:uiPriority w:val="99"/>
    <w:semiHidden/>
    <w:rsid w:val="00E47D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09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b@calforest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CMB Design Partners</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Maur</dc:creator>
  <cp:lastModifiedBy>Steve Brink</cp:lastModifiedBy>
  <cp:revision>4</cp:revision>
  <cp:lastPrinted>2013-06-02T18:19:00Z</cp:lastPrinted>
  <dcterms:created xsi:type="dcterms:W3CDTF">2021-11-15T23:46:00Z</dcterms:created>
  <dcterms:modified xsi:type="dcterms:W3CDTF">2021-11-15T23:52:00Z</dcterms:modified>
</cp:coreProperties>
</file>