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43" w:rsidRDefault="000F6E43" w:rsidP="00B331DE">
      <w:pPr>
        <w:rPr>
          <w:rFonts w:ascii="Times New Roman" w:hAnsi="Times New Roman" w:cs="Times New Roman"/>
        </w:rPr>
      </w:pPr>
      <w:bookmarkStart w:id="0" w:name="_GoBack"/>
      <w:bookmarkEnd w:id="0"/>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A12B7F" w:rsidRPr="000F6E43" w:rsidRDefault="000F6E43" w:rsidP="000F6E43">
      <w:pPr>
        <w:jc w:val="center"/>
        <w:rPr>
          <w:rFonts w:ascii="Times New Roman" w:hAnsi="Times New Roman" w:cs="Times New Roman"/>
          <w:b/>
          <w:sz w:val="28"/>
          <w:szCs w:val="28"/>
        </w:rPr>
      </w:pPr>
      <w:proofErr w:type="spellStart"/>
      <w:r w:rsidRPr="000F6E43">
        <w:rPr>
          <w:rFonts w:ascii="Times New Roman" w:hAnsi="Times New Roman" w:cs="Times New Roman"/>
          <w:b/>
          <w:sz w:val="28"/>
          <w:szCs w:val="28"/>
        </w:rPr>
        <w:t>NextEra</w:t>
      </w:r>
      <w:proofErr w:type="spellEnd"/>
      <w:r w:rsidRPr="000F6E43">
        <w:rPr>
          <w:rFonts w:ascii="Times New Roman" w:hAnsi="Times New Roman" w:cs="Times New Roman"/>
          <w:b/>
          <w:sz w:val="28"/>
          <w:szCs w:val="28"/>
        </w:rPr>
        <w:t xml:space="preserve"> Energy Resources Comments on the California Air Resources Board’s Discussion Draft of the Proposed Changes to the GHG Cap and Trade (presented </w:t>
      </w:r>
      <w:r>
        <w:rPr>
          <w:rFonts w:ascii="Times New Roman" w:hAnsi="Times New Roman" w:cs="Times New Roman"/>
          <w:b/>
          <w:sz w:val="28"/>
          <w:szCs w:val="28"/>
        </w:rPr>
        <w:t xml:space="preserve">in workshop format </w:t>
      </w:r>
      <w:r w:rsidRPr="000F6E43">
        <w:rPr>
          <w:rFonts w:ascii="Times New Roman" w:hAnsi="Times New Roman" w:cs="Times New Roman"/>
          <w:b/>
          <w:sz w:val="28"/>
          <w:szCs w:val="28"/>
        </w:rPr>
        <w:t>on</w:t>
      </w:r>
      <w:r w:rsidR="00A12B7F" w:rsidRPr="000F6E43">
        <w:rPr>
          <w:rFonts w:ascii="Times New Roman" w:hAnsi="Times New Roman" w:cs="Times New Roman"/>
          <w:b/>
          <w:sz w:val="28"/>
          <w:szCs w:val="28"/>
        </w:rPr>
        <w:t xml:space="preserve"> 7/18/2013</w:t>
      </w:r>
      <w:r w:rsidRPr="000F6E43">
        <w:rPr>
          <w:rFonts w:ascii="Times New Roman" w:hAnsi="Times New Roman" w:cs="Times New Roman"/>
          <w:b/>
          <w:sz w:val="28"/>
          <w:szCs w:val="28"/>
        </w:rPr>
        <w:t>)</w:t>
      </w:r>
    </w:p>
    <w:p w:rsidR="000F6E43" w:rsidRDefault="000F6E43" w:rsidP="000F6E43">
      <w:pPr>
        <w:jc w:val="cente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rsidP="00B331DE">
      <w:pPr>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Default="000F6E43">
      <w:pPr>
        <w:spacing w:after="200" w:line="276" w:lineRule="auto"/>
        <w:rPr>
          <w:rFonts w:ascii="Times New Roman" w:hAnsi="Times New Roman" w:cs="Times New Roman"/>
        </w:rPr>
      </w:pPr>
    </w:p>
    <w:p w:rsidR="000F6E43" w:rsidRPr="000F6E43" w:rsidRDefault="000F6E43" w:rsidP="000F6E43">
      <w:pPr>
        <w:spacing w:line="276" w:lineRule="auto"/>
        <w:ind w:left="5040" w:firstLine="720"/>
        <w:rPr>
          <w:rFonts w:ascii="Times New Roman" w:hAnsi="Times New Roman" w:cs="Times New Roman"/>
          <w:sz w:val="20"/>
          <w:szCs w:val="20"/>
        </w:rPr>
      </w:pPr>
      <w:r w:rsidRPr="000F6E43">
        <w:rPr>
          <w:rFonts w:ascii="Times New Roman" w:hAnsi="Times New Roman" w:cs="Times New Roman"/>
          <w:sz w:val="20"/>
          <w:szCs w:val="20"/>
        </w:rPr>
        <w:t>Kyle Boudreaux</w:t>
      </w:r>
    </w:p>
    <w:p w:rsidR="000F6E43" w:rsidRDefault="000F6E43" w:rsidP="000F6E43">
      <w:pPr>
        <w:spacing w:line="276" w:lineRule="auto"/>
        <w:ind w:left="5040" w:firstLine="720"/>
        <w:rPr>
          <w:rFonts w:ascii="Times New Roman" w:hAnsi="Times New Roman" w:cs="Times New Roman"/>
          <w:sz w:val="20"/>
          <w:szCs w:val="20"/>
        </w:rPr>
      </w:pPr>
      <w:r w:rsidRPr="000F6E43">
        <w:rPr>
          <w:rFonts w:ascii="Times New Roman" w:hAnsi="Times New Roman" w:cs="Times New Roman"/>
          <w:sz w:val="20"/>
          <w:szCs w:val="20"/>
        </w:rPr>
        <w:t>Corporate Environmental</w:t>
      </w:r>
      <w:r>
        <w:rPr>
          <w:rFonts w:ascii="Times New Roman" w:hAnsi="Times New Roman" w:cs="Times New Roman"/>
          <w:sz w:val="20"/>
          <w:szCs w:val="20"/>
        </w:rPr>
        <w:t xml:space="preserve"> </w:t>
      </w:r>
      <w:r w:rsidR="001E058B">
        <w:rPr>
          <w:rFonts w:ascii="Times New Roman" w:hAnsi="Times New Roman" w:cs="Times New Roman"/>
          <w:sz w:val="20"/>
          <w:szCs w:val="20"/>
        </w:rPr>
        <w:t>Issue</w:t>
      </w:r>
      <w:r>
        <w:rPr>
          <w:rFonts w:ascii="Times New Roman" w:hAnsi="Times New Roman" w:cs="Times New Roman"/>
          <w:sz w:val="20"/>
          <w:szCs w:val="20"/>
        </w:rPr>
        <w:t xml:space="preserve"> Manager</w:t>
      </w:r>
    </w:p>
    <w:p w:rsidR="000F6E43" w:rsidRDefault="000F6E43" w:rsidP="000F6E43">
      <w:pPr>
        <w:spacing w:line="276" w:lineRule="auto"/>
        <w:ind w:left="5040" w:firstLine="720"/>
        <w:rPr>
          <w:rFonts w:ascii="Times New Roman" w:hAnsi="Times New Roman" w:cs="Times New Roman"/>
          <w:sz w:val="20"/>
          <w:szCs w:val="20"/>
        </w:rPr>
      </w:pPr>
      <w:r>
        <w:rPr>
          <w:rFonts w:ascii="Times New Roman" w:hAnsi="Times New Roman" w:cs="Times New Roman"/>
          <w:sz w:val="20"/>
          <w:szCs w:val="20"/>
        </w:rPr>
        <w:t>Western Region and Canada</w:t>
      </w:r>
    </w:p>
    <w:p w:rsidR="000F6E43" w:rsidRDefault="000F6E43" w:rsidP="000F6E43">
      <w:pPr>
        <w:spacing w:line="276" w:lineRule="auto"/>
        <w:ind w:left="5040" w:firstLine="720"/>
        <w:rPr>
          <w:rFonts w:ascii="Times New Roman" w:hAnsi="Times New Roman" w:cs="Times New Roman"/>
          <w:sz w:val="20"/>
          <w:szCs w:val="20"/>
        </w:rPr>
      </w:pPr>
      <w:r>
        <w:rPr>
          <w:rFonts w:ascii="Times New Roman" w:hAnsi="Times New Roman" w:cs="Times New Roman"/>
          <w:sz w:val="20"/>
          <w:szCs w:val="20"/>
        </w:rPr>
        <w:t>561-691-7358</w:t>
      </w:r>
    </w:p>
    <w:p w:rsidR="000F6E43" w:rsidRDefault="00A33460" w:rsidP="000F6E43">
      <w:pPr>
        <w:spacing w:line="276" w:lineRule="auto"/>
        <w:ind w:left="5040" w:firstLine="720"/>
        <w:rPr>
          <w:rFonts w:ascii="Times New Roman" w:hAnsi="Times New Roman" w:cs="Times New Roman"/>
          <w:sz w:val="20"/>
          <w:szCs w:val="20"/>
        </w:rPr>
      </w:pPr>
      <w:hyperlink r:id="rId7" w:history="1">
        <w:r w:rsidR="000F6E43" w:rsidRPr="00D23BD3">
          <w:rPr>
            <w:rStyle w:val="Hyperlink"/>
            <w:rFonts w:ascii="Times New Roman" w:hAnsi="Times New Roman" w:cs="Times New Roman"/>
            <w:sz w:val="20"/>
            <w:szCs w:val="20"/>
          </w:rPr>
          <w:t>Kyle.Boudreaux@fpl.com</w:t>
        </w:r>
      </w:hyperlink>
    </w:p>
    <w:p w:rsidR="000F6E43" w:rsidRDefault="000F6E43" w:rsidP="000F6E43">
      <w:pPr>
        <w:spacing w:line="276" w:lineRule="auto"/>
        <w:ind w:left="504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ype="page"/>
      </w:r>
    </w:p>
    <w:p w:rsidR="000E6706" w:rsidRPr="000E6706" w:rsidRDefault="000E6706" w:rsidP="000E6706">
      <w:pPr>
        <w:ind w:firstLine="720"/>
        <w:rPr>
          <w:rFonts w:ascii="Times New Roman" w:hAnsi="Times New Roman" w:cs="Times New Roman"/>
        </w:rPr>
      </w:pPr>
      <w:proofErr w:type="spellStart"/>
      <w:r>
        <w:rPr>
          <w:rFonts w:ascii="Times New Roman" w:hAnsi="Times New Roman" w:cs="Times New Roman"/>
        </w:rPr>
        <w:lastRenderedPageBreak/>
        <w:t>NextE</w:t>
      </w:r>
      <w:r w:rsidRPr="000E6706">
        <w:rPr>
          <w:rFonts w:ascii="Times New Roman" w:hAnsi="Times New Roman" w:cs="Times New Roman"/>
        </w:rPr>
        <w:t>ra</w:t>
      </w:r>
      <w:proofErr w:type="spellEnd"/>
      <w:r w:rsidRPr="000E6706">
        <w:rPr>
          <w:rFonts w:ascii="Times New Roman" w:hAnsi="Times New Roman" w:cs="Times New Roman"/>
        </w:rPr>
        <w:t xml:space="preserve"> Energy Resources </w:t>
      </w:r>
      <w:r w:rsidR="004738F8">
        <w:rPr>
          <w:rFonts w:ascii="Times New Roman" w:hAnsi="Times New Roman" w:cs="Times New Roman"/>
        </w:rPr>
        <w:t>(</w:t>
      </w:r>
      <w:proofErr w:type="spellStart"/>
      <w:r w:rsidR="004738F8">
        <w:rPr>
          <w:rFonts w:ascii="Times New Roman" w:hAnsi="Times New Roman" w:cs="Times New Roman"/>
        </w:rPr>
        <w:t>NextEra</w:t>
      </w:r>
      <w:proofErr w:type="spellEnd"/>
      <w:r w:rsidR="004738F8">
        <w:rPr>
          <w:rFonts w:ascii="Times New Roman" w:hAnsi="Times New Roman" w:cs="Times New Roman"/>
        </w:rPr>
        <w:t xml:space="preserve">) </w:t>
      </w:r>
      <w:r w:rsidRPr="000E6706">
        <w:rPr>
          <w:rFonts w:ascii="Times New Roman" w:hAnsi="Times New Roman" w:cs="Times New Roman"/>
        </w:rPr>
        <w:t>supports the comments submitted to the Air Resources Board by the Western Power Trading Forum (WPTF)</w:t>
      </w:r>
      <w:r w:rsidR="000A07C8">
        <w:rPr>
          <w:rFonts w:ascii="Times New Roman" w:hAnsi="Times New Roman" w:cs="Times New Roman"/>
        </w:rPr>
        <w:t xml:space="preserve"> </w:t>
      </w:r>
      <w:r w:rsidRPr="000E6706">
        <w:rPr>
          <w:rFonts w:ascii="Times New Roman" w:hAnsi="Times New Roman" w:cs="Times New Roman"/>
        </w:rPr>
        <w:t>and the Independent Energy Producers (IEP)</w:t>
      </w:r>
      <w:r w:rsidR="000A07C8">
        <w:rPr>
          <w:rFonts w:ascii="Times New Roman" w:hAnsi="Times New Roman" w:cs="Times New Roman"/>
        </w:rPr>
        <w:t xml:space="preserve">. In addition, </w:t>
      </w:r>
      <w:proofErr w:type="spellStart"/>
      <w:r w:rsidR="000A07C8">
        <w:rPr>
          <w:rFonts w:ascii="Times New Roman" w:hAnsi="Times New Roman" w:cs="Times New Roman"/>
        </w:rPr>
        <w:t>NextEra</w:t>
      </w:r>
      <w:proofErr w:type="spellEnd"/>
      <w:r w:rsidR="000A07C8">
        <w:rPr>
          <w:rFonts w:ascii="Times New Roman" w:hAnsi="Times New Roman" w:cs="Times New Roman"/>
        </w:rPr>
        <w:t xml:space="preserve"> is submitting the following comments based on the materials covered in the July 18, 2013 workshop</w:t>
      </w:r>
      <w:r w:rsidR="00787D88">
        <w:rPr>
          <w:rFonts w:ascii="Times New Roman" w:hAnsi="Times New Roman" w:cs="Times New Roman"/>
        </w:rPr>
        <w:t xml:space="preserve"> as well as other observed opportunities for improvements to the regulation.</w:t>
      </w:r>
      <w:r w:rsidR="00A72C86">
        <w:rPr>
          <w:rFonts w:ascii="Times New Roman" w:hAnsi="Times New Roman" w:cs="Times New Roman"/>
        </w:rPr>
        <w:t xml:space="preserve"> We appreciate that the document released by ARB staff is a discussion draft and would welcome questions related to our response and look forward to any opportunity to further expand on these comments with ARB staff.</w:t>
      </w:r>
    </w:p>
    <w:p w:rsidR="00A12B7F" w:rsidRDefault="00A12B7F" w:rsidP="00B331DE"/>
    <w:p w:rsidR="00A12B7F" w:rsidRPr="00A12B7F" w:rsidRDefault="00A12B7F" w:rsidP="00B331DE"/>
    <w:p w:rsidR="0053083A" w:rsidRPr="00CF7964" w:rsidRDefault="0053083A" w:rsidP="0053083A">
      <w:pPr>
        <w:spacing w:after="200" w:line="276" w:lineRule="auto"/>
        <w:rPr>
          <w:rFonts w:ascii="Times New Roman" w:eastAsiaTheme="minorHAnsi" w:hAnsi="Times New Roman" w:cs="Times New Roman"/>
          <w:b/>
          <w:u w:val="single"/>
        </w:rPr>
      </w:pPr>
      <w:r w:rsidRPr="00CF7964">
        <w:rPr>
          <w:rFonts w:ascii="Times New Roman" w:eastAsiaTheme="minorHAnsi" w:hAnsi="Times New Roman" w:cs="Times New Roman"/>
          <w:b/>
          <w:u w:val="single"/>
        </w:rPr>
        <w:t xml:space="preserve">The addition of an exemption for solar renewable energy from GHG compliance obligation </w:t>
      </w:r>
    </w:p>
    <w:p w:rsidR="00025148" w:rsidRPr="00025148" w:rsidRDefault="00025148" w:rsidP="00025148">
      <w:pPr>
        <w:spacing w:after="200" w:line="276" w:lineRule="auto"/>
        <w:ind w:firstLine="720"/>
        <w:rPr>
          <w:rFonts w:ascii="Times New Roman" w:eastAsiaTheme="minorHAnsi" w:hAnsi="Times New Roman" w:cs="Times New Roman"/>
        </w:rPr>
      </w:pPr>
      <w:r w:rsidRPr="00025148">
        <w:rPr>
          <w:rFonts w:ascii="Times New Roman" w:eastAsiaTheme="minorHAnsi" w:hAnsi="Times New Roman" w:cs="Times New Roman"/>
        </w:rPr>
        <w:t>Over the past few years, the Air Resources Board has recognized that several types of generation and processes provide benefits to the State that outweigh the costs of any greenhouse gas emissions that the resources may emit.  This has resulted in ARB exempting specific types of resources from GHG compliance obligations</w:t>
      </w:r>
      <w:r>
        <w:rPr>
          <w:rFonts w:ascii="Times New Roman" w:eastAsiaTheme="minorHAnsi" w:hAnsi="Times New Roman" w:cs="Times New Roman"/>
        </w:rPr>
        <w:t xml:space="preserve"> including </w:t>
      </w:r>
      <w:r w:rsidRPr="00025148">
        <w:rPr>
          <w:rFonts w:ascii="Times New Roman" w:eastAsiaTheme="minorHAnsi" w:hAnsi="Times New Roman" w:cs="Times New Roman"/>
        </w:rPr>
        <w:t xml:space="preserve">resources </w:t>
      </w:r>
      <w:r>
        <w:rPr>
          <w:rFonts w:ascii="Times New Roman" w:eastAsiaTheme="minorHAnsi" w:hAnsi="Times New Roman" w:cs="Times New Roman"/>
        </w:rPr>
        <w:t xml:space="preserve">that </w:t>
      </w:r>
      <w:r w:rsidRPr="00025148">
        <w:rPr>
          <w:rFonts w:ascii="Times New Roman" w:eastAsiaTheme="minorHAnsi" w:hAnsi="Times New Roman" w:cs="Times New Roman"/>
        </w:rPr>
        <w:t>are considered green technologies.  Unfortunately, the ARB has not included solar generation in this list</w:t>
      </w:r>
      <w:r w:rsidR="003C604E">
        <w:rPr>
          <w:rFonts w:ascii="Times New Roman" w:eastAsiaTheme="minorHAnsi" w:hAnsi="Times New Roman" w:cs="Times New Roman"/>
        </w:rPr>
        <w:t xml:space="preserve"> of exemptions</w:t>
      </w:r>
      <w:r w:rsidRPr="00025148">
        <w:rPr>
          <w:rFonts w:ascii="Times New Roman" w:eastAsiaTheme="minorHAnsi" w:hAnsi="Times New Roman" w:cs="Times New Roman"/>
        </w:rPr>
        <w:t>.</w:t>
      </w:r>
      <w:r>
        <w:rPr>
          <w:rFonts w:ascii="Times New Roman" w:eastAsiaTheme="minorHAnsi" w:hAnsi="Times New Roman" w:cs="Times New Roman"/>
        </w:rPr>
        <w:t xml:space="preserve"> As a result facilities with overall GHG benefits are incurring a compliance obligation</w:t>
      </w:r>
      <w:r w:rsidR="0053083A">
        <w:rPr>
          <w:rFonts w:ascii="Times New Roman" w:eastAsiaTheme="minorHAnsi" w:hAnsi="Times New Roman" w:cs="Times New Roman"/>
        </w:rPr>
        <w:t>. This compliance obligation</w:t>
      </w:r>
      <w:r w:rsidRPr="00025148">
        <w:rPr>
          <w:rFonts w:ascii="Times New Roman" w:eastAsiaTheme="minorHAnsi" w:hAnsi="Times New Roman" w:cs="Times New Roman"/>
        </w:rPr>
        <w:t xml:space="preserve"> </w:t>
      </w:r>
      <w:r w:rsidR="0053083A">
        <w:rPr>
          <w:rFonts w:ascii="Times New Roman" w:eastAsiaTheme="minorHAnsi" w:hAnsi="Times New Roman" w:cs="Times New Roman"/>
        </w:rPr>
        <w:t>increases the cost of generating renewable generated within the state and could potentially decrease the amount of renewable energy generate</w:t>
      </w:r>
      <w:r w:rsidR="003C604E">
        <w:rPr>
          <w:rFonts w:ascii="Times New Roman" w:eastAsiaTheme="minorHAnsi" w:hAnsi="Times New Roman" w:cs="Times New Roman"/>
        </w:rPr>
        <w:t>d</w:t>
      </w:r>
      <w:r w:rsidR="0053083A">
        <w:rPr>
          <w:rFonts w:ascii="Times New Roman" w:eastAsiaTheme="minorHAnsi" w:hAnsi="Times New Roman" w:cs="Times New Roman"/>
        </w:rPr>
        <w:t xml:space="preserve"> at these sites.</w:t>
      </w:r>
    </w:p>
    <w:p w:rsidR="00025148" w:rsidRPr="00025148" w:rsidRDefault="00025148" w:rsidP="0053083A">
      <w:pPr>
        <w:spacing w:after="200" w:line="276" w:lineRule="auto"/>
        <w:ind w:firstLine="720"/>
        <w:rPr>
          <w:rFonts w:ascii="Times New Roman" w:eastAsiaTheme="minorHAnsi" w:hAnsi="Times New Roman" w:cs="Times New Roman"/>
          <w:color w:val="000000" w:themeColor="text1"/>
        </w:rPr>
      </w:pPr>
      <w:r w:rsidRPr="00025148">
        <w:rPr>
          <w:rFonts w:ascii="Times New Roman" w:eastAsiaTheme="minorHAnsi" w:hAnsi="Times New Roman" w:cs="Times New Roman"/>
          <w:color w:val="000000" w:themeColor="text1"/>
        </w:rPr>
        <w:t xml:space="preserve">Additionally, in-state and out-of-state renewable generation </w:t>
      </w:r>
      <w:r w:rsidR="0053083A">
        <w:rPr>
          <w:rFonts w:ascii="Times New Roman" w:eastAsiaTheme="minorHAnsi" w:hAnsi="Times New Roman" w:cs="Times New Roman"/>
          <w:color w:val="000000" w:themeColor="text1"/>
        </w:rPr>
        <w:t xml:space="preserve">facilities </w:t>
      </w:r>
      <w:r w:rsidRPr="00025148">
        <w:rPr>
          <w:rFonts w:ascii="Times New Roman" w:eastAsiaTheme="minorHAnsi" w:hAnsi="Times New Roman" w:cs="Times New Roman"/>
          <w:color w:val="000000" w:themeColor="text1"/>
        </w:rPr>
        <w:t xml:space="preserve">are not being treated equally under ARB’s current version of the regulations. Out-of-state renewable energy is not assessed any carbon liability associated with the delivery of that power to the California grid. These transactions are </w:t>
      </w:r>
      <w:r w:rsidR="003C604E">
        <w:rPr>
          <w:rFonts w:ascii="Times New Roman" w:eastAsiaTheme="minorHAnsi" w:hAnsi="Times New Roman" w:cs="Times New Roman"/>
          <w:color w:val="000000" w:themeColor="text1"/>
        </w:rPr>
        <w:t xml:space="preserve">even </w:t>
      </w:r>
      <w:r w:rsidRPr="00025148">
        <w:rPr>
          <w:rFonts w:ascii="Times New Roman" w:eastAsiaTheme="minorHAnsi" w:hAnsi="Times New Roman" w:cs="Times New Roman"/>
          <w:color w:val="000000" w:themeColor="text1"/>
        </w:rPr>
        <w:t xml:space="preserve">given a credit for GHG liability equal to the </w:t>
      </w:r>
      <w:r w:rsidR="003C604E">
        <w:rPr>
          <w:rFonts w:ascii="Times New Roman" w:eastAsiaTheme="minorHAnsi" w:hAnsi="Times New Roman" w:cs="Times New Roman"/>
          <w:color w:val="000000" w:themeColor="text1"/>
        </w:rPr>
        <w:t xml:space="preserve">MRR </w:t>
      </w:r>
      <w:r w:rsidRPr="00025148">
        <w:rPr>
          <w:rFonts w:ascii="Times New Roman" w:eastAsiaTheme="minorHAnsi" w:hAnsi="Times New Roman" w:cs="Times New Roman"/>
          <w:color w:val="000000" w:themeColor="text1"/>
        </w:rPr>
        <w:t xml:space="preserve">default emissions rate </w:t>
      </w:r>
      <w:r w:rsidR="003C604E">
        <w:rPr>
          <w:rFonts w:ascii="Times New Roman" w:eastAsiaTheme="minorHAnsi" w:hAnsi="Times New Roman" w:cs="Times New Roman"/>
          <w:color w:val="000000" w:themeColor="text1"/>
        </w:rPr>
        <w:t xml:space="preserve">against the fossil generation used to deliver RECs into the state. </w:t>
      </w:r>
      <w:r w:rsidRPr="00025148">
        <w:rPr>
          <w:rFonts w:ascii="Times New Roman" w:eastAsiaTheme="minorHAnsi" w:hAnsi="Times New Roman" w:cs="Times New Roman"/>
          <w:color w:val="000000" w:themeColor="text1"/>
        </w:rPr>
        <w:t xml:space="preserve">In-state renewable generation is not treated equally in this respect. Although the source of the emissions is not always the same for both generating sources, the same standard should be applied equally. The same reasons used to allow out-of-state renewable generation to enjoy an “RPS adjustment” in their GHG liability calculation should apply to in-state generation and should also be credited under their compliance calculation. They are both delivering RECs into the California RPS.   </w:t>
      </w:r>
    </w:p>
    <w:p w:rsidR="000E6706" w:rsidRDefault="004738F8" w:rsidP="000E6706">
      <w:pPr>
        <w:spacing w:after="200" w:line="276" w:lineRule="auto"/>
        <w:ind w:firstLine="360"/>
        <w:rPr>
          <w:rFonts w:ascii="Times New Roman" w:eastAsiaTheme="minorHAnsi" w:hAnsi="Times New Roman" w:cs="Times New Roman"/>
        </w:rPr>
      </w:pPr>
      <w:proofErr w:type="spellStart"/>
      <w:r>
        <w:rPr>
          <w:rFonts w:ascii="Times New Roman" w:eastAsiaTheme="minorHAnsi" w:hAnsi="Times New Roman" w:cs="Times New Roman"/>
        </w:rPr>
        <w:t>Next</w:t>
      </w:r>
      <w:r w:rsidR="00A33460">
        <w:rPr>
          <w:rFonts w:ascii="Times New Roman" w:eastAsiaTheme="minorHAnsi" w:hAnsi="Times New Roman" w:cs="Times New Roman"/>
        </w:rPr>
        <w:t>E</w:t>
      </w:r>
      <w:r>
        <w:rPr>
          <w:rFonts w:ascii="Times New Roman" w:eastAsiaTheme="minorHAnsi" w:hAnsi="Times New Roman" w:cs="Times New Roman"/>
        </w:rPr>
        <w:t>ra</w:t>
      </w:r>
      <w:proofErr w:type="spellEnd"/>
      <w:r>
        <w:rPr>
          <w:rFonts w:ascii="Times New Roman" w:eastAsiaTheme="minorHAnsi" w:hAnsi="Times New Roman" w:cs="Times New Roman"/>
        </w:rPr>
        <w:t xml:space="preserve"> is</w:t>
      </w:r>
      <w:r w:rsidR="00025148" w:rsidRPr="00025148">
        <w:rPr>
          <w:rFonts w:ascii="Times New Roman" w:eastAsiaTheme="minorHAnsi" w:hAnsi="Times New Roman" w:cs="Times New Roman"/>
        </w:rPr>
        <w:t xml:space="preserve"> asking that ARB recognize the many benefits of solar generation and the fact that a solar generation facility generates green energy which benefits California.  Specifically, we would like solar generation to be added to the list of resources that is exempt from complying with a GHG emission obligation.</w:t>
      </w:r>
      <w:r w:rsidR="000E6706">
        <w:rPr>
          <w:rFonts w:ascii="Times New Roman" w:eastAsiaTheme="minorHAnsi" w:hAnsi="Times New Roman" w:cs="Times New Roman"/>
        </w:rPr>
        <w:t xml:space="preserve"> </w:t>
      </w:r>
      <w:r w:rsidR="00025148" w:rsidRPr="00025148">
        <w:rPr>
          <w:rFonts w:ascii="Times New Roman" w:eastAsiaTheme="minorHAnsi" w:hAnsi="Times New Roman" w:cs="Times New Roman"/>
        </w:rPr>
        <w:t xml:space="preserve">A solar facility </w:t>
      </w:r>
      <w:r w:rsidR="000E6706">
        <w:rPr>
          <w:rFonts w:ascii="Times New Roman" w:eastAsiaTheme="minorHAnsi" w:hAnsi="Times New Roman" w:cs="Times New Roman"/>
        </w:rPr>
        <w:t xml:space="preserve">with GHG emissions </w:t>
      </w:r>
      <w:r w:rsidR="00025148" w:rsidRPr="00025148">
        <w:rPr>
          <w:rFonts w:ascii="Times New Roman" w:eastAsiaTheme="minorHAnsi" w:hAnsi="Times New Roman" w:cs="Times New Roman"/>
        </w:rPr>
        <w:t>would still be required to report GHG emissions from their facility to the ARB.</w:t>
      </w:r>
      <w:r w:rsidR="000E6706">
        <w:rPr>
          <w:rFonts w:ascii="Times New Roman" w:eastAsiaTheme="minorHAnsi" w:hAnsi="Times New Roman" w:cs="Times New Roman"/>
        </w:rPr>
        <w:t xml:space="preserve"> This </w:t>
      </w:r>
      <w:r w:rsidR="00A33460">
        <w:rPr>
          <w:rFonts w:ascii="Times New Roman" w:eastAsiaTheme="minorHAnsi" w:hAnsi="Times New Roman" w:cs="Times New Roman"/>
        </w:rPr>
        <w:t xml:space="preserve">exemption from GHG liability for solar generation facilities </w:t>
      </w:r>
      <w:r w:rsidR="000E6706">
        <w:rPr>
          <w:rFonts w:ascii="Times New Roman" w:eastAsiaTheme="minorHAnsi" w:hAnsi="Times New Roman" w:cs="Times New Roman"/>
        </w:rPr>
        <w:t>can be accomplished by amending S</w:t>
      </w:r>
      <w:r w:rsidR="00025148" w:rsidRPr="00025148">
        <w:rPr>
          <w:rFonts w:ascii="Times New Roman" w:eastAsiaTheme="minorHAnsi" w:hAnsi="Times New Roman" w:cs="Times New Roman"/>
        </w:rPr>
        <w:t>ection § 95852.2</w:t>
      </w:r>
      <w:r w:rsidR="0053083A">
        <w:rPr>
          <w:rFonts w:ascii="Times New Roman" w:eastAsiaTheme="minorHAnsi" w:hAnsi="Times New Roman" w:cs="Times New Roman"/>
        </w:rPr>
        <w:t>(b)</w:t>
      </w:r>
      <w:r w:rsidR="00025148" w:rsidRPr="00025148">
        <w:rPr>
          <w:rFonts w:ascii="Times New Roman" w:eastAsiaTheme="minorHAnsi" w:hAnsi="Times New Roman" w:cs="Times New Roman"/>
        </w:rPr>
        <w:t xml:space="preserve"> of the ARB regulations </w:t>
      </w:r>
      <w:r w:rsidR="00A33460">
        <w:rPr>
          <w:rFonts w:ascii="Times New Roman" w:eastAsiaTheme="minorHAnsi" w:hAnsi="Times New Roman" w:cs="Times New Roman"/>
        </w:rPr>
        <w:t xml:space="preserve">to add </w:t>
      </w:r>
      <w:r w:rsidR="00025148" w:rsidRPr="00025148">
        <w:rPr>
          <w:rFonts w:ascii="Times New Roman" w:eastAsiaTheme="minorHAnsi" w:hAnsi="Times New Roman" w:cs="Times New Roman"/>
        </w:rPr>
        <w:t>solar generation</w:t>
      </w:r>
      <w:r w:rsidR="00A33460">
        <w:rPr>
          <w:rFonts w:ascii="Times New Roman" w:eastAsiaTheme="minorHAnsi" w:hAnsi="Times New Roman" w:cs="Times New Roman"/>
        </w:rPr>
        <w:t xml:space="preserve">. Specifically ARB should </w:t>
      </w:r>
      <w:r w:rsidR="0053083A">
        <w:rPr>
          <w:rFonts w:ascii="Times New Roman" w:eastAsiaTheme="minorHAnsi" w:hAnsi="Times New Roman" w:cs="Times New Roman"/>
        </w:rPr>
        <w:t xml:space="preserve">add </w:t>
      </w:r>
      <w:r w:rsidR="000E6706">
        <w:rPr>
          <w:rFonts w:ascii="Times New Roman" w:eastAsiaTheme="minorHAnsi" w:hAnsi="Times New Roman" w:cs="Times New Roman"/>
        </w:rPr>
        <w:t xml:space="preserve">a twelfth process to the list of exemptions. </w:t>
      </w:r>
    </w:p>
    <w:p w:rsidR="000E6706" w:rsidRDefault="0053083A" w:rsidP="000E6706">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 xml:space="preserve"> </w:t>
      </w:r>
    </w:p>
    <w:p w:rsidR="0053083A" w:rsidRDefault="000E6706" w:rsidP="0053083A">
      <w:pPr>
        <w:autoSpaceDE w:val="0"/>
        <w:autoSpaceDN w:val="0"/>
        <w:adjustRightInd w:val="0"/>
        <w:ind w:left="720"/>
        <w:rPr>
          <w:rFonts w:ascii="Times New Roman" w:eastAsiaTheme="minorHAnsi" w:hAnsi="Times New Roman" w:cs="Times New Roman"/>
          <w:u w:val="single"/>
        </w:rPr>
      </w:pPr>
      <w:r>
        <w:rPr>
          <w:rFonts w:ascii="Times New Roman" w:eastAsiaTheme="minorHAnsi" w:hAnsi="Times New Roman" w:cs="Times New Roman"/>
        </w:rPr>
        <w:t>95852.2 (b</w:t>
      </w:r>
      <w:proofErr w:type="gramStart"/>
      <w:r w:rsidRPr="000E6706">
        <w:rPr>
          <w:rFonts w:ascii="Times New Roman" w:eastAsiaTheme="minorHAnsi" w:hAnsi="Times New Roman" w:cs="Times New Roman"/>
        </w:rPr>
        <w:t>)</w:t>
      </w:r>
      <w:r w:rsidR="0053083A" w:rsidRPr="00025148">
        <w:rPr>
          <w:rFonts w:ascii="Times New Roman" w:eastAsiaTheme="minorHAnsi" w:hAnsi="Times New Roman" w:cs="Times New Roman"/>
          <w:u w:val="single"/>
        </w:rPr>
        <w:t>(</w:t>
      </w:r>
      <w:proofErr w:type="gramEnd"/>
      <w:r w:rsidR="0053083A" w:rsidRPr="00025148">
        <w:rPr>
          <w:rFonts w:ascii="Times New Roman" w:eastAsiaTheme="minorHAnsi" w:hAnsi="Times New Roman" w:cs="Times New Roman"/>
          <w:u w:val="single"/>
        </w:rPr>
        <w:t xml:space="preserve">12) </w:t>
      </w:r>
      <w:r w:rsidRPr="000E6706">
        <w:rPr>
          <w:rFonts w:ascii="Times New Roman" w:eastAsiaTheme="minorHAnsi" w:hAnsi="Times New Roman" w:cs="Times New Roman"/>
          <w:u w:val="single"/>
        </w:rPr>
        <w:t>“</w:t>
      </w:r>
      <w:r w:rsidR="0053083A" w:rsidRPr="00025148">
        <w:rPr>
          <w:rFonts w:ascii="Times New Roman" w:eastAsiaTheme="minorHAnsi" w:hAnsi="Times New Roman" w:cs="Times New Roman"/>
          <w:u w:val="single"/>
        </w:rPr>
        <w:t>Emissions from solar electric generating units and facilities.</w:t>
      </w:r>
      <w:r w:rsidRPr="000E6706">
        <w:rPr>
          <w:rFonts w:ascii="Times New Roman" w:eastAsiaTheme="minorHAnsi" w:hAnsi="Times New Roman" w:cs="Times New Roman"/>
          <w:u w:val="single"/>
        </w:rPr>
        <w:t>”</w:t>
      </w:r>
    </w:p>
    <w:p w:rsidR="00787D88" w:rsidRDefault="00787D88" w:rsidP="00787D88">
      <w:pPr>
        <w:autoSpaceDE w:val="0"/>
        <w:autoSpaceDN w:val="0"/>
        <w:adjustRightInd w:val="0"/>
        <w:rPr>
          <w:rFonts w:ascii="Times New Roman" w:eastAsiaTheme="minorHAnsi" w:hAnsi="Times New Roman" w:cs="Times New Roman"/>
        </w:rPr>
      </w:pPr>
    </w:p>
    <w:p w:rsidR="00787D88" w:rsidRPr="00CF7964" w:rsidRDefault="00787D88" w:rsidP="00787D88">
      <w:pPr>
        <w:autoSpaceDE w:val="0"/>
        <w:autoSpaceDN w:val="0"/>
        <w:adjustRightInd w:val="0"/>
        <w:rPr>
          <w:rFonts w:ascii="Times New Roman" w:eastAsiaTheme="minorHAnsi" w:hAnsi="Times New Roman" w:cs="Times New Roman"/>
          <w:u w:val="single"/>
        </w:rPr>
      </w:pPr>
      <w:r w:rsidRPr="00CF7964">
        <w:rPr>
          <w:rFonts w:ascii="Times New Roman" w:eastAsiaTheme="minorHAnsi" w:hAnsi="Times New Roman" w:cs="Times New Roman"/>
          <w:b/>
          <w:u w:val="single"/>
        </w:rPr>
        <w:t xml:space="preserve">The modification or removal of additional </w:t>
      </w:r>
      <w:r w:rsidR="004738F8" w:rsidRPr="00CF7964">
        <w:rPr>
          <w:rFonts w:ascii="Times New Roman" w:eastAsiaTheme="minorHAnsi" w:hAnsi="Times New Roman" w:cs="Times New Roman"/>
          <w:b/>
          <w:u w:val="single"/>
        </w:rPr>
        <w:t xml:space="preserve">disclosure of information </w:t>
      </w:r>
      <w:r w:rsidRPr="00CF7964">
        <w:rPr>
          <w:rFonts w:ascii="Times New Roman" w:eastAsiaTheme="minorHAnsi" w:hAnsi="Times New Roman" w:cs="Times New Roman"/>
          <w:b/>
          <w:u w:val="single"/>
        </w:rPr>
        <w:t xml:space="preserve">in CITSS </w:t>
      </w:r>
      <w:r w:rsidR="00CF7964">
        <w:rPr>
          <w:rFonts w:ascii="Times New Roman" w:eastAsiaTheme="minorHAnsi" w:hAnsi="Times New Roman" w:cs="Times New Roman"/>
          <w:b/>
          <w:u w:val="single"/>
        </w:rPr>
        <w:t>registration</w:t>
      </w:r>
    </w:p>
    <w:p w:rsidR="004738F8" w:rsidRDefault="004738F8" w:rsidP="00787D88">
      <w:pPr>
        <w:autoSpaceDE w:val="0"/>
        <w:autoSpaceDN w:val="0"/>
        <w:adjustRightInd w:val="0"/>
        <w:rPr>
          <w:rFonts w:ascii="Times New Roman" w:eastAsiaTheme="minorHAnsi" w:hAnsi="Times New Roman" w:cs="Times New Roman"/>
        </w:rPr>
      </w:pPr>
    </w:p>
    <w:p w:rsidR="00480FE4" w:rsidRPr="00480FE4" w:rsidRDefault="004738F8" w:rsidP="00C10458">
      <w:pPr>
        <w:autoSpaceDE w:val="0"/>
        <w:autoSpaceDN w:val="0"/>
        <w:adjustRightInd w:val="0"/>
        <w:spacing w:after="200" w:line="276" w:lineRule="auto"/>
        <w:rPr>
          <w:rFonts w:ascii="Times New Roman" w:eastAsiaTheme="minorHAnsi" w:hAnsi="Times New Roman" w:cs="Times New Roman"/>
        </w:rPr>
      </w:pPr>
      <w:r>
        <w:rPr>
          <w:rFonts w:ascii="Times New Roman" w:eastAsiaTheme="minorHAnsi" w:hAnsi="Times New Roman" w:cs="Times New Roman"/>
        </w:rPr>
        <w:tab/>
        <w:t xml:space="preserve">ARB staff is proposing the addition of more registration requirements within CITSS. While </w:t>
      </w:r>
      <w:proofErr w:type="spellStart"/>
      <w:r>
        <w:rPr>
          <w:rFonts w:ascii="Times New Roman" w:eastAsiaTheme="minorHAnsi" w:hAnsi="Times New Roman" w:cs="Times New Roman"/>
        </w:rPr>
        <w:t>NextEra</w:t>
      </w:r>
      <w:proofErr w:type="spellEnd"/>
      <w:r>
        <w:rPr>
          <w:rFonts w:ascii="Times New Roman" w:eastAsiaTheme="minorHAnsi" w:hAnsi="Times New Roman" w:cs="Times New Roman"/>
        </w:rPr>
        <w:t xml:space="preserve"> understands the intent is to prevent manipulation of the market, some of the requirements are in our view extremely burdensome not only to report</w:t>
      </w:r>
      <w:r w:rsidR="00480FE4">
        <w:rPr>
          <w:rFonts w:ascii="Times New Roman" w:eastAsiaTheme="minorHAnsi" w:hAnsi="Times New Roman" w:cs="Times New Roman"/>
        </w:rPr>
        <w:t xml:space="preserve"> the required information</w:t>
      </w:r>
      <w:r>
        <w:rPr>
          <w:rFonts w:ascii="Times New Roman" w:eastAsiaTheme="minorHAnsi" w:hAnsi="Times New Roman" w:cs="Times New Roman"/>
        </w:rPr>
        <w:t xml:space="preserve"> but also to maintain </w:t>
      </w:r>
      <w:r w:rsidR="00480FE4">
        <w:rPr>
          <w:rFonts w:ascii="Times New Roman" w:eastAsiaTheme="minorHAnsi" w:hAnsi="Times New Roman" w:cs="Times New Roman"/>
        </w:rPr>
        <w:t>the information</w:t>
      </w:r>
      <w:r w:rsidR="003C604E">
        <w:rPr>
          <w:rFonts w:ascii="Times New Roman" w:eastAsiaTheme="minorHAnsi" w:hAnsi="Times New Roman" w:cs="Times New Roman"/>
        </w:rPr>
        <w:t xml:space="preserve"> accurately</w:t>
      </w:r>
      <w:r w:rsidRPr="00480FE4">
        <w:rPr>
          <w:rFonts w:ascii="Times New Roman" w:eastAsiaTheme="minorHAnsi" w:hAnsi="Times New Roman" w:cs="Times New Roman"/>
        </w:rPr>
        <w:t xml:space="preserve">. </w:t>
      </w:r>
      <w:r w:rsidR="003C604E">
        <w:rPr>
          <w:rFonts w:ascii="Times New Roman" w:eastAsiaTheme="minorHAnsi" w:hAnsi="Times New Roman" w:cs="Times New Roman"/>
        </w:rPr>
        <w:t>T</w:t>
      </w:r>
      <w:r w:rsidR="00480FE4">
        <w:rPr>
          <w:rFonts w:ascii="Times New Roman" w:eastAsiaTheme="minorHAnsi" w:hAnsi="Times New Roman" w:cs="Times New Roman"/>
        </w:rPr>
        <w:t xml:space="preserve">here are two </w:t>
      </w:r>
      <w:r w:rsidR="003C604E">
        <w:rPr>
          <w:rFonts w:ascii="Times New Roman" w:eastAsiaTheme="minorHAnsi" w:hAnsi="Times New Roman" w:cs="Times New Roman"/>
        </w:rPr>
        <w:t xml:space="preserve">specific </w:t>
      </w:r>
      <w:r w:rsidR="00480FE4">
        <w:rPr>
          <w:rFonts w:ascii="Times New Roman" w:eastAsiaTheme="minorHAnsi" w:hAnsi="Times New Roman" w:cs="Times New Roman"/>
        </w:rPr>
        <w:t xml:space="preserve">proposed revisions </w:t>
      </w:r>
      <w:proofErr w:type="spellStart"/>
      <w:r w:rsidR="00480FE4">
        <w:rPr>
          <w:rFonts w:ascii="Times New Roman" w:eastAsiaTheme="minorHAnsi" w:hAnsi="Times New Roman" w:cs="Times New Roman"/>
        </w:rPr>
        <w:t>NextEra</w:t>
      </w:r>
      <w:proofErr w:type="spellEnd"/>
      <w:r w:rsidR="00480FE4">
        <w:rPr>
          <w:rFonts w:ascii="Times New Roman" w:eastAsiaTheme="minorHAnsi" w:hAnsi="Times New Roman" w:cs="Times New Roman"/>
        </w:rPr>
        <w:t xml:space="preserve"> feels add unnecessary complexity to the registration process.</w:t>
      </w:r>
    </w:p>
    <w:p w:rsidR="00480FE4" w:rsidRPr="00480FE4" w:rsidRDefault="00480FE4" w:rsidP="00C10458">
      <w:pPr>
        <w:pStyle w:val="ListParagraph"/>
        <w:autoSpaceDE w:val="0"/>
        <w:autoSpaceDN w:val="0"/>
        <w:adjustRightInd w:val="0"/>
        <w:spacing w:after="200" w:line="276" w:lineRule="auto"/>
        <w:rPr>
          <w:rFonts w:ascii="Times New Roman" w:eastAsiaTheme="minorHAnsi" w:hAnsi="Times New Roman" w:cs="Times New Roman"/>
          <w:color w:val="4F81BD" w:themeColor="accent1"/>
        </w:rPr>
      </w:pPr>
    </w:p>
    <w:p w:rsidR="004738F8" w:rsidRDefault="00480FE4" w:rsidP="00C10458">
      <w:pPr>
        <w:autoSpaceDE w:val="0"/>
        <w:autoSpaceDN w:val="0"/>
        <w:adjustRightInd w:val="0"/>
        <w:spacing w:after="200" w:line="276" w:lineRule="auto"/>
        <w:ind w:firstLine="720"/>
        <w:rPr>
          <w:rFonts w:ascii="Times New Roman" w:eastAsiaTheme="minorHAnsi" w:hAnsi="Times New Roman" w:cs="Times New Roman"/>
        </w:rPr>
      </w:pPr>
      <w:r>
        <w:rPr>
          <w:rFonts w:ascii="Times New Roman" w:eastAsiaTheme="minorHAnsi" w:hAnsi="Times New Roman" w:cs="Times New Roman"/>
        </w:rPr>
        <w:t>First, t</w:t>
      </w:r>
      <w:r w:rsidR="004738F8" w:rsidRPr="00480FE4">
        <w:rPr>
          <w:rFonts w:ascii="Times New Roman" w:eastAsiaTheme="minorHAnsi" w:hAnsi="Times New Roman" w:cs="Times New Roman"/>
        </w:rPr>
        <w:t xml:space="preserve">he proposed modifications to </w:t>
      </w:r>
      <w:r w:rsidR="004738F8" w:rsidRPr="00712439">
        <w:rPr>
          <w:rFonts w:ascii="Times New Roman" w:eastAsiaTheme="minorHAnsi" w:hAnsi="Times New Roman" w:cs="Times New Roman"/>
          <w:b/>
        </w:rPr>
        <w:t>Section</w:t>
      </w:r>
      <w:r w:rsidR="007051D6">
        <w:rPr>
          <w:rFonts w:ascii="Times New Roman" w:eastAsiaTheme="minorHAnsi" w:hAnsi="Times New Roman" w:cs="Times New Roman"/>
          <w:b/>
        </w:rPr>
        <w:t xml:space="preserve">s </w:t>
      </w:r>
      <w:r w:rsidR="004738F8" w:rsidRPr="00712439">
        <w:rPr>
          <w:rFonts w:ascii="Times New Roman" w:eastAsiaTheme="minorHAnsi" w:hAnsi="Times New Roman" w:cs="Times New Roman"/>
          <w:b/>
        </w:rPr>
        <w:t>95830</w:t>
      </w:r>
      <w:r w:rsidR="007051D6">
        <w:rPr>
          <w:rFonts w:ascii="Times New Roman" w:eastAsiaTheme="minorHAnsi" w:hAnsi="Times New Roman" w:cs="Times New Roman"/>
          <w:b/>
        </w:rPr>
        <w:t xml:space="preserve"> and 95833 </w:t>
      </w:r>
      <w:r>
        <w:rPr>
          <w:rFonts w:ascii="Times New Roman" w:eastAsiaTheme="minorHAnsi" w:hAnsi="Times New Roman" w:cs="Times New Roman"/>
        </w:rPr>
        <w:t xml:space="preserve">to </w:t>
      </w:r>
      <w:r w:rsidRPr="00480FE4">
        <w:rPr>
          <w:rFonts w:ascii="Times New Roman" w:eastAsiaTheme="minorHAnsi" w:hAnsi="Times New Roman" w:cs="Times New Roman"/>
        </w:rPr>
        <w:t>req</w:t>
      </w:r>
      <w:r w:rsidR="004738F8" w:rsidRPr="00480FE4">
        <w:rPr>
          <w:rFonts w:ascii="Times New Roman" w:eastAsiaTheme="minorHAnsi" w:hAnsi="Times New Roman" w:cs="Times New Roman"/>
        </w:rPr>
        <w:t>uire</w:t>
      </w:r>
      <w:r>
        <w:rPr>
          <w:rFonts w:ascii="Times New Roman" w:eastAsiaTheme="minorHAnsi" w:hAnsi="Times New Roman" w:cs="Times New Roman"/>
        </w:rPr>
        <w:t xml:space="preserve"> </w:t>
      </w:r>
      <w:r w:rsidR="004738F8" w:rsidRPr="00480FE4">
        <w:rPr>
          <w:rFonts w:ascii="Times New Roman" w:eastAsiaTheme="minorHAnsi" w:hAnsi="Times New Roman" w:cs="Times New Roman"/>
        </w:rPr>
        <w:t>all corporate association</w:t>
      </w:r>
      <w:r>
        <w:rPr>
          <w:rFonts w:ascii="Times New Roman" w:eastAsiaTheme="minorHAnsi" w:hAnsi="Times New Roman" w:cs="Times New Roman"/>
        </w:rPr>
        <w:t>s</w:t>
      </w:r>
      <w:r w:rsidR="004738F8" w:rsidRPr="00480FE4">
        <w:rPr>
          <w:rFonts w:ascii="Times New Roman" w:eastAsiaTheme="minorHAnsi" w:hAnsi="Times New Roman" w:cs="Times New Roman"/>
        </w:rPr>
        <w:t xml:space="preserve"> </w:t>
      </w:r>
      <w:r w:rsidR="003C604E">
        <w:rPr>
          <w:rFonts w:ascii="Times New Roman" w:eastAsiaTheme="minorHAnsi" w:hAnsi="Times New Roman" w:cs="Times New Roman"/>
        </w:rPr>
        <w:t xml:space="preserve">to </w:t>
      </w:r>
      <w:r w:rsidR="004738F8" w:rsidRPr="00480FE4">
        <w:rPr>
          <w:rFonts w:ascii="Times New Roman" w:eastAsiaTheme="minorHAnsi" w:hAnsi="Times New Roman" w:cs="Times New Roman"/>
        </w:rPr>
        <w:t xml:space="preserve">be disclosed in CITSS regardless of </w:t>
      </w:r>
      <w:r>
        <w:rPr>
          <w:rFonts w:ascii="Times New Roman" w:eastAsiaTheme="minorHAnsi" w:hAnsi="Times New Roman" w:cs="Times New Roman"/>
        </w:rPr>
        <w:t xml:space="preserve">that entities </w:t>
      </w:r>
      <w:r w:rsidRPr="00480FE4">
        <w:rPr>
          <w:rFonts w:ascii="Times New Roman" w:eastAsiaTheme="minorHAnsi" w:hAnsi="Times New Roman" w:cs="Times New Roman"/>
        </w:rPr>
        <w:t xml:space="preserve">participation in the </w:t>
      </w:r>
      <w:r w:rsidR="004738F8" w:rsidRPr="00480FE4">
        <w:rPr>
          <w:rFonts w:ascii="Times New Roman" w:eastAsiaTheme="minorHAnsi" w:hAnsi="Times New Roman" w:cs="Times New Roman"/>
        </w:rPr>
        <w:t>Califor</w:t>
      </w:r>
      <w:r w:rsidRPr="00480FE4">
        <w:rPr>
          <w:rFonts w:ascii="Times New Roman" w:eastAsiaTheme="minorHAnsi" w:hAnsi="Times New Roman" w:cs="Times New Roman"/>
        </w:rPr>
        <w:t>nia GHG cap and trade program.</w:t>
      </w:r>
      <w:r w:rsidR="004801C5">
        <w:rPr>
          <w:rFonts w:ascii="Times New Roman" w:eastAsiaTheme="minorHAnsi" w:hAnsi="Times New Roman" w:cs="Times New Roman"/>
        </w:rPr>
        <w:t xml:space="preserve"> It is understandable that ARB would like to obtain a complete picture of all corporate relationships in order to prevent any type of market manipulation. It is also apparent that this requirement could be burdensome to reporting entities to not only collect and enter the information but also to maintain </w:t>
      </w:r>
      <w:r w:rsidR="003C604E">
        <w:rPr>
          <w:rFonts w:ascii="Times New Roman" w:eastAsiaTheme="minorHAnsi" w:hAnsi="Times New Roman" w:cs="Times New Roman"/>
        </w:rPr>
        <w:t>the list</w:t>
      </w:r>
      <w:r w:rsidR="004801C5">
        <w:rPr>
          <w:rFonts w:ascii="Times New Roman" w:eastAsiaTheme="minorHAnsi" w:hAnsi="Times New Roman" w:cs="Times New Roman"/>
        </w:rPr>
        <w:t xml:space="preserve">. Some larger companies could literally have hundreds if not thousands of corporate associations that include limited liability corporations (LLC) with common ownership. All of those LLC’s would have to be identified and unraveled. </w:t>
      </w:r>
      <w:r w:rsidR="00A72C86">
        <w:rPr>
          <w:rFonts w:ascii="Times New Roman" w:eastAsiaTheme="minorHAnsi" w:hAnsi="Times New Roman" w:cs="Times New Roman"/>
        </w:rPr>
        <w:t xml:space="preserve">Relationships that are not at the disposal of the reporting business unit or operational unit would have to be researched in detail and all pertinent information disclosed. </w:t>
      </w:r>
      <w:r w:rsidR="0013386A">
        <w:rPr>
          <w:rFonts w:ascii="Times New Roman" w:eastAsiaTheme="minorHAnsi" w:hAnsi="Times New Roman" w:cs="Times New Roman"/>
        </w:rPr>
        <w:t>While this requirement is well intentioned</w:t>
      </w:r>
      <w:r w:rsidR="00712439">
        <w:rPr>
          <w:rFonts w:ascii="Times New Roman" w:eastAsiaTheme="minorHAnsi" w:hAnsi="Times New Roman" w:cs="Times New Roman"/>
        </w:rPr>
        <w:t>,</w:t>
      </w:r>
      <w:r w:rsidR="0013386A">
        <w:rPr>
          <w:rFonts w:ascii="Times New Roman" w:eastAsiaTheme="minorHAnsi" w:hAnsi="Times New Roman" w:cs="Times New Roman"/>
        </w:rPr>
        <w:t xml:space="preserve"> it is in our opinion overly burdensome and potentially problematic. The </w:t>
      </w:r>
      <w:r w:rsidR="00712439">
        <w:rPr>
          <w:rFonts w:ascii="Times New Roman" w:eastAsiaTheme="minorHAnsi" w:hAnsi="Times New Roman" w:cs="Times New Roman"/>
        </w:rPr>
        <w:t>frequencies</w:t>
      </w:r>
      <w:r w:rsidR="0013386A">
        <w:rPr>
          <w:rFonts w:ascii="Times New Roman" w:eastAsiaTheme="minorHAnsi" w:hAnsi="Times New Roman" w:cs="Times New Roman"/>
        </w:rPr>
        <w:t xml:space="preserve"> at which corporate association change and variety of these relationships in </w:t>
      </w:r>
      <w:r w:rsidR="00712439">
        <w:rPr>
          <w:rFonts w:ascii="Times New Roman" w:eastAsiaTheme="minorHAnsi" w:hAnsi="Times New Roman" w:cs="Times New Roman"/>
        </w:rPr>
        <w:t xml:space="preserve">corporate setting make this requirement administratively challenging. </w:t>
      </w:r>
      <w:r w:rsidR="004801C5">
        <w:rPr>
          <w:rFonts w:ascii="Times New Roman" w:eastAsiaTheme="minorHAnsi" w:hAnsi="Times New Roman" w:cs="Times New Roman"/>
        </w:rPr>
        <w:t xml:space="preserve"> </w:t>
      </w:r>
      <w:r w:rsidR="00712439">
        <w:rPr>
          <w:rFonts w:ascii="Times New Roman" w:eastAsiaTheme="minorHAnsi" w:hAnsi="Times New Roman" w:cs="Times New Roman"/>
        </w:rPr>
        <w:t>We recommend ARB not change the current requirement and only require the disclosure of relationships with entities participating in the program.</w:t>
      </w:r>
    </w:p>
    <w:p w:rsidR="00712439" w:rsidRDefault="00712439" w:rsidP="00C10458">
      <w:pPr>
        <w:autoSpaceDE w:val="0"/>
        <w:autoSpaceDN w:val="0"/>
        <w:adjustRightInd w:val="0"/>
        <w:spacing w:after="200" w:line="276" w:lineRule="auto"/>
        <w:ind w:firstLine="720"/>
        <w:rPr>
          <w:rFonts w:ascii="Times New Roman" w:eastAsiaTheme="minorHAnsi" w:hAnsi="Times New Roman" w:cs="Times New Roman"/>
        </w:rPr>
      </w:pPr>
    </w:p>
    <w:p w:rsidR="00CF7964" w:rsidRDefault="00712439" w:rsidP="00C10458">
      <w:pPr>
        <w:autoSpaceDE w:val="0"/>
        <w:autoSpaceDN w:val="0"/>
        <w:adjustRightInd w:val="0"/>
        <w:spacing w:after="200" w:line="276" w:lineRule="auto"/>
        <w:ind w:firstLine="720"/>
        <w:rPr>
          <w:rFonts w:ascii="Times New Roman" w:eastAsiaTheme="minorHAnsi" w:hAnsi="Times New Roman" w:cs="Times New Roman"/>
        </w:rPr>
      </w:pPr>
      <w:r>
        <w:rPr>
          <w:rFonts w:ascii="Times New Roman" w:eastAsiaTheme="minorHAnsi" w:hAnsi="Times New Roman" w:cs="Times New Roman"/>
        </w:rPr>
        <w:t xml:space="preserve">Second, ARB has proposed in their discussion draft the modification of </w:t>
      </w:r>
      <w:r w:rsidRPr="00712439">
        <w:rPr>
          <w:rFonts w:ascii="Times New Roman" w:eastAsiaTheme="minorHAnsi" w:hAnsi="Times New Roman" w:cs="Times New Roman"/>
          <w:b/>
        </w:rPr>
        <w:t xml:space="preserve">Section </w:t>
      </w:r>
      <w:proofErr w:type="gramStart"/>
      <w:r w:rsidRPr="00712439">
        <w:rPr>
          <w:rFonts w:ascii="Times New Roman" w:eastAsiaTheme="minorHAnsi" w:hAnsi="Times New Roman" w:cs="Times New Roman"/>
          <w:b/>
        </w:rPr>
        <w:t>95830</w:t>
      </w:r>
      <w:r w:rsidR="00CF7964">
        <w:rPr>
          <w:rFonts w:ascii="Times New Roman" w:eastAsiaTheme="minorHAnsi" w:hAnsi="Times New Roman" w:cs="Times New Roman"/>
          <w:b/>
        </w:rPr>
        <w:t>I</w:t>
      </w:r>
      <w:r w:rsidRPr="00712439">
        <w:rPr>
          <w:rFonts w:ascii="Times New Roman" w:eastAsiaTheme="minorHAnsi" w:hAnsi="Times New Roman" w:cs="Times New Roman"/>
          <w:b/>
        </w:rPr>
        <w:t>(</w:t>
      </w:r>
      <w:proofErr w:type="gramEnd"/>
      <w:r w:rsidRPr="00712439">
        <w:rPr>
          <w:rFonts w:ascii="Times New Roman" w:eastAsiaTheme="minorHAnsi" w:hAnsi="Times New Roman" w:cs="Times New Roman"/>
          <w:b/>
        </w:rPr>
        <w:t>1)(I)</w:t>
      </w:r>
      <w:r>
        <w:rPr>
          <w:rFonts w:ascii="Times New Roman" w:eastAsiaTheme="minorHAnsi" w:hAnsi="Times New Roman" w:cs="Times New Roman"/>
          <w:b/>
        </w:rPr>
        <w:t xml:space="preserve"> </w:t>
      </w:r>
      <w:r>
        <w:rPr>
          <w:rFonts w:ascii="Times New Roman" w:eastAsiaTheme="minorHAnsi" w:hAnsi="Times New Roman" w:cs="Times New Roman"/>
        </w:rPr>
        <w:t xml:space="preserve">to require the disclosure of names and contact information for “all persons employed by an entity which would give them knowledge of decisions on compliance instrument transactions or holding.” </w:t>
      </w:r>
      <w:r w:rsidR="003C604E">
        <w:rPr>
          <w:rFonts w:ascii="Times New Roman" w:eastAsiaTheme="minorHAnsi" w:hAnsi="Times New Roman" w:cs="Times New Roman"/>
        </w:rPr>
        <w:t>W</w:t>
      </w:r>
      <w:r w:rsidR="003C55AA">
        <w:rPr>
          <w:rFonts w:ascii="Times New Roman" w:eastAsiaTheme="minorHAnsi" w:hAnsi="Times New Roman" w:cs="Times New Roman"/>
        </w:rPr>
        <w:t>e believe the intension is to eliminate any sort of collusion between two parties that may both be participating in the GHG market is warranted. The current wording however is very broad and could literally involve several hundred people in one company. We recommend that ARB refine the language to limit the need for disclosure to those people involved in the actual trading or acquisition of commodities. The penalties for manipulation of the market should be substantial</w:t>
      </w:r>
      <w:r w:rsidR="003C604E">
        <w:rPr>
          <w:rFonts w:ascii="Times New Roman" w:eastAsiaTheme="minorHAnsi" w:hAnsi="Times New Roman" w:cs="Times New Roman"/>
        </w:rPr>
        <w:t xml:space="preserve"> in order to dissuade any collusion</w:t>
      </w:r>
      <w:r w:rsidR="003C55AA">
        <w:rPr>
          <w:rFonts w:ascii="Times New Roman" w:eastAsiaTheme="minorHAnsi" w:hAnsi="Times New Roman" w:cs="Times New Roman"/>
        </w:rPr>
        <w:t xml:space="preserve">. The difference between employees or contractors being aware of positions and influencing position is a significant distinction. In addition, since the penalty for failure to report all the information required under this regulation can be very significant keeping the scope of this reporting requirement broad expands the potential for companies to </w:t>
      </w:r>
      <w:r w:rsidR="00CF7964">
        <w:rPr>
          <w:rFonts w:ascii="Times New Roman" w:eastAsiaTheme="minorHAnsi" w:hAnsi="Times New Roman" w:cs="Times New Roman"/>
        </w:rPr>
        <w:t xml:space="preserve">inadvertently and unknowingly omit employees that </w:t>
      </w:r>
      <w:r w:rsidR="00CF7964">
        <w:rPr>
          <w:rFonts w:ascii="Times New Roman" w:eastAsiaTheme="minorHAnsi" w:hAnsi="Times New Roman" w:cs="Times New Roman"/>
        </w:rPr>
        <w:lastRenderedPageBreak/>
        <w:t>should be listed in the registration.  For these reasons we would refer ARB to WPTF’s comments on this issue as our recommend</w:t>
      </w:r>
      <w:r w:rsidR="00C10458">
        <w:rPr>
          <w:rFonts w:ascii="Times New Roman" w:eastAsiaTheme="minorHAnsi" w:hAnsi="Times New Roman" w:cs="Times New Roman"/>
        </w:rPr>
        <w:t>ed word change to the regulation</w:t>
      </w:r>
      <w:r w:rsidR="00CF7964">
        <w:rPr>
          <w:rFonts w:ascii="Times New Roman" w:eastAsiaTheme="minorHAnsi" w:hAnsi="Times New Roman" w:cs="Times New Roman"/>
        </w:rPr>
        <w:t xml:space="preserve">. </w:t>
      </w:r>
    </w:p>
    <w:p w:rsidR="00C10458" w:rsidRDefault="00C10458" w:rsidP="00CF7964">
      <w:pPr>
        <w:spacing w:after="200"/>
        <w:rPr>
          <w:rFonts w:ascii="Times New Roman" w:eastAsiaTheme="minorHAnsi" w:hAnsi="Times New Roman" w:cs="Times New Roman"/>
          <w:b/>
          <w:u w:val="single"/>
        </w:rPr>
      </w:pPr>
    </w:p>
    <w:p w:rsidR="00CF7964" w:rsidRDefault="00CF7964" w:rsidP="00CF7964">
      <w:pPr>
        <w:spacing w:after="200"/>
        <w:rPr>
          <w:rFonts w:ascii="Times New Roman" w:eastAsiaTheme="minorHAnsi" w:hAnsi="Times New Roman" w:cs="Times New Roman"/>
        </w:rPr>
      </w:pPr>
      <w:r>
        <w:rPr>
          <w:rFonts w:ascii="Times New Roman" w:eastAsiaTheme="minorHAnsi" w:hAnsi="Times New Roman" w:cs="Times New Roman"/>
          <w:b/>
          <w:u w:val="single"/>
        </w:rPr>
        <w:t>The retirement of compliance instruments should not be prescribed by ARB</w:t>
      </w:r>
    </w:p>
    <w:p w:rsidR="00921F35" w:rsidRDefault="00C10458" w:rsidP="00CF7964">
      <w:pPr>
        <w:spacing w:after="200"/>
        <w:rPr>
          <w:rFonts w:ascii="Times New Roman" w:hAnsi="Times New Roman" w:cs="Times New Roman"/>
        </w:rPr>
      </w:pPr>
      <w:r>
        <w:rPr>
          <w:rFonts w:ascii="Times New Roman" w:eastAsiaTheme="minorHAnsi" w:hAnsi="Times New Roman" w:cs="Times New Roman"/>
        </w:rPr>
        <w:tab/>
        <w:t xml:space="preserve">ARB is proposing to change </w:t>
      </w:r>
      <w:r w:rsidRPr="00712439">
        <w:rPr>
          <w:rFonts w:ascii="Times New Roman" w:eastAsiaTheme="minorHAnsi" w:hAnsi="Times New Roman" w:cs="Times New Roman"/>
          <w:b/>
        </w:rPr>
        <w:t xml:space="preserve">Section </w:t>
      </w:r>
      <w:r>
        <w:rPr>
          <w:rFonts w:ascii="Times New Roman" w:eastAsiaTheme="minorHAnsi" w:hAnsi="Times New Roman" w:cs="Times New Roman"/>
          <w:b/>
        </w:rPr>
        <w:t>95856</w:t>
      </w:r>
      <w:r w:rsidR="00151829">
        <w:rPr>
          <w:rFonts w:ascii="Times New Roman" w:eastAsiaTheme="minorHAnsi" w:hAnsi="Times New Roman" w:cs="Times New Roman"/>
          <w:b/>
        </w:rPr>
        <w:t xml:space="preserve"> </w:t>
      </w:r>
      <w:r w:rsidR="00151829" w:rsidRPr="00151829">
        <w:rPr>
          <w:rFonts w:ascii="Times New Roman" w:eastAsiaTheme="minorHAnsi" w:hAnsi="Times New Roman" w:cs="Times New Roman"/>
        </w:rPr>
        <w:t xml:space="preserve">of the regulation to prescribe the </w:t>
      </w:r>
      <w:r w:rsidR="00151829">
        <w:rPr>
          <w:rFonts w:ascii="Times New Roman" w:hAnsi="Times New Roman" w:cs="Times New Roman"/>
        </w:rPr>
        <w:t xml:space="preserve">order of compliance instrument retirement. </w:t>
      </w:r>
      <w:proofErr w:type="spellStart"/>
      <w:r w:rsidR="00151829">
        <w:rPr>
          <w:rFonts w:ascii="Times New Roman" w:hAnsi="Times New Roman" w:cs="Times New Roman"/>
        </w:rPr>
        <w:t>NextEra</w:t>
      </w:r>
      <w:proofErr w:type="spellEnd"/>
      <w:r w:rsidR="00151829">
        <w:rPr>
          <w:rFonts w:ascii="Times New Roman" w:hAnsi="Times New Roman" w:cs="Times New Roman"/>
        </w:rPr>
        <w:t xml:space="preserve"> Energy does not believe this </w:t>
      </w:r>
      <w:r w:rsidR="000E3A04">
        <w:rPr>
          <w:rFonts w:ascii="Times New Roman" w:hAnsi="Times New Roman" w:cs="Times New Roman"/>
        </w:rPr>
        <w:t xml:space="preserve">order </w:t>
      </w:r>
      <w:r w:rsidR="00151829">
        <w:rPr>
          <w:rFonts w:ascii="Times New Roman" w:hAnsi="Times New Roman" w:cs="Times New Roman"/>
        </w:rPr>
        <w:t xml:space="preserve">should be </w:t>
      </w:r>
      <w:r w:rsidR="000E3A04">
        <w:rPr>
          <w:rFonts w:ascii="Times New Roman" w:hAnsi="Times New Roman" w:cs="Times New Roman"/>
        </w:rPr>
        <w:t xml:space="preserve">pre-determined in all </w:t>
      </w:r>
      <w:r w:rsidR="00151829">
        <w:rPr>
          <w:rFonts w:ascii="Times New Roman" w:hAnsi="Times New Roman" w:cs="Times New Roman"/>
        </w:rPr>
        <w:t>case</w:t>
      </w:r>
      <w:r w:rsidR="000E3A04">
        <w:rPr>
          <w:rFonts w:ascii="Times New Roman" w:hAnsi="Times New Roman" w:cs="Times New Roman"/>
        </w:rPr>
        <w:t>s</w:t>
      </w:r>
      <w:r w:rsidR="00151829">
        <w:rPr>
          <w:rFonts w:ascii="Times New Roman" w:hAnsi="Times New Roman" w:cs="Times New Roman"/>
        </w:rPr>
        <w:t xml:space="preserve">. There are many considerations that go into a company’s </w:t>
      </w:r>
      <w:r w:rsidR="000E3A04">
        <w:rPr>
          <w:rFonts w:ascii="Times New Roman" w:hAnsi="Times New Roman" w:cs="Times New Roman"/>
        </w:rPr>
        <w:t xml:space="preserve">decision </w:t>
      </w:r>
      <w:r w:rsidR="00151829">
        <w:rPr>
          <w:rFonts w:ascii="Times New Roman" w:hAnsi="Times New Roman" w:cs="Times New Roman"/>
        </w:rPr>
        <w:t>of which compliance instrument</w:t>
      </w:r>
      <w:r w:rsidR="007051D6">
        <w:rPr>
          <w:rFonts w:ascii="Times New Roman" w:hAnsi="Times New Roman" w:cs="Times New Roman"/>
        </w:rPr>
        <w:t>s</w:t>
      </w:r>
      <w:r w:rsidR="00151829">
        <w:rPr>
          <w:rFonts w:ascii="Times New Roman" w:hAnsi="Times New Roman" w:cs="Times New Roman"/>
        </w:rPr>
        <w:t xml:space="preserve"> to retire and when to retire them. These</w:t>
      </w:r>
      <w:r w:rsidR="000E3A04">
        <w:rPr>
          <w:rFonts w:ascii="Times New Roman" w:hAnsi="Times New Roman" w:cs="Times New Roman"/>
        </w:rPr>
        <w:t xml:space="preserve"> compliance instruments are</w:t>
      </w:r>
      <w:r w:rsidR="00151829">
        <w:rPr>
          <w:rFonts w:ascii="Times New Roman" w:hAnsi="Times New Roman" w:cs="Times New Roman"/>
        </w:rPr>
        <w:t xml:space="preserve"> the property of those entities that have purchased</w:t>
      </w:r>
      <w:r w:rsidR="007051D6">
        <w:rPr>
          <w:rFonts w:ascii="Times New Roman" w:hAnsi="Times New Roman" w:cs="Times New Roman"/>
        </w:rPr>
        <w:t>, created, or been given</w:t>
      </w:r>
      <w:r w:rsidR="00151829">
        <w:rPr>
          <w:rFonts w:ascii="Times New Roman" w:hAnsi="Times New Roman" w:cs="Times New Roman"/>
        </w:rPr>
        <w:t xml:space="preserve"> them and they should be allowed the discretion to retire the compliance instrument in the order th</w:t>
      </w:r>
      <w:r w:rsidR="000E3A04">
        <w:rPr>
          <w:rFonts w:ascii="Times New Roman" w:hAnsi="Times New Roman" w:cs="Times New Roman"/>
        </w:rPr>
        <w:t xml:space="preserve">ey see fit. </w:t>
      </w:r>
      <w:r w:rsidR="007051D6">
        <w:rPr>
          <w:rFonts w:ascii="Times New Roman" w:hAnsi="Times New Roman" w:cs="Times New Roman"/>
        </w:rPr>
        <w:t xml:space="preserve"> </w:t>
      </w:r>
      <w:r w:rsidR="00921F35">
        <w:rPr>
          <w:rFonts w:ascii="Times New Roman" w:hAnsi="Times New Roman" w:cs="Times New Roman"/>
        </w:rPr>
        <w:t>Th</w:t>
      </w:r>
      <w:r w:rsidR="007051D6">
        <w:rPr>
          <w:rFonts w:ascii="Times New Roman" w:hAnsi="Times New Roman" w:cs="Times New Roman"/>
        </w:rPr>
        <w:t xml:space="preserve">is can be accomplished under the current regulation if </w:t>
      </w:r>
      <w:r w:rsidR="00921F35">
        <w:rPr>
          <w:rFonts w:ascii="Times New Roman" w:hAnsi="Times New Roman" w:cs="Times New Roman"/>
        </w:rPr>
        <w:t xml:space="preserve">ARB </w:t>
      </w:r>
      <w:r w:rsidR="000E3A04">
        <w:rPr>
          <w:rFonts w:ascii="Times New Roman" w:hAnsi="Times New Roman" w:cs="Times New Roman"/>
        </w:rPr>
        <w:t xml:space="preserve">were to </w:t>
      </w:r>
      <w:r w:rsidR="00921F35">
        <w:rPr>
          <w:rFonts w:ascii="Times New Roman" w:hAnsi="Times New Roman" w:cs="Times New Roman"/>
        </w:rPr>
        <w:t xml:space="preserve">set up </w:t>
      </w:r>
      <w:r w:rsidR="000E3A04">
        <w:rPr>
          <w:rFonts w:ascii="Times New Roman" w:hAnsi="Times New Roman" w:cs="Times New Roman"/>
        </w:rPr>
        <w:t xml:space="preserve">a distinct </w:t>
      </w:r>
      <w:r w:rsidR="00921F35">
        <w:rPr>
          <w:rFonts w:ascii="Times New Roman" w:hAnsi="Times New Roman" w:cs="Times New Roman"/>
        </w:rPr>
        <w:t xml:space="preserve">retirement account </w:t>
      </w:r>
      <w:r w:rsidR="007051D6">
        <w:rPr>
          <w:rFonts w:ascii="Times New Roman" w:hAnsi="Times New Roman" w:cs="Times New Roman"/>
        </w:rPr>
        <w:t xml:space="preserve">in CITSS </w:t>
      </w:r>
      <w:r w:rsidR="00921F35">
        <w:rPr>
          <w:rFonts w:ascii="Times New Roman" w:hAnsi="Times New Roman" w:cs="Times New Roman"/>
        </w:rPr>
        <w:t>for each entity</w:t>
      </w:r>
      <w:r w:rsidR="007051D6">
        <w:rPr>
          <w:rFonts w:ascii="Times New Roman" w:hAnsi="Times New Roman" w:cs="Times New Roman"/>
        </w:rPr>
        <w:t xml:space="preserve">. </w:t>
      </w:r>
      <w:r w:rsidR="000E3A04">
        <w:rPr>
          <w:rFonts w:ascii="Times New Roman" w:hAnsi="Times New Roman" w:cs="Times New Roman"/>
        </w:rPr>
        <w:t xml:space="preserve">It would be the entity’s responsibility to move the </w:t>
      </w:r>
      <w:r w:rsidR="007051D6">
        <w:rPr>
          <w:rFonts w:ascii="Times New Roman" w:hAnsi="Times New Roman" w:cs="Times New Roman"/>
        </w:rPr>
        <w:t>appropriate amount of c</w:t>
      </w:r>
      <w:r w:rsidR="00921F35">
        <w:rPr>
          <w:rFonts w:ascii="Times New Roman" w:hAnsi="Times New Roman" w:cs="Times New Roman"/>
        </w:rPr>
        <w:t xml:space="preserve">ompliance instruments </w:t>
      </w:r>
      <w:r w:rsidR="000E3A04">
        <w:rPr>
          <w:rFonts w:ascii="Times New Roman" w:hAnsi="Times New Roman" w:cs="Times New Roman"/>
        </w:rPr>
        <w:t xml:space="preserve">into the retirement account </w:t>
      </w:r>
      <w:r w:rsidR="00921F35">
        <w:rPr>
          <w:rFonts w:ascii="Times New Roman" w:hAnsi="Times New Roman" w:cs="Times New Roman"/>
        </w:rPr>
        <w:t xml:space="preserve">prior to the compliance </w:t>
      </w:r>
      <w:r w:rsidR="000E3A04">
        <w:rPr>
          <w:rFonts w:ascii="Times New Roman" w:hAnsi="Times New Roman" w:cs="Times New Roman"/>
        </w:rPr>
        <w:t>deadline.</w:t>
      </w:r>
      <w:r w:rsidR="00921F35">
        <w:rPr>
          <w:rFonts w:ascii="Times New Roman" w:hAnsi="Times New Roman" w:cs="Times New Roman"/>
        </w:rPr>
        <w:t xml:space="preserve"> ARB </w:t>
      </w:r>
      <w:r w:rsidR="007051D6">
        <w:rPr>
          <w:rFonts w:ascii="Times New Roman" w:hAnsi="Times New Roman" w:cs="Times New Roman"/>
        </w:rPr>
        <w:t xml:space="preserve">can </w:t>
      </w:r>
      <w:r w:rsidR="00921F35">
        <w:rPr>
          <w:rFonts w:ascii="Times New Roman" w:hAnsi="Times New Roman" w:cs="Times New Roman"/>
        </w:rPr>
        <w:t xml:space="preserve">then </w:t>
      </w:r>
      <w:r w:rsidR="000E3A04">
        <w:rPr>
          <w:rFonts w:ascii="Times New Roman" w:hAnsi="Times New Roman" w:cs="Times New Roman"/>
        </w:rPr>
        <w:t xml:space="preserve">clear or lock </w:t>
      </w:r>
      <w:r w:rsidR="00921F35">
        <w:rPr>
          <w:rFonts w:ascii="Times New Roman" w:hAnsi="Times New Roman" w:cs="Times New Roman"/>
        </w:rPr>
        <w:t xml:space="preserve">the accounts on the appointed </w:t>
      </w:r>
      <w:r w:rsidR="000E3A04">
        <w:rPr>
          <w:rFonts w:ascii="Times New Roman" w:hAnsi="Times New Roman" w:cs="Times New Roman"/>
        </w:rPr>
        <w:t>deadline</w:t>
      </w:r>
      <w:r w:rsidR="00921F35">
        <w:rPr>
          <w:rFonts w:ascii="Times New Roman" w:hAnsi="Times New Roman" w:cs="Times New Roman"/>
        </w:rPr>
        <w:t>. Based on the presentation of th</w:t>
      </w:r>
      <w:r w:rsidR="000E3A04">
        <w:rPr>
          <w:rFonts w:ascii="Times New Roman" w:hAnsi="Times New Roman" w:cs="Times New Roman"/>
        </w:rPr>
        <w:t xml:space="preserve">e </w:t>
      </w:r>
      <w:r w:rsidR="00921F35">
        <w:rPr>
          <w:rFonts w:ascii="Times New Roman" w:hAnsi="Times New Roman" w:cs="Times New Roman"/>
        </w:rPr>
        <w:t xml:space="preserve">proposed </w:t>
      </w:r>
      <w:r w:rsidR="000E3A04">
        <w:rPr>
          <w:rFonts w:ascii="Times New Roman" w:hAnsi="Times New Roman" w:cs="Times New Roman"/>
        </w:rPr>
        <w:t xml:space="preserve">changes </w:t>
      </w:r>
      <w:r w:rsidR="00921F35">
        <w:rPr>
          <w:rFonts w:ascii="Times New Roman" w:hAnsi="Times New Roman" w:cs="Times New Roman"/>
        </w:rPr>
        <w:t xml:space="preserve">during the July 17 meeting, it was apparent the ARB staff is attempting to make things easier for entities to obtain compliance. While </w:t>
      </w:r>
      <w:proofErr w:type="spellStart"/>
      <w:r w:rsidR="00921F35">
        <w:rPr>
          <w:rFonts w:ascii="Times New Roman" w:hAnsi="Times New Roman" w:cs="Times New Roman"/>
        </w:rPr>
        <w:t>NextEra</w:t>
      </w:r>
      <w:proofErr w:type="spellEnd"/>
      <w:r w:rsidR="00921F35">
        <w:rPr>
          <w:rFonts w:ascii="Times New Roman" w:hAnsi="Times New Roman" w:cs="Times New Roman"/>
        </w:rPr>
        <w:t xml:space="preserve"> appreciates ARB’s efforts to make things easier, when it comes to compliance instruments there are other business decisions that outweigh the need for ease.</w:t>
      </w:r>
      <w:r w:rsidR="007051D6">
        <w:rPr>
          <w:rFonts w:ascii="Times New Roman" w:hAnsi="Times New Roman" w:cs="Times New Roman"/>
        </w:rPr>
        <w:t xml:space="preserve"> There are other opportunities for ARB to simplify the program where</w:t>
      </w:r>
      <w:r w:rsidR="000E3A04">
        <w:rPr>
          <w:rFonts w:ascii="Times New Roman" w:hAnsi="Times New Roman" w:cs="Times New Roman"/>
        </w:rPr>
        <w:t>as</w:t>
      </w:r>
      <w:r w:rsidR="007051D6">
        <w:rPr>
          <w:rFonts w:ascii="Times New Roman" w:hAnsi="Times New Roman" w:cs="Times New Roman"/>
        </w:rPr>
        <w:t xml:space="preserve"> this simplification is potentially more harmful than beneficial.</w:t>
      </w:r>
    </w:p>
    <w:p w:rsidR="00921F35" w:rsidRDefault="00921F35" w:rsidP="00CF7964">
      <w:pPr>
        <w:spacing w:after="200"/>
        <w:rPr>
          <w:rFonts w:ascii="Times New Roman" w:hAnsi="Times New Roman" w:cs="Times New Roman"/>
        </w:rPr>
      </w:pPr>
    </w:p>
    <w:p w:rsidR="00CF7964" w:rsidRDefault="00921F35" w:rsidP="00CF7964">
      <w:pPr>
        <w:spacing w:after="200"/>
        <w:rPr>
          <w:rFonts w:ascii="Times New Roman" w:hAnsi="Times New Roman" w:cs="Times New Roman"/>
        </w:rPr>
      </w:pPr>
      <w:r w:rsidRPr="00921F35">
        <w:rPr>
          <w:rFonts w:ascii="Times New Roman" w:hAnsi="Times New Roman" w:cs="Times New Roman"/>
          <w:b/>
          <w:u w:val="single"/>
        </w:rPr>
        <w:t>ARB should create sub-accounts within CITSS to enable parent companies to populate distinctly separately owned or operated entities</w:t>
      </w:r>
    </w:p>
    <w:p w:rsidR="00155BE3" w:rsidRDefault="007051D6" w:rsidP="00CF7964">
      <w:pPr>
        <w:spacing w:after="20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NextEra</w:t>
      </w:r>
      <w:proofErr w:type="spellEnd"/>
      <w:r w:rsidR="00155BE3">
        <w:rPr>
          <w:rFonts w:ascii="Times New Roman" w:hAnsi="Times New Roman" w:cs="Times New Roman"/>
        </w:rPr>
        <w:t xml:space="preserve"> </w:t>
      </w:r>
      <w:r w:rsidR="00B35FB2">
        <w:rPr>
          <w:rFonts w:ascii="Times New Roman" w:hAnsi="Times New Roman" w:cs="Times New Roman"/>
        </w:rPr>
        <w:t xml:space="preserve">is asking </w:t>
      </w:r>
      <w:r w:rsidR="00155BE3">
        <w:rPr>
          <w:rFonts w:ascii="Times New Roman" w:hAnsi="Times New Roman" w:cs="Times New Roman"/>
        </w:rPr>
        <w:t xml:space="preserve">ARB add </w:t>
      </w:r>
      <w:r w:rsidR="00B35FB2">
        <w:rPr>
          <w:rFonts w:ascii="Times New Roman" w:hAnsi="Times New Roman" w:cs="Times New Roman"/>
        </w:rPr>
        <w:t xml:space="preserve">expanded </w:t>
      </w:r>
      <w:r w:rsidR="00155BE3">
        <w:rPr>
          <w:rFonts w:ascii="Times New Roman" w:hAnsi="Times New Roman" w:cs="Times New Roman"/>
        </w:rPr>
        <w:t>functionality within CITSS that would allow each entity to create sub-accounts</w:t>
      </w:r>
      <w:r w:rsidR="00B35FB2">
        <w:rPr>
          <w:rFonts w:ascii="Times New Roman" w:hAnsi="Times New Roman" w:cs="Times New Roman"/>
        </w:rPr>
        <w:t xml:space="preserve"> within their general account</w:t>
      </w:r>
      <w:r w:rsidR="00155BE3">
        <w:rPr>
          <w:rFonts w:ascii="Times New Roman" w:hAnsi="Times New Roman" w:cs="Times New Roman"/>
        </w:rPr>
        <w:t xml:space="preserve">.  The architecture of a corporation and its associated businesses can be very complex. Often the ownership of </w:t>
      </w:r>
      <w:r w:rsidR="00B35FB2">
        <w:rPr>
          <w:rFonts w:ascii="Times New Roman" w:hAnsi="Times New Roman" w:cs="Times New Roman"/>
        </w:rPr>
        <w:t xml:space="preserve">distinct </w:t>
      </w:r>
      <w:r w:rsidR="00155BE3">
        <w:rPr>
          <w:rFonts w:ascii="Times New Roman" w:hAnsi="Times New Roman" w:cs="Times New Roman"/>
        </w:rPr>
        <w:t xml:space="preserve">subsidiaries and business operations involves </w:t>
      </w:r>
      <w:r w:rsidR="00B35FB2">
        <w:rPr>
          <w:rFonts w:ascii="Times New Roman" w:hAnsi="Times New Roman" w:cs="Times New Roman"/>
        </w:rPr>
        <w:t>varied</w:t>
      </w:r>
      <w:r w:rsidR="00155BE3">
        <w:rPr>
          <w:rFonts w:ascii="Times New Roman" w:hAnsi="Times New Roman" w:cs="Times New Roman"/>
        </w:rPr>
        <w:t xml:space="preserve"> sets of requirements both legally and from an accounting perspective. In order to maintain the distinct lines between holdings and business ventures it would be extremely helpful if ARB would allow and entity to create sub-accounts for LLCs or subsidiaries under the umbrella of a parent company. This would be much cleaner from and more transparent from both an accounting and an operational perspective. All parties associated with an entity with a compliance obligation would be able to clearly see the responsibilities and liabilities associated with distinct and separate activities and operations.</w:t>
      </w:r>
      <w:r w:rsidR="00B35FB2">
        <w:rPr>
          <w:rFonts w:ascii="Times New Roman" w:hAnsi="Times New Roman" w:cs="Times New Roman"/>
        </w:rPr>
        <w:t xml:space="preserve"> It would also allow the subsidiaries to manage their accounts semi-independently.</w:t>
      </w:r>
    </w:p>
    <w:p w:rsidR="00921F35" w:rsidRDefault="00155BE3" w:rsidP="00CF7964">
      <w:pPr>
        <w:spacing w:after="200"/>
        <w:rPr>
          <w:rFonts w:ascii="Times New Roman" w:hAnsi="Times New Roman" w:cs="Times New Roman"/>
        </w:rPr>
      </w:pPr>
      <w:r>
        <w:rPr>
          <w:rFonts w:ascii="Times New Roman" w:hAnsi="Times New Roman" w:cs="Times New Roman"/>
        </w:rPr>
        <w:t xml:space="preserve"> </w:t>
      </w:r>
    </w:p>
    <w:p w:rsidR="00921F35" w:rsidRDefault="00B35FB2" w:rsidP="00CF7964">
      <w:pPr>
        <w:spacing w:after="200"/>
        <w:rPr>
          <w:rFonts w:ascii="Times New Roman" w:hAnsi="Times New Roman" w:cs="Times New Roman"/>
          <w:b/>
          <w:u w:val="single"/>
        </w:rPr>
      </w:pPr>
      <w:r>
        <w:rPr>
          <w:rFonts w:ascii="Times New Roman" w:hAnsi="Times New Roman" w:cs="Times New Roman"/>
          <w:b/>
          <w:u w:val="single"/>
        </w:rPr>
        <w:t>ARB should impose the 8% offset limit on the annual compliance surrender</w:t>
      </w:r>
    </w:p>
    <w:p w:rsidR="00F5156A" w:rsidRDefault="003E7843" w:rsidP="00CF7964">
      <w:pPr>
        <w:spacing w:after="200"/>
        <w:rPr>
          <w:rFonts w:ascii="Times New Roman" w:hAnsi="Times New Roman" w:cs="Times New Roman"/>
        </w:rPr>
      </w:pPr>
      <w:r>
        <w:rPr>
          <w:rFonts w:ascii="Times New Roman" w:hAnsi="Times New Roman" w:cs="Times New Roman"/>
          <w:b/>
        </w:rPr>
        <w:tab/>
      </w:r>
      <w:r w:rsidRPr="003E7843">
        <w:rPr>
          <w:rFonts w:ascii="Times New Roman" w:hAnsi="Times New Roman" w:cs="Times New Roman"/>
        </w:rPr>
        <w:t xml:space="preserve">The </w:t>
      </w:r>
      <w:r w:rsidR="00571E27">
        <w:rPr>
          <w:rFonts w:ascii="Times New Roman" w:hAnsi="Times New Roman" w:cs="Times New Roman"/>
        </w:rPr>
        <w:t>o</w:t>
      </w:r>
      <w:r w:rsidRPr="003E7843">
        <w:rPr>
          <w:rFonts w:ascii="Times New Roman" w:hAnsi="Times New Roman" w:cs="Times New Roman"/>
        </w:rPr>
        <w:t>ffset</w:t>
      </w:r>
      <w:r w:rsidR="00571E27">
        <w:rPr>
          <w:rFonts w:ascii="Times New Roman" w:hAnsi="Times New Roman" w:cs="Times New Roman"/>
        </w:rPr>
        <w:t xml:space="preserve"> program is very important to </w:t>
      </w:r>
      <w:proofErr w:type="spellStart"/>
      <w:r w:rsidR="00571E27">
        <w:rPr>
          <w:rFonts w:ascii="Times New Roman" w:hAnsi="Times New Roman" w:cs="Times New Roman"/>
        </w:rPr>
        <w:t>NextEra</w:t>
      </w:r>
      <w:proofErr w:type="spellEnd"/>
      <w:r w:rsidR="00571E27">
        <w:rPr>
          <w:rFonts w:ascii="Times New Roman" w:hAnsi="Times New Roman" w:cs="Times New Roman"/>
        </w:rPr>
        <w:t>. Throughout the development of the legislation giving authorization to this regulation and the development of the regulation</w:t>
      </w:r>
      <w:r w:rsidR="00DF374E">
        <w:rPr>
          <w:rFonts w:ascii="Times New Roman" w:hAnsi="Times New Roman" w:cs="Times New Roman"/>
        </w:rPr>
        <w:t>,</w:t>
      </w:r>
      <w:r w:rsidR="00571E27">
        <w:rPr>
          <w:rFonts w:ascii="Times New Roman" w:hAnsi="Times New Roman" w:cs="Times New Roman"/>
        </w:rPr>
        <w:t xml:space="preserve"> we have supported the</w:t>
      </w:r>
      <w:r w:rsidR="00DF374E">
        <w:rPr>
          <w:rFonts w:ascii="Times New Roman" w:hAnsi="Times New Roman" w:cs="Times New Roman"/>
        </w:rPr>
        <w:t xml:space="preserve"> development of a robust offset program. </w:t>
      </w:r>
      <w:r w:rsidR="00DE6672">
        <w:rPr>
          <w:rFonts w:ascii="Times New Roman" w:hAnsi="Times New Roman" w:cs="Times New Roman"/>
        </w:rPr>
        <w:t>The current absence of any</w:t>
      </w:r>
      <w:r w:rsidR="00DF374E">
        <w:rPr>
          <w:rFonts w:ascii="Times New Roman" w:hAnsi="Times New Roman" w:cs="Times New Roman"/>
        </w:rPr>
        <w:t xml:space="preserve"> offsets credits </w:t>
      </w:r>
      <w:r w:rsidR="00DE6672">
        <w:rPr>
          <w:rFonts w:ascii="Times New Roman" w:hAnsi="Times New Roman" w:cs="Times New Roman"/>
        </w:rPr>
        <w:t xml:space="preserve">converted into compliance instruments is concerning but let’s assume those issues </w:t>
      </w:r>
      <w:r w:rsidR="00DF374E">
        <w:rPr>
          <w:rFonts w:ascii="Times New Roman" w:hAnsi="Times New Roman" w:cs="Times New Roman"/>
        </w:rPr>
        <w:t>will be resolved</w:t>
      </w:r>
      <w:r w:rsidR="00DE6672">
        <w:rPr>
          <w:rFonts w:ascii="Times New Roman" w:hAnsi="Times New Roman" w:cs="Times New Roman"/>
        </w:rPr>
        <w:t xml:space="preserve">. The current version of the discussion draft proposes that any offsets submitted in </w:t>
      </w:r>
      <w:r w:rsidR="00DE6672">
        <w:rPr>
          <w:rFonts w:ascii="Times New Roman" w:hAnsi="Times New Roman" w:cs="Times New Roman"/>
        </w:rPr>
        <w:lastRenderedPageBreak/>
        <w:t>excess of the 8% limit would be forfeit. Since the 8% limit is calculated against the compliance period obligation and not the annual compliance obligation, it is possible</w:t>
      </w:r>
      <w:r w:rsidR="00350F27">
        <w:rPr>
          <w:rFonts w:ascii="Times New Roman" w:hAnsi="Times New Roman" w:cs="Times New Roman"/>
        </w:rPr>
        <w:t xml:space="preserve"> for an entity to exceed the </w:t>
      </w:r>
      <w:r w:rsidR="00DE6672">
        <w:rPr>
          <w:rFonts w:ascii="Times New Roman" w:hAnsi="Times New Roman" w:cs="Times New Roman"/>
        </w:rPr>
        <w:t xml:space="preserve">limit. </w:t>
      </w:r>
      <w:r w:rsidR="00350F27">
        <w:rPr>
          <w:rFonts w:ascii="Times New Roman" w:hAnsi="Times New Roman" w:cs="Times New Roman"/>
        </w:rPr>
        <w:t xml:space="preserve">ARB is proposing that any offsets submitted in excess of the 8% limit will be retired, not count toward any compliance obligation, and will not be returned to the owner. </w:t>
      </w:r>
      <w:proofErr w:type="spellStart"/>
      <w:r w:rsidR="00350F27">
        <w:rPr>
          <w:rFonts w:ascii="Times New Roman" w:hAnsi="Times New Roman" w:cs="Times New Roman"/>
        </w:rPr>
        <w:t>NextEra</w:t>
      </w:r>
      <w:proofErr w:type="spellEnd"/>
      <w:r w:rsidR="00350F27">
        <w:rPr>
          <w:rFonts w:ascii="Times New Roman" w:hAnsi="Times New Roman" w:cs="Times New Roman"/>
        </w:rPr>
        <w:t xml:space="preserve"> believes </w:t>
      </w:r>
      <w:r w:rsidR="00F5156A">
        <w:rPr>
          <w:rFonts w:ascii="Times New Roman" w:hAnsi="Times New Roman" w:cs="Times New Roman"/>
        </w:rPr>
        <w:t xml:space="preserve">ARB’s refusal to return those offsets to the owner presents several issues that are potentially problematic. </w:t>
      </w:r>
    </w:p>
    <w:p w:rsidR="00AE6DA0" w:rsidRDefault="00F5156A" w:rsidP="00CF7964">
      <w:pPr>
        <w:spacing w:after="200"/>
        <w:rPr>
          <w:rFonts w:ascii="Times New Roman" w:hAnsi="Times New Roman" w:cs="Times New Roman"/>
        </w:rPr>
      </w:pPr>
      <w:r>
        <w:rPr>
          <w:rFonts w:ascii="Times New Roman" w:hAnsi="Times New Roman" w:cs="Times New Roman"/>
        </w:rPr>
        <w:tab/>
        <w:t xml:space="preserve">First, the offsets that are retired without the consent of the owner could potentially be seen as an illegal take of property. Offset credits are created through the investment in projects. There is also a cost incurred to register, verify, and certify these credits. </w:t>
      </w:r>
      <w:r w:rsidR="00DF374E">
        <w:rPr>
          <w:rFonts w:ascii="Times New Roman" w:hAnsi="Times New Roman" w:cs="Times New Roman"/>
        </w:rPr>
        <w:t xml:space="preserve">The credits are then either used by the project developer or sold to another entity for their use. </w:t>
      </w:r>
      <w:r>
        <w:rPr>
          <w:rFonts w:ascii="Times New Roman" w:hAnsi="Times New Roman" w:cs="Times New Roman"/>
        </w:rPr>
        <w:t>An entity that submits offset credits to the ARB to satisfy</w:t>
      </w:r>
      <w:r w:rsidR="00CA3F28">
        <w:rPr>
          <w:rFonts w:ascii="Times New Roman" w:hAnsi="Times New Roman" w:cs="Times New Roman"/>
        </w:rPr>
        <w:t xml:space="preserve"> a compliance obligation is surrendering a fungible product for a specific purpose. It is offered in good faith and within the specified </w:t>
      </w:r>
      <w:r w:rsidR="00AE6DA0">
        <w:rPr>
          <w:rFonts w:ascii="Times New Roman" w:hAnsi="Times New Roman" w:cs="Times New Roman"/>
        </w:rPr>
        <w:t>requirements</w:t>
      </w:r>
      <w:r w:rsidR="00CA3F28">
        <w:rPr>
          <w:rFonts w:ascii="Times New Roman" w:hAnsi="Times New Roman" w:cs="Times New Roman"/>
        </w:rPr>
        <w:t xml:space="preserve"> of the program.</w:t>
      </w:r>
      <w:r w:rsidR="00AE6DA0">
        <w:rPr>
          <w:rFonts w:ascii="Times New Roman" w:hAnsi="Times New Roman" w:cs="Times New Roman"/>
        </w:rPr>
        <w:t xml:space="preserve"> </w:t>
      </w:r>
      <w:r w:rsidR="00CA3F28">
        <w:rPr>
          <w:rFonts w:ascii="Times New Roman" w:hAnsi="Times New Roman" w:cs="Times New Roman"/>
        </w:rPr>
        <w:t xml:space="preserve">The failure of ARB to return this property to the owner if it is not used for its intended purpose </w:t>
      </w:r>
      <w:r w:rsidR="00AE6DA0">
        <w:rPr>
          <w:rFonts w:ascii="Times New Roman" w:hAnsi="Times New Roman" w:cs="Times New Roman"/>
        </w:rPr>
        <w:t xml:space="preserve">and without due process </w:t>
      </w:r>
      <w:r w:rsidR="00CA3F28">
        <w:rPr>
          <w:rFonts w:ascii="Times New Roman" w:hAnsi="Times New Roman" w:cs="Times New Roman"/>
        </w:rPr>
        <w:t xml:space="preserve">could present some legal issues. </w:t>
      </w:r>
      <w:r>
        <w:rPr>
          <w:rFonts w:ascii="Times New Roman" w:hAnsi="Times New Roman" w:cs="Times New Roman"/>
        </w:rPr>
        <w:t xml:space="preserve"> </w:t>
      </w:r>
    </w:p>
    <w:p w:rsidR="003E7843" w:rsidRDefault="00AE6DA0" w:rsidP="00CF7964">
      <w:pPr>
        <w:spacing w:after="200"/>
        <w:rPr>
          <w:rFonts w:ascii="Times New Roman" w:hAnsi="Times New Roman" w:cs="Times New Roman"/>
        </w:rPr>
      </w:pPr>
      <w:r>
        <w:rPr>
          <w:rFonts w:ascii="Times New Roman" w:hAnsi="Times New Roman" w:cs="Times New Roman"/>
        </w:rPr>
        <w:tab/>
        <w:t xml:space="preserve">Second, </w:t>
      </w:r>
      <w:r w:rsidR="00B85C54">
        <w:rPr>
          <w:rFonts w:ascii="Times New Roman" w:hAnsi="Times New Roman" w:cs="Times New Roman"/>
        </w:rPr>
        <w:t xml:space="preserve">to this point </w:t>
      </w:r>
      <w:r>
        <w:rPr>
          <w:rFonts w:ascii="Times New Roman" w:hAnsi="Times New Roman" w:cs="Times New Roman"/>
        </w:rPr>
        <w:t xml:space="preserve">offsets </w:t>
      </w:r>
      <w:r w:rsidR="00B85C54">
        <w:rPr>
          <w:rFonts w:ascii="Times New Roman" w:hAnsi="Times New Roman" w:cs="Times New Roman"/>
        </w:rPr>
        <w:t xml:space="preserve">have been </w:t>
      </w:r>
      <w:r>
        <w:rPr>
          <w:rFonts w:ascii="Times New Roman" w:hAnsi="Times New Roman" w:cs="Times New Roman"/>
        </w:rPr>
        <w:t>scarce and have a degree of risk associated with their use. ARB has the right to invalidate offset credits use</w:t>
      </w:r>
      <w:r w:rsidR="00B85C54">
        <w:rPr>
          <w:rFonts w:ascii="Times New Roman" w:hAnsi="Times New Roman" w:cs="Times New Roman"/>
        </w:rPr>
        <w:t>d</w:t>
      </w:r>
      <w:r>
        <w:rPr>
          <w:rFonts w:ascii="Times New Roman" w:hAnsi="Times New Roman" w:cs="Times New Roman"/>
        </w:rPr>
        <w:t xml:space="preserve"> as compliance instruments even after they have been certified</w:t>
      </w:r>
      <w:r w:rsidR="00B85C54">
        <w:rPr>
          <w:rFonts w:ascii="Times New Roman" w:hAnsi="Times New Roman" w:cs="Times New Roman"/>
        </w:rPr>
        <w:t>.</w:t>
      </w:r>
      <w:r w:rsidR="00495309">
        <w:rPr>
          <w:rFonts w:ascii="Times New Roman" w:hAnsi="Times New Roman" w:cs="Times New Roman"/>
        </w:rPr>
        <w:t xml:space="preserve"> There is some concern that there will not be enough offset credits created and certified for all the entities in the cap and trade program to </w:t>
      </w:r>
      <w:r w:rsidR="00B85C54">
        <w:rPr>
          <w:rFonts w:ascii="Times New Roman" w:hAnsi="Times New Roman" w:cs="Times New Roman"/>
        </w:rPr>
        <w:t xml:space="preserve">fully utilize their </w:t>
      </w:r>
      <w:r w:rsidR="00495309">
        <w:rPr>
          <w:rFonts w:ascii="Times New Roman" w:hAnsi="Times New Roman" w:cs="Times New Roman"/>
        </w:rPr>
        <w:t xml:space="preserve">8% </w:t>
      </w:r>
      <w:r w:rsidR="00B85C54">
        <w:rPr>
          <w:rFonts w:ascii="Times New Roman" w:hAnsi="Times New Roman" w:cs="Times New Roman"/>
        </w:rPr>
        <w:t>allotment</w:t>
      </w:r>
      <w:r w:rsidR="00495309">
        <w:rPr>
          <w:rFonts w:ascii="Times New Roman" w:hAnsi="Times New Roman" w:cs="Times New Roman"/>
        </w:rPr>
        <w:t xml:space="preserve">. The retirement of offset credits </w:t>
      </w:r>
      <w:r w:rsidR="00854500">
        <w:rPr>
          <w:rFonts w:ascii="Times New Roman" w:hAnsi="Times New Roman" w:cs="Times New Roman"/>
        </w:rPr>
        <w:t xml:space="preserve">submitted to the ARB intended to </w:t>
      </w:r>
      <w:proofErr w:type="gramStart"/>
      <w:r w:rsidR="00495309">
        <w:rPr>
          <w:rFonts w:ascii="Times New Roman" w:hAnsi="Times New Roman" w:cs="Times New Roman"/>
        </w:rPr>
        <w:t>satisfy</w:t>
      </w:r>
      <w:r w:rsidR="00854500">
        <w:rPr>
          <w:rFonts w:ascii="Times New Roman" w:hAnsi="Times New Roman" w:cs="Times New Roman"/>
        </w:rPr>
        <w:t xml:space="preserve">ing </w:t>
      </w:r>
      <w:r w:rsidR="00495309">
        <w:rPr>
          <w:rFonts w:ascii="Times New Roman" w:hAnsi="Times New Roman" w:cs="Times New Roman"/>
        </w:rPr>
        <w:t xml:space="preserve"> a</w:t>
      </w:r>
      <w:proofErr w:type="gramEnd"/>
      <w:r w:rsidR="00495309">
        <w:rPr>
          <w:rFonts w:ascii="Times New Roman" w:hAnsi="Times New Roman" w:cs="Times New Roman"/>
        </w:rPr>
        <w:t xml:space="preserve"> compliance obligation </w:t>
      </w:r>
      <w:r w:rsidR="00854500">
        <w:rPr>
          <w:rFonts w:ascii="Times New Roman" w:hAnsi="Times New Roman" w:cs="Times New Roman"/>
        </w:rPr>
        <w:t xml:space="preserve">without allowing them to counting toward any </w:t>
      </w:r>
      <w:r w:rsidR="00495309">
        <w:rPr>
          <w:rFonts w:ascii="Times New Roman" w:hAnsi="Times New Roman" w:cs="Times New Roman"/>
        </w:rPr>
        <w:t>obligation is a waste of resources. It also introduces another element of risk associated with the use of offset credits. This could in turn have a negative effect on the development of more qualified offset projects which are already in short supply.</w:t>
      </w:r>
    </w:p>
    <w:p w:rsidR="00495309" w:rsidRPr="00495309" w:rsidRDefault="00495309" w:rsidP="00CF7964">
      <w:pPr>
        <w:spacing w:after="20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NextEra</w:t>
      </w:r>
      <w:proofErr w:type="spellEnd"/>
      <w:r>
        <w:rPr>
          <w:rFonts w:ascii="Times New Roman" w:hAnsi="Times New Roman" w:cs="Times New Roman"/>
        </w:rPr>
        <w:t xml:space="preserve"> recommends that the ARB eliminate this retirement without benefit position by imposing an 8% limit on the annual surrender</w:t>
      </w:r>
      <w:r w:rsidR="00B85C54">
        <w:rPr>
          <w:rFonts w:ascii="Times New Roman" w:hAnsi="Times New Roman" w:cs="Times New Roman"/>
        </w:rPr>
        <w:t xml:space="preserve"> requirement</w:t>
      </w:r>
      <w:r>
        <w:rPr>
          <w:rFonts w:ascii="Times New Roman" w:hAnsi="Times New Roman" w:cs="Times New Roman"/>
        </w:rPr>
        <w:t xml:space="preserve">. </w:t>
      </w:r>
      <w:r w:rsidR="00B85C54">
        <w:rPr>
          <w:rFonts w:ascii="Times New Roman" w:hAnsi="Times New Roman" w:cs="Times New Roman"/>
        </w:rPr>
        <w:t xml:space="preserve">This would not be our most preferred solution however it is a relatively </w:t>
      </w:r>
      <w:r>
        <w:rPr>
          <w:rFonts w:ascii="Times New Roman" w:hAnsi="Times New Roman" w:cs="Times New Roman"/>
        </w:rPr>
        <w:t xml:space="preserve">simple and straight forward way to ensure that offset credits will not be forfeit and therefore wasted. </w:t>
      </w:r>
    </w:p>
    <w:p w:rsidR="000A07C8" w:rsidRPr="00B137A8" w:rsidRDefault="0071572E" w:rsidP="00CF7964">
      <w:pPr>
        <w:spacing w:after="200"/>
        <w:rPr>
          <w:rFonts w:ascii="Times New Roman" w:hAnsi="Times New Roman" w:cs="Times New Roman"/>
        </w:rPr>
      </w:pPr>
      <w:r w:rsidRPr="00B137A8">
        <w:rPr>
          <w:rFonts w:ascii="Times New Roman" w:hAnsi="Times New Roman" w:cs="Times New Roman"/>
        </w:rPr>
        <w:tab/>
      </w:r>
    </w:p>
    <w:p w:rsidR="00B331DE" w:rsidRPr="00B137A8" w:rsidRDefault="00B137A8" w:rsidP="00B331DE">
      <w:pPr>
        <w:rPr>
          <w:rFonts w:ascii="Times New Roman" w:hAnsi="Times New Roman" w:cs="Times New Roman"/>
        </w:rPr>
      </w:pPr>
      <w:r w:rsidRPr="00B137A8">
        <w:rPr>
          <w:rFonts w:ascii="Times New Roman" w:hAnsi="Times New Roman" w:cs="Times New Roman"/>
          <w:b/>
          <w:u w:val="single"/>
        </w:rPr>
        <w:t>ARB should not move up the submission and verification dates</w:t>
      </w:r>
    </w:p>
    <w:p w:rsidR="00B137A8" w:rsidRPr="00B137A8" w:rsidRDefault="00B137A8" w:rsidP="00B331DE">
      <w:pPr>
        <w:rPr>
          <w:rFonts w:ascii="Times New Roman" w:hAnsi="Times New Roman" w:cs="Times New Roman"/>
        </w:rPr>
      </w:pPr>
    </w:p>
    <w:p w:rsidR="00B137A8" w:rsidRPr="00B137A8" w:rsidRDefault="00B137A8" w:rsidP="00B331DE">
      <w:pPr>
        <w:rPr>
          <w:rFonts w:ascii="Times New Roman" w:hAnsi="Times New Roman" w:cs="Times New Roman"/>
        </w:rPr>
      </w:pPr>
      <w:r w:rsidRPr="00B137A8">
        <w:rPr>
          <w:rFonts w:ascii="Times New Roman" w:hAnsi="Times New Roman" w:cs="Times New Roman"/>
        </w:rPr>
        <w:tab/>
        <w:t xml:space="preserve">It has been </w:t>
      </w:r>
      <w:r>
        <w:rPr>
          <w:rFonts w:ascii="Times New Roman" w:hAnsi="Times New Roman" w:cs="Times New Roman"/>
        </w:rPr>
        <w:t xml:space="preserve">pointed out by several stakeholders and </w:t>
      </w:r>
      <w:proofErr w:type="spellStart"/>
      <w:r>
        <w:rPr>
          <w:rFonts w:ascii="Times New Roman" w:hAnsi="Times New Roman" w:cs="Times New Roman"/>
        </w:rPr>
        <w:t>NextEra</w:t>
      </w:r>
      <w:proofErr w:type="spellEnd"/>
      <w:r>
        <w:rPr>
          <w:rFonts w:ascii="Times New Roman" w:hAnsi="Times New Roman" w:cs="Times New Roman"/>
        </w:rPr>
        <w:t xml:space="preserve"> would agree that moving up the verification and reporting timetables is problematic. The complexity of the verification process in conjunction with scarcity of certified 3</w:t>
      </w:r>
      <w:r w:rsidRPr="00B137A8">
        <w:rPr>
          <w:rFonts w:ascii="Times New Roman" w:hAnsi="Times New Roman" w:cs="Times New Roman"/>
          <w:vertAlign w:val="superscript"/>
        </w:rPr>
        <w:t>rd</w:t>
      </w:r>
      <w:r>
        <w:rPr>
          <w:rFonts w:ascii="Times New Roman" w:hAnsi="Times New Roman" w:cs="Times New Roman"/>
        </w:rPr>
        <w:t xml:space="preserve"> party verifiers makes it a challenge for companies to complete the process under the current timeline. Shortening the timeline even further would only multiply the problems. We recommend that the reporting and verification timeline remain the same especially in light on the fact the ARB is considering adjusting the regulation to add even more complexity to the reporting regulation.</w:t>
      </w:r>
    </w:p>
    <w:p w:rsidR="00B331DE" w:rsidRPr="00B137A8" w:rsidRDefault="00B331DE" w:rsidP="00B331DE">
      <w:pPr>
        <w:rPr>
          <w:rFonts w:ascii="Times New Roman" w:hAnsi="Times New Roman" w:cs="Times New Roman"/>
          <w:b/>
          <w:u w:val="single"/>
        </w:rPr>
      </w:pPr>
    </w:p>
    <w:p w:rsidR="00B331DE" w:rsidRPr="00B137A8" w:rsidRDefault="00B331DE" w:rsidP="00B331DE">
      <w:pPr>
        <w:rPr>
          <w:rFonts w:ascii="Times New Roman" w:hAnsi="Times New Roman" w:cs="Times New Roman"/>
          <w:b/>
          <w:u w:val="single"/>
        </w:rPr>
      </w:pPr>
    </w:p>
    <w:p w:rsidR="00B331DE" w:rsidRDefault="00B331DE" w:rsidP="00B331DE"/>
    <w:sectPr w:rsidR="00B3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8E4"/>
    <w:multiLevelType w:val="hybridMultilevel"/>
    <w:tmpl w:val="9A58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39D4379"/>
    <w:multiLevelType w:val="hybridMultilevel"/>
    <w:tmpl w:val="5D9E0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ED2E04"/>
    <w:multiLevelType w:val="hybridMultilevel"/>
    <w:tmpl w:val="5DEA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F385B11"/>
    <w:multiLevelType w:val="hybridMultilevel"/>
    <w:tmpl w:val="3D0E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97B7E1C"/>
    <w:multiLevelType w:val="hybridMultilevel"/>
    <w:tmpl w:val="9BC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D9E65E3"/>
    <w:multiLevelType w:val="hybridMultilevel"/>
    <w:tmpl w:val="AA061F7A"/>
    <w:lvl w:ilvl="0" w:tplc="5FD26A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224F4"/>
    <w:multiLevelType w:val="hybridMultilevel"/>
    <w:tmpl w:val="C52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DE"/>
    <w:rsid w:val="00025148"/>
    <w:rsid w:val="000A07C8"/>
    <w:rsid w:val="000E3A04"/>
    <w:rsid w:val="000E6706"/>
    <w:rsid w:val="000F6E43"/>
    <w:rsid w:val="0013386A"/>
    <w:rsid w:val="00151829"/>
    <w:rsid w:val="00155BE3"/>
    <w:rsid w:val="001E058B"/>
    <w:rsid w:val="001F4AD4"/>
    <w:rsid w:val="00350F27"/>
    <w:rsid w:val="003C55AA"/>
    <w:rsid w:val="003C604E"/>
    <w:rsid w:val="003E7843"/>
    <w:rsid w:val="004278EA"/>
    <w:rsid w:val="004738F8"/>
    <w:rsid w:val="004801C5"/>
    <w:rsid w:val="00480FE4"/>
    <w:rsid w:val="00495309"/>
    <w:rsid w:val="0053083A"/>
    <w:rsid w:val="00571E27"/>
    <w:rsid w:val="007051D6"/>
    <w:rsid w:val="00712439"/>
    <w:rsid w:val="0071572E"/>
    <w:rsid w:val="00787D88"/>
    <w:rsid w:val="00854500"/>
    <w:rsid w:val="00921F35"/>
    <w:rsid w:val="00A12B7F"/>
    <w:rsid w:val="00A33460"/>
    <w:rsid w:val="00A4182A"/>
    <w:rsid w:val="00A72C86"/>
    <w:rsid w:val="00AE6DA0"/>
    <w:rsid w:val="00B137A8"/>
    <w:rsid w:val="00B331DE"/>
    <w:rsid w:val="00B35FB2"/>
    <w:rsid w:val="00B379EE"/>
    <w:rsid w:val="00B85C54"/>
    <w:rsid w:val="00C10458"/>
    <w:rsid w:val="00CA3F28"/>
    <w:rsid w:val="00CF7964"/>
    <w:rsid w:val="00DE6672"/>
    <w:rsid w:val="00DF374E"/>
    <w:rsid w:val="00F5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D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DE"/>
    <w:pPr>
      <w:ind w:left="720"/>
      <w:contextualSpacing/>
    </w:pPr>
  </w:style>
  <w:style w:type="character" w:styleId="Hyperlink">
    <w:name w:val="Hyperlink"/>
    <w:basedOn w:val="DefaultParagraphFont"/>
    <w:uiPriority w:val="99"/>
    <w:unhideWhenUsed/>
    <w:rsid w:val="000F6E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D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DE"/>
    <w:pPr>
      <w:ind w:left="720"/>
      <w:contextualSpacing/>
    </w:pPr>
  </w:style>
  <w:style w:type="character" w:styleId="Hyperlink">
    <w:name w:val="Hyperlink"/>
    <w:basedOn w:val="DefaultParagraphFont"/>
    <w:uiPriority w:val="99"/>
    <w:unhideWhenUsed/>
    <w:rsid w:val="000F6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28">
      <w:bodyDiv w:val="1"/>
      <w:marLeft w:val="0"/>
      <w:marRight w:val="0"/>
      <w:marTop w:val="0"/>
      <w:marBottom w:val="0"/>
      <w:divBdr>
        <w:top w:val="none" w:sz="0" w:space="0" w:color="auto"/>
        <w:left w:val="none" w:sz="0" w:space="0" w:color="auto"/>
        <w:bottom w:val="none" w:sz="0" w:space="0" w:color="auto"/>
        <w:right w:val="none" w:sz="0" w:space="0" w:color="auto"/>
      </w:divBdr>
    </w:div>
    <w:div w:id="1129128284">
      <w:bodyDiv w:val="1"/>
      <w:marLeft w:val="0"/>
      <w:marRight w:val="0"/>
      <w:marTop w:val="0"/>
      <w:marBottom w:val="0"/>
      <w:divBdr>
        <w:top w:val="none" w:sz="0" w:space="0" w:color="auto"/>
        <w:left w:val="none" w:sz="0" w:space="0" w:color="auto"/>
        <w:bottom w:val="none" w:sz="0" w:space="0" w:color="auto"/>
        <w:right w:val="none" w:sz="0" w:space="0" w:color="auto"/>
      </w:divBdr>
    </w:div>
    <w:div w:id="1150945710">
      <w:bodyDiv w:val="1"/>
      <w:marLeft w:val="0"/>
      <w:marRight w:val="0"/>
      <w:marTop w:val="0"/>
      <w:marBottom w:val="0"/>
      <w:divBdr>
        <w:top w:val="none" w:sz="0" w:space="0" w:color="auto"/>
        <w:left w:val="none" w:sz="0" w:space="0" w:color="auto"/>
        <w:bottom w:val="none" w:sz="0" w:space="0" w:color="auto"/>
        <w:right w:val="none" w:sz="0" w:space="0" w:color="auto"/>
      </w:divBdr>
    </w:div>
    <w:div w:id="1345205055">
      <w:bodyDiv w:val="1"/>
      <w:marLeft w:val="0"/>
      <w:marRight w:val="0"/>
      <w:marTop w:val="0"/>
      <w:marBottom w:val="0"/>
      <w:divBdr>
        <w:top w:val="none" w:sz="0" w:space="0" w:color="auto"/>
        <w:left w:val="none" w:sz="0" w:space="0" w:color="auto"/>
        <w:bottom w:val="none" w:sz="0" w:space="0" w:color="auto"/>
        <w:right w:val="none" w:sz="0" w:space="0" w:color="auto"/>
      </w:divBdr>
    </w:div>
    <w:div w:id="1713917712">
      <w:bodyDiv w:val="1"/>
      <w:marLeft w:val="0"/>
      <w:marRight w:val="0"/>
      <w:marTop w:val="0"/>
      <w:marBottom w:val="0"/>
      <w:divBdr>
        <w:top w:val="none" w:sz="0" w:space="0" w:color="auto"/>
        <w:left w:val="none" w:sz="0" w:space="0" w:color="auto"/>
        <w:bottom w:val="none" w:sz="0" w:space="0" w:color="auto"/>
        <w:right w:val="none" w:sz="0" w:space="0" w:color="auto"/>
      </w:divBdr>
    </w:div>
    <w:div w:id="1940333762">
      <w:bodyDiv w:val="1"/>
      <w:marLeft w:val="0"/>
      <w:marRight w:val="0"/>
      <w:marTop w:val="0"/>
      <w:marBottom w:val="0"/>
      <w:divBdr>
        <w:top w:val="none" w:sz="0" w:space="0" w:color="auto"/>
        <w:left w:val="none" w:sz="0" w:space="0" w:color="auto"/>
        <w:bottom w:val="none" w:sz="0" w:space="0" w:color="auto"/>
        <w:right w:val="none" w:sz="0" w:space="0" w:color="auto"/>
      </w:divBdr>
    </w:div>
    <w:div w:id="20354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le.Boudreaux@fp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B3CD-69B8-48E0-90FE-2E9B9285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KXB0I37</dc:creator>
  <cp:lastModifiedBy>KXB0I37</cp:lastModifiedBy>
  <cp:revision>5</cp:revision>
  <dcterms:created xsi:type="dcterms:W3CDTF">2013-07-31T13:50:00Z</dcterms:created>
  <dcterms:modified xsi:type="dcterms:W3CDTF">2013-08-02T21:53:00Z</dcterms:modified>
</cp:coreProperties>
</file>