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8EBD" w14:textId="77777777" w:rsidR="00332B1C" w:rsidRDefault="00332B1C" w:rsidP="00301D75">
      <w:pPr>
        <w:contextualSpacing/>
        <w:rPr>
          <w:rFonts w:cs="Calibri"/>
          <w:szCs w:val="24"/>
        </w:rPr>
      </w:pPr>
    </w:p>
    <w:p w14:paraId="348CAF78" w14:textId="77777777" w:rsidR="00301D75" w:rsidRPr="00301D75" w:rsidRDefault="00301D75" w:rsidP="00301D75">
      <w:pPr>
        <w:contextualSpacing/>
        <w:rPr>
          <w:rFonts w:cs="Calibri"/>
          <w:szCs w:val="24"/>
        </w:rPr>
      </w:pPr>
      <w:r w:rsidRPr="00301D75">
        <w:rPr>
          <w:rFonts w:cs="Calibri"/>
          <w:szCs w:val="24"/>
        </w:rPr>
        <w:t>March 1</w:t>
      </w:r>
      <w:r w:rsidR="00332B1C">
        <w:rPr>
          <w:rFonts w:cs="Calibri"/>
          <w:szCs w:val="24"/>
        </w:rPr>
        <w:t>8</w:t>
      </w:r>
      <w:r w:rsidRPr="00301D75">
        <w:rPr>
          <w:rFonts w:cs="Calibri"/>
          <w:szCs w:val="24"/>
        </w:rPr>
        <w:t>, 2021</w:t>
      </w:r>
    </w:p>
    <w:p w14:paraId="14345B06" w14:textId="77777777" w:rsidR="00301D75" w:rsidRPr="00301D75" w:rsidRDefault="00301D75" w:rsidP="00301D75">
      <w:pPr>
        <w:contextualSpacing/>
        <w:rPr>
          <w:rFonts w:cs="Calibri"/>
          <w:szCs w:val="24"/>
        </w:rPr>
      </w:pPr>
    </w:p>
    <w:p w14:paraId="3794B325" w14:textId="77777777" w:rsidR="00301D75" w:rsidRPr="00301D75" w:rsidRDefault="00384E9C" w:rsidP="00301D75">
      <w:pPr>
        <w:contextualSpacing/>
        <w:rPr>
          <w:rFonts w:cs="Calibri"/>
          <w:szCs w:val="24"/>
        </w:rPr>
      </w:pPr>
      <w:r>
        <w:rPr>
          <w:rFonts w:cs="Calibri"/>
          <w:szCs w:val="24"/>
        </w:rPr>
        <w:t>Clerk’s</w:t>
      </w:r>
      <w:r w:rsidR="00301D75" w:rsidRPr="00301D75">
        <w:rPr>
          <w:rFonts w:cs="Calibri"/>
          <w:szCs w:val="24"/>
        </w:rPr>
        <w:t xml:space="preserve"> Office</w:t>
      </w:r>
    </w:p>
    <w:p w14:paraId="5EA97499" w14:textId="77777777" w:rsidR="00301D75" w:rsidRPr="00301D75" w:rsidRDefault="00301D75" w:rsidP="00301D75">
      <w:pPr>
        <w:contextualSpacing/>
        <w:rPr>
          <w:rFonts w:cs="Calibri"/>
          <w:szCs w:val="24"/>
        </w:rPr>
      </w:pPr>
      <w:r w:rsidRPr="00301D75">
        <w:rPr>
          <w:rFonts w:cs="Calibri"/>
          <w:szCs w:val="24"/>
        </w:rPr>
        <w:t>California Air Resources Board</w:t>
      </w:r>
    </w:p>
    <w:p w14:paraId="25EAE97A" w14:textId="77777777" w:rsidR="00301D75" w:rsidRPr="00301D75" w:rsidRDefault="00301D75" w:rsidP="00301D75">
      <w:pPr>
        <w:contextualSpacing/>
        <w:rPr>
          <w:rFonts w:cs="Calibri"/>
          <w:szCs w:val="24"/>
        </w:rPr>
      </w:pPr>
      <w:r w:rsidRPr="00301D75">
        <w:rPr>
          <w:rFonts w:cs="Calibri"/>
          <w:szCs w:val="24"/>
        </w:rPr>
        <w:t>1001 I Street</w:t>
      </w:r>
    </w:p>
    <w:p w14:paraId="400BA345" w14:textId="77777777" w:rsidR="00301D75" w:rsidRPr="00301D75" w:rsidRDefault="00301D75" w:rsidP="00301D75">
      <w:pPr>
        <w:contextualSpacing/>
        <w:rPr>
          <w:rFonts w:cs="Calibri"/>
          <w:szCs w:val="24"/>
        </w:rPr>
      </w:pPr>
      <w:r w:rsidRPr="00301D75">
        <w:rPr>
          <w:rFonts w:cs="Calibri"/>
          <w:szCs w:val="24"/>
        </w:rPr>
        <w:t>Sacramento, California 95814</w:t>
      </w:r>
    </w:p>
    <w:p w14:paraId="19835F84" w14:textId="77777777" w:rsidR="00301D75" w:rsidRPr="00301D75" w:rsidRDefault="009D1DA1" w:rsidP="00301D75">
      <w:pPr>
        <w:contextualSpacing/>
        <w:rPr>
          <w:rFonts w:cs="Calibri"/>
          <w:szCs w:val="24"/>
        </w:rPr>
      </w:pPr>
      <w:hyperlink r:id="rId6" w:history="1">
        <w:r w:rsidR="00301D75" w:rsidRPr="00301D75">
          <w:rPr>
            <w:rStyle w:val="Hyperlink"/>
            <w:rFonts w:cs="Calibri"/>
            <w:szCs w:val="24"/>
          </w:rPr>
          <w:t>https://www.arb.ca.gov/lispub/comm/bclist.php</w:t>
        </w:r>
      </w:hyperlink>
    </w:p>
    <w:p w14:paraId="5FF40F70" w14:textId="77777777" w:rsidR="00301D75" w:rsidRPr="00301D75" w:rsidRDefault="00301D75" w:rsidP="00301D75">
      <w:pPr>
        <w:contextualSpacing/>
        <w:rPr>
          <w:rFonts w:cs="Calibri"/>
          <w:szCs w:val="24"/>
        </w:rPr>
      </w:pPr>
    </w:p>
    <w:p w14:paraId="31011647" w14:textId="77777777" w:rsidR="00301D75" w:rsidRPr="00301D75" w:rsidRDefault="00301D75" w:rsidP="00301D75">
      <w:pPr>
        <w:tabs>
          <w:tab w:val="left" w:pos="900"/>
        </w:tabs>
        <w:ind w:left="900" w:hanging="900"/>
        <w:contextualSpacing/>
        <w:rPr>
          <w:rFonts w:cs="Calibri"/>
          <w:bCs/>
          <w:szCs w:val="24"/>
        </w:rPr>
      </w:pPr>
      <w:r w:rsidRPr="00301D75">
        <w:rPr>
          <w:rFonts w:cs="Calibri"/>
          <w:szCs w:val="24"/>
        </w:rPr>
        <w:t>Subject:</w:t>
      </w:r>
      <w:r w:rsidRPr="00301D75">
        <w:rPr>
          <w:rFonts w:cs="Calibri"/>
          <w:szCs w:val="24"/>
        </w:rPr>
        <w:tab/>
        <w:t>Comments on Proposed Amendments to the California Consumer Products Regulation; Board Agenda Item # 21-2-1</w:t>
      </w:r>
    </w:p>
    <w:p w14:paraId="11C06C6D" w14:textId="77777777" w:rsidR="00301D75" w:rsidRPr="00301D75" w:rsidRDefault="00301D75" w:rsidP="00301D75">
      <w:pPr>
        <w:contextualSpacing/>
        <w:rPr>
          <w:rFonts w:cs="Calibri"/>
          <w:bCs/>
          <w:szCs w:val="24"/>
        </w:rPr>
      </w:pPr>
    </w:p>
    <w:p w14:paraId="1E0C41C7" w14:textId="77777777" w:rsidR="00301D75" w:rsidRPr="00301D75" w:rsidRDefault="00301D75" w:rsidP="00301D75">
      <w:pPr>
        <w:contextualSpacing/>
        <w:rPr>
          <w:rFonts w:cs="Calibri"/>
          <w:bCs/>
          <w:szCs w:val="24"/>
        </w:rPr>
      </w:pPr>
      <w:r w:rsidRPr="00301D75">
        <w:rPr>
          <w:rFonts w:cs="Calibri"/>
          <w:bCs/>
          <w:szCs w:val="24"/>
        </w:rPr>
        <w:t>Dear Board Members:</w:t>
      </w:r>
    </w:p>
    <w:p w14:paraId="57444143" w14:textId="77777777" w:rsidR="00301D75" w:rsidRPr="00301D75" w:rsidRDefault="00301D75" w:rsidP="00301D75">
      <w:pPr>
        <w:contextualSpacing/>
        <w:rPr>
          <w:rFonts w:cs="Calibri"/>
          <w:bCs/>
          <w:szCs w:val="24"/>
        </w:rPr>
      </w:pPr>
    </w:p>
    <w:p w14:paraId="70889C9A" w14:textId="77777777" w:rsidR="00301D75" w:rsidRDefault="00301D75" w:rsidP="00301D75">
      <w:pPr>
        <w:rPr>
          <w:rFonts w:cs="Calibri"/>
          <w:szCs w:val="24"/>
        </w:rPr>
      </w:pPr>
      <w:r w:rsidRPr="00301D75">
        <w:rPr>
          <w:rFonts w:cs="Calibri"/>
          <w:szCs w:val="24"/>
        </w:rPr>
        <w:t>The Western Aerosol Information Bureau, Inc. (WAIB) commends the staff for all their hard work and time spent in developing the proposed amendments to Consumer Product VOC Regulations.</w:t>
      </w:r>
    </w:p>
    <w:p w14:paraId="43ECA40D" w14:textId="77777777" w:rsidR="00332B1C" w:rsidRPr="00301D75" w:rsidRDefault="00332B1C" w:rsidP="00301D75">
      <w:pPr>
        <w:rPr>
          <w:rFonts w:cs="Calibri"/>
          <w:szCs w:val="24"/>
        </w:rPr>
      </w:pPr>
    </w:p>
    <w:p w14:paraId="685E53F9" w14:textId="77777777" w:rsidR="00301D75" w:rsidRPr="00E87B34" w:rsidRDefault="00301D75" w:rsidP="00301D75">
      <w:r w:rsidRPr="00301D75">
        <w:rPr>
          <w:rFonts w:cs="Calibri"/>
          <w:szCs w:val="24"/>
        </w:rPr>
        <w:t xml:space="preserve">WAIB is a </w:t>
      </w:r>
      <w:r w:rsidRPr="00E87B34">
        <w:t>regional association of companies supporting the production, marketing and use of aerosol products. The membership consists of approximately 5</w:t>
      </w:r>
      <w:r w:rsidR="00332B1C">
        <w:t>0</w:t>
      </w:r>
      <w:r w:rsidRPr="00E87B34">
        <w:t xml:space="preserve"> companies ranging in size from small to large and in scope from national to international.</w:t>
      </w:r>
    </w:p>
    <w:p w14:paraId="05C85BB7" w14:textId="77777777" w:rsidR="00301D75" w:rsidRPr="00301D75" w:rsidRDefault="00301D75" w:rsidP="00301D75">
      <w:pPr>
        <w:rPr>
          <w:rFonts w:cs="Calibri"/>
          <w:szCs w:val="24"/>
        </w:rPr>
      </w:pPr>
    </w:p>
    <w:p w14:paraId="7273304D" w14:textId="77777777" w:rsidR="00301D75" w:rsidRPr="00301D75" w:rsidRDefault="00301D75" w:rsidP="00301D75">
      <w:pPr>
        <w:rPr>
          <w:rFonts w:cs="Calibri"/>
          <w:szCs w:val="24"/>
        </w:rPr>
      </w:pPr>
      <w:r w:rsidRPr="00301D75">
        <w:rPr>
          <w:rFonts w:cs="Calibri"/>
          <w:szCs w:val="24"/>
        </w:rPr>
        <w:t>WAIB has worked with CARB staff to develop reasonable VOC limits while maintaining viable products for the public and achieving the agency’s clean air goals.</w:t>
      </w:r>
    </w:p>
    <w:p w14:paraId="4810FC59" w14:textId="77777777" w:rsidR="00332B1C" w:rsidRDefault="00332B1C" w:rsidP="00301D75">
      <w:pPr>
        <w:rPr>
          <w:rFonts w:cs="Calibri"/>
          <w:szCs w:val="24"/>
        </w:rPr>
      </w:pPr>
    </w:p>
    <w:p w14:paraId="4EADBE45" w14:textId="77777777" w:rsidR="00301D75" w:rsidRPr="00301D75" w:rsidRDefault="00301D75" w:rsidP="00301D75">
      <w:pPr>
        <w:rPr>
          <w:rFonts w:cs="Calibri"/>
          <w:szCs w:val="24"/>
        </w:rPr>
      </w:pPr>
      <w:r w:rsidRPr="00301D75">
        <w:rPr>
          <w:rFonts w:cs="Calibri"/>
          <w:szCs w:val="24"/>
        </w:rPr>
        <w:t>Our comments are the following.</w:t>
      </w:r>
    </w:p>
    <w:p w14:paraId="7A693208" w14:textId="77777777" w:rsidR="00332B1C" w:rsidRDefault="00332B1C" w:rsidP="00301D75">
      <w:pPr>
        <w:rPr>
          <w:rFonts w:cs="Calibri"/>
          <w:b/>
          <w:bCs/>
          <w:szCs w:val="24"/>
          <w:u w:val="single"/>
        </w:rPr>
      </w:pPr>
    </w:p>
    <w:p w14:paraId="30B15C5C" w14:textId="77777777" w:rsidR="00301D75" w:rsidRPr="00301D75" w:rsidRDefault="00301D75" w:rsidP="00301D75">
      <w:pPr>
        <w:rPr>
          <w:rFonts w:cs="Calibri"/>
          <w:b/>
          <w:bCs/>
          <w:szCs w:val="24"/>
          <w:u w:val="single"/>
        </w:rPr>
      </w:pPr>
      <w:r w:rsidRPr="00301D75">
        <w:rPr>
          <w:rFonts w:cs="Calibri"/>
          <w:b/>
          <w:bCs/>
          <w:szCs w:val="24"/>
          <w:u w:val="single"/>
        </w:rPr>
        <w:t>Air fresheners</w:t>
      </w:r>
    </w:p>
    <w:p w14:paraId="1F310E37" w14:textId="77777777" w:rsidR="00301D75" w:rsidRPr="00301D75" w:rsidRDefault="00301D75" w:rsidP="00301D75">
      <w:pPr>
        <w:rPr>
          <w:rFonts w:cs="Calibri"/>
          <w:szCs w:val="24"/>
        </w:rPr>
      </w:pPr>
      <w:r w:rsidRPr="00301D75">
        <w:rPr>
          <w:rFonts w:cs="Calibri"/>
          <w:szCs w:val="24"/>
        </w:rPr>
        <w:t>WAIB supports the proposal for the Aerosol Air Freshener categories.  The addition of the definitions for the new categories as well as the new VOC limits are supported by WAIB.  The Association would like to thank the staff for their work with the Industry through numerous meetings in person and virtually to provide a reasonable and workable outcome for these categories.  Adding the niche categories concentrated Aerosol Air Freshener and Total Release Air Freshener is valuable to the Industry.</w:t>
      </w:r>
    </w:p>
    <w:p w14:paraId="37FB10D3" w14:textId="77777777" w:rsidR="00332B1C" w:rsidRDefault="00332B1C" w:rsidP="00301D75">
      <w:pPr>
        <w:rPr>
          <w:rFonts w:cs="Calibri"/>
          <w:b/>
          <w:bCs/>
          <w:szCs w:val="24"/>
          <w:u w:val="single"/>
        </w:rPr>
      </w:pPr>
    </w:p>
    <w:p w14:paraId="35C13503" w14:textId="77777777" w:rsidR="00301D75" w:rsidRPr="00301D75" w:rsidRDefault="00301D75" w:rsidP="00301D75">
      <w:pPr>
        <w:rPr>
          <w:rFonts w:cs="Calibri"/>
          <w:b/>
          <w:bCs/>
          <w:szCs w:val="24"/>
          <w:u w:val="single"/>
        </w:rPr>
      </w:pPr>
      <w:r w:rsidRPr="00301D75">
        <w:rPr>
          <w:rFonts w:cs="Calibri"/>
          <w:b/>
          <w:bCs/>
          <w:szCs w:val="24"/>
          <w:u w:val="single"/>
        </w:rPr>
        <w:t>Hairspray, Dry Shampoo and Personal Fragrance</w:t>
      </w:r>
    </w:p>
    <w:p w14:paraId="501B7D12" w14:textId="77777777" w:rsidR="00301D75" w:rsidRPr="00301D75" w:rsidRDefault="00301D75" w:rsidP="00301D75">
      <w:pPr>
        <w:rPr>
          <w:rFonts w:cs="Calibri"/>
          <w:szCs w:val="24"/>
        </w:rPr>
      </w:pPr>
      <w:r w:rsidRPr="00301D75">
        <w:rPr>
          <w:rFonts w:cs="Calibri"/>
          <w:szCs w:val="24"/>
        </w:rPr>
        <w:t>WAIB supports the proposal for Hairspray, Dry Shampoo and Personal Fragrance.  However, the Personal Fragrance VOC limits are technology forcing.  The Technology review will be needed to ensure these stringent limits are able to be met.</w:t>
      </w:r>
    </w:p>
    <w:p w14:paraId="4999F23B" w14:textId="77777777" w:rsidR="00332B1C" w:rsidRDefault="00332B1C" w:rsidP="00301D75">
      <w:pPr>
        <w:rPr>
          <w:rFonts w:cs="Calibri"/>
          <w:b/>
          <w:bCs/>
          <w:szCs w:val="24"/>
          <w:u w:val="single"/>
        </w:rPr>
      </w:pPr>
    </w:p>
    <w:p w14:paraId="31EEA158" w14:textId="77777777" w:rsidR="00301D75" w:rsidRPr="00301D75" w:rsidRDefault="00301D75" w:rsidP="00301D75">
      <w:pPr>
        <w:rPr>
          <w:rFonts w:cs="Calibri"/>
          <w:b/>
          <w:bCs/>
          <w:szCs w:val="24"/>
          <w:u w:val="single"/>
        </w:rPr>
      </w:pPr>
      <w:r w:rsidRPr="00301D75">
        <w:rPr>
          <w:rFonts w:cs="Calibri"/>
          <w:b/>
          <w:bCs/>
          <w:szCs w:val="24"/>
          <w:u w:val="single"/>
        </w:rPr>
        <w:t>Sunset of Two Percent Fragrance Exemption</w:t>
      </w:r>
    </w:p>
    <w:p w14:paraId="2AB073A1" w14:textId="77777777" w:rsidR="00301D75" w:rsidRPr="00301D75" w:rsidRDefault="00301D75" w:rsidP="00301D75">
      <w:pPr>
        <w:rPr>
          <w:rFonts w:cs="Calibri"/>
          <w:szCs w:val="24"/>
        </w:rPr>
      </w:pPr>
      <w:r w:rsidRPr="00301D75">
        <w:rPr>
          <w:rFonts w:cs="Calibri"/>
          <w:szCs w:val="24"/>
        </w:rPr>
        <w:t xml:space="preserve">WAIB supports sun setting the two percent fragrance exemption.  </w:t>
      </w:r>
    </w:p>
    <w:p w14:paraId="4E50A5FA" w14:textId="77777777" w:rsidR="00332B1C" w:rsidRDefault="00332B1C" w:rsidP="00301D75">
      <w:pPr>
        <w:rPr>
          <w:rFonts w:cs="Calibri"/>
          <w:b/>
          <w:bCs/>
          <w:szCs w:val="24"/>
          <w:u w:val="single"/>
        </w:rPr>
      </w:pPr>
    </w:p>
    <w:p w14:paraId="06FC5465" w14:textId="77777777" w:rsidR="00332B1C" w:rsidRDefault="00332B1C" w:rsidP="00301D75">
      <w:pPr>
        <w:rPr>
          <w:rFonts w:cs="Calibri"/>
          <w:b/>
          <w:bCs/>
          <w:szCs w:val="24"/>
          <w:u w:val="single"/>
        </w:rPr>
      </w:pPr>
    </w:p>
    <w:p w14:paraId="193E61BD" w14:textId="77777777" w:rsidR="00332B1C" w:rsidRDefault="00332B1C" w:rsidP="00301D75">
      <w:pPr>
        <w:rPr>
          <w:rFonts w:cs="Calibri"/>
          <w:b/>
          <w:bCs/>
          <w:szCs w:val="24"/>
          <w:u w:val="single"/>
        </w:rPr>
      </w:pPr>
    </w:p>
    <w:p w14:paraId="0938483C" w14:textId="77777777" w:rsidR="00301D75" w:rsidRPr="00301D75" w:rsidRDefault="00301D75" w:rsidP="00301D75">
      <w:pPr>
        <w:rPr>
          <w:rFonts w:cs="Calibri"/>
          <w:b/>
          <w:bCs/>
          <w:szCs w:val="24"/>
          <w:u w:val="single"/>
        </w:rPr>
      </w:pPr>
      <w:r w:rsidRPr="00301D75">
        <w:rPr>
          <w:rFonts w:cs="Calibri"/>
          <w:b/>
          <w:bCs/>
          <w:szCs w:val="24"/>
          <w:u w:val="single"/>
        </w:rPr>
        <w:t>Monoterpenes</w:t>
      </w:r>
    </w:p>
    <w:p w14:paraId="4F37DE98" w14:textId="77777777" w:rsidR="00301D75" w:rsidRPr="00301D75" w:rsidRDefault="00301D75" w:rsidP="00301D75">
      <w:pPr>
        <w:rPr>
          <w:rFonts w:cs="Calibri"/>
          <w:szCs w:val="24"/>
        </w:rPr>
      </w:pPr>
      <w:r w:rsidRPr="00301D75">
        <w:rPr>
          <w:rFonts w:cs="Calibri"/>
          <w:szCs w:val="24"/>
        </w:rPr>
        <w:t xml:space="preserve">WAIB supports the inclusion of the 0.25% VOC of Monoterpenes for General Purpose Cleaners and General Purpose Degreasers non-aerosol.  This has been a </w:t>
      </w:r>
      <w:proofErr w:type="gramStart"/>
      <w:r w:rsidRPr="00301D75">
        <w:rPr>
          <w:rFonts w:cs="Calibri"/>
          <w:szCs w:val="24"/>
        </w:rPr>
        <w:t>long term</w:t>
      </w:r>
      <w:proofErr w:type="gramEnd"/>
      <w:r w:rsidRPr="00301D75">
        <w:rPr>
          <w:rFonts w:cs="Calibri"/>
          <w:szCs w:val="24"/>
        </w:rPr>
        <w:t xml:space="preserve"> issue and the staff proposal will hopefully settle this issue.  We appreciate the staff’s approach to the issue.</w:t>
      </w:r>
    </w:p>
    <w:p w14:paraId="2D633AEC" w14:textId="77777777" w:rsidR="00332B1C" w:rsidRDefault="00332B1C" w:rsidP="00301D75">
      <w:pPr>
        <w:rPr>
          <w:rFonts w:cs="Calibri"/>
          <w:b/>
          <w:bCs/>
          <w:szCs w:val="24"/>
          <w:u w:val="single"/>
        </w:rPr>
      </w:pPr>
    </w:p>
    <w:p w14:paraId="52D83112" w14:textId="77777777" w:rsidR="00301D75" w:rsidRPr="00301D75" w:rsidRDefault="00301D75" w:rsidP="00301D75">
      <w:pPr>
        <w:rPr>
          <w:rFonts w:cs="Calibri"/>
          <w:b/>
          <w:bCs/>
          <w:szCs w:val="24"/>
          <w:u w:val="single"/>
        </w:rPr>
      </w:pPr>
      <w:r w:rsidRPr="00301D75">
        <w:rPr>
          <w:rFonts w:cs="Calibri"/>
          <w:b/>
          <w:bCs/>
          <w:szCs w:val="24"/>
          <w:u w:val="single"/>
        </w:rPr>
        <w:t>Energized Electrical Cleaner</w:t>
      </w:r>
    </w:p>
    <w:p w14:paraId="4ADF685D" w14:textId="77777777" w:rsidR="00301D75" w:rsidRPr="00301D75" w:rsidRDefault="00301D75" w:rsidP="00301D75">
      <w:pPr>
        <w:rPr>
          <w:rFonts w:cs="Calibri"/>
          <w:szCs w:val="24"/>
        </w:rPr>
      </w:pPr>
      <w:r w:rsidRPr="00301D75">
        <w:rPr>
          <w:rFonts w:cs="Calibri"/>
          <w:szCs w:val="24"/>
        </w:rPr>
        <w:t xml:space="preserve">WAIB supports the proposed definition change for this category.  Energized Electrical Cleaner must be non-flammable to prevent the potential for a fire when used on a live electrical connection.  The current change allows for the formulation of nonflammable products.  Also the wording that only “currently generated sales records be maintained” does not add additional burden to the Industry.  </w:t>
      </w:r>
    </w:p>
    <w:p w14:paraId="77B3960B" w14:textId="77777777" w:rsidR="00332B1C" w:rsidRDefault="00332B1C" w:rsidP="00301D75">
      <w:pPr>
        <w:rPr>
          <w:rFonts w:cs="Calibri"/>
          <w:b/>
          <w:bCs/>
          <w:szCs w:val="24"/>
          <w:u w:val="single"/>
        </w:rPr>
      </w:pPr>
    </w:p>
    <w:p w14:paraId="3F90112B" w14:textId="77777777" w:rsidR="00301D75" w:rsidRPr="00301D75" w:rsidRDefault="00301D75" w:rsidP="00301D75">
      <w:pPr>
        <w:rPr>
          <w:rFonts w:cs="Calibri"/>
          <w:b/>
          <w:bCs/>
          <w:szCs w:val="24"/>
          <w:u w:val="single"/>
        </w:rPr>
      </w:pPr>
      <w:r w:rsidRPr="00301D75">
        <w:rPr>
          <w:rFonts w:cs="Calibri"/>
          <w:b/>
          <w:bCs/>
          <w:szCs w:val="24"/>
          <w:u w:val="single"/>
        </w:rPr>
        <w:t>Plastic Pipe Adhesive</w:t>
      </w:r>
    </w:p>
    <w:p w14:paraId="14EF6B20" w14:textId="77777777" w:rsidR="00301D75" w:rsidRPr="00301D75" w:rsidRDefault="00301D75" w:rsidP="00301D75">
      <w:pPr>
        <w:rPr>
          <w:rFonts w:cs="Calibri"/>
          <w:szCs w:val="24"/>
        </w:rPr>
      </w:pPr>
      <w:r w:rsidRPr="00301D75">
        <w:rPr>
          <w:rFonts w:cs="Calibri"/>
          <w:szCs w:val="24"/>
        </w:rPr>
        <w:t>WAIB supports the new definition and VOC limit for Plastic Pipe Cement.</w:t>
      </w:r>
    </w:p>
    <w:p w14:paraId="3FED6F8F" w14:textId="77777777" w:rsidR="00332B1C" w:rsidRDefault="00332B1C" w:rsidP="00301D75">
      <w:pPr>
        <w:rPr>
          <w:rFonts w:cs="Calibri"/>
          <w:b/>
          <w:bCs/>
          <w:szCs w:val="24"/>
          <w:u w:val="single"/>
        </w:rPr>
      </w:pPr>
    </w:p>
    <w:p w14:paraId="12DD9EFD" w14:textId="77777777" w:rsidR="00301D75" w:rsidRPr="00301D75" w:rsidRDefault="00301D75" w:rsidP="00301D75">
      <w:pPr>
        <w:rPr>
          <w:rFonts w:cs="Calibri"/>
          <w:b/>
          <w:bCs/>
          <w:szCs w:val="24"/>
          <w:u w:val="single"/>
        </w:rPr>
      </w:pPr>
      <w:r w:rsidRPr="00301D75">
        <w:rPr>
          <w:rFonts w:cs="Calibri"/>
          <w:b/>
          <w:bCs/>
          <w:szCs w:val="24"/>
          <w:u w:val="single"/>
        </w:rPr>
        <w:t>Innovative Product Exemption (IPE)</w:t>
      </w:r>
    </w:p>
    <w:p w14:paraId="5B2901D0" w14:textId="77777777" w:rsidR="00301D75" w:rsidRPr="00301D75" w:rsidRDefault="00301D75" w:rsidP="00301D75">
      <w:pPr>
        <w:rPr>
          <w:rFonts w:cs="Calibri"/>
          <w:szCs w:val="24"/>
        </w:rPr>
      </w:pPr>
      <w:r w:rsidRPr="00301D75">
        <w:rPr>
          <w:rFonts w:cs="Calibri"/>
          <w:szCs w:val="24"/>
        </w:rPr>
        <w:t>WAIB cannot support the IPE provision for Compressed Gas.  The provision lacks clarity and needs to be amended.  There are no calculations for volume of compressed gas or for figuring out ozone formation potential.  Both of these issues need to be clarified.  Also, the use of compressed gases has limitations and restrictions due to the chemistry.</w:t>
      </w:r>
    </w:p>
    <w:p w14:paraId="4F37615A" w14:textId="77777777" w:rsidR="00301D75" w:rsidRPr="00301D75" w:rsidRDefault="00301D75" w:rsidP="00301D75">
      <w:pPr>
        <w:rPr>
          <w:rFonts w:cs="Calibri"/>
          <w:szCs w:val="24"/>
        </w:rPr>
      </w:pPr>
      <w:r w:rsidRPr="00301D75">
        <w:rPr>
          <w:rFonts w:cs="Calibri"/>
          <w:szCs w:val="24"/>
        </w:rPr>
        <w:t xml:space="preserve">WAIB has extremely disappointed that staff did not include the National Aerosol Association (NAA) IPE language into the proposal.  The NAA proposal was submitted only 30 days after the staff proposal, both provisions were submitted very late in the process.  However, the NAA proposal uses Reactivity to reduce Global Warming Potential (GWP) compounds.  </w:t>
      </w:r>
      <w:proofErr w:type="spellStart"/>
      <w:r w:rsidRPr="00301D75">
        <w:rPr>
          <w:rFonts w:cs="Calibri"/>
          <w:szCs w:val="24"/>
        </w:rPr>
        <w:t>Reactivty</w:t>
      </w:r>
      <w:proofErr w:type="spellEnd"/>
      <w:r w:rsidRPr="00301D75">
        <w:rPr>
          <w:rFonts w:cs="Calibri"/>
          <w:szCs w:val="24"/>
        </w:rPr>
        <w:t xml:space="preserve"> is a known and respected science in Consumer Products.  The use of Reactivity is known to CARB due to being utilized in Aerosol Coatings and Multi-purpose lubricants.  The use of Reactivity allows more flexibility to manufacturers to reformulate.  </w:t>
      </w:r>
    </w:p>
    <w:p w14:paraId="1A9E9CE7" w14:textId="77777777" w:rsidR="00332B1C" w:rsidRDefault="00332B1C" w:rsidP="00301D75">
      <w:pPr>
        <w:rPr>
          <w:rFonts w:cs="Calibri"/>
          <w:b/>
          <w:bCs/>
          <w:szCs w:val="24"/>
          <w:u w:val="single"/>
        </w:rPr>
      </w:pPr>
    </w:p>
    <w:p w14:paraId="51F61046" w14:textId="77777777" w:rsidR="00301D75" w:rsidRPr="00301D75" w:rsidRDefault="00301D75" w:rsidP="00301D75">
      <w:pPr>
        <w:rPr>
          <w:rFonts w:cs="Calibri"/>
          <w:b/>
          <w:bCs/>
          <w:szCs w:val="24"/>
          <w:u w:val="single"/>
        </w:rPr>
      </w:pPr>
      <w:r w:rsidRPr="00301D75">
        <w:rPr>
          <w:rFonts w:cs="Calibri"/>
          <w:b/>
          <w:bCs/>
          <w:szCs w:val="24"/>
          <w:u w:val="single"/>
        </w:rPr>
        <w:t>Addition of Compounds to MIR Table</w:t>
      </w:r>
    </w:p>
    <w:p w14:paraId="67DB3CC5" w14:textId="77777777" w:rsidR="00301D75" w:rsidRPr="00301D75" w:rsidRDefault="00301D75" w:rsidP="00301D75">
      <w:pPr>
        <w:rPr>
          <w:rFonts w:cs="Calibri"/>
          <w:szCs w:val="24"/>
        </w:rPr>
      </w:pPr>
      <w:r w:rsidRPr="00301D75">
        <w:rPr>
          <w:rFonts w:cs="Calibri"/>
          <w:szCs w:val="24"/>
        </w:rPr>
        <w:t xml:space="preserve">WAIB supports </w:t>
      </w:r>
      <w:r w:rsidRPr="004D1EE1">
        <w:rPr>
          <w:color w:val="000000"/>
          <w:szCs w:val="24"/>
        </w:rPr>
        <w:t xml:space="preserve">the proposal to add diethyl carbonate, 1-chloro-3,3,3-trifluoropropane, HFO-1233zd and alkane mixed-minimally 90% C13 and higher to the MIR table of Values.  WAIB supports the use of Reactivity. </w:t>
      </w:r>
    </w:p>
    <w:p w14:paraId="60B74E9F" w14:textId="77777777" w:rsidR="00332B1C" w:rsidRDefault="00332B1C" w:rsidP="00301D75">
      <w:pPr>
        <w:rPr>
          <w:rFonts w:cs="Calibri"/>
          <w:b/>
          <w:bCs/>
          <w:szCs w:val="24"/>
          <w:u w:val="single"/>
        </w:rPr>
      </w:pPr>
    </w:p>
    <w:p w14:paraId="735009AB" w14:textId="77777777" w:rsidR="00301D75" w:rsidRPr="00301D75" w:rsidRDefault="00301D75" w:rsidP="00301D75">
      <w:pPr>
        <w:rPr>
          <w:rFonts w:cs="Calibri"/>
          <w:b/>
          <w:bCs/>
          <w:szCs w:val="24"/>
          <w:u w:val="single"/>
        </w:rPr>
      </w:pPr>
      <w:r w:rsidRPr="00301D75">
        <w:rPr>
          <w:rFonts w:cs="Calibri"/>
          <w:b/>
          <w:bCs/>
          <w:szCs w:val="24"/>
          <w:u w:val="single"/>
        </w:rPr>
        <w:t>Conclusion</w:t>
      </w:r>
    </w:p>
    <w:p w14:paraId="608FD224" w14:textId="77777777" w:rsidR="00301D75" w:rsidRPr="00301D75" w:rsidRDefault="00301D75" w:rsidP="00301D75">
      <w:pPr>
        <w:rPr>
          <w:rFonts w:cs="Calibri"/>
          <w:szCs w:val="24"/>
        </w:rPr>
      </w:pPr>
      <w:r w:rsidRPr="00301D75">
        <w:rPr>
          <w:rFonts w:cs="Calibri"/>
          <w:szCs w:val="24"/>
        </w:rPr>
        <w:t>WAIB supports the VOC limits and definitions for Air Freshener, Hair care products and Personal Fragrance with the exceptions noted above.  The staff worked hard on these amendments.  Unfortunately, WAIB cannot support the IPE for Compressed gases.  More work is needed on this provision.  WAIB does respectfully request that the Board direct staff to incorporate the NAA Reactivity provision or an alternative Reactivity provision.  The compressed gas IPE and addition of the Reactivity provision both can be handled in a 15-day comment period.</w:t>
      </w:r>
    </w:p>
    <w:p w14:paraId="087D9403" w14:textId="77777777" w:rsidR="00332B1C" w:rsidRDefault="00332B1C" w:rsidP="00301D75">
      <w:pPr>
        <w:rPr>
          <w:rFonts w:cs="Calibri"/>
          <w:szCs w:val="24"/>
        </w:rPr>
      </w:pPr>
    </w:p>
    <w:p w14:paraId="54A3DDE7" w14:textId="77777777" w:rsidR="00301D75" w:rsidRPr="00301D75" w:rsidRDefault="00301D75" w:rsidP="00301D75">
      <w:pPr>
        <w:rPr>
          <w:rFonts w:cs="Calibri"/>
          <w:color w:val="000000"/>
          <w:szCs w:val="24"/>
        </w:rPr>
      </w:pPr>
      <w:r w:rsidRPr="00301D75">
        <w:rPr>
          <w:rFonts w:cs="Calibri"/>
          <w:szCs w:val="24"/>
        </w:rPr>
        <w:lastRenderedPageBreak/>
        <w:t xml:space="preserve">Thank you in advance for consideration to these comments.  Feel free to call </w:t>
      </w:r>
      <w:r w:rsidR="00384E9C">
        <w:rPr>
          <w:rFonts w:cs="Calibri"/>
          <w:szCs w:val="24"/>
        </w:rPr>
        <w:t xml:space="preserve">me with questions or comments.  </w:t>
      </w:r>
    </w:p>
    <w:p w14:paraId="2D84C435" w14:textId="77777777" w:rsidR="00301D75" w:rsidRPr="00301D75" w:rsidRDefault="00301D75" w:rsidP="00301D75">
      <w:pPr>
        <w:rPr>
          <w:rFonts w:cs="Calibri"/>
          <w:szCs w:val="24"/>
        </w:rPr>
      </w:pPr>
    </w:p>
    <w:p w14:paraId="5967DE33" w14:textId="77777777" w:rsidR="00301D75" w:rsidRPr="00301D75" w:rsidRDefault="00301D75" w:rsidP="00301D75">
      <w:pPr>
        <w:rPr>
          <w:rFonts w:cs="Calibri"/>
          <w:szCs w:val="24"/>
        </w:rPr>
      </w:pPr>
    </w:p>
    <w:p w14:paraId="00C4262B" w14:textId="77777777" w:rsidR="00301D75" w:rsidRPr="00301D75" w:rsidRDefault="00301D75" w:rsidP="00301D75">
      <w:pPr>
        <w:rPr>
          <w:rFonts w:cs="Calibri"/>
          <w:szCs w:val="24"/>
        </w:rPr>
      </w:pPr>
      <w:r w:rsidRPr="00301D75">
        <w:rPr>
          <w:rFonts w:cs="Calibri"/>
          <w:szCs w:val="24"/>
        </w:rPr>
        <w:t>Sincerely,</w:t>
      </w:r>
    </w:p>
    <w:p w14:paraId="0D6A6E0F" w14:textId="08D5D9AC" w:rsidR="00301D75" w:rsidRDefault="00C227BA" w:rsidP="00301D75">
      <w:pPr>
        <w:rPr>
          <w:rFonts w:cs="Calibri"/>
          <w:szCs w:val="24"/>
        </w:rPr>
      </w:pPr>
      <w:r w:rsidRPr="00C227BA">
        <w:rPr>
          <w:rFonts w:cs="Calibri"/>
          <w:szCs w:val="24"/>
        </w:rPr>
        <w:drawing>
          <wp:inline distT="0" distB="0" distL="0" distR="0" wp14:anchorId="0F0C42AD" wp14:editId="2D18BF0B">
            <wp:extent cx="1678329" cy="469098"/>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0862" cy="478191"/>
                    </a:xfrm>
                    <a:prstGeom prst="rect">
                      <a:avLst/>
                    </a:prstGeom>
                  </pic:spPr>
                </pic:pic>
              </a:graphicData>
            </a:graphic>
          </wp:inline>
        </w:drawing>
      </w:r>
      <w:bookmarkStart w:id="0" w:name="_GoBack"/>
      <w:bookmarkEnd w:id="0"/>
    </w:p>
    <w:p w14:paraId="470CF1EB" w14:textId="77777777" w:rsidR="00301D75" w:rsidRDefault="00301D75" w:rsidP="00301D75">
      <w:pPr>
        <w:rPr>
          <w:rFonts w:cs="Calibri"/>
          <w:szCs w:val="24"/>
        </w:rPr>
      </w:pPr>
      <w:r>
        <w:rPr>
          <w:rFonts w:cs="Calibri"/>
          <w:szCs w:val="24"/>
        </w:rPr>
        <w:t>John Davis</w:t>
      </w:r>
    </w:p>
    <w:p w14:paraId="56A98E40" w14:textId="77777777" w:rsidR="00301D75" w:rsidRDefault="00301D75" w:rsidP="00301D75">
      <w:pPr>
        <w:rPr>
          <w:rFonts w:cs="Calibri"/>
          <w:szCs w:val="24"/>
        </w:rPr>
      </w:pPr>
      <w:r>
        <w:rPr>
          <w:rFonts w:cs="Calibri"/>
          <w:szCs w:val="24"/>
        </w:rPr>
        <w:t xml:space="preserve">President </w:t>
      </w:r>
    </w:p>
    <w:p w14:paraId="41C30AD6" w14:textId="77777777" w:rsidR="00301D75" w:rsidRPr="00301D75" w:rsidRDefault="00301D75" w:rsidP="00301D75">
      <w:pPr>
        <w:rPr>
          <w:rFonts w:cs="Calibri"/>
          <w:szCs w:val="24"/>
        </w:rPr>
      </w:pPr>
      <w:r>
        <w:rPr>
          <w:rFonts w:cs="Calibri"/>
          <w:szCs w:val="24"/>
        </w:rPr>
        <w:t>Western Aerosol Information Bureau</w:t>
      </w:r>
    </w:p>
    <w:p w14:paraId="7283888F" w14:textId="77777777" w:rsidR="00301D75" w:rsidRPr="00301D75" w:rsidRDefault="00301D75" w:rsidP="00301D75">
      <w:pPr>
        <w:rPr>
          <w:rFonts w:cs="Calibri"/>
          <w:szCs w:val="24"/>
        </w:rPr>
      </w:pPr>
    </w:p>
    <w:p w14:paraId="3B1AC777" w14:textId="77777777" w:rsidR="00301D75" w:rsidRPr="00301D75" w:rsidRDefault="00301D75" w:rsidP="00301D75">
      <w:pPr>
        <w:rPr>
          <w:rFonts w:cs="Calibri"/>
          <w:szCs w:val="24"/>
        </w:rPr>
      </w:pPr>
      <w:r w:rsidRPr="00301D75">
        <w:rPr>
          <w:rFonts w:cs="Calibri"/>
          <w:szCs w:val="24"/>
        </w:rPr>
        <w:t>Cc: Ravi.Ramalingam@arb.ca.gov</w:t>
      </w:r>
    </w:p>
    <w:p w14:paraId="0D630144" w14:textId="77777777" w:rsidR="00301D75" w:rsidRPr="00301D75" w:rsidRDefault="00301D75" w:rsidP="00301D75">
      <w:pPr>
        <w:rPr>
          <w:rFonts w:cs="Calibri"/>
          <w:szCs w:val="24"/>
        </w:rPr>
      </w:pPr>
      <w:r w:rsidRPr="00301D75">
        <w:rPr>
          <w:rFonts w:cs="Calibri"/>
          <w:szCs w:val="24"/>
        </w:rPr>
        <w:t xml:space="preserve">      joe.calavita@arb.ca.gov</w:t>
      </w:r>
    </w:p>
    <w:p w14:paraId="2A3449CC" w14:textId="77777777" w:rsidR="00301D75" w:rsidRPr="00301D75" w:rsidRDefault="00301D75" w:rsidP="00301D75">
      <w:pPr>
        <w:rPr>
          <w:rFonts w:cs="Calibri"/>
          <w:szCs w:val="24"/>
        </w:rPr>
      </w:pPr>
      <w:r w:rsidRPr="00301D75">
        <w:rPr>
          <w:rFonts w:cs="Calibri"/>
          <w:szCs w:val="24"/>
        </w:rPr>
        <w:t xml:space="preserve">      josh.berghouse@arb.ca.gov</w:t>
      </w:r>
    </w:p>
    <w:p w14:paraId="32FFE483" w14:textId="77777777" w:rsidR="00301D75" w:rsidRPr="00301D75" w:rsidRDefault="00301D75" w:rsidP="00301D75">
      <w:pPr>
        <w:rPr>
          <w:rFonts w:cs="Calibri"/>
          <w:szCs w:val="24"/>
        </w:rPr>
      </w:pPr>
      <w:r w:rsidRPr="00301D75">
        <w:rPr>
          <w:rFonts w:cs="Calibri"/>
          <w:szCs w:val="24"/>
        </w:rPr>
        <w:t xml:space="preserve">      </w:t>
      </w:r>
      <w:hyperlink r:id="rId8" w:history="1">
        <w:r w:rsidRPr="00301D75">
          <w:rPr>
            <w:rStyle w:val="Hyperlink"/>
            <w:rFonts w:cs="Calibri"/>
            <w:szCs w:val="24"/>
          </w:rPr>
          <w:t>david.edwards@arb.ca.gov</w:t>
        </w:r>
      </w:hyperlink>
    </w:p>
    <w:p w14:paraId="1DEE416B" w14:textId="77777777" w:rsidR="00301D75" w:rsidRPr="00301D75" w:rsidRDefault="00301D75" w:rsidP="00301D75">
      <w:pPr>
        <w:rPr>
          <w:rFonts w:cs="Calibri"/>
          <w:szCs w:val="24"/>
        </w:rPr>
      </w:pPr>
      <w:r w:rsidRPr="00301D75">
        <w:rPr>
          <w:rFonts w:cs="Calibri"/>
          <w:szCs w:val="24"/>
        </w:rPr>
        <w:t xml:space="preserve">      </w:t>
      </w:r>
      <w:hyperlink r:id="rId9" w:history="1">
        <w:r w:rsidRPr="00301D75">
          <w:rPr>
            <w:rStyle w:val="Hyperlink"/>
            <w:rFonts w:cs="Calibri"/>
            <w:szCs w:val="24"/>
          </w:rPr>
          <w:t>jose.gomez@arb.ca.gov</w:t>
        </w:r>
      </w:hyperlink>
    </w:p>
    <w:p w14:paraId="585078D1" w14:textId="77777777" w:rsidR="00301D75" w:rsidRPr="009564A4" w:rsidRDefault="00301D75" w:rsidP="00301D75">
      <w:pPr>
        <w:rPr>
          <w:szCs w:val="24"/>
        </w:rPr>
      </w:pPr>
    </w:p>
    <w:p w14:paraId="2237C6B0" w14:textId="77777777" w:rsidR="00301D75" w:rsidRDefault="00301D75" w:rsidP="00301D75"/>
    <w:p w14:paraId="50CE22D5" w14:textId="77777777" w:rsidR="00C76391" w:rsidRDefault="00C76391"/>
    <w:sectPr w:rsidR="00C76391" w:rsidSect="00332B1C">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864"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E63AB" w14:textId="77777777" w:rsidR="009D1DA1" w:rsidRDefault="009D1DA1">
      <w:r>
        <w:separator/>
      </w:r>
    </w:p>
  </w:endnote>
  <w:endnote w:type="continuationSeparator" w:id="0">
    <w:p w14:paraId="31B3813D" w14:textId="77777777" w:rsidR="009D1DA1" w:rsidRDefault="009D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97CC" w14:textId="77777777" w:rsidR="00332B1C" w:rsidRDefault="00332B1C">
    <w:pPr>
      <w:pStyle w:val="Foo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A5B3" w14:textId="77777777" w:rsidR="00332B1C" w:rsidRDefault="00332B1C">
    <w:pPr>
      <w:pStyle w:val="Foote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E5931" w14:textId="77777777" w:rsidR="0045454F" w:rsidRDefault="00C74C5C">
    <w:pPr>
      <w:pStyle w:val="Footer"/>
      <w:rPr>
        <w:sz w:val="20"/>
      </w:rPr>
    </w:pPr>
    <w:r>
      <w:rPr>
        <w:noProof/>
        <w:sz w:val="20"/>
      </w:rPr>
      <mc:AlternateContent>
        <mc:Choice Requires="wps">
          <w:drawing>
            <wp:anchor distT="0" distB="0" distL="114300" distR="114300" simplePos="0" relativeHeight="251658240" behindDoc="0" locked="0" layoutInCell="1" allowOverlap="1" wp14:anchorId="0A8D896A" wp14:editId="72DD6F96">
              <wp:simplePos x="0" y="0"/>
              <wp:positionH relativeFrom="column">
                <wp:posOffset>-62865</wp:posOffset>
              </wp:positionH>
              <wp:positionV relativeFrom="paragraph">
                <wp:posOffset>111760</wp:posOffset>
              </wp:positionV>
              <wp:extent cx="54864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57BCC"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pt" to="427.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eL6FQIAACkEAAAOAAAAZHJzL2Uyb0RvYy54bWysU8GO2jAQvVfqP1i+QxIaKESEVZVAL7SL&#10;tNsPMLZDrDq2ZRsCqvrvHRuC2PZSVVUkZ+wZP7+ZN7N8OncSnbh1QqsSZ+MUI66oZkIdSvztdTOa&#10;Y+Q8UYxIrXiJL9zhp9X7d8veFHyiWy0ZtwhAlCt6U+LWe1MkiaMt74gba8MVOBttO+Jhaw8Js6QH&#10;9E4mkzSdJb22zFhNuXNwWl+deBXxm4ZT/9w0jnskSwzcfFxtXPdhTVZLUhwsMa2gNxrkH1h0RCh4&#10;9A5VE0/Q0Yo/oDpBrXa68WOqu0Q3jaA85gDZZOlv2by0xPCYCxTHmXuZ3P+DpV9PO4sEK/EEI0U6&#10;kGgrFEdZLE1vXAERldrZkBw9qxez1fS7Q0pXLVEHHim+Xgzcy0IxkzdXwsYZeGDff9EMYsjR61in&#10;c2O7AAkVQOcox+UuBz97ROFwms9neQqq0cGXkGK4aKzzn7nuUDBKLIF0BCanrfOBCCmGkPCO0hsh&#10;ZVRbKtSXeDGdTOMFp6VgwRnCnD3sK2nRiYR+SefwxazA8xhm9VGxCNZywtY32xMhrzY8LlXAg1SA&#10;zs26NsSPRbpYz9fzfJRPZutRntb16NOmykezTfZxWn+oq6rOfgZqWV60gjGuAruhObP878S/jcm1&#10;re7teS9D8hY91gvIDv9IOmoZ5AvT5Iq9ZpedHTSGfozBt9kJDf+4B/txwle/AAAA//8DAFBLAwQU&#10;AAYACAAAACEA0Lx5vtsAAAAIAQAADwAAAGRycy9kb3ducmV2LnhtbEyPwU7DMBBE70j8g7VI3Fqn&#10;qJQkxKkAFSGOlH7AxjZxRLyOYjcNfD2LONDjzoxm31Tb2fdismPsAilYLTMQlnQwHbUKDu/PixxE&#10;TEgG+0BWwZeNsK0vLyosTTjRm532qRVcQrFEBS6loZQyamc9xmUYLLH3EUaPic+xlWbEE5f7Xt5k&#10;2UZ67Ig/OBzsk7P6c3/0Cqaknf4+7F6y/rHFdfEaw67Jlbq+mh/uQSQ7p/8w/OIzOtTM1IQjmSh6&#10;BYui4CTrdxsQ7Oe36xWI5k+QdSXPB9Q/AAAA//8DAFBLAQItABQABgAIAAAAIQC2gziS/gAAAOEB&#10;AAATAAAAAAAAAAAAAAAAAAAAAABbQ29udGVudF9UeXBlc10ueG1sUEsBAi0AFAAGAAgAAAAhADj9&#10;If/WAAAAlAEAAAsAAAAAAAAAAAAAAAAALwEAAF9yZWxzLy5yZWxzUEsBAi0AFAAGAAgAAAAhAEXR&#10;4voVAgAAKQQAAA4AAAAAAAAAAAAAAAAALgIAAGRycy9lMm9Eb2MueG1sUEsBAi0AFAAGAAgAAAAh&#10;ANC8eb7bAAAACAEAAA8AAAAAAAAAAAAAAAAAbwQAAGRycy9kb3ducmV2LnhtbFBLBQYAAAAABAAE&#10;APMAAAB3BQAAAAA=&#10;" strokecolor="teal"/>
          </w:pict>
        </mc:Fallback>
      </mc:AlternateContent>
    </w:r>
  </w:p>
  <w:p w14:paraId="32209E9E" w14:textId="77777777" w:rsidR="0045454F" w:rsidRPr="00774BE7" w:rsidRDefault="00C74C5C" w:rsidP="00353DA7">
    <w:pPr>
      <w:pStyle w:val="Footer"/>
      <w:jc w:val="center"/>
      <w:rPr>
        <w:sz w:val="20"/>
      </w:rPr>
    </w:pPr>
    <w:r>
      <w:rPr>
        <w:noProof/>
        <w:sz w:val="20"/>
      </w:rPr>
      <mc:AlternateContent>
        <mc:Choice Requires="wps">
          <w:drawing>
            <wp:anchor distT="0" distB="0" distL="114300" distR="114300" simplePos="0" relativeHeight="251659264" behindDoc="0" locked="0" layoutInCell="1" allowOverlap="1" wp14:anchorId="340EC3A8" wp14:editId="3574C8BE">
              <wp:simplePos x="0" y="0"/>
              <wp:positionH relativeFrom="column">
                <wp:posOffset>-62865</wp:posOffset>
              </wp:positionH>
              <wp:positionV relativeFrom="paragraph">
                <wp:posOffset>194310</wp:posOffset>
              </wp:positionV>
              <wp:extent cx="54864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3AE4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3pt" to="427.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uiXFQIAACkEAAAOAAAAZHJzL2Uyb0RvYy54bWysU9uu2jAQfK/Uf7D8DklooCEiHFUJ9IX2&#10;IJ3TDzC2Q6w6tmUbAqr6712bS0v7UlVVJMeX2fHsznrxdOolOnLrhFYVzsYpRlxRzYTaV/jL63pU&#10;YOQ8UYxIrXiFz9zhp+XbN4vBlHyiOy0ZtwhIlCsHU+HOe1MmiaMd74kba8MVHLba9sTD0u4TZskA&#10;7L1MJmk6SwZtmbGacudgt7kc4mXkb1tO/XPbOu6RrDBo83G0cdyFMVkuSLm3xHSCXmWQf1DRE6Hg&#10;0jtVQzxBByv+oOoFtdrp1o+p7hPdtoLymANkk6W/ZfPSEcNjLlAcZ+5lcv+Pln4+bi0SDLzDSJEe&#10;LNoIxVGWhdIMxpWAqNXWhuToSb2YjaZfHVK67oja8yjx9WwgLkYkDyFh4QxcsBs+aQYYcvA61unU&#10;2j5QQgXQKdpxvtvBTx5R2JzmxSxPwTV6O0tIeQs01vmPXPcoTCosQXQkJseN8yAdoDdIuEfptZAy&#10;ui0VGio8n06mMcBpKVg4DDBn97taWnQkoV/SAr5QByB7gFl9UCySdZyw1XXuiZCXOeClCnyQCsi5&#10;zi4N8W2ezlfFqshH+WS2GuVp04w+rOt8NFtn76fNu6aum+x7kJblZScY4yqouzVnlv+d+ddncmmr&#10;e3vey5A8sscUQeztH0VHL4N9l0bYaXbe2lCNYCv0YwRf305o+F/XEfXzhS9/AAAA//8DAFBLAwQU&#10;AAYACAAAACEAZI+rT9sAAAAIAQAADwAAAGRycy9kb3ducmV2LnhtbEyPwU7DMBBE70j8g7VI3Fq7&#10;UKokxKkAFSGOlH6AYy9xhL2OYjcNfD1GHMpxdkYzb+vt7B2bcIx9IAmrpQCGpIPpqZNweH9eFMBi&#10;UmSUC4QSvjDCtrm8qFVlwonecNqnjuUSipWSYFMaKs6jtuhVXIYBKXsfYfQqZTl23IzqlMu94zdC&#10;bLhXPeUFqwZ8sqg/90cvYUra6u/D7kW4x06ty9cYdm0h5fXV/HAPLOGczmH4xc/o0GSmNhzJROYk&#10;LMoyJyXcig2w7Bd36xWw9u/Am5r/f6D5AQAA//8DAFBLAQItABQABgAIAAAAIQC2gziS/gAAAOEB&#10;AAATAAAAAAAAAAAAAAAAAAAAAABbQ29udGVudF9UeXBlc10ueG1sUEsBAi0AFAAGAAgAAAAhADj9&#10;If/WAAAAlAEAAAsAAAAAAAAAAAAAAAAALwEAAF9yZWxzLy5yZWxzUEsBAi0AFAAGAAgAAAAhAAHu&#10;6JcVAgAAKQQAAA4AAAAAAAAAAAAAAAAALgIAAGRycy9lMm9Eb2MueG1sUEsBAi0AFAAGAAgAAAAh&#10;AGSPq0/bAAAACAEAAA8AAAAAAAAAAAAAAAAAbwQAAGRycy9kb3ducmV2LnhtbFBLBQYAAAAABAAE&#10;APMAAAB3BQAAAAA=&#10;" strokecolor="teal"/>
          </w:pict>
        </mc:Fallback>
      </mc:AlternateContent>
    </w:r>
    <w:r w:rsidR="00CE34BD">
      <w:rPr>
        <w:sz w:val="20"/>
      </w:rPr>
      <w:t>3040 Saturn Street, Suite 205</w:t>
    </w:r>
    <w:r w:rsidR="0045454F" w:rsidRPr="00774BE7">
      <w:rPr>
        <w:sz w:val="20"/>
      </w:rPr>
      <w:t>,</w:t>
    </w:r>
    <w:r w:rsidR="00CE34BD">
      <w:rPr>
        <w:sz w:val="20"/>
      </w:rPr>
      <w:t xml:space="preserve"> Brea,</w:t>
    </w:r>
    <w:r w:rsidR="0045454F" w:rsidRPr="00774BE7">
      <w:rPr>
        <w:sz w:val="20"/>
      </w:rPr>
      <w:t xml:space="preserve"> CA </w:t>
    </w:r>
    <w:proofErr w:type="gramStart"/>
    <w:r w:rsidR="0045454F" w:rsidRPr="00774BE7">
      <w:rPr>
        <w:sz w:val="20"/>
      </w:rPr>
      <w:t>928</w:t>
    </w:r>
    <w:r w:rsidR="00CE34BD">
      <w:rPr>
        <w:sz w:val="20"/>
      </w:rPr>
      <w:t>21</w:t>
    </w:r>
    <w:r w:rsidR="0045454F" w:rsidRPr="00774BE7">
      <w:rPr>
        <w:sz w:val="20"/>
      </w:rPr>
      <w:t xml:space="preserve">  Phone</w:t>
    </w:r>
    <w:proofErr w:type="gramEnd"/>
    <w:r w:rsidR="0045454F" w:rsidRPr="00774BE7">
      <w:rPr>
        <w:sz w:val="20"/>
      </w:rPr>
      <w:t xml:space="preserve"> (714)526-</w:t>
    </w:r>
    <w:r w:rsidR="006405B5">
      <w:rPr>
        <w:sz w:val="20"/>
      </w:rPr>
      <w:t>4851</w:t>
    </w:r>
    <w:r w:rsidR="0045454F" w:rsidRPr="00774BE7">
      <w:rPr>
        <w:sz w:val="20"/>
      </w:rPr>
      <w:t xml:space="preserve"> E-mail: info@waib.org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75F68" w14:textId="77777777" w:rsidR="009D1DA1" w:rsidRDefault="009D1DA1">
      <w:r>
        <w:separator/>
      </w:r>
    </w:p>
  </w:footnote>
  <w:footnote w:type="continuationSeparator" w:id="0">
    <w:p w14:paraId="72AE09D1" w14:textId="77777777" w:rsidR="009D1DA1" w:rsidRDefault="009D1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9B5D" w14:textId="77777777" w:rsidR="00332B1C" w:rsidRDefault="00332B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514C2" w14:textId="77777777" w:rsidR="00332B1C" w:rsidRDefault="00332B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DB8AB" w14:textId="77777777" w:rsidR="0045454F" w:rsidRPr="00457A25" w:rsidRDefault="00C74C5C" w:rsidP="00774BE7">
    <w:pPr>
      <w:pStyle w:val="Header"/>
      <w:tabs>
        <w:tab w:val="clear" w:pos="4320"/>
        <w:tab w:val="clear" w:pos="8640"/>
      </w:tabs>
      <w:rPr>
        <w:rFonts w:ascii="Arial" w:hAnsi="Arial" w:cs="Arial"/>
        <w:color w:val="31849B"/>
      </w:rPr>
    </w:pPr>
    <w:r>
      <w:rPr>
        <w:rFonts w:ascii="Arial Black" w:hAnsi="Arial Black"/>
        <w:noProof/>
      </w:rPr>
      <mc:AlternateContent>
        <mc:Choice Requires="wps">
          <w:drawing>
            <wp:anchor distT="0" distB="0" distL="114300" distR="114300" simplePos="0" relativeHeight="251656192" behindDoc="0" locked="0" layoutInCell="1" allowOverlap="1" wp14:anchorId="02903DB1" wp14:editId="729B6CAA">
              <wp:simplePos x="0" y="0"/>
              <wp:positionH relativeFrom="column">
                <wp:posOffset>2156460</wp:posOffset>
              </wp:positionH>
              <wp:positionV relativeFrom="paragraph">
                <wp:posOffset>898525</wp:posOffset>
              </wp:positionV>
              <wp:extent cx="3429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5EF0C"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70.75pt" to="439.8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IRFQIAACgEAAAOAAAAZHJzL2Uyb0RvYy54bWysU8uu2yAQ3VfqPyD2iR9x0sSKc1XZSTe3&#10;baR7+wEEcIyKAQGJE1X99w7kodx2U1XdwMDMHM7MGZZPp16iI7dOaFXhbJxixBXVTKh9hb+9bkZz&#10;jJwnihGpFa/wmTv8tHr/bjmYkue605JxiwBEuXIwFe68N2WSONrxnrixNlyBs9W2Jx6Odp8wSwZA&#10;72WSp+ksGbRlxmrKnYPb5uLEq4jftpz6r23ruEeywsDNx9XGdRfWZLUk5d4S0wl6pUH+gUVPhIJH&#10;71AN8QQdrPgDqhfUaqdbP6a6T3TbCspjDVBNlv5WzUtHDI+1QHOcubfJ/T9Y+uW4tUiwCk8xUqQH&#10;iZ6F4mgSOjMYV0JArbY21EZP6sU8a/rdIaXrjqg9jwxfzwbSspCRvEkJB2cAfzd81gxiyMHr2KZT&#10;a/sACQ1Ap6jG+a4GP3lE4XJS5Is0BdHozZeQ8pZorPOfuO5RMCosgXMEJsdn5wMRUt5CwjtKb4SU&#10;UWyp0FDhxTSfxgSnpWDBGcKc3e9qadGRwLgs8rpp6lgVeB7DrD4oFsE6Ttj6ansi5MWGx6UKeFAK&#10;0Llal3n4sUgX6/l6XoyKfLYeFWnTjD5u6mI022Qfps2kqesm+xmoZUXZCca4Cuxus5kVf6f99Zdc&#10;puo+nfc2JG/RY7+A7G2PpKOWQb7LIOw0O2/tTWMYxxh8/Tph3h/PYD9+8NUvAAAA//8DAFBLAwQU&#10;AAYACAAAACEApV+K3N8AAAALAQAADwAAAGRycy9kb3ducmV2LnhtbEyPQUvDQBCF74L/YRnBm500&#10;1TTGbIoUPKhFsJXS4zY7TUKzuyG7aeO/dwqCHue9jzfv5YvRtOJEvW+clTCdRCDIlk43tpLwtXm5&#10;S0H4oKxWrbMk4Zs8LIrrq1xl2p3tJ53WoRIcYn2mJNQhdBmiL2syyk9cR5a9g+uNCnz2FepenTnc&#10;tBhHUYJGNZY/1KqjZU3lcT0YCcNui+/4sT3G6QF38WuySpdvpZS3N+PzE4hAY/iD4VKfq0PBnfZu&#10;sNqLVsJs9pgwysb99AEEE+n8oux/FSxy/L+h+AEAAP//AwBQSwECLQAUAAYACAAAACEAtoM4kv4A&#10;AADhAQAAEwAAAAAAAAAAAAAAAAAAAAAAW0NvbnRlbnRfVHlwZXNdLnhtbFBLAQItABQABgAIAAAA&#10;IQA4/SH/1gAAAJQBAAALAAAAAAAAAAAAAAAAAC8BAABfcmVscy8ucmVsc1BLAQItABQABgAIAAAA&#10;IQBrEkIRFQIAACgEAAAOAAAAAAAAAAAAAAAAAC4CAABkcnMvZTJvRG9jLnhtbFBLAQItABQABgAI&#10;AAAAIQClX4rc3wAAAAsBAAAPAAAAAAAAAAAAAAAAAG8EAABkcnMvZG93bnJldi54bWxQSwUGAAAA&#10;AAQABADzAAAAewUAAAAA&#10;" strokecolor="#92cddc"/>
          </w:pict>
        </mc:Fallback>
      </mc:AlternateContent>
    </w:r>
    <w:r>
      <w:rPr>
        <w:rFonts w:ascii="Arial Black" w:hAnsi="Arial Black"/>
        <w:noProof/>
      </w:rPr>
      <mc:AlternateContent>
        <mc:Choice Requires="wps">
          <w:drawing>
            <wp:anchor distT="0" distB="0" distL="114300" distR="114300" simplePos="0" relativeHeight="251657216" behindDoc="0" locked="0" layoutInCell="1" allowOverlap="1" wp14:anchorId="4FA4ACE5" wp14:editId="7B89B6C3">
              <wp:simplePos x="0" y="0"/>
              <wp:positionH relativeFrom="column">
                <wp:posOffset>2156460</wp:posOffset>
              </wp:positionH>
              <wp:positionV relativeFrom="paragraph">
                <wp:posOffset>653415</wp:posOffset>
              </wp:positionV>
              <wp:extent cx="34290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92CDD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52AC7"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51.45pt" to="439.8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7uFQIAACgEAAAOAAAAZHJzL2Uyb0RvYy54bWysU8uu2yAQ3VfqPyD2iR9x0sSKc1XZSTe3&#10;baR7+wEEcIyKAQGJE1X99w7kodx2U1XdwMDMHM7MGZZPp16iI7dOaFXhbJxixBXVTKh9hb+9bkZz&#10;jJwnihGpFa/wmTv8tHr/bjmYkue605JxiwBEuXIwFe68N2WSONrxnrixNlyBs9W2Jx6Odp8wSwZA&#10;72WSp+ksGbRlxmrKnYPb5uLEq4jftpz6r23ruEeywsDNx9XGdRfWZLUk5d4S0wl6pUH+gUVPhIJH&#10;71AN8QQdrPgDqhfUaqdbP6a6T3TbCspjDVBNlv5WzUtHDI+1QHOcubfJ/T9Y+uW4tUiwCk8wUqQH&#10;iZ6F4qgInRmMKyGgVlsbaqMn9WKeNf3ukNJ1R9SeR4avZwNpWchI3qSEgzOAvxs+awYx5OB1bNOp&#10;tX2AhAagU1TjfFeDnzyicDkp8kWagmj05ktIeUs01vlPXPcoGBWWwDkCk+Oz84EIKW8h4R2lN0LK&#10;KLZUaKjwYppPY4LTUrDgDGHO7ne1tOhIYFwWed00dawKPI9hVh8Ui2AdJ2x9tT0R8mLD41IFPCgF&#10;6Fytyzz8WKSL9Xw9L0ZFPluPirRpRh83dTGabbIP02bS1HWT/QzUsqLsBGNcBXa32cyKv9P++ksu&#10;U3WfznsbkrfosV9A9rZH0lHLIN9lEHaanbf2pjGMYwy+fp0w749nsB8/+OoXAAAA//8DAFBLAwQU&#10;AAYACAAAACEA8NVbn94AAAALAQAADwAAAGRycy9kb3ducmV2LnhtbEyPT0vDQBDF74LfYRnBm52Y&#10;QkxjNkUKHvyD0Cqlx20yTUKzsyG7aeO3dwqCHue9H2/ey5eT7dSJBt861nA/i0ARl65qudbw9fl8&#10;l4LywXBlOsek4Zs8LIvrq9xklTvzmk6bUCsJYZ8ZDU0IfYboy4as8TPXE4t3cIM1Qc6hxmowZwm3&#10;HcZRlKA1LcuHxvS0aqg8bkarYdxt8Q0/tsc4PeAufkne09VrqfXtzfT0CCrQFP5guNSX6lBIp70b&#10;ufKq0zCfLxJBxYjiBSgh0oeLsv9VsMjx/4biBwAA//8DAFBLAQItABQABgAIAAAAIQC2gziS/gAA&#10;AOEBAAATAAAAAAAAAAAAAAAAAAAAAABbQ29udGVudF9UeXBlc10ueG1sUEsBAi0AFAAGAAgAAAAh&#10;ADj9If/WAAAAlAEAAAsAAAAAAAAAAAAAAAAALwEAAF9yZWxzLy5yZWxzUEsBAi0AFAAGAAgAAAAh&#10;AKAznu4VAgAAKAQAAA4AAAAAAAAAAAAAAAAALgIAAGRycy9lMm9Eb2MueG1sUEsBAi0AFAAGAAgA&#10;AAAhAPDVW5/eAAAACwEAAA8AAAAAAAAAAAAAAAAAbwQAAGRycy9kb3ducmV2LnhtbFBLBQYAAAAA&#10;BAAEAPMAAAB6BQAAAAA=&#10;" strokecolor="#92cddc"/>
          </w:pict>
        </mc:Fallback>
      </mc:AlternateContent>
    </w:r>
    <w:r w:rsidR="0045454F">
      <w:rPr>
        <w:rFonts w:ascii="Arial Black" w:hAnsi="Arial Black"/>
      </w:rPr>
      <w:t xml:space="preserve">   </w:t>
    </w:r>
    <w:r w:rsidR="00457A25">
      <w:rPr>
        <w:rFonts w:ascii="Arial Black" w:hAnsi="Arial Black"/>
      </w:rPr>
      <w:t xml:space="preserve"> </w:t>
    </w:r>
    <w:r>
      <w:rPr>
        <w:rFonts w:ascii="Arial Black" w:hAnsi="Arial Black"/>
        <w:noProof/>
      </w:rPr>
      <w:drawing>
        <wp:inline distT="0" distB="0" distL="0" distR="0" wp14:anchorId="6D35546B" wp14:editId="31F47732">
          <wp:extent cx="2066925" cy="809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09625"/>
                  </a:xfrm>
                  <a:prstGeom prst="rect">
                    <a:avLst/>
                  </a:prstGeom>
                  <a:noFill/>
                  <a:ln>
                    <a:noFill/>
                  </a:ln>
                </pic:spPr>
              </pic:pic>
            </a:graphicData>
          </a:graphic>
        </wp:inline>
      </w:drawing>
    </w:r>
    <w:r w:rsidR="00457A25">
      <w:rPr>
        <w:rFonts w:ascii="Arial Black" w:hAnsi="Arial Black"/>
      </w:rPr>
      <w:t xml:space="preserve">     </w:t>
    </w:r>
    <w:r w:rsidR="00457A25" w:rsidRPr="00457A25">
      <w:rPr>
        <w:rFonts w:ascii="Arial" w:hAnsi="Arial" w:cs="Arial"/>
        <w:color w:val="31849B"/>
      </w:rPr>
      <w:t>western aerosol information bureau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C7"/>
    <w:rsid w:val="000040AE"/>
    <w:rsid w:val="00013BA9"/>
    <w:rsid w:val="00034556"/>
    <w:rsid w:val="000750B2"/>
    <w:rsid w:val="0008633B"/>
    <w:rsid w:val="000920AB"/>
    <w:rsid w:val="00093716"/>
    <w:rsid w:val="000A40C3"/>
    <w:rsid w:val="000A5532"/>
    <w:rsid w:val="000B3C8E"/>
    <w:rsid w:val="000C4ABD"/>
    <w:rsid w:val="000E0A9A"/>
    <w:rsid w:val="0011340C"/>
    <w:rsid w:val="001162A8"/>
    <w:rsid w:val="00116CFE"/>
    <w:rsid w:val="00136664"/>
    <w:rsid w:val="00141369"/>
    <w:rsid w:val="00142291"/>
    <w:rsid w:val="00162004"/>
    <w:rsid w:val="0018039E"/>
    <w:rsid w:val="0018228B"/>
    <w:rsid w:val="00183150"/>
    <w:rsid w:val="001839D6"/>
    <w:rsid w:val="001B4506"/>
    <w:rsid w:val="001F3BEB"/>
    <w:rsid w:val="0020202E"/>
    <w:rsid w:val="00202EAA"/>
    <w:rsid w:val="00222646"/>
    <w:rsid w:val="0022357E"/>
    <w:rsid w:val="00233FA3"/>
    <w:rsid w:val="00242240"/>
    <w:rsid w:val="002526B1"/>
    <w:rsid w:val="00261018"/>
    <w:rsid w:val="002742F8"/>
    <w:rsid w:val="0028049B"/>
    <w:rsid w:val="002915AB"/>
    <w:rsid w:val="002A6CA8"/>
    <w:rsid w:val="002B0077"/>
    <w:rsid w:val="002E3CA8"/>
    <w:rsid w:val="002F6169"/>
    <w:rsid w:val="002F6A5D"/>
    <w:rsid w:val="00301D75"/>
    <w:rsid w:val="00302CCE"/>
    <w:rsid w:val="00332B1C"/>
    <w:rsid w:val="0033556D"/>
    <w:rsid w:val="00335683"/>
    <w:rsid w:val="00353DA7"/>
    <w:rsid w:val="00383CA7"/>
    <w:rsid w:val="00384E9C"/>
    <w:rsid w:val="003B0761"/>
    <w:rsid w:val="003C4EE9"/>
    <w:rsid w:val="003D09A4"/>
    <w:rsid w:val="003D2CF2"/>
    <w:rsid w:val="003D78F5"/>
    <w:rsid w:val="004028DA"/>
    <w:rsid w:val="0040495D"/>
    <w:rsid w:val="00427FCE"/>
    <w:rsid w:val="0045454F"/>
    <w:rsid w:val="004547D2"/>
    <w:rsid w:val="00457A25"/>
    <w:rsid w:val="0046579E"/>
    <w:rsid w:val="00473632"/>
    <w:rsid w:val="004868CB"/>
    <w:rsid w:val="004A5163"/>
    <w:rsid w:val="004B6E05"/>
    <w:rsid w:val="004C2CD6"/>
    <w:rsid w:val="004C324A"/>
    <w:rsid w:val="004C33C4"/>
    <w:rsid w:val="004C4E26"/>
    <w:rsid w:val="004C5647"/>
    <w:rsid w:val="004D5CFB"/>
    <w:rsid w:val="004E6022"/>
    <w:rsid w:val="00506F48"/>
    <w:rsid w:val="00516516"/>
    <w:rsid w:val="00516982"/>
    <w:rsid w:val="005233B0"/>
    <w:rsid w:val="005426B8"/>
    <w:rsid w:val="0055240F"/>
    <w:rsid w:val="005544F5"/>
    <w:rsid w:val="005640F6"/>
    <w:rsid w:val="00574BD4"/>
    <w:rsid w:val="00592871"/>
    <w:rsid w:val="005B1D68"/>
    <w:rsid w:val="005B7BC2"/>
    <w:rsid w:val="005E1A6A"/>
    <w:rsid w:val="005E39FA"/>
    <w:rsid w:val="005E618D"/>
    <w:rsid w:val="0062011C"/>
    <w:rsid w:val="00632CEB"/>
    <w:rsid w:val="006405B5"/>
    <w:rsid w:val="006472BF"/>
    <w:rsid w:val="00650BA8"/>
    <w:rsid w:val="00651074"/>
    <w:rsid w:val="0066363E"/>
    <w:rsid w:val="006805B0"/>
    <w:rsid w:val="0068658A"/>
    <w:rsid w:val="006B7C10"/>
    <w:rsid w:val="006C357B"/>
    <w:rsid w:val="006E2020"/>
    <w:rsid w:val="006E50B1"/>
    <w:rsid w:val="006E61FE"/>
    <w:rsid w:val="006F7BCE"/>
    <w:rsid w:val="0070170B"/>
    <w:rsid w:val="0070211F"/>
    <w:rsid w:val="00703C35"/>
    <w:rsid w:val="007539A1"/>
    <w:rsid w:val="00774BE7"/>
    <w:rsid w:val="00776C40"/>
    <w:rsid w:val="00795A77"/>
    <w:rsid w:val="007A22C5"/>
    <w:rsid w:val="007B5F98"/>
    <w:rsid w:val="007C5D1B"/>
    <w:rsid w:val="007E021F"/>
    <w:rsid w:val="007E4882"/>
    <w:rsid w:val="00811110"/>
    <w:rsid w:val="00841582"/>
    <w:rsid w:val="0086216F"/>
    <w:rsid w:val="00865393"/>
    <w:rsid w:val="0088701D"/>
    <w:rsid w:val="00894997"/>
    <w:rsid w:val="00895909"/>
    <w:rsid w:val="008A616F"/>
    <w:rsid w:val="008B5E7A"/>
    <w:rsid w:val="008C0FC0"/>
    <w:rsid w:val="008C7334"/>
    <w:rsid w:val="008D3726"/>
    <w:rsid w:val="008D6DA2"/>
    <w:rsid w:val="008F042D"/>
    <w:rsid w:val="008F7781"/>
    <w:rsid w:val="00931001"/>
    <w:rsid w:val="0093272C"/>
    <w:rsid w:val="009342A1"/>
    <w:rsid w:val="00967C1E"/>
    <w:rsid w:val="00987C80"/>
    <w:rsid w:val="00992669"/>
    <w:rsid w:val="00996956"/>
    <w:rsid w:val="009B0B95"/>
    <w:rsid w:val="009C0790"/>
    <w:rsid w:val="009C1D45"/>
    <w:rsid w:val="009C1F8E"/>
    <w:rsid w:val="009C634B"/>
    <w:rsid w:val="009D1DA1"/>
    <w:rsid w:val="00A00AA1"/>
    <w:rsid w:val="00A05E96"/>
    <w:rsid w:val="00A13B1B"/>
    <w:rsid w:val="00A55681"/>
    <w:rsid w:val="00AA5A3C"/>
    <w:rsid w:val="00AB4DB1"/>
    <w:rsid w:val="00AB5317"/>
    <w:rsid w:val="00AD728A"/>
    <w:rsid w:val="00AD7B36"/>
    <w:rsid w:val="00AE77E9"/>
    <w:rsid w:val="00AF1EFB"/>
    <w:rsid w:val="00AF3648"/>
    <w:rsid w:val="00AF5416"/>
    <w:rsid w:val="00B05FB7"/>
    <w:rsid w:val="00B0764E"/>
    <w:rsid w:val="00B170BE"/>
    <w:rsid w:val="00B2195B"/>
    <w:rsid w:val="00B258EA"/>
    <w:rsid w:val="00B66F2D"/>
    <w:rsid w:val="00B6738E"/>
    <w:rsid w:val="00B704DB"/>
    <w:rsid w:val="00B768E9"/>
    <w:rsid w:val="00B900A5"/>
    <w:rsid w:val="00BA16F4"/>
    <w:rsid w:val="00BA21EC"/>
    <w:rsid w:val="00BB0DE0"/>
    <w:rsid w:val="00BC5D67"/>
    <w:rsid w:val="00BD1AFB"/>
    <w:rsid w:val="00BE1482"/>
    <w:rsid w:val="00BE27FA"/>
    <w:rsid w:val="00BE5872"/>
    <w:rsid w:val="00C03C78"/>
    <w:rsid w:val="00C0623F"/>
    <w:rsid w:val="00C227BA"/>
    <w:rsid w:val="00C25D9F"/>
    <w:rsid w:val="00C44AF4"/>
    <w:rsid w:val="00C57519"/>
    <w:rsid w:val="00C578C3"/>
    <w:rsid w:val="00C62F45"/>
    <w:rsid w:val="00C63FA5"/>
    <w:rsid w:val="00C72FAF"/>
    <w:rsid w:val="00C74C5C"/>
    <w:rsid w:val="00C76391"/>
    <w:rsid w:val="00C9266A"/>
    <w:rsid w:val="00CA168B"/>
    <w:rsid w:val="00CD4E80"/>
    <w:rsid w:val="00CD6B39"/>
    <w:rsid w:val="00CE144C"/>
    <w:rsid w:val="00CE16CE"/>
    <w:rsid w:val="00CE34BD"/>
    <w:rsid w:val="00CE745C"/>
    <w:rsid w:val="00CF26DD"/>
    <w:rsid w:val="00D022F8"/>
    <w:rsid w:val="00D15524"/>
    <w:rsid w:val="00D268BC"/>
    <w:rsid w:val="00D418BB"/>
    <w:rsid w:val="00D44980"/>
    <w:rsid w:val="00D50F8F"/>
    <w:rsid w:val="00D551E4"/>
    <w:rsid w:val="00D650B4"/>
    <w:rsid w:val="00DA49F9"/>
    <w:rsid w:val="00DC0BBB"/>
    <w:rsid w:val="00DD7C50"/>
    <w:rsid w:val="00DE7C3F"/>
    <w:rsid w:val="00DF0A0B"/>
    <w:rsid w:val="00DF2485"/>
    <w:rsid w:val="00E1164A"/>
    <w:rsid w:val="00E23A52"/>
    <w:rsid w:val="00E27AC7"/>
    <w:rsid w:val="00E42A71"/>
    <w:rsid w:val="00E500DC"/>
    <w:rsid w:val="00E507E6"/>
    <w:rsid w:val="00E5770B"/>
    <w:rsid w:val="00E610C9"/>
    <w:rsid w:val="00E81224"/>
    <w:rsid w:val="00E877CF"/>
    <w:rsid w:val="00EA1497"/>
    <w:rsid w:val="00EA4235"/>
    <w:rsid w:val="00EB60E7"/>
    <w:rsid w:val="00ED75DC"/>
    <w:rsid w:val="00EE2AF2"/>
    <w:rsid w:val="00F062AB"/>
    <w:rsid w:val="00F1383B"/>
    <w:rsid w:val="00F15D52"/>
    <w:rsid w:val="00F23CB5"/>
    <w:rsid w:val="00F3167E"/>
    <w:rsid w:val="00F34F7F"/>
    <w:rsid w:val="00F47755"/>
    <w:rsid w:val="00F75DF9"/>
    <w:rsid w:val="00F775D2"/>
    <w:rsid w:val="00FA4228"/>
    <w:rsid w:val="00FB0417"/>
    <w:rsid w:val="00FC2C75"/>
    <w:rsid w:val="00FC52F0"/>
    <w:rsid w:val="00FD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4BECD"/>
  <w15:chartTrackingRefBased/>
  <w15:docId w15:val="{C9194E8C-ED47-44CC-8348-B84A422B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639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74BE7"/>
    <w:pPr>
      <w:tabs>
        <w:tab w:val="center" w:pos="4320"/>
        <w:tab w:val="right" w:pos="8640"/>
      </w:tabs>
    </w:pPr>
  </w:style>
  <w:style w:type="paragraph" w:styleId="Footer">
    <w:name w:val="footer"/>
    <w:basedOn w:val="Normal"/>
    <w:link w:val="FooterChar"/>
    <w:uiPriority w:val="99"/>
    <w:rsid w:val="00774BE7"/>
    <w:pPr>
      <w:tabs>
        <w:tab w:val="center" w:pos="4320"/>
        <w:tab w:val="right" w:pos="8640"/>
      </w:tabs>
    </w:pPr>
  </w:style>
  <w:style w:type="paragraph" w:styleId="BalloonText">
    <w:name w:val="Balloon Text"/>
    <w:basedOn w:val="Normal"/>
    <w:semiHidden/>
    <w:rsid w:val="00CE745C"/>
    <w:rPr>
      <w:rFonts w:ascii="Tahoma" w:hAnsi="Tahoma" w:cs="Tahoma"/>
      <w:sz w:val="16"/>
      <w:szCs w:val="16"/>
    </w:rPr>
  </w:style>
  <w:style w:type="table" w:styleId="TableGrid">
    <w:name w:val="Table Grid"/>
    <w:basedOn w:val="TableNormal"/>
    <w:rsid w:val="00A13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3B1B"/>
    <w:rPr>
      <w:color w:val="0000FF"/>
      <w:u w:val="single"/>
    </w:rPr>
  </w:style>
  <w:style w:type="character" w:customStyle="1" w:styleId="HeaderChar">
    <w:name w:val="Header Char"/>
    <w:link w:val="Header"/>
    <w:uiPriority w:val="99"/>
    <w:rsid w:val="00332B1C"/>
    <w:rPr>
      <w:sz w:val="24"/>
    </w:rPr>
  </w:style>
  <w:style w:type="character" w:customStyle="1" w:styleId="FooterChar">
    <w:name w:val="Footer Char"/>
    <w:link w:val="Footer"/>
    <w:uiPriority w:val="99"/>
    <w:rsid w:val="00332B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edwards@arb.ca.gov"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rb.ca.gov/lispub/comm/bclist.php"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se.gomez@arb.ca.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metzner</dc:creator>
  <cp:keywords/>
  <dc:description/>
  <cp:lastModifiedBy>John Davis</cp:lastModifiedBy>
  <cp:revision>2</cp:revision>
  <cp:lastPrinted>2013-07-15T23:22:00Z</cp:lastPrinted>
  <dcterms:created xsi:type="dcterms:W3CDTF">2021-03-19T21:45:00Z</dcterms:created>
  <dcterms:modified xsi:type="dcterms:W3CDTF">2021-03-19T21:45:00Z</dcterms:modified>
</cp:coreProperties>
</file>