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774F7" w14:textId="77777777" w:rsidR="001D640E" w:rsidRPr="00D53BC5" w:rsidRDefault="001D640E" w:rsidP="001D640E">
      <w:pPr>
        <w:rPr>
          <w:rFonts w:cstheme="minorHAnsi"/>
          <w:sz w:val="24"/>
          <w:szCs w:val="24"/>
        </w:rPr>
      </w:pPr>
    </w:p>
    <w:p w14:paraId="7D7D59DC" w14:textId="77777777" w:rsidR="00D53BC5" w:rsidRDefault="001D640E" w:rsidP="00D53BC5">
      <w:pPr>
        <w:rPr>
          <w:rFonts w:cstheme="minorHAnsi"/>
          <w:sz w:val="24"/>
          <w:szCs w:val="24"/>
        </w:rPr>
      </w:pPr>
      <w:r w:rsidRPr="00D53BC5">
        <w:rPr>
          <w:rFonts w:cstheme="minorHAnsi"/>
          <w:sz w:val="24"/>
          <w:szCs w:val="24"/>
        </w:rPr>
        <w:t xml:space="preserve">To: </w:t>
      </w:r>
      <w:r w:rsidRPr="00D53BC5">
        <w:rPr>
          <w:rFonts w:cstheme="minorHAnsi"/>
          <w:sz w:val="24"/>
          <w:szCs w:val="24"/>
        </w:rPr>
        <w:tab/>
        <w:t>California Air Resources Board</w:t>
      </w:r>
    </w:p>
    <w:p w14:paraId="3B2263DD" w14:textId="6A5B36BE" w:rsidR="001D640E" w:rsidRPr="00D53BC5" w:rsidRDefault="001D640E" w:rsidP="00D53BC5">
      <w:pPr>
        <w:rPr>
          <w:rStyle w:val="eop"/>
          <w:rFonts w:cstheme="minorHAnsi"/>
          <w:sz w:val="24"/>
          <w:szCs w:val="24"/>
        </w:rPr>
      </w:pPr>
      <w:r w:rsidRPr="00D53BC5">
        <w:rPr>
          <w:rFonts w:cstheme="minorHAnsi"/>
          <w:sz w:val="24"/>
          <w:szCs w:val="24"/>
        </w:rPr>
        <w:t xml:space="preserve">Re: </w:t>
      </w:r>
      <w:r w:rsidRPr="00D53BC5">
        <w:rPr>
          <w:rFonts w:cstheme="minorHAnsi"/>
          <w:sz w:val="24"/>
          <w:szCs w:val="24"/>
        </w:rPr>
        <w:tab/>
        <w:t>Potential Changes to the Low Carbon Fuel Stand</w:t>
      </w:r>
      <w:r w:rsidR="00D53BC5">
        <w:rPr>
          <w:rFonts w:cstheme="minorHAnsi"/>
          <w:sz w:val="24"/>
          <w:szCs w:val="24"/>
        </w:rPr>
        <w:t>ard</w:t>
      </w:r>
    </w:p>
    <w:p w14:paraId="073293B1" w14:textId="68F79661" w:rsidR="00D53BC5" w:rsidRDefault="00D53BC5" w:rsidP="001D640E">
      <w:pPr>
        <w:pStyle w:val="paragraph"/>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 xml:space="preserve">Date: </w:t>
      </w:r>
      <w:r>
        <w:rPr>
          <w:rStyle w:val="eop"/>
          <w:rFonts w:asciiTheme="minorHAnsi" w:hAnsiTheme="minorHAnsi" w:cstheme="minorHAnsi"/>
        </w:rPr>
        <w:tab/>
        <w:t>March 14, 2023</w:t>
      </w:r>
    </w:p>
    <w:p w14:paraId="25A00D92" w14:textId="57B32314" w:rsidR="00DC69DF" w:rsidRDefault="00DC69DF" w:rsidP="001D640E">
      <w:pPr>
        <w:pStyle w:val="paragraph"/>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 xml:space="preserve">From: Carolyn </w:t>
      </w:r>
      <w:proofErr w:type="spellStart"/>
      <w:r>
        <w:rPr>
          <w:rStyle w:val="eop"/>
          <w:rFonts w:asciiTheme="minorHAnsi" w:hAnsiTheme="minorHAnsi" w:cstheme="minorHAnsi"/>
        </w:rPr>
        <w:t>Raffensperger</w:t>
      </w:r>
      <w:proofErr w:type="spellEnd"/>
      <w:r>
        <w:rPr>
          <w:rStyle w:val="eop"/>
          <w:rFonts w:asciiTheme="minorHAnsi" w:hAnsiTheme="minorHAnsi" w:cstheme="minorHAnsi"/>
        </w:rPr>
        <w:t>, executive director of the Science and Environmental Health Network</w:t>
      </w:r>
    </w:p>
    <w:p w14:paraId="43B77C52" w14:textId="0E559A86" w:rsidR="00D53BC5" w:rsidRDefault="00D53BC5" w:rsidP="001D640E">
      <w:pPr>
        <w:pStyle w:val="paragraph"/>
        <w:spacing w:before="0" w:beforeAutospacing="0" w:after="120" w:afterAutospacing="0"/>
        <w:textAlignment w:val="baseline"/>
        <w:rPr>
          <w:rStyle w:val="eop"/>
          <w:rFonts w:asciiTheme="minorHAnsi" w:hAnsiTheme="minorHAnsi" w:cstheme="minorHAnsi"/>
        </w:rPr>
      </w:pPr>
      <w:r>
        <w:rPr>
          <w:rStyle w:val="eop"/>
          <w:rFonts w:asciiTheme="minorHAnsi" w:hAnsiTheme="minorHAnsi" w:cstheme="minorHAnsi"/>
        </w:rPr>
        <w:t>To whom it may concern:</w:t>
      </w:r>
    </w:p>
    <w:p w14:paraId="0515BB82" w14:textId="77777777" w:rsidR="00DC69DF" w:rsidRPr="00D53BC5" w:rsidRDefault="00DC69DF" w:rsidP="001D640E">
      <w:pPr>
        <w:pStyle w:val="paragraph"/>
        <w:spacing w:before="0" w:beforeAutospacing="0" w:after="120" w:afterAutospacing="0"/>
        <w:textAlignment w:val="baseline"/>
        <w:rPr>
          <w:rFonts w:asciiTheme="minorHAnsi" w:hAnsiTheme="minorHAnsi" w:cstheme="minorHAnsi"/>
        </w:rPr>
      </w:pPr>
    </w:p>
    <w:p w14:paraId="68E038DB" w14:textId="27E592BA" w:rsidR="00D87F23" w:rsidRPr="00D53BC5" w:rsidRDefault="001D640E" w:rsidP="00D87F23">
      <w:pPr>
        <w:spacing w:after="120"/>
        <w:rPr>
          <w:rFonts w:cstheme="minorHAnsi"/>
          <w:sz w:val="24"/>
          <w:szCs w:val="24"/>
        </w:rPr>
      </w:pPr>
      <w:r w:rsidRPr="00D53BC5">
        <w:rPr>
          <w:rFonts w:cstheme="minorHAnsi"/>
          <w:sz w:val="24"/>
          <w:szCs w:val="24"/>
        </w:rPr>
        <w:t xml:space="preserve">The </w:t>
      </w:r>
      <w:r w:rsidRPr="00D53BC5">
        <w:rPr>
          <w:rFonts w:cstheme="minorHAnsi"/>
          <w:sz w:val="24"/>
          <w:szCs w:val="24"/>
        </w:rPr>
        <w:t>Science and Environmental Health Network</w:t>
      </w:r>
      <w:r w:rsidRPr="00D53BC5">
        <w:rPr>
          <w:rFonts w:cstheme="minorHAnsi"/>
          <w:sz w:val="24"/>
          <w:szCs w:val="24"/>
        </w:rPr>
        <w:t xml:space="preserve"> </w:t>
      </w:r>
      <w:r w:rsidR="00681863" w:rsidRPr="00D53BC5">
        <w:rPr>
          <w:rFonts w:cstheme="minorHAnsi"/>
          <w:sz w:val="24"/>
          <w:szCs w:val="24"/>
        </w:rPr>
        <w:t xml:space="preserve">(SEHN) </w:t>
      </w:r>
      <w:r w:rsidRPr="00D53BC5">
        <w:rPr>
          <w:rFonts w:cstheme="minorHAnsi"/>
          <w:sz w:val="24"/>
          <w:szCs w:val="24"/>
        </w:rPr>
        <w:t xml:space="preserve">appreciates the opportunity to comment on CARB’s proposed changes to the Low Carbon Fuel Standard (LCFS). </w:t>
      </w:r>
      <w:r w:rsidR="00681863" w:rsidRPr="00D53BC5">
        <w:rPr>
          <w:rFonts w:cstheme="minorHAnsi"/>
          <w:sz w:val="24"/>
          <w:szCs w:val="24"/>
        </w:rPr>
        <w:t xml:space="preserve">We </w:t>
      </w:r>
      <w:r w:rsidR="00E07AF1" w:rsidRPr="00D53BC5">
        <w:rPr>
          <w:rFonts w:cstheme="minorHAnsi"/>
          <w:sz w:val="24"/>
          <w:szCs w:val="24"/>
        </w:rPr>
        <w:t xml:space="preserve">are a national organization with offices in several states including Iowa and California. </w:t>
      </w:r>
    </w:p>
    <w:p w14:paraId="13FDC3EF" w14:textId="5FBB936B" w:rsidR="00D53BC5" w:rsidRDefault="00D87F23" w:rsidP="00681863">
      <w:pPr>
        <w:spacing w:after="120"/>
        <w:rPr>
          <w:rFonts w:cstheme="minorHAnsi"/>
          <w:sz w:val="24"/>
          <w:szCs w:val="24"/>
        </w:rPr>
      </w:pPr>
      <w:r w:rsidRPr="00D53BC5">
        <w:rPr>
          <w:rFonts w:cstheme="minorHAnsi"/>
          <w:sz w:val="24"/>
          <w:szCs w:val="24"/>
        </w:rPr>
        <w:t>We specifically request that CARB</w:t>
      </w:r>
      <w:r w:rsidR="00024F9D">
        <w:rPr>
          <w:rFonts w:cstheme="minorHAnsi"/>
          <w:sz w:val="24"/>
          <w:szCs w:val="24"/>
        </w:rPr>
        <w:t>:</w:t>
      </w:r>
      <w:r w:rsidRPr="00D53BC5">
        <w:rPr>
          <w:rFonts w:cstheme="minorHAnsi"/>
          <w:sz w:val="24"/>
          <w:szCs w:val="24"/>
        </w:rPr>
        <w:t xml:space="preserve"> </w:t>
      </w:r>
    </w:p>
    <w:p w14:paraId="39FDCE32" w14:textId="78045074" w:rsidR="00D53BC5" w:rsidRDefault="00D87F23" w:rsidP="00052464">
      <w:pPr>
        <w:pStyle w:val="ListParagraph"/>
        <w:numPr>
          <w:ilvl w:val="0"/>
          <w:numId w:val="2"/>
        </w:numPr>
        <w:spacing w:after="120"/>
        <w:rPr>
          <w:rFonts w:cstheme="minorHAnsi"/>
          <w:sz w:val="24"/>
          <w:szCs w:val="24"/>
        </w:rPr>
      </w:pPr>
      <w:r w:rsidRPr="00052464">
        <w:rPr>
          <w:rFonts w:cstheme="minorHAnsi"/>
          <w:sz w:val="24"/>
          <w:szCs w:val="24"/>
        </w:rPr>
        <w:t xml:space="preserve">remove all incentives for enhanced oil recovery (EOR) in the LCFS, </w:t>
      </w:r>
      <w:r w:rsidR="00CA6FAC">
        <w:rPr>
          <w:rFonts w:cstheme="minorHAnsi"/>
          <w:sz w:val="24"/>
          <w:szCs w:val="24"/>
        </w:rPr>
        <w:t>including</w:t>
      </w:r>
      <w:r w:rsidRPr="00052464">
        <w:rPr>
          <w:rFonts w:cstheme="minorHAnsi"/>
          <w:sz w:val="24"/>
          <w:szCs w:val="24"/>
        </w:rPr>
        <w:t xml:space="preserve"> fuels sourced from out-of-state</w:t>
      </w:r>
      <w:r w:rsidR="00DC69DF" w:rsidRPr="00052464">
        <w:rPr>
          <w:rFonts w:cstheme="minorHAnsi"/>
          <w:sz w:val="24"/>
          <w:szCs w:val="24"/>
        </w:rPr>
        <w:t>;</w:t>
      </w:r>
      <w:r w:rsidRPr="00052464">
        <w:rPr>
          <w:rFonts w:cstheme="minorHAnsi"/>
          <w:sz w:val="24"/>
          <w:szCs w:val="24"/>
        </w:rPr>
        <w:t xml:space="preserve"> </w:t>
      </w:r>
    </w:p>
    <w:p w14:paraId="0B0B197F" w14:textId="77777777" w:rsidR="00052464" w:rsidRPr="00052464" w:rsidRDefault="00052464" w:rsidP="00052464">
      <w:pPr>
        <w:pStyle w:val="ListParagraph"/>
        <w:spacing w:after="120"/>
        <w:rPr>
          <w:rFonts w:cstheme="minorHAnsi"/>
          <w:sz w:val="24"/>
          <w:szCs w:val="24"/>
        </w:rPr>
      </w:pPr>
    </w:p>
    <w:p w14:paraId="43ACBC82" w14:textId="1E4ADFBE" w:rsidR="00681863" w:rsidRPr="00052464" w:rsidRDefault="00D87F23" w:rsidP="00681863">
      <w:pPr>
        <w:pStyle w:val="ListParagraph"/>
        <w:numPr>
          <w:ilvl w:val="0"/>
          <w:numId w:val="2"/>
        </w:numPr>
        <w:spacing w:after="120"/>
        <w:rPr>
          <w:rFonts w:cstheme="minorHAnsi"/>
          <w:sz w:val="24"/>
          <w:szCs w:val="24"/>
        </w:rPr>
      </w:pPr>
      <w:r w:rsidRPr="00052464">
        <w:rPr>
          <w:rFonts w:cstheme="minorHAnsi"/>
          <w:sz w:val="24"/>
          <w:szCs w:val="24"/>
        </w:rPr>
        <w:t>revamp CARB’s carbon intensity calculations for fuels made using carbon capture and storage particularly ethanol because t</w:t>
      </w:r>
      <w:r w:rsidRPr="00052464">
        <w:rPr>
          <w:rFonts w:cstheme="minorHAnsi"/>
          <w:sz w:val="24"/>
          <w:szCs w:val="24"/>
        </w:rPr>
        <w:t>hose calculations</w:t>
      </w:r>
      <w:r w:rsidRPr="00052464">
        <w:rPr>
          <w:rFonts w:cstheme="minorHAnsi"/>
          <w:sz w:val="24"/>
          <w:szCs w:val="24"/>
        </w:rPr>
        <w:t xml:space="preserve"> do not reflect real-world CO</w:t>
      </w:r>
      <w:r w:rsidRPr="00052464">
        <w:rPr>
          <w:rFonts w:cstheme="minorHAnsi"/>
          <w:sz w:val="24"/>
          <w:szCs w:val="24"/>
          <w:vertAlign w:val="subscript"/>
        </w:rPr>
        <w:t>2</w:t>
      </w:r>
      <w:r w:rsidRPr="00052464">
        <w:rPr>
          <w:rFonts w:cstheme="minorHAnsi"/>
          <w:sz w:val="24"/>
          <w:szCs w:val="24"/>
        </w:rPr>
        <w:t xml:space="preserve"> capture inefficiencies or account for CO</w:t>
      </w:r>
      <w:r w:rsidRPr="00052464">
        <w:rPr>
          <w:rFonts w:cstheme="minorHAnsi"/>
          <w:sz w:val="24"/>
          <w:szCs w:val="24"/>
          <w:vertAlign w:val="subscript"/>
        </w:rPr>
        <w:t>2</w:t>
      </w:r>
      <w:r w:rsidRPr="00052464">
        <w:rPr>
          <w:rFonts w:cstheme="minorHAnsi"/>
          <w:sz w:val="24"/>
          <w:szCs w:val="24"/>
        </w:rPr>
        <w:t xml:space="preserve"> and methane emissions across the CCS lifecycle. As a result, CARB significantly underestimates the carbon intensities of fuels made using CCS, and these methodological errors must be corrected. </w:t>
      </w:r>
    </w:p>
    <w:p w14:paraId="10A0C10F" w14:textId="77777777" w:rsidR="00024F9D" w:rsidRPr="00D53BC5" w:rsidRDefault="00024F9D" w:rsidP="00681863">
      <w:pPr>
        <w:spacing w:after="120"/>
        <w:rPr>
          <w:rFonts w:cstheme="minorHAnsi"/>
          <w:sz w:val="24"/>
          <w:szCs w:val="24"/>
        </w:rPr>
      </w:pPr>
    </w:p>
    <w:p w14:paraId="142F10DA" w14:textId="55675620" w:rsidR="00D53BC5" w:rsidRDefault="00E07AF1" w:rsidP="00D53BC5">
      <w:pPr>
        <w:pStyle w:val="NormalWeb"/>
        <w:spacing w:before="0" w:beforeAutospacing="0" w:after="450" w:afterAutospacing="0"/>
        <w:rPr>
          <w:rFonts w:asciiTheme="minorHAnsi" w:hAnsiTheme="minorHAnsi" w:cstheme="minorHAnsi"/>
          <w:color w:val="000000"/>
        </w:rPr>
      </w:pPr>
      <w:r w:rsidRPr="00D53BC5">
        <w:rPr>
          <w:rFonts w:asciiTheme="minorHAnsi" w:hAnsiTheme="minorHAnsi" w:cstheme="minorHAnsi"/>
        </w:rPr>
        <w:t xml:space="preserve">Iowa is currently facing three major carbon capture and storage (CCS) projects designed to capture CO2 from ethanol plants, transport the CO2 to sites in Illinois and North Dakota. These projects are being driven, in part by the LCFS. </w:t>
      </w:r>
      <w:r w:rsidRPr="00D53BC5">
        <w:rPr>
          <w:rFonts w:asciiTheme="minorHAnsi" w:hAnsiTheme="minorHAnsi" w:cstheme="minorHAnsi"/>
          <w:color w:val="000000"/>
        </w:rPr>
        <w:t>The policy would </w:t>
      </w:r>
      <w:hyperlink r:id="rId7" w:tgtFrame="_blank" w:history="1">
        <w:r w:rsidRPr="00D53BC5">
          <w:rPr>
            <w:rFonts w:asciiTheme="minorHAnsi" w:hAnsiTheme="minorHAnsi" w:cstheme="minorHAnsi"/>
            <w:color w:val="0000FF"/>
            <w:u w:val="single"/>
          </w:rPr>
          <w:t>incentivize</w:t>
        </w:r>
      </w:hyperlink>
      <w:r w:rsidRPr="00D53BC5">
        <w:rPr>
          <w:rFonts w:asciiTheme="minorHAnsi" w:hAnsiTheme="minorHAnsi" w:cstheme="minorHAnsi"/>
          <w:color w:val="000000"/>
        </w:rPr>
        <w:t> ethanol production through technology that stores carbon underground not just in California, but anywhere in the U.S.</w:t>
      </w:r>
      <w:r w:rsidR="00024F9D">
        <w:rPr>
          <w:rFonts w:asciiTheme="minorHAnsi" w:hAnsiTheme="minorHAnsi" w:cstheme="minorHAnsi"/>
          <w:color w:val="000000"/>
        </w:rPr>
        <w:t xml:space="preserve"> Unfortunately, the corporations that are developing the CO2 pipelines are being coy about whether the CO2 will be used for enhanced oil recovery</w:t>
      </w:r>
      <w:r w:rsidR="00852540">
        <w:rPr>
          <w:rFonts w:asciiTheme="minorHAnsi" w:hAnsiTheme="minorHAnsi" w:cstheme="minorHAnsi"/>
          <w:color w:val="000000"/>
        </w:rPr>
        <w:t xml:space="preserve"> (EOR)</w:t>
      </w:r>
      <w:r w:rsidR="00024F9D">
        <w:rPr>
          <w:rFonts w:asciiTheme="minorHAnsi" w:hAnsiTheme="minorHAnsi" w:cstheme="minorHAnsi"/>
          <w:color w:val="000000"/>
        </w:rPr>
        <w:t>.</w:t>
      </w:r>
    </w:p>
    <w:p w14:paraId="7FF5D0BE" w14:textId="0A71E1DF" w:rsidR="00E07AF1" w:rsidRPr="00E07AF1" w:rsidRDefault="00E07AF1" w:rsidP="00D53BC5">
      <w:pPr>
        <w:pStyle w:val="NormalWeb"/>
        <w:spacing w:before="0" w:beforeAutospacing="0" w:after="450" w:afterAutospacing="0"/>
        <w:rPr>
          <w:rFonts w:asciiTheme="minorHAnsi" w:hAnsiTheme="minorHAnsi" w:cstheme="minorHAnsi"/>
          <w:color w:val="000000"/>
        </w:rPr>
      </w:pPr>
      <w:r w:rsidRPr="00E07AF1">
        <w:rPr>
          <w:rFonts w:asciiTheme="minorHAnsi" w:hAnsiTheme="minorHAnsi" w:cstheme="minorHAnsi"/>
          <w:color w:val="000000"/>
        </w:rPr>
        <w:t xml:space="preserve">California’s incentives </w:t>
      </w:r>
      <w:r w:rsidR="00852540">
        <w:rPr>
          <w:rFonts w:asciiTheme="minorHAnsi" w:hAnsiTheme="minorHAnsi" w:cstheme="minorHAnsi"/>
          <w:color w:val="000000"/>
        </w:rPr>
        <w:t xml:space="preserve">for CCS </w:t>
      </w:r>
      <w:r w:rsidRPr="00E07AF1">
        <w:rPr>
          <w:rFonts w:asciiTheme="minorHAnsi" w:hAnsiTheme="minorHAnsi" w:cstheme="minorHAnsi"/>
          <w:color w:val="000000"/>
        </w:rPr>
        <w:t>wouldn’t deliver carbon reductions as promised. Instead, supplementing gasoline with ethanol would </w:t>
      </w:r>
      <w:r w:rsidRPr="00E07AF1">
        <w:rPr>
          <w:rFonts w:asciiTheme="minorHAnsi" w:hAnsiTheme="minorHAnsi" w:cstheme="minorHAnsi"/>
          <w:i/>
          <w:iCs/>
          <w:color w:val="000000"/>
        </w:rPr>
        <w:t>increase</w:t>
      </w:r>
      <w:r w:rsidRPr="00E07AF1">
        <w:rPr>
          <w:rFonts w:asciiTheme="minorHAnsi" w:hAnsiTheme="minorHAnsi" w:cstheme="minorHAnsi"/>
          <w:color w:val="000000"/>
        </w:rPr>
        <w:t> climate-damaging greenhouse gas emissions, further pollute the water from Iowa to Louisiana, and divert needed funds away from real climate solutions in California and the Midwest.</w:t>
      </w:r>
    </w:p>
    <w:p w14:paraId="4CDE86B5" w14:textId="77777777" w:rsidR="00D53BC5" w:rsidRDefault="00E07AF1" w:rsidP="00E07AF1">
      <w:pPr>
        <w:spacing w:before="450" w:after="450" w:line="240" w:lineRule="auto"/>
        <w:rPr>
          <w:rFonts w:eastAsia="Times New Roman" w:cstheme="minorHAnsi"/>
          <w:color w:val="000000"/>
          <w:sz w:val="24"/>
          <w:szCs w:val="24"/>
        </w:rPr>
      </w:pPr>
      <w:r w:rsidRPr="00E07AF1">
        <w:rPr>
          <w:rFonts w:eastAsia="Times New Roman" w:cstheme="minorHAnsi"/>
          <w:color w:val="000000"/>
          <w:sz w:val="24"/>
          <w:szCs w:val="24"/>
        </w:rPr>
        <w:t>Ethanol producers </w:t>
      </w:r>
      <w:hyperlink r:id="rId8" w:tgtFrame="_blank" w:history="1">
        <w:r w:rsidRPr="00E07AF1">
          <w:rPr>
            <w:rFonts w:eastAsia="Times New Roman" w:cstheme="minorHAnsi"/>
            <w:color w:val="0000FF"/>
            <w:sz w:val="24"/>
            <w:szCs w:val="24"/>
            <w:u w:val="single"/>
          </w:rPr>
          <w:t>say the substance generates</w:t>
        </w:r>
      </w:hyperlink>
      <w:r w:rsidRPr="00E07AF1">
        <w:rPr>
          <w:rFonts w:eastAsia="Times New Roman" w:cstheme="minorHAnsi"/>
          <w:color w:val="000000"/>
          <w:sz w:val="24"/>
          <w:szCs w:val="24"/>
        </w:rPr>
        <w:t xml:space="preserve"> less carbon than gasoline, but a </w:t>
      </w:r>
      <w:r w:rsidRPr="00D53BC5">
        <w:rPr>
          <w:rFonts w:eastAsia="Times New Roman" w:cstheme="minorHAnsi"/>
          <w:color w:val="000000"/>
          <w:sz w:val="24"/>
          <w:szCs w:val="24"/>
        </w:rPr>
        <w:t xml:space="preserve">recent </w:t>
      </w:r>
      <w:r w:rsidRPr="00E07AF1">
        <w:rPr>
          <w:rFonts w:eastAsia="Times New Roman" w:cstheme="minorHAnsi"/>
          <w:color w:val="000000"/>
          <w:sz w:val="24"/>
          <w:szCs w:val="24"/>
        </w:rPr>
        <w:t>study found that ethanol is </w:t>
      </w:r>
      <w:hyperlink r:id="rId9" w:tgtFrame="_blank" w:history="1">
        <w:r w:rsidRPr="00E07AF1">
          <w:rPr>
            <w:rFonts w:eastAsia="Times New Roman" w:cstheme="minorHAnsi"/>
            <w:color w:val="0000FF"/>
            <w:sz w:val="24"/>
            <w:szCs w:val="24"/>
            <w:u w:val="single"/>
          </w:rPr>
          <w:t>24% more carbon-intensive</w:t>
        </w:r>
      </w:hyperlink>
      <w:r w:rsidRPr="00E07AF1">
        <w:rPr>
          <w:rFonts w:eastAsia="Times New Roman" w:cstheme="minorHAnsi"/>
          <w:color w:val="000000"/>
          <w:sz w:val="24"/>
          <w:szCs w:val="24"/>
        </w:rPr>
        <w:t xml:space="preserve"> than traditional fuel. The enormous rise in nitrogen fertilizer to raise corn for ethanol has increased emissions of nitrous oxide, a potent </w:t>
      </w:r>
      <w:r w:rsidRPr="00E07AF1">
        <w:rPr>
          <w:rFonts w:eastAsia="Times New Roman" w:cstheme="minorHAnsi"/>
          <w:color w:val="000000"/>
          <w:sz w:val="24"/>
          <w:szCs w:val="24"/>
        </w:rPr>
        <w:lastRenderedPageBreak/>
        <w:t>greenhouse gas that is </w:t>
      </w:r>
      <w:hyperlink r:id="rId10" w:tgtFrame="_blank" w:history="1">
        <w:r w:rsidRPr="00E07AF1">
          <w:rPr>
            <w:rFonts w:eastAsia="Times New Roman" w:cstheme="minorHAnsi"/>
            <w:color w:val="0000FF"/>
            <w:sz w:val="24"/>
            <w:szCs w:val="24"/>
            <w:u w:val="single"/>
          </w:rPr>
          <w:t>289 times as powerful</w:t>
        </w:r>
      </w:hyperlink>
      <w:r w:rsidRPr="00E07AF1">
        <w:rPr>
          <w:rFonts w:eastAsia="Times New Roman" w:cstheme="minorHAnsi"/>
          <w:color w:val="000000"/>
          <w:sz w:val="24"/>
          <w:szCs w:val="24"/>
        </w:rPr>
        <w:t xml:space="preserve"> as CO2. Adding carbon capture to ethanol production will only compound these problems. </w:t>
      </w:r>
    </w:p>
    <w:p w14:paraId="37135368" w14:textId="4B1EB050" w:rsidR="00E07AF1" w:rsidRDefault="00E07AF1" w:rsidP="00E07AF1">
      <w:pPr>
        <w:spacing w:before="450" w:after="450" w:line="240" w:lineRule="auto"/>
        <w:rPr>
          <w:rFonts w:eastAsia="Times New Roman" w:cstheme="minorHAnsi"/>
          <w:color w:val="000000"/>
          <w:sz w:val="24"/>
          <w:szCs w:val="24"/>
        </w:rPr>
      </w:pPr>
      <w:r w:rsidRPr="00E07AF1">
        <w:rPr>
          <w:rFonts w:eastAsia="Times New Roman" w:cstheme="minorHAnsi"/>
          <w:color w:val="000000"/>
          <w:sz w:val="24"/>
          <w:szCs w:val="24"/>
        </w:rPr>
        <w:t>Building ethanol infrastructure locks in ethanol and gasoline for decades, reducing incentives for investors or policymakers to shift towards more sustainable transportation. In Iowa, </w:t>
      </w:r>
      <w:hyperlink r:id="rId11" w:tgtFrame="_blank" w:history="1">
        <w:r w:rsidRPr="00E07AF1">
          <w:rPr>
            <w:rFonts w:eastAsia="Times New Roman" w:cstheme="minorHAnsi"/>
            <w:color w:val="0000FF"/>
            <w:sz w:val="24"/>
            <w:szCs w:val="24"/>
            <w:u w:val="single"/>
          </w:rPr>
          <w:t>politicians</w:t>
        </w:r>
      </w:hyperlink>
      <w:r w:rsidRPr="00E07AF1">
        <w:rPr>
          <w:rFonts w:eastAsia="Times New Roman" w:cstheme="minorHAnsi"/>
          <w:color w:val="000000"/>
          <w:sz w:val="24"/>
          <w:szCs w:val="24"/>
        </w:rPr>
        <w:t> are </w:t>
      </w:r>
      <w:hyperlink r:id="rId12" w:tgtFrame="_blank" w:history="1">
        <w:r w:rsidRPr="00E07AF1">
          <w:rPr>
            <w:rFonts w:eastAsia="Times New Roman" w:cstheme="minorHAnsi"/>
            <w:color w:val="0000FF"/>
            <w:sz w:val="24"/>
            <w:szCs w:val="24"/>
            <w:u w:val="single"/>
          </w:rPr>
          <w:t>fighting every policy and law</w:t>
        </w:r>
      </w:hyperlink>
      <w:r w:rsidRPr="00E07AF1">
        <w:rPr>
          <w:rFonts w:eastAsia="Times New Roman" w:cstheme="minorHAnsi"/>
          <w:color w:val="000000"/>
          <w:sz w:val="24"/>
          <w:szCs w:val="24"/>
        </w:rPr>
        <w:t> that might move the nation toward electric vehicles or public transportation. California’s low carbon fuel policy is making their obstruction of cleaner transportation that much easier.</w:t>
      </w:r>
    </w:p>
    <w:p w14:paraId="735EC207" w14:textId="3BA7437D" w:rsidR="00DC69DF" w:rsidRPr="00E07AF1" w:rsidRDefault="00DC69DF" w:rsidP="00E07AF1">
      <w:pPr>
        <w:spacing w:before="450" w:after="450" w:line="240" w:lineRule="auto"/>
        <w:rPr>
          <w:rFonts w:eastAsia="Times New Roman" w:cstheme="minorHAnsi"/>
          <w:color w:val="000000"/>
          <w:sz w:val="24"/>
          <w:szCs w:val="24"/>
        </w:rPr>
      </w:pPr>
      <w:r>
        <w:rPr>
          <w:rFonts w:eastAsia="Times New Roman" w:cstheme="minorHAnsi"/>
          <w:color w:val="000000"/>
          <w:sz w:val="24"/>
          <w:szCs w:val="24"/>
        </w:rPr>
        <w:t>In conclusion, it is essential that CARB look beyond the borders of California and make decisions that accurately reflect the impact of its regulations in states like Iowa. We will not meaningfully address the climate crisis by making piecem</w:t>
      </w:r>
      <w:r w:rsidR="00BB4E40">
        <w:rPr>
          <w:rFonts w:eastAsia="Times New Roman" w:cstheme="minorHAnsi"/>
          <w:color w:val="000000"/>
          <w:sz w:val="24"/>
          <w:szCs w:val="24"/>
        </w:rPr>
        <w:t>eal decisions that could arguably increase greenhouse gases.</w:t>
      </w:r>
      <w:r w:rsidR="00CA6FAC">
        <w:rPr>
          <w:rFonts w:eastAsia="Times New Roman" w:cstheme="minorHAnsi"/>
          <w:color w:val="000000"/>
          <w:sz w:val="24"/>
          <w:szCs w:val="24"/>
        </w:rPr>
        <w:t xml:space="preserve"> Accordingly, CARB needs to prohibit any EOR in its LCFS rule and do a full and accurate life cycle analysis of the greenhouse gases produced in fuels like ethanol produced through carbon capture and storage.</w:t>
      </w:r>
    </w:p>
    <w:p w14:paraId="60983961" w14:textId="7B739844" w:rsidR="00E07AF1" w:rsidRPr="00D53BC5" w:rsidRDefault="00E07AF1" w:rsidP="00681863">
      <w:pPr>
        <w:spacing w:after="120"/>
        <w:rPr>
          <w:rFonts w:cstheme="minorHAnsi"/>
          <w:sz w:val="24"/>
          <w:szCs w:val="24"/>
        </w:rPr>
      </w:pPr>
    </w:p>
    <w:p w14:paraId="2E2E6DFD" w14:textId="77777777" w:rsidR="00681863" w:rsidRPr="00D53BC5" w:rsidRDefault="00681863" w:rsidP="00681863">
      <w:pPr>
        <w:spacing w:after="120"/>
        <w:rPr>
          <w:rFonts w:cstheme="minorHAnsi"/>
          <w:sz w:val="24"/>
          <w:szCs w:val="24"/>
        </w:rPr>
      </w:pPr>
    </w:p>
    <w:p w14:paraId="05AB40FE" w14:textId="77777777" w:rsidR="00681863" w:rsidRPr="00D53BC5" w:rsidRDefault="00681863" w:rsidP="001D640E">
      <w:pPr>
        <w:pStyle w:val="Default"/>
        <w:spacing w:after="120"/>
        <w:ind w:firstLine="720"/>
        <w:rPr>
          <w:rFonts w:asciiTheme="minorHAnsi" w:hAnsiTheme="minorHAnsi" w:cstheme="minorHAnsi"/>
        </w:rPr>
      </w:pPr>
    </w:p>
    <w:p w14:paraId="2644B9CE" w14:textId="77777777" w:rsidR="00681863" w:rsidRPr="00D53BC5" w:rsidRDefault="00681863" w:rsidP="00681863">
      <w:pPr>
        <w:pStyle w:val="Default"/>
        <w:spacing w:after="120"/>
        <w:rPr>
          <w:rFonts w:asciiTheme="minorHAnsi" w:hAnsiTheme="minorHAnsi" w:cstheme="minorHAnsi"/>
        </w:rPr>
      </w:pPr>
    </w:p>
    <w:p w14:paraId="690C9363" w14:textId="77777777" w:rsidR="001D640E" w:rsidRPr="00D53BC5" w:rsidRDefault="001D640E" w:rsidP="001D640E">
      <w:pPr>
        <w:pStyle w:val="Default"/>
        <w:spacing w:after="120"/>
        <w:ind w:firstLine="720"/>
        <w:rPr>
          <w:rFonts w:asciiTheme="minorHAnsi" w:hAnsiTheme="minorHAnsi" w:cstheme="minorHAnsi"/>
        </w:rPr>
      </w:pPr>
    </w:p>
    <w:p w14:paraId="227F257E" w14:textId="77777777" w:rsidR="001D640E" w:rsidRPr="00D53BC5" w:rsidRDefault="001D640E" w:rsidP="001D640E">
      <w:pPr>
        <w:pStyle w:val="Default"/>
        <w:spacing w:after="120"/>
        <w:ind w:firstLine="720"/>
        <w:rPr>
          <w:rFonts w:asciiTheme="minorHAnsi" w:hAnsiTheme="minorHAnsi" w:cstheme="minorHAnsi"/>
        </w:rPr>
      </w:pPr>
    </w:p>
    <w:p w14:paraId="02CE152A" w14:textId="77777777" w:rsidR="001D640E" w:rsidRPr="00D53BC5" w:rsidRDefault="001D640E" w:rsidP="001D640E">
      <w:pPr>
        <w:pStyle w:val="Default"/>
        <w:spacing w:after="120"/>
        <w:ind w:firstLine="720"/>
        <w:rPr>
          <w:rFonts w:asciiTheme="minorHAnsi" w:hAnsiTheme="minorHAnsi" w:cstheme="minorHAnsi"/>
        </w:rPr>
      </w:pPr>
    </w:p>
    <w:p w14:paraId="369159B0" w14:textId="77777777" w:rsidR="00191245" w:rsidRPr="00D53BC5" w:rsidRDefault="00F8002F">
      <w:pPr>
        <w:rPr>
          <w:rFonts w:cstheme="minorHAnsi"/>
          <w:sz w:val="24"/>
          <w:szCs w:val="24"/>
        </w:rPr>
      </w:pPr>
    </w:p>
    <w:sectPr w:rsidR="00191245" w:rsidRPr="00D53BC5" w:rsidSect="00015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D65E" w14:textId="77777777" w:rsidR="00F8002F" w:rsidRDefault="00F8002F" w:rsidP="001D640E">
      <w:pPr>
        <w:spacing w:after="0" w:line="240" w:lineRule="auto"/>
      </w:pPr>
      <w:r>
        <w:separator/>
      </w:r>
    </w:p>
  </w:endnote>
  <w:endnote w:type="continuationSeparator" w:id="0">
    <w:p w14:paraId="1292048C" w14:textId="77777777" w:rsidR="00F8002F" w:rsidRDefault="00F8002F" w:rsidP="001D6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DFFF" w14:textId="77777777" w:rsidR="00F8002F" w:rsidRDefault="00F8002F" w:rsidP="001D640E">
      <w:pPr>
        <w:spacing w:after="0" w:line="240" w:lineRule="auto"/>
      </w:pPr>
      <w:r>
        <w:separator/>
      </w:r>
    </w:p>
  </w:footnote>
  <w:footnote w:type="continuationSeparator" w:id="0">
    <w:p w14:paraId="3A6C106A" w14:textId="77777777" w:rsidR="00F8002F" w:rsidRDefault="00F8002F" w:rsidP="001D6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4BC4"/>
    <w:multiLevelType w:val="hybridMultilevel"/>
    <w:tmpl w:val="00E48C12"/>
    <w:lvl w:ilvl="0" w:tplc="367C8470">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E00F2"/>
    <w:multiLevelType w:val="hybridMultilevel"/>
    <w:tmpl w:val="D70EE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0E"/>
    <w:rsid w:val="00015D98"/>
    <w:rsid w:val="00024F9D"/>
    <w:rsid w:val="00052464"/>
    <w:rsid w:val="001D640E"/>
    <w:rsid w:val="00681863"/>
    <w:rsid w:val="00852540"/>
    <w:rsid w:val="009C77F1"/>
    <w:rsid w:val="00BB4E40"/>
    <w:rsid w:val="00CA6FAC"/>
    <w:rsid w:val="00D53BC5"/>
    <w:rsid w:val="00D87F23"/>
    <w:rsid w:val="00DC69DF"/>
    <w:rsid w:val="00E07AF1"/>
    <w:rsid w:val="00F74812"/>
    <w:rsid w:val="00F8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A910A"/>
  <w14:defaultImageDpi w14:val="32767"/>
  <w15:chartTrackingRefBased/>
  <w15:docId w15:val="{4B7258F0-1D3E-F041-9F24-2F76BCC2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64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6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640E"/>
  </w:style>
  <w:style w:type="character" w:customStyle="1" w:styleId="eop">
    <w:name w:val="eop"/>
    <w:basedOn w:val="DefaultParagraphFont"/>
    <w:rsid w:val="001D640E"/>
  </w:style>
  <w:style w:type="paragraph" w:styleId="ListParagraph">
    <w:name w:val="List Paragraph"/>
    <w:basedOn w:val="Normal"/>
    <w:uiPriority w:val="34"/>
    <w:qFormat/>
    <w:rsid w:val="001D640E"/>
    <w:pPr>
      <w:ind w:left="720"/>
      <w:contextualSpacing/>
    </w:pPr>
  </w:style>
  <w:style w:type="paragraph" w:styleId="FootnoteText">
    <w:name w:val="footnote text"/>
    <w:aliases w:val=" Char,Char,Char1,Char11,Style 14,Style 18,Style 10,Footnote Text Char Char,ft Char,Footnote Text Char2 Char,Footnote Text Char Char1 Char,Footnote Text Char1 Char Char Char,Footnote Text Char Char Char Char Char,f,Char2,Char2 Char,Char3 Ch"/>
    <w:basedOn w:val="Normal"/>
    <w:link w:val="FootnoteTextChar"/>
    <w:uiPriority w:val="99"/>
    <w:unhideWhenUsed/>
    <w:qFormat/>
    <w:rsid w:val="001D640E"/>
    <w:pPr>
      <w:spacing w:after="0" w:line="240" w:lineRule="auto"/>
    </w:pPr>
    <w:rPr>
      <w:sz w:val="20"/>
      <w:szCs w:val="20"/>
    </w:rPr>
  </w:style>
  <w:style w:type="character" w:customStyle="1" w:styleId="FootnoteTextChar">
    <w:name w:val="Footnote Text Char"/>
    <w:aliases w:val=" Char Char1,Char Char,Char1 Char,Char11 Char,Style 14 Char,Style 18 Char,Style 10 Char,Footnote Text Char Char Char,ft Char Char,Footnote Text Char2 Char Char,Footnote Text Char Char1 Char Char,Footnote Text Char1 Char Char Char Char"/>
    <w:basedOn w:val="DefaultParagraphFont"/>
    <w:link w:val="FootnoteText"/>
    <w:uiPriority w:val="99"/>
    <w:rsid w:val="001D640E"/>
    <w:rPr>
      <w:sz w:val="20"/>
      <w:szCs w:val="20"/>
    </w:rPr>
  </w:style>
  <w:style w:type="character" w:styleId="FootnoteReference">
    <w:name w:val="footnote reference"/>
    <w:aliases w:val="Footnote Reference Anglo,fr,o,FR,(NECG) Footnote Reference,stylish,number,Footnote Reference Superscript,Footnotes refss,Style 13,Style 12,Style 15,Style 17,Style 9,o1,fr1,o2,fr2,o3,fr3,Style 20,Style 7,Style 19,Styl,Style 28,Ref,fnr"/>
    <w:basedOn w:val="DefaultParagraphFont"/>
    <w:uiPriority w:val="99"/>
    <w:unhideWhenUsed/>
    <w:qFormat/>
    <w:rsid w:val="001D640E"/>
    <w:rPr>
      <w:vertAlign w:val="superscript"/>
    </w:rPr>
  </w:style>
  <w:style w:type="paragraph" w:customStyle="1" w:styleId="Default">
    <w:name w:val="Default"/>
    <w:rsid w:val="001D64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E07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7AF1"/>
  </w:style>
  <w:style w:type="character" w:styleId="Hyperlink">
    <w:name w:val="Hyperlink"/>
    <w:basedOn w:val="DefaultParagraphFont"/>
    <w:uiPriority w:val="99"/>
    <w:semiHidden/>
    <w:unhideWhenUsed/>
    <w:rsid w:val="00E07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616634">
      <w:bodyDiv w:val="1"/>
      <w:marLeft w:val="0"/>
      <w:marRight w:val="0"/>
      <w:marTop w:val="0"/>
      <w:marBottom w:val="0"/>
      <w:divBdr>
        <w:top w:val="none" w:sz="0" w:space="0" w:color="auto"/>
        <w:left w:val="none" w:sz="0" w:space="0" w:color="auto"/>
        <w:bottom w:val="none" w:sz="0" w:space="0" w:color="auto"/>
        <w:right w:val="none" w:sz="0" w:space="0" w:color="auto"/>
      </w:divBdr>
      <w:divsChild>
        <w:div w:id="1186595316">
          <w:marLeft w:val="0"/>
          <w:marRight w:val="0"/>
          <w:marTop w:val="450"/>
          <w:marBottom w:val="450"/>
          <w:divBdr>
            <w:top w:val="none" w:sz="0" w:space="0" w:color="auto"/>
            <w:left w:val="none" w:sz="0" w:space="0" w:color="auto"/>
            <w:bottom w:val="none" w:sz="0" w:space="0" w:color="auto"/>
            <w:right w:val="none" w:sz="0" w:space="0" w:color="auto"/>
          </w:divBdr>
          <w:divsChild>
            <w:div w:id="7924767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2022/jul/07/iowa-pipelines-farmers-indigenous-people-figh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hanolproducer.com/articles/17176/the-door-is-open-for-ethanol-producers-and-ccs" TargetMode="External"/><Relationship Id="rId12" Type="http://schemas.openxmlformats.org/officeDocument/2006/relationships/hyperlink" Target="https://kdsm17.com/news/local/in-the-race-for-electric-cars-biofuels-hold-iowans-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inesregister.com/story/tech/science/environment/2021/06/24/electric-vehicle-accessibility-index-evs-arent-easy-buy-own-iowa-tesla-consumer-choice-center/5320251001/" TargetMode="External"/><Relationship Id="rId5" Type="http://schemas.openxmlformats.org/officeDocument/2006/relationships/footnotes" Target="footnotes.xml"/><Relationship Id="rId10" Type="http://schemas.openxmlformats.org/officeDocument/2006/relationships/hyperlink" Target="https://news.yahoo.com/carbon-storage-soil-170254628.html" TargetMode="External"/><Relationship Id="rId4" Type="http://schemas.openxmlformats.org/officeDocument/2006/relationships/webSettings" Target="webSettings.xml"/><Relationship Id="rId9" Type="http://schemas.openxmlformats.org/officeDocument/2006/relationships/hyperlink" Target="https://www.pnas.org/doi/10.1073/pnas.21010841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Raffenpserger</dc:creator>
  <cp:keywords/>
  <dc:description/>
  <cp:lastModifiedBy>Carolyn Raffenpserger</cp:lastModifiedBy>
  <cp:revision>6</cp:revision>
  <dcterms:created xsi:type="dcterms:W3CDTF">2023-03-15T16:46:00Z</dcterms:created>
  <dcterms:modified xsi:type="dcterms:W3CDTF">2023-03-15T17:00:00Z</dcterms:modified>
</cp:coreProperties>
</file>