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8AD" w:rsidRDefault="00204E5C">
      <w:pPr>
        <w:rPr>
          <w:rFonts w:ascii="Cambria" w:hAnsi="Cambria"/>
          <w:sz w:val="24"/>
          <w:szCs w:val="24"/>
        </w:rPr>
      </w:pPr>
      <w:r>
        <w:rPr>
          <w:noProof/>
        </w:rPr>
        <w:drawing>
          <wp:inline distT="0" distB="0" distL="0" distR="0" wp14:anchorId="1AE5DEE5" wp14:editId="6DB816D2">
            <wp:extent cx="2507615" cy="866775"/>
            <wp:effectExtent l="0" t="0" r="6985" b="9525"/>
            <wp:docPr id="5" name="Picture 5" descr="C:\Users\steveb\AppData\Local\Microsoft\Windows\Temporary Internet Files\Content.Outlook\7RR7AAE8\Calforests Logo.jpg"/>
            <wp:cNvGraphicFramePr/>
            <a:graphic xmlns:a="http://schemas.openxmlformats.org/drawingml/2006/main">
              <a:graphicData uri="http://schemas.openxmlformats.org/drawingml/2006/picture">
                <pic:pic xmlns:pic="http://schemas.openxmlformats.org/drawingml/2006/picture">
                  <pic:nvPicPr>
                    <pic:cNvPr id="5" name="Picture 5" descr="C:\Users\steveb\AppData\Local\Microsoft\Windows\Temporary Internet Files\Content.Outlook\7RR7AAE8\Calforests Logo.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7615" cy="866775"/>
                    </a:xfrm>
                    <a:prstGeom prst="rect">
                      <a:avLst/>
                    </a:prstGeom>
                    <a:noFill/>
                    <a:ln>
                      <a:noFill/>
                    </a:ln>
                  </pic:spPr>
                </pic:pic>
              </a:graphicData>
            </a:graphic>
          </wp:inline>
        </w:drawing>
      </w:r>
    </w:p>
    <w:p w:rsidR="00204E5C" w:rsidRDefault="00204E5C">
      <w:pPr>
        <w:rPr>
          <w:rFonts w:ascii="Cambria" w:hAnsi="Cambria"/>
          <w:sz w:val="24"/>
          <w:szCs w:val="24"/>
        </w:rPr>
      </w:pPr>
    </w:p>
    <w:p w:rsidR="00204E5C" w:rsidRDefault="00204E5C" w:rsidP="004E4AAA">
      <w:pPr>
        <w:jc w:val="right"/>
        <w:rPr>
          <w:rFonts w:ascii="Cambria" w:hAnsi="Cambria"/>
          <w:sz w:val="24"/>
          <w:szCs w:val="24"/>
        </w:rPr>
      </w:pPr>
    </w:p>
    <w:p w:rsidR="00204E5C" w:rsidRPr="00204E5C" w:rsidRDefault="00204E5C" w:rsidP="00204E5C">
      <w:pPr>
        <w:autoSpaceDE w:val="0"/>
        <w:autoSpaceDN w:val="0"/>
        <w:adjustRightInd w:val="0"/>
        <w:spacing w:after="0" w:line="240" w:lineRule="auto"/>
        <w:jc w:val="right"/>
        <w:rPr>
          <w:rFonts w:ascii="Cambria" w:hAnsi="Cambria" w:cs="Arial"/>
          <w:sz w:val="24"/>
          <w:szCs w:val="24"/>
        </w:rPr>
      </w:pPr>
      <w:r w:rsidRPr="00204E5C">
        <w:rPr>
          <w:rFonts w:ascii="Cambria" w:hAnsi="Cambria" w:cs="Arial"/>
          <w:sz w:val="24"/>
          <w:szCs w:val="24"/>
        </w:rPr>
        <w:t>November 8, 2016</w:t>
      </w:r>
    </w:p>
    <w:p w:rsidR="00204E5C" w:rsidRPr="00204E5C" w:rsidRDefault="00204E5C" w:rsidP="00204E5C">
      <w:pPr>
        <w:autoSpaceDE w:val="0"/>
        <w:autoSpaceDN w:val="0"/>
        <w:adjustRightInd w:val="0"/>
        <w:spacing w:after="0" w:line="240" w:lineRule="auto"/>
        <w:rPr>
          <w:rFonts w:ascii="Cambria" w:hAnsi="Cambria" w:cs="Arial"/>
          <w:sz w:val="24"/>
          <w:szCs w:val="24"/>
        </w:rPr>
      </w:pPr>
      <w:r w:rsidRPr="00204E5C">
        <w:rPr>
          <w:rFonts w:ascii="Cambria" w:hAnsi="Cambria"/>
          <w:sz w:val="24"/>
          <w:szCs w:val="24"/>
        </w:rPr>
        <w:t xml:space="preserve">To: Ann Beegan; </w:t>
      </w:r>
      <w:r w:rsidRPr="00204E5C">
        <w:rPr>
          <w:rFonts w:ascii="Cambria" w:hAnsi="Cambria"/>
          <w:color w:val="0000FF"/>
          <w:sz w:val="24"/>
          <w:szCs w:val="24"/>
          <w:u w:val="single"/>
        </w:rPr>
        <w:t>GGRFProgram@arb.ca.gov</w:t>
      </w:r>
      <w:r w:rsidRPr="00204E5C">
        <w:rPr>
          <w:rFonts w:ascii="Cambria" w:hAnsi="Cambria"/>
          <w:sz w:val="24"/>
          <w:szCs w:val="24"/>
        </w:rPr>
        <w:t>.</w:t>
      </w:r>
    </w:p>
    <w:p w:rsidR="00204E5C" w:rsidRPr="00204E5C" w:rsidRDefault="00204E5C" w:rsidP="00204E5C">
      <w:pPr>
        <w:autoSpaceDE w:val="0"/>
        <w:autoSpaceDN w:val="0"/>
        <w:adjustRightInd w:val="0"/>
        <w:spacing w:after="0" w:line="240" w:lineRule="auto"/>
        <w:rPr>
          <w:rFonts w:ascii="Cambria" w:hAnsi="Cambria" w:cs="Arial"/>
          <w:sz w:val="24"/>
          <w:szCs w:val="24"/>
        </w:rPr>
      </w:pPr>
    </w:p>
    <w:p w:rsidR="00204E5C" w:rsidRPr="00204E5C" w:rsidRDefault="00204E5C" w:rsidP="00204E5C">
      <w:pPr>
        <w:autoSpaceDE w:val="0"/>
        <w:autoSpaceDN w:val="0"/>
        <w:adjustRightInd w:val="0"/>
        <w:spacing w:after="0" w:line="240" w:lineRule="auto"/>
        <w:rPr>
          <w:rFonts w:ascii="Cambria" w:hAnsi="Cambria" w:cs="Arial"/>
          <w:sz w:val="24"/>
          <w:szCs w:val="24"/>
        </w:rPr>
      </w:pPr>
      <w:r w:rsidRPr="00204E5C">
        <w:rPr>
          <w:rFonts w:ascii="Cambria" w:hAnsi="Cambria" w:cs="Arial"/>
          <w:sz w:val="24"/>
          <w:szCs w:val="24"/>
        </w:rPr>
        <w:t xml:space="preserve">RE: </w:t>
      </w:r>
      <w:r w:rsidRPr="00204E5C">
        <w:rPr>
          <w:rFonts w:ascii="Arial" w:hAnsi="Arial" w:cs="Arial"/>
          <w:b/>
          <w:bCs/>
          <w:smallCaps/>
          <w:color w:val="000000"/>
          <w:sz w:val="23"/>
          <w:szCs w:val="23"/>
        </w:rPr>
        <w:t>Draft Cap-and-Trade Auction Proceeds Second Investment Plan</w:t>
      </w:r>
    </w:p>
    <w:p w:rsidR="00204E5C" w:rsidRPr="00204E5C" w:rsidRDefault="00204E5C" w:rsidP="00204E5C">
      <w:pPr>
        <w:autoSpaceDE w:val="0"/>
        <w:autoSpaceDN w:val="0"/>
        <w:adjustRightInd w:val="0"/>
        <w:spacing w:after="0" w:line="240" w:lineRule="auto"/>
        <w:rPr>
          <w:rFonts w:ascii="Cambria" w:hAnsi="Cambria" w:cs="Arial"/>
          <w:sz w:val="24"/>
          <w:szCs w:val="24"/>
        </w:rPr>
      </w:pPr>
    </w:p>
    <w:p w:rsidR="00204E5C" w:rsidRPr="00204E5C" w:rsidRDefault="00204E5C" w:rsidP="00204E5C">
      <w:pPr>
        <w:autoSpaceDE w:val="0"/>
        <w:autoSpaceDN w:val="0"/>
        <w:adjustRightInd w:val="0"/>
        <w:spacing w:after="0" w:line="240" w:lineRule="auto"/>
        <w:rPr>
          <w:rFonts w:ascii="Cambria" w:hAnsi="Cambria" w:cs="ArialMT"/>
          <w:sz w:val="24"/>
          <w:szCs w:val="24"/>
        </w:rPr>
      </w:pPr>
      <w:r w:rsidRPr="00204E5C">
        <w:rPr>
          <w:rFonts w:ascii="Cambria" w:hAnsi="Cambria" w:cs="Arial"/>
          <w:sz w:val="24"/>
          <w:szCs w:val="24"/>
        </w:rPr>
        <w:t xml:space="preserve">The comments below are from the California Forestry Association (CFA).  </w:t>
      </w:r>
      <w:r w:rsidRPr="00204E5C">
        <w:rPr>
          <w:rFonts w:ascii="Cambria" w:hAnsi="Cambria" w:cs="ArialMT"/>
          <w:sz w:val="24"/>
          <w:szCs w:val="24"/>
        </w:rPr>
        <w:t>Calforests has a membership consisting of nearly all the large forest landowners, many family-owned forests of all sizes, most of the 36 remaining sawmills and veneer mills, one shavings mill, and many biomass power plants. Key goals of the association are to create a favorable environment for the forest industry, to ensure a sustainable supply of forest resources from public and private lands, and promote responsible management of our national forests.</w:t>
      </w:r>
    </w:p>
    <w:p w:rsidR="00204E5C" w:rsidRPr="00204E5C" w:rsidRDefault="00204E5C" w:rsidP="00204E5C">
      <w:pPr>
        <w:autoSpaceDE w:val="0"/>
        <w:autoSpaceDN w:val="0"/>
        <w:adjustRightInd w:val="0"/>
        <w:spacing w:after="0" w:line="240" w:lineRule="auto"/>
        <w:rPr>
          <w:rFonts w:ascii="Cambria" w:hAnsi="Cambria" w:cs="Arial"/>
          <w:sz w:val="24"/>
          <w:szCs w:val="24"/>
        </w:rPr>
      </w:pPr>
    </w:p>
    <w:p w:rsidR="00204E5C" w:rsidRPr="00204E5C" w:rsidRDefault="00204E5C" w:rsidP="00204E5C">
      <w:pPr>
        <w:autoSpaceDE w:val="0"/>
        <w:autoSpaceDN w:val="0"/>
        <w:adjustRightInd w:val="0"/>
        <w:spacing w:after="0" w:line="240" w:lineRule="auto"/>
        <w:rPr>
          <w:rFonts w:ascii="Cambria" w:hAnsi="Cambria" w:cs="Arial"/>
          <w:sz w:val="24"/>
          <w:szCs w:val="24"/>
        </w:rPr>
      </w:pPr>
    </w:p>
    <w:p w:rsidR="00204E5C" w:rsidRPr="00204E5C" w:rsidRDefault="00204E5C" w:rsidP="00204E5C">
      <w:pPr>
        <w:autoSpaceDE w:val="0"/>
        <w:autoSpaceDN w:val="0"/>
        <w:adjustRightInd w:val="0"/>
        <w:spacing w:after="0" w:line="240" w:lineRule="auto"/>
        <w:rPr>
          <w:rFonts w:ascii="Cambria" w:hAnsi="Cambria" w:cs="Arial"/>
          <w:sz w:val="24"/>
          <w:szCs w:val="24"/>
        </w:rPr>
      </w:pPr>
      <w:r w:rsidRPr="00204E5C">
        <w:rPr>
          <w:rFonts w:ascii="Cambria" w:hAnsi="Cambria" w:cs="Arial"/>
          <w:sz w:val="24"/>
          <w:szCs w:val="24"/>
        </w:rPr>
        <w:t xml:space="preserve">Draft Second Cap and Trade Investment Plan, </w:t>
      </w:r>
      <w:r w:rsidRPr="00204E5C">
        <w:rPr>
          <w:rFonts w:ascii="Cambria" w:hAnsi="Cambria" w:cs="Arial"/>
          <w:sz w:val="24"/>
          <w:szCs w:val="24"/>
          <w:highlight w:val="yellow"/>
        </w:rPr>
        <w:t>Page 1 states –</w:t>
      </w:r>
    </w:p>
    <w:p w:rsidR="00204E5C" w:rsidRPr="00204E5C" w:rsidRDefault="00204E5C" w:rsidP="00204E5C">
      <w:pPr>
        <w:autoSpaceDE w:val="0"/>
        <w:autoSpaceDN w:val="0"/>
        <w:adjustRightInd w:val="0"/>
        <w:spacing w:after="0" w:line="240" w:lineRule="auto"/>
        <w:rPr>
          <w:rFonts w:ascii="Cambria" w:hAnsi="Cambria" w:cs="Arial"/>
          <w:sz w:val="24"/>
          <w:szCs w:val="24"/>
          <w:highlight w:val="yellow"/>
        </w:rPr>
      </w:pPr>
    </w:p>
    <w:p w:rsidR="00204E5C" w:rsidRPr="00204E5C" w:rsidRDefault="00204E5C" w:rsidP="00204E5C">
      <w:pPr>
        <w:autoSpaceDE w:val="0"/>
        <w:autoSpaceDN w:val="0"/>
        <w:adjustRightInd w:val="0"/>
        <w:spacing w:after="0" w:line="240" w:lineRule="auto"/>
        <w:rPr>
          <w:rFonts w:ascii="Cambria" w:hAnsi="Cambria" w:cs="Arial"/>
          <w:sz w:val="24"/>
          <w:szCs w:val="24"/>
          <w:highlight w:val="yellow"/>
        </w:rPr>
      </w:pPr>
      <w:r w:rsidRPr="00204E5C">
        <w:rPr>
          <w:rFonts w:ascii="Cambria" w:hAnsi="Cambria" w:cs="Arial"/>
          <w:sz w:val="24"/>
          <w:szCs w:val="24"/>
          <w:highlight w:val="yellow"/>
        </w:rPr>
        <w:t>“Cap-and-Trade auction proceeds provide an opportunity for the State to invest in projects that help California achieve its climate goals and provide benefits to disadvantaged communities . . .</w:t>
      </w:r>
      <w:r w:rsidRPr="00204E5C">
        <w:rPr>
          <w:rFonts w:ascii="Cambria" w:hAnsi="Cambria" w:cs="Arial"/>
          <w:sz w:val="24"/>
          <w:szCs w:val="24"/>
        </w:rPr>
        <w:t xml:space="preserve"> </w:t>
      </w:r>
      <w:r w:rsidRPr="00204E5C">
        <w:rPr>
          <w:rFonts w:ascii="Cambria" w:hAnsi="Cambria" w:cs="Arial"/>
          <w:sz w:val="24"/>
          <w:szCs w:val="24"/>
          <w:highlight w:val="yellow"/>
        </w:rPr>
        <w:t>The purpose of this Draft Second Investment Plan is to identify opportunities for</w:t>
      </w:r>
      <w:r w:rsidRPr="00204E5C">
        <w:rPr>
          <w:rFonts w:ascii="Cambria" w:hAnsi="Cambria" w:cs="Arial"/>
          <w:sz w:val="24"/>
          <w:szCs w:val="24"/>
        </w:rPr>
        <w:t xml:space="preserve"> </w:t>
      </w:r>
      <w:r w:rsidRPr="00204E5C">
        <w:rPr>
          <w:rFonts w:ascii="Cambria" w:hAnsi="Cambria" w:cs="Arial"/>
          <w:sz w:val="24"/>
          <w:szCs w:val="24"/>
          <w:highlight w:val="yellow"/>
        </w:rPr>
        <w:t>greenhouse gas (GHG) emission reductions, and identify potential State investment</w:t>
      </w:r>
      <w:r w:rsidRPr="00204E5C">
        <w:rPr>
          <w:rFonts w:ascii="Cambria" w:hAnsi="Cambria" w:cs="Arial"/>
          <w:sz w:val="24"/>
          <w:szCs w:val="24"/>
        </w:rPr>
        <w:t xml:space="preserve"> </w:t>
      </w:r>
      <w:r w:rsidRPr="00204E5C">
        <w:rPr>
          <w:rFonts w:ascii="Cambria" w:hAnsi="Cambria" w:cs="Arial"/>
          <w:sz w:val="24"/>
          <w:szCs w:val="24"/>
          <w:highlight w:val="yellow"/>
        </w:rPr>
        <w:t>priorities to help achieve GHG emission reduction goals, benefit disadvantaged</w:t>
      </w:r>
      <w:r w:rsidRPr="00204E5C">
        <w:rPr>
          <w:rFonts w:ascii="Cambria" w:hAnsi="Cambria" w:cs="Arial"/>
          <w:sz w:val="24"/>
          <w:szCs w:val="24"/>
        </w:rPr>
        <w:t xml:space="preserve"> </w:t>
      </w:r>
      <w:r w:rsidRPr="00204E5C">
        <w:rPr>
          <w:rFonts w:ascii="Cambria" w:hAnsi="Cambria" w:cs="Arial"/>
          <w:sz w:val="24"/>
          <w:szCs w:val="24"/>
          <w:highlight w:val="yellow"/>
        </w:rPr>
        <w:t>communities, and yield valuable co-benefits.</w:t>
      </w:r>
      <w:r w:rsidRPr="00204E5C">
        <w:rPr>
          <w:rFonts w:ascii="Cambria" w:hAnsi="Cambria" w:cs="Arial"/>
          <w:sz w:val="24"/>
          <w:szCs w:val="24"/>
        </w:rPr>
        <w:t xml:space="preserve">” </w:t>
      </w:r>
    </w:p>
    <w:p w:rsidR="00204E5C" w:rsidRPr="00204E5C" w:rsidRDefault="00204E5C" w:rsidP="00204E5C">
      <w:pPr>
        <w:rPr>
          <w:rFonts w:ascii="Cambria" w:hAnsi="Cambria"/>
          <w:sz w:val="24"/>
          <w:szCs w:val="24"/>
        </w:rPr>
      </w:pPr>
    </w:p>
    <w:p w:rsidR="00204E5C" w:rsidRPr="00204E5C" w:rsidRDefault="00204E5C" w:rsidP="00204E5C">
      <w:pPr>
        <w:rPr>
          <w:rFonts w:ascii="Cambria" w:hAnsi="Cambria"/>
          <w:sz w:val="24"/>
          <w:szCs w:val="24"/>
          <w:u w:val="single"/>
        </w:rPr>
      </w:pPr>
      <w:r w:rsidRPr="00204E5C">
        <w:rPr>
          <w:rFonts w:ascii="Cambria" w:hAnsi="Cambria"/>
          <w:b/>
          <w:sz w:val="24"/>
          <w:szCs w:val="24"/>
          <w:u w:val="single"/>
        </w:rPr>
        <w:t>Comment:</w:t>
      </w:r>
    </w:p>
    <w:p w:rsidR="00204E5C" w:rsidRPr="00204E5C" w:rsidRDefault="00204E5C" w:rsidP="00204E5C">
      <w:pPr>
        <w:rPr>
          <w:rFonts w:ascii="Cambria" w:hAnsi="Cambria"/>
          <w:b/>
          <w:sz w:val="24"/>
          <w:szCs w:val="24"/>
        </w:rPr>
      </w:pPr>
      <w:r w:rsidRPr="00204E5C">
        <w:rPr>
          <w:rFonts w:ascii="Cambria" w:hAnsi="Cambria"/>
          <w:b/>
          <w:sz w:val="24"/>
          <w:szCs w:val="24"/>
        </w:rPr>
        <w:t>Disadvantaged Communities List</w:t>
      </w:r>
    </w:p>
    <w:p w:rsidR="00204E5C" w:rsidRPr="00204E5C" w:rsidRDefault="00204E5C" w:rsidP="00204E5C">
      <w:pPr>
        <w:rPr>
          <w:rFonts w:ascii="Cambria" w:hAnsi="Cambria"/>
          <w:sz w:val="24"/>
          <w:szCs w:val="24"/>
        </w:rPr>
      </w:pPr>
      <w:r w:rsidRPr="00204E5C">
        <w:rPr>
          <w:rFonts w:ascii="Cambria" w:hAnsi="Cambria"/>
          <w:sz w:val="24"/>
          <w:szCs w:val="24"/>
        </w:rPr>
        <w:t>Attachment 1 shows the California map of Disadvantaged Communities.  Note that there is not a single community in the foothill or mountainous areas of the Sierra Nevada’s, Southern Cascades, Modoc Plateau, Klamath Mountains, or north Coast Range that made the list.</w:t>
      </w:r>
    </w:p>
    <w:p w:rsidR="00204E5C" w:rsidRPr="00204E5C" w:rsidRDefault="00204E5C" w:rsidP="00204E5C">
      <w:pPr>
        <w:rPr>
          <w:rFonts w:ascii="Cambria" w:hAnsi="Cambria"/>
          <w:sz w:val="24"/>
          <w:szCs w:val="24"/>
        </w:rPr>
      </w:pPr>
      <w:r w:rsidRPr="00204E5C">
        <w:rPr>
          <w:rFonts w:ascii="Cambria" w:hAnsi="Cambria"/>
          <w:sz w:val="24"/>
          <w:szCs w:val="24"/>
        </w:rPr>
        <w:t>There are dozens of rural communities in the above mentioned areas that put up with wildfire smoke every year that is well above the EPA thresholds for healthy air.  There have been documented instances of wildfire smoke in rural communities that were up to 10 times or more the EPA thresholds that lasted for 87 consecutive days yet none of these communities are shown on the map.</w:t>
      </w:r>
    </w:p>
    <w:p w:rsidR="00204E5C" w:rsidRPr="00204E5C" w:rsidRDefault="00204E5C" w:rsidP="00204E5C">
      <w:pPr>
        <w:rPr>
          <w:rFonts w:ascii="Cambria" w:hAnsi="Cambria"/>
          <w:sz w:val="24"/>
          <w:szCs w:val="24"/>
        </w:rPr>
      </w:pPr>
      <w:r w:rsidRPr="00204E5C">
        <w:rPr>
          <w:rFonts w:ascii="Cambria" w:hAnsi="Cambria"/>
          <w:sz w:val="24"/>
          <w:szCs w:val="24"/>
        </w:rPr>
        <w:lastRenderedPageBreak/>
        <w:t xml:space="preserve">Further, literally dozens and dozens and dozens of rural communities in the above mentioned areas have past and current unemployment rates that are substantially higher than the State-wide average.  Yet, again, none of these communities are on the Disadvantaged Communities Map.  Following is a list of some of the current unemployment rates in rural communities and their unemployment rates when CalEPA determined the list of Disadvantaged Communities from their </w:t>
      </w:r>
      <w:r w:rsidRPr="00204E5C">
        <w:rPr>
          <w:rFonts w:ascii="Cambria" w:hAnsi="Cambria"/>
          <w:b/>
          <w:i/>
          <w:iCs/>
          <w:sz w:val="24"/>
          <w:szCs w:val="24"/>
        </w:rPr>
        <w:t>California Communities Environmental Health Screening Tool:</w:t>
      </w:r>
    </w:p>
    <w:tbl>
      <w:tblPr>
        <w:tblStyle w:val="TableGrid"/>
        <w:tblW w:w="0" w:type="auto"/>
        <w:tblLook w:val="04A0" w:firstRow="1" w:lastRow="0" w:firstColumn="1" w:lastColumn="0" w:noHBand="0" w:noVBand="1"/>
      </w:tblPr>
      <w:tblGrid>
        <w:gridCol w:w="2245"/>
        <w:gridCol w:w="2160"/>
        <w:gridCol w:w="2160"/>
        <w:gridCol w:w="2160"/>
      </w:tblGrid>
      <w:tr w:rsidR="00204E5C" w:rsidRPr="00204E5C" w:rsidTr="00DD1FF7">
        <w:tc>
          <w:tcPr>
            <w:tcW w:w="2245" w:type="dxa"/>
          </w:tcPr>
          <w:p w:rsidR="00204E5C" w:rsidRPr="00204E5C" w:rsidRDefault="00204E5C" w:rsidP="00204E5C">
            <w:pPr>
              <w:rPr>
                <w:rFonts w:ascii="Cambria" w:hAnsi="Cambria"/>
                <w:b/>
                <w:sz w:val="24"/>
                <w:szCs w:val="24"/>
              </w:rPr>
            </w:pPr>
            <w:r w:rsidRPr="00204E5C">
              <w:rPr>
                <w:rFonts w:ascii="Cambria" w:hAnsi="Cambria"/>
                <w:b/>
                <w:sz w:val="24"/>
                <w:szCs w:val="24"/>
              </w:rPr>
              <w:t>County</w:t>
            </w:r>
          </w:p>
        </w:tc>
        <w:tc>
          <w:tcPr>
            <w:tcW w:w="2160" w:type="dxa"/>
          </w:tcPr>
          <w:p w:rsidR="00204E5C" w:rsidRPr="00204E5C" w:rsidRDefault="00204E5C" w:rsidP="00204E5C">
            <w:pPr>
              <w:rPr>
                <w:rFonts w:ascii="Cambria" w:hAnsi="Cambria"/>
                <w:b/>
                <w:sz w:val="24"/>
                <w:szCs w:val="24"/>
              </w:rPr>
            </w:pPr>
            <w:r w:rsidRPr="00204E5C">
              <w:rPr>
                <w:rFonts w:ascii="Cambria" w:hAnsi="Cambria"/>
                <w:b/>
                <w:sz w:val="24"/>
                <w:szCs w:val="24"/>
              </w:rPr>
              <w:t>Community</w:t>
            </w:r>
          </w:p>
        </w:tc>
        <w:tc>
          <w:tcPr>
            <w:tcW w:w="2160" w:type="dxa"/>
          </w:tcPr>
          <w:p w:rsidR="00204E5C" w:rsidRPr="00204E5C" w:rsidRDefault="00204E5C" w:rsidP="00204E5C">
            <w:pPr>
              <w:rPr>
                <w:rFonts w:ascii="Cambria" w:hAnsi="Cambria"/>
                <w:b/>
                <w:sz w:val="24"/>
                <w:szCs w:val="24"/>
              </w:rPr>
            </w:pPr>
            <w:r w:rsidRPr="00204E5C">
              <w:rPr>
                <w:rFonts w:ascii="Cambria" w:hAnsi="Cambria"/>
                <w:b/>
                <w:sz w:val="24"/>
                <w:szCs w:val="24"/>
              </w:rPr>
              <w:t xml:space="preserve">Unemployment </w:t>
            </w:r>
          </w:p>
          <w:p w:rsidR="00204E5C" w:rsidRPr="00204E5C" w:rsidRDefault="00204E5C" w:rsidP="00204E5C">
            <w:pPr>
              <w:rPr>
                <w:rFonts w:ascii="Cambria" w:hAnsi="Cambria"/>
                <w:b/>
                <w:sz w:val="24"/>
                <w:szCs w:val="24"/>
              </w:rPr>
            </w:pPr>
            <w:r w:rsidRPr="00204E5C">
              <w:rPr>
                <w:rFonts w:ascii="Cambria" w:hAnsi="Cambria"/>
                <w:b/>
                <w:sz w:val="24"/>
                <w:szCs w:val="24"/>
              </w:rPr>
              <w:t>Rate (Sept. 2015)</w:t>
            </w:r>
          </w:p>
        </w:tc>
        <w:tc>
          <w:tcPr>
            <w:tcW w:w="2160" w:type="dxa"/>
          </w:tcPr>
          <w:p w:rsidR="00204E5C" w:rsidRPr="00204E5C" w:rsidRDefault="00204E5C" w:rsidP="00204E5C">
            <w:pPr>
              <w:rPr>
                <w:rFonts w:ascii="Cambria" w:hAnsi="Cambria"/>
                <w:b/>
                <w:sz w:val="24"/>
                <w:szCs w:val="24"/>
              </w:rPr>
            </w:pPr>
            <w:r w:rsidRPr="00204E5C">
              <w:rPr>
                <w:rFonts w:ascii="Cambria" w:hAnsi="Cambria"/>
                <w:b/>
                <w:sz w:val="24"/>
                <w:szCs w:val="24"/>
              </w:rPr>
              <w:t>Unemployment Rate (Oct. 2014)</w:t>
            </w:r>
          </w:p>
        </w:tc>
      </w:tr>
      <w:tr w:rsidR="00204E5C" w:rsidRPr="00204E5C" w:rsidTr="00DD1FF7">
        <w:tc>
          <w:tcPr>
            <w:tcW w:w="2245" w:type="dxa"/>
          </w:tcPr>
          <w:p w:rsidR="00204E5C" w:rsidRPr="00204E5C" w:rsidRDefault="00204E5C" w:rsidP="00204E5C">
            <w:pPr>
              <w:rPr>
                <w:rFonts w:ascii="Cambria" w:hAnsi="Cambria"/>
                <w:sz w:val="24"/>
                <w:szCs w:val="24"/>
              </w:rPr>
            </w:pPr>
            <w:r w:rsidRPr="00204E5C">
              <w:rPr>
                <w:rFonts w:ascii="Cambria" w:hAnsi="Cambria"/>
                <w:sz w:val="24"/>
                <w:szCs w:val="24"/>
              </w:rPr>
              <w:t>Alpine County</w:t>
            </w:r>
          </w:p>
        </w:tc>
        <w:tc>
          <w:tcPr>
            <w:tcW w:w="2160" w:type="dxa"/>
          </w:tcPr>
          <w:p w:rsidR="00204E5C" w:rsidRPr="00204E5C" w:rsidRDefault="00204E5C" w:rsidP="00204E5C">
            <w:pPr>
              <w:rPr>
                <w:rFonts w:ascii="Cambria" w:hAnsi="Cambria"/>
                <w:sz w:val="24"/>
                <w:szCs w:val="24"/>
              </w:rPr>
            </w:pP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8.8%</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8.3%</w:t>
            </w:r>
          </w:p>
        </w:tc>
      </w:tr>
      <w:tr w:rsidR="00204E5C" w:rsidRPr="00204E5C" w:rsidTr="00DD1FF7">
        <w:tc>
          <w:tcPr>
            <w:tcW w:w="2245" w:type="dxa"/>
          </w:tcPr>
          <w:p w:rsidR="00204E5C" w:rsidRPr="00204E5C" w:rsidRDefault="00204E5C" w:rsidP="00204E5C">
            <w:pPr>
              <w:rPr>
                <w:rFonts w:ascii="Cambria" w:hAnsi="Cambria"/>
                <w:sz w:val="24"/>
                <w:szCs w:val="24"/>
              </w:rPr>
            </w:pPr>
            <w:r w:rsidRPr="00204E5C">
              <w:rPr>
                <w:rFonts w:ascii="Cambria" w:hAnsi="Cambria"/>
                <w:sz w:val="24"/>
                <w:szCs w:val="24"/>
              </w:rPr>
              <w:t>Amador</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Jackson</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6.6%</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8.7%</w:t>
            </w:r>
          </w:p>
        </w:tc>
      </w:tr>
      <w:tr w:rsidR="00204E5C" w:rsidRPr="00204E5C" w:rsidTr="00DD1FF7">
        <w:tc>
          <w:tcPr>
            <w:tcW w:w="2245" w:type="dxa"/>
          </w:tcPr>
          <w:p w:rsidR="00204E5C" w:rsidRPr="00204E5C" w:rsidRDefault="00204E5C" w:rsidP="00204E5C">
            <w:pPr>
              <w:rPr>
                <w:rFonts w:ascii="Cambria" w:hAnsi="Cambria"/>
                <w:sz w:val="24"/>
                <w:szCs w:val="24"/>
              </w:rPr>
            </w:pPr>
            <w:r w:rsidRPr="00204E5C">
              <w:rPr>
                <w:rFonts w:ascii="Cambria" w:hAnsi="Cambria"/>
                <w:sz w:val="24"/>
                <w:szCs w:val="24"/>
              </w:rPr>
              <w:t>Calaveras</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Arnold</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6.8%</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8.7%</w:t>
            </w:r>
          </w:p>
        </w:tc>
      </w:tr>
      <w:tr w:rsidR="00204E5C" w:rsidRPr="00204E5C" w:rsidTr="00DD1FF7">
        <w:tc>
          <w:tcPr>
            <w:tcW w:w="2245" w:type="dxa"/>
          </w:tcPr>
          <w:p w:rsidR="00204E5C" w:rsidRPr="00204E5C" w:rsidRDefault="00204E5C" w:rsidP="00204E5C">
            <w:pPr>
              <w:rPr>
                <w:rFonts w:ascii="Cambria" w:hAnsi="Cambria"/>
                <w:sz w:val="24"/>
                <w:szCs w:val="24"/>
              </w:rPr>
            </w:pP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Mokelumne Hill</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12.9%</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16.1%</w:t>
            </w:r>
          </w:p>
        </w:tc>
      </w:tr>
      <w:tr w:rsidR="00204E5C" w:rsidRPr="00204E5C" w:rsidTr="00DD1FF7">
        <w:tc>
          <w:tcPr>
            <w:tcW w:w="2245" w:type="dxa"/>
          </w:tcPr>
          <w:p w:rsidR="00204E5C" w:rsidRPr="00204E5C" w:rsidRDefault="00204E5C" w:rsidP="00204E5C">
            <w:pPr>
              <w:rPr>
                <w:rFonts w:ascii="Cambria" w:hAnsi="Cambria"/>
                <w:sz w:val="24"/>
                <w:szCs w:val="24"/>
              </w:rPr>
            </w:pP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West Point</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9.6%</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12.1%</w:t>
            </w:r>
          </w:p>
        </w:tc>
      </w:tr>
      <w:tr w:rsidR="00204E5C" w:rsidRPr="00204E5C" w:rsidTr="00DD1FF7">
        <w:tc>
          <w:tcPr>
            <w:tcW w:w="2245" w:type="dxa"/>
          </w:tcPr>
          <w:p w:rsidR="00204E5C" w:rsidRPr="00204E5C" w:rsidRDefault="00204E5C" w:rsidP="00204E5C">
            <w:pPr>
              <w:rPr>
                <w:rFonts w:ascii="Cambria" w:hAnsi="Cambria"/>
                <w:sz w:val="24"/>
                <w:szCs w:val="24"/>
              </w:rPr>
            </w:pPr>
            <w:r w:rsidRPr="00204E5C">
              <w:rPr>
                <w:rFonts w:ascii="Cambria" w:hAnsi="Cambria"/>
                <w:sz w:val="24"/>
                <w:szCs w:val="24"/>
              </w:rPr>
              <w:t>El Dorado</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Placerville</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6.5%</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8.6%</w:t>
            </w:r>
          </w:p>
        </w:tc>
      </w:tr>
      <w:tr w:rsidR="00204E5C" w:rsidRPr="00204E5C" w:rsidTr="00DD1FF7">
        <w:tc>
          <w:tcPr>
            <w:tcW w:w="2245" w:type="dxa"/>
          </w:tcPr>
          <w:p w:rsidR="00204E5C" w:rsidRPr="00204E5C" w:rsidRDefault="00204E5C" w:rsidP="00204E5C">
            <w:pPr>
              <w:rPr>
                <w:rFonts w:ascii="Cambria" w:hAnsi="Cambria"/>
                <w:sz w:val="24"/>
                <w:szCs w:val="24"/>
              </w:rPr>
            </w:pPr>
            <w:r w:rsidRPr="00204E5C">
              <w:rPr>
                <w:rFonts w:ascii="Cambria" w:hAnsi="Cambria"/>
                <w:sz w:val="24"/>
                <w:szCs w:val="24"/>
              </w:rPr>
              <w:t>Del Norte</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Crescent City</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10.1%</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13.1%</w:t>
            </w:r>
          </w:p>
        </w:tc>
      </w:tr>
      <w:tr w:rsidR="00204E5C" w:rsidRPr="00204E5C" w:rsidTr="00DD1FF7">
        <w:tc>
          <w:tcPr>
            <w:tcW w:w="2245" w:type="dxa"/>
          </w:tcPr>
          <w:p w:rsidR="00204E5C" w:rsidRPr="00204E5C" w:rsidRDefault="00204E5C" w:rsidP="00204E5C">
            <w:pPr>
              <w:rPr>
                <w:rFonts w:ascii="Cambria" w:hAnsi="Cambria"/>
                <w:sz w:val="24"/>
                <w:szCs w:val="24"/>
              </w:rPr>
            </w:pP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Klamath</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14.1%</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18.2%</w:t>
            </w:r>
          </w:p>
        </w:tc>
      </w:tr>
      <w:tr w:rsidR="00204E5C" w:rsidRPr="00204E5C" w:rsidTr="00DD1FF7">
        <w:tc>
          <w:tcPr>
            <w:tcW w:w="2245" w:type="dxa"/>
          </w:tcPr>
          <w:p w:rsidR="00204E5C" w:rsidRPr="00204E5C" w:rsidRDefault="00204E5C" w:rsidP="00204E5C">
            <w:pPr>
              <w:rPr>
                <w:rFonts w:ascii="Cambria" w:hAnsi="Cambria"/>
                <w:sz w:val="24"/>
                <w:szCs w:val="24"/>
              </w:rPr>
            </w:pPr>
          </w:p>
        </w:tc>
        <w:tc>
          <w:tcPr>
            <w:tcW w:w="2160" w:type="dxa"/>
          </w:tcPr>
          <w:p w:rsidR="00204E5C" w:rsidRPr="00204E5C" w:rsidRDefault="00204E5C" w:rsidP="00204E5C">
            <w:pPr>
              <w:rPr>
                <w:rFonts w:ascii="Cambria" w:hAnsi="Cambria"/>
                <w:sz w:val="24"/>
                <w:szCs w:val="24"/>
              </w:rPr>
            </w:pPr>
          </w:p>
        </w:tc>
        <w:tc>
          <w:tcPr>
            <w:tcW w:w="2160" w:type="dxa"/>
          </w:tcPr>
          <w:p w:rsidR="00204E5C" w:rsidRPr="00204E5C" w:rsidRDefault="00204E5C" w:rsidP="00204E5C">
            <w:pPr>
              <w:rPr>
                <w:rFonts w:ascii="Cambria" w:hAnsi="Cambria"/>
                <w:sz w:val="24"/>
                <w:szCs w:val="24"/>
              </w:rPr>
            </w:pPr>
          </w:p>
        </w:tc>
        <w:tc>
          <w:tcPr>
            <w:tcW w:w="2160" w:type="dxa"/>
          </w:tcPr>
          <w:p w:rsidR="00204E5C" w:rsidRPr="00204E5C" w:rsidRDefault="00204E5C" w:rsidP="00204E5C">
            <w:pPr>
              <w:rPr>
                <w:rFonts w:ascii="Cambria" w:hAnsi="Cambria"/>
                <w:sz w:val="24"/>
                <w:szCs w:val="24"/>
              </w:rPr>
            </w:pPr>
          </w:p>
        </w:tc>
      </w:tr>
      <w:tr w:rsidR="00204E5C" w:rsidRPr="00204E5C" w:rsidTr="00DD1FF7">
        <w:tc>
          <w:tcPr>
            <w:tcW w:w="2245" w:type="dxa"/>
          </w:tcPr>
          <w:p w:rsidR="00204E5C" w:rsidRPr="00204E5C" w:rsidRDefault="00204E5C" w:rsidP="00204E5C">
            <w:pPr>
              <w:rPr>
                <w:rFonts w:ascii="Cambria" w:hAnsi="Cambria"/>
                <w:b/>
                <w:sz w:val="24"/>
                <w:szCs w:val="24"/>
              </w:rPr>
            </w:pPr>
            <w:r w:rsidRPr="00204E5C">
              <w:rPr>
                <w:rFonts w:ascii="Cambria" w:hAnsi="Cambria"/>
                <w:b/>
                <w:sz w:val="24"/>
                <w:szCs w:val="24"/>
              </w:rPr>
              <w:t>County</w:t>
            </w:r>
          </w:p>
        </w:tc>
        <w:tc>
          <w:tcPr>
            <w:tcW w:w="2160" w:type="dxa"/>
          </w:tcPr>
          <w:p w:rsidR="00204E5C" w:rsidRPr="00204E5C" w:rsidRDefault="00204E5C" w:rsidP="00204E5C">
            <w:pPr>
              <w:rPr>
                <w:rFonts w:ascii="Cambria" w:hAnsi="Cambria"/>
                <w:b/>
                <w:sz w:val="24"/>
                <w:szCs w:val="24"/>
              </w:rPr>
            </w:pPr>
            <w:r w:rsidRPr="00204E5C">
              <w:rPr>
                <w:rFonts w:ascii="Cambria" w:hAnsi="Cambria"/>
                <w:b/>
                <w:sz w:val="24"/>
                <w:szCs w:val="24"/>
              </w:rPr>
              <w:t>Community</w:t>
            </w:r>
          </w:p>
        </w:tc>
        <w:tc>
          <w:tcPr>
            <w:tcW w:w="2160" w:type="dxa"/>
          </w:tcPr>
          <w:p w:rsidR="00204E5C" w:rsidRPr="00204E5C" w:rsidRDefault="00204E5C" w:rsidP="00204E5C">
            <w:pPr>
              <w:rPr>
                <w:rFonts w:ascii="Cambria" w:hAnsi="Cambria"/>
                <w:b/>
                <w:sz w:val="24"/>
                <w:szCs w:val="24"/>
              </w:rPr>
            </w:pPr>
            <w:r w:rsidRPr="00204E5C">
              <w:rPr>
                <w:rFonts w:ascii="Cambria" w:hAnsi="Cambria"/>
                <w:b/>
                <w:sz w:val="24"/>
                <w:szCs w:val="24"/>
              </w:rPr>
              <w:t xml:space="preserve">Unemployment </w:t>
            </w:r>
          </w:p>
          <w:p w:rsidR="00204E5C" w:rsidRPr="00204E5C" w:rsidRDefault="00204E5C" w:rsidP="00204E5C">
            <w:pPr>
              <w:rPr>
                <w:rFonts w:ascii="Cambria" w:hAnsi="Cambria"/>
                <w:b/>
                <w:sz w:val="24"/>
                <w:szCs w:val="24"/>
              </w:rPr>
            </w:pPr>
            <w:r w:rsidRPr="00204E5C">
              <w:rPr>
                <w:rFonts w:ascii="Cambria" w:hAnsi="Cambria"/>
                <w:b/>
                <w:sz w:val="24"/>
                <w:szCs w:val="24"/>
              </w:rPr>
              <w:t>Rate (Sept. 2015)</w:t>
            </w:r>
          </w:p>
        </w:tc>
        <w:tc>
          <w:tcPr>
            <w:tcW w:w="2160" w:type="dxa"/>
          </w:tcPr>
          <w:p w:rsidR="00204E5C" w:rsidRPr="00204E5C" w:rsidRDefault="00204E5C" w:rsidP="00204E5C">
            <w:pPr>
              <w:rPr>
                <w:rFonts w:ascii="Cambria" w:hAnsi="Cambria"/>
                <w:b/>
                <w:sz w:val="24"/>
                <w:szCs w:val="24"/>
              </w:rPr>
            </w:pPr>
            <w:r w:rsidRPr="00204E5C">
              <w:rPr>
                <w:rFonts w:ascii="Cambria" w:hAnsi="Cambria"/>
                <w:b/>
                <w:sz w:val="24"/>
                <w:szCs w:val="24"/>
              </w:rPr>
              <w:t>Unemployment Rate (Sept. 2012)</w:t>
            </w:r>
          </w:p>
        </w:tc>
      </w:tr>
      <w:tr w:rsidR="00204E5C" w:rsidRPr="00204E5C" w:rsidTr="00DD1FF7">
        <w:tc>
          <w:tcPr>
            <w:tcW w:w="2245" w:type="dxa"/>
          </w:tcPr>
          <w:p w:rsidR="00204E5C" w:rsidRPr="00204E5C" w:rsidRDefault="00204E5C" w:rsidP="00204E5C">
            <w:pPr>
              <w:rPr>
                <w:rFonts w:ascii="Cambria" w:hAnsi="Cambria"/>
                <w:sz w:val="24"/>
                <w:szCs w:val="24"/>
              </w:rPr>
            </w:pP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Westwood</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10.6%</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13.2%</w:t>
            </w:r>
          </w:p>
        </w:tc>
      </w:tr>
      <w:tr w:rsidR="00204E5C" w:rsidRPr="00204E5C" w:rsidTr="00DD1FF7">
        <w:tc>
          <w:tcPr>
            <w:tcW w:w="2245" w:type="dxa"/>
          </w:tcPr>
          <w:p w:rsidR="00204E5C" w:rsidRPr="00204E5C" w:rsidRDefault="00204E5C" w:rsidP="00204E5C">
            <w:pPr>
              <w:rPr>
                <w:rFonts w:ascii="Cambria" w:hAnsi="Cambria"/>
                <w:sz w:val="24"/>
                <w:szCs w:val="24"/>
              </w:rPr>
            </w:pPr>
            <w:r w:rsidRPr="00204E5C">
              <w:rPr>
                <w:rFonts w:ascii="Cambria" w:hAnsi="Cambria"/>
                <w:sz w:val="24"/>
                <w:szCs w:val="24"/>
              </w:rPr>
              <w:t>Madera</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Oakhurst</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7.4%</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9.0%</w:t>
            </w:r>
          </w:p>
        </w:tc>
      </w:tr>
      <w:tr w:rsidR="00204E5C" w:rsidRPr="00204E5C" w:rsidTr="00DD1FF7">
        <w:tc>
          <w:tcPr>
            <w:tcW w:w="2245" w:type="dxa"/>
          </w:tcPr>
          <w:p w:rsidR="00204E5C" w:rsidRPr="00204E5C" w:rsidRDefault="00204E5C" w:rsidP="00204E5C">
            <w:pPr>
              <w:rPr>
                <w:rFonts w:ascii="Cambria" w:hAnsi="Cambria"/>
                <w:sz w:val="24"/>
                <w:szCs w:val="24"/>
              </w:rPr>
            </w:pPr>
            <w:r w:rsidRPr="00204E5C">
              <w:rPr>
                <w:rFonts w:ascii="Cambria" w:hAnsi="Cambria"/>
                <w:sz w:val="24"/>
                <w:szCs w:val="24"/>
              </w:rPr>
              <w:t>Mendocino</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Laytonville</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14.8%</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18.6%</w:t>
            </w:r>
          </w:p>
        </w:tc>
      </w:tr>
      <w:tr w:rsidR="00204E5C" w:rsidRPr="00204E5C" w:rsidTr="00DD1FF7">
        <w:tc>
          <w:tcPr>
            <w:tcW w:w="2245" w:type="dxa"/>
          </w:tcPr>
          <w:p w:rsidR="00204E5C" w:rsidRPr="00204E5C" w:rsidRDefault="00204E5C" w:rsidP="00204E5C">
            <w:pPr>
              <w:rPr>
                <w:rFonts w:ascii="Cambria" w:hAnsi="Cambria"/>
                <w:sz w:val="24"/>
                <w:szCs w:val="24"/>
              </w:rPr>
            </w:pP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Ukiah</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6.9%</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8.9%</w:t>
            </w:r>
          </w:p>
        </w:tc>
      </w:tr>
      <w:tr w:rsidR="00204E5C" w:rsidRPr="00204E5C" w:rsidTr="00DD1FF7">
        <w:tc>
          <w:tcPr>
            <w:tcW w:w="2245" w:type="dxa"/>
          </w:tcPr>
          <w:p w:rsidR="00204E5C" w:rsidRPr="00204E5C" w:rsidRDefault="00204E5C" w:rsidP="00204E5C">
            <w:pPr>
              <w:rPr>
                <w:rFonts w:ascii="Cambria" w:hAnsi="Cambria"/>
                <w:sz w:val="24"/>
                <w:szCs w:val="24"/>
              </w:rPr>
            </w:pPr>
            <w:r w:rsidRPr="00204E5C">
              <w:rPr>
                <w:rFonts w:ascii="Cambria" w:hAnsi="Cambria"/>
                <w:sz w:val="24"/>
                <w:szCs w:val="24"/>
              </w:rPr>
              <w:t>Modoc County</w:t>
            </w:r>
          </w:p>
        </w:tc>
        <w:tc>
          <w:tcPr>
            <w:tcW w:w="2160" w:type="dxa"/>
          </w:tcPr>
          <w:p w:rsidR="00204E5C" w:rsidRPr="00204E5C" w:rsidRDefault="00204E5C" w:rsidP="00204E5C">
            <w:pPr>
              <w:rPr>
                <w:rFonts w:ascii="Cambria" w:hAnsi="Cambria"/>
                <w:sz w:val="24"/>
                <w:szCs w:val="24"/>
              </w:rPr>
            </w:pP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6.7%</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8.5%</w:t>
            </w:r>
          </w:p>
        </w:tc>
      </w:tr>
      <w:tr w:rsidR="00204E5C" w:rsidRPr="00204E5C" w:rsidTr="00DD1FF7">
        <w:tc>
          <w:tcPr>
            <w:tcW w:w="2245" w:type="dxa"/>
          </w:tcPr>
          <w:p w:rsidR="00204E5C" w:rsidRPr="00204E5C" w:rsidRDefault="00204E5C" w:rsidP="00204E5C">
            <w:pPr>
              <w:rPr>
                <w:rFonts w:ascii="Cambria" w:hAnsi="Cambria"/>
                <w:sz w:val="24"/>
                <w:szCs w:val="24"/>
              </w:rPr>
            </w:pPr>
            <w:r w:rsidRPr="00204E5C">
              <w:rPr>
                <w:rFonts w:ascii="Cambria" w:hAnsi="Cambria"/>
                <w:sz w:val="24"/>
                <w:szCs w:val="24"/>
              </w:rPr>
              <w:t>Nevada</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Penn Valley</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13.6%</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17.1%</w:t>
            </w:r>
          </w:p>
        </w:tc>
      </w:tr>
      <w:tr w:rsidR="00204E5C" w:rsidRPr="00204E5C" w:rsidTr="00DD1FF7">
        <w:tc>
          <w:tcPr>
            <w:tcW w:w="2245" w:type="dxa"/>
          </w:tcPr>
          <w:p w:rsidR="00204E5C" w:rsidRPr="00204E5C" w:rsidRDefault="00204E5C" w:rsidP="00204E5C">
            <w:pPr>
              <w:rPr>
                <w:rFonts w:ascii="Cambria" w:hAnsi="Cambria"/>
                <w:sz w:val="24"/>
                <w:szCs w:val="24"/>
              </w:rPr>
            </w:pPr>
            <w:r w:rsidRPr="00204E5C">
              <w:rPr>
                <w:rFonts w:ascii="Cambria" w:hAnsi="Cambria"/>
                <w:sz w:val="24"/>
                <w:szCs w:val="24"/>
              </w:rPr>
              <w:t>Placer</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Colfax</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8.4%</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11.0%</w:t>
            </w:r>
          </w:p>
        </w:tc>
      </w:tr>
      <w:tr w:rsidR="00204E5C" w:rsidRPr="00204E5C" w:rsidTr="00DD1FF7">
        <w:tc>
          <w:tcPr>
            <w:tcW w:w="2245" w:type="dxa"/>
          </w:tcPr>
          <w:p w:rsidR="00204E5C" w:rsidRPr="00204E5C" w:rsidRDefault="00204E5C" w:rsidP="00204E5C">
            <w:pPr>
              <w:rPr>
                <w:rFonts w:ascii="Cambria" w:hAnsi="Cambria"/>
                <w:sz w:val="24"/>
                <w:szCs w:val="24"/>
              </w:rPr>
            </w:pPr>
            <w:r w:rsidRPr="00204E5C">
              <w:rPr>
                <w:rFonts w:ascii="Cambria" w:hAnsi="Cambria"/>
                <w:sz w:val="24"/>
                <w:szCs w:val="24"/>
              </w:rPr>
              <w:t xml:space="preserve">Plumas </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Chester</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7.5%</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9.5%</w:t>
            </w:r>
          </w:p>
        </w:tc>
      </w:tr>
      <w:tr w:rsidR="00204E5C" w:rsidRPr="00204E5C" w:rsidTr="00DD1FF7">
        <w:tc>
          <w:tcPr>
            <w:tcW w:w="2245" w:type="dxa"/>
          </w:tcPr>
          <w:p w:rsidR="00204E5C" w:rsidRPr="00204E5C" w:rsidRDefault="00204E5C" w:rsidP="00204E5C">
            <w:pPr>
              <w:rPr>
                <w:rFonts w:ascii="Cambria" w:hAnsi="Cambria"/>
                <w:sz w:val="24"/>
                <w:szCs w:val="24"/>
              </w:rPr>
            </w:pP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Greenville</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12.0%</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14.8%</w:t>
            </w:r>
          </w:p>
        </w:tc>
      </w:tr>
      <w:tr w:rsidR="00204E5C" w:rsidRPr="00204E5C" w:rsidTr="00DD1FF7">
        <w:tc>
          <w:tcPr>
            <w:tcW w:w="2245" w:type="dxa"/>
          </w:tcPr>
          <w:p w:rsidR="00204E5C" w:rsidRPr="00204E5C" w:rsidRDefault="00204E5C" w:rsidP="00204E5C">
            <w:pPr>
              <w:rPr>
                <w:rFonts w:ascii="Cambria" w:hAnsi="Cambria"/>
                <w:sz w:val="24"/>
                <w:szCs w:val="24"/>
              </w:rPr>
            </w:pP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Portola</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13.2%</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16.5%</w:t>
            </w:r>
          </w:p>
        </w:tc>
      </w:tr>
      <w:tr w:rsidR="00204E5C" w:rsidRPr="00204E5C" w:rsidTr="00DD1FF7">
        <w:tc>
          <w:tcPr>
            <w:tcW w:w="2245" w:type="dxa"/>
          </w:tcPr>
          <w:p w:rsidR="00204E5C" w:rsidRPr="00204E5C" w:rsidRDefault="00204E5C" w:rsidP="00204E5C">
            <w:pPr>
              <w:rPr>
                <w:rFonts w:ascii="Cambria" w:hAnsi="Cambria"/>
                <w:sz w:val="24"/>
                <w:szCs w:val="24"/>
              </w:rPr>
            </w:pPr>
            <w:r w:rsidRPr="00204E5C">
              <w:rPr>
                <w:rFonts w:ascii="Cambria" w:hAnsi="Cambria"/>
                <w:sz w:val="24"/>
                <w:szCs w:val="24"/>
              </w:rPr>
              <w:t>Shasta</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Fall River Mills</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8.2%</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10.2%</w:t>
            </w:r>
          </w:p>
        </w:tc>
      </w:tr>
      <w:tr w:rsidR="00204E5C" w:rsidRPr="00204E5C" w:rsidTr="00DD1FF7">
        <w:tc>
          <w:tcPr>
            <w:tcW w:w="2245" w:type="dxa"/>
          </w:tcPr>
          <w:p w:rsidR="00204E5C" w:rsidRPr="00204E5C" w:rsidRDefault="00204E5C" w:rsidP="00204E5C">
            <w:pPr>
              <w:rPr>
                <w:rFonts w:ascii="Cambria" w:hAnsi="Cambria"/>
                <w:sz w:val="24"/>
                <w:szCs w:val="24"/>
              </w:rPr>
            </w:pPr>
            <w:r w:rsidRPr="00204E5C">
              <w:rPr>
                <w:rFonts w:ascii="Cambria" w:hAnsi="Cambria"/>
                <w:sz w:val="24"/>
                <w:szCs w:val="24"/>
              </w:rPr>
              <w:t>Siskiyou</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Dunsmuir</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15.3%</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18.0%</w:t>
            </w:r>
          </w:p>
        </w:tc>
      </w:tr>
      <w:tr w:rsidR="00204E5C" w:rsidRPr="00204E5C" w:rsidTr="00DD1FF7">
        <w:tc>
          <w:tcPr>
            <w:tcW w:w="2245" w:type="dxa"/>
          </w:tcPr>
          <w:p w:rsidR="00204E5C" w:rsidRPr="00204E5C" w:rsidRDefault="00204E5C" w:rsidP="00204E5C">
            <w:pPr>
              <w:rPr>
                <w:rFonts w:ascii="Cambria" w:hAnsi="Cambria"/>
                <w:sz w:val="24"/>
                <w:szCs w:val="24"/>
              </w:rPr>
            </w:pP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McCloud</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8.5%</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10.1%</w:t>
            </w:r>
          </w:p>
        </w:tc>
      </w:tr>
      <w:tr w:rsidR="00204E5C" w:rsidRPr="00204E5C" w:rsidTr="00DD1FF7">
        <w:tc>
          <w:tcPr>
            <w:tcW w:w="2245" w:type="dxa"/>
          </w:tcPr>
          <w:p w:rsidR="00204E5C" w:rsidRPr="00204E5C" w:rsidRDefault="00204E5C" w:rsidP="00204E5C">
            <w:pPr>
              <w:rPr>
                <w:rFonts w:ascii="Cambria" w:hAnsi="Cambria"/>
                <w:sz w:val="24"/>
                <w:szCs w:val="24"/>
              </w:rPr>
            </w:pP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Weed</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7.4%</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9.0%</w:t>
            </w:r>
          </w:p>
        </w:tc>
      </w:tr>
      <w:tr w:rsidR="00204E5C" w:rsidRPr="00204E5C" w:rsidTr="00DD1FF7">
        <w:tc>
          <w:tcPr>
            <w:tcW w:w="2245" w:type="dxa"/>
          </w:tcPr>
          <w:p w:rsidR="00204E5C" w:rsidRPr="00204E5C" w:rsidRDefault="00204E5C" w:rsidP="00204E5C">
            <w:pPr>
              <w:rPr>
                <w:rFonts w:ascii="Cambria" w:hAnsi="Cambria"/>
                <w:sz w:val="24"/>
                <w:szCs w:val="24"/>
              </w:rPr>
            </w:pP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Yreka</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10.3%</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12.3%</w:t>
            </w:r>
          </w:p>
        </w:tc>
      </w:tr>
      <w:tr w:rsidR="00204E5C" w:rsidRPr="00204E5C" w:rsidTr="00DD1FF7">
        <w:tc>
          <w:tcPr>
            <w:tcW w:w="2245" w:type="dxa"/>
          </w:tcPr>
          <w:p w:rsidR="00204E5C" w:rsidRPr="00204E5C" w:rsidRDefault="00204E5C" w:rsidP="00204E5C">
            <w:pPr>
              <w:rPr>
                <w:rFonts w:ascii="Cambria" w:hAnsi="Cambria"/>
                <w:sz w:val="24"/>
                <w:szCs w:val="24"/>
              </w:rPr>
            </w:pPr>
            <w:r w:rsidRPr="00204E5C">
              <w:rPr>
                <w:rFonts w:ascii="Cambria" w:hAnsi="Cambria"/>
                <w:sz w:val="24"/>
                <w:szCs w:val="24"/>
              </w:rPr>
              <w:t>Trinity</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Hayfork</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11.6%</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15.2%</w:t>
            </w:r>
          </w:p>
        </w:tc>
      </w:tr>
      <w:tr w:rsidR="00204E5C" w:rsidRPr="00204E5C" w:rsidTr="00DD1FF7">
        <w:tc>
          <w:tcPr>
            <w:tcW w:w="2245" w:type="dxa"/>
          </w:tcPr>
          <w:p w:rsidR="00204E5C" w:rsidRPr="00204E5C" w:rsidRDefault="00204E5C" w:rsidP="00204E5C">
            <w:pPr>
              <w:rPr>
                <w:rFonts w:ascii="Cambria" w:hAnsi="Cambria"/>
                <w:sz w:val="24"/>
                <w:szCs w:val="24"/>
              </w:rPr>
            </w:pPr>
            <w:r w:rsidRPr="00204E5C">
              <w:rPr>
                <w:rFonts w:ascii="Cambria" w:hAnsi="Cambria"/>
                <w:sz w:val="24"/>
                <w:szCs w:val="24"/>
              </w:rPr>
              <w:t>Tuolumne</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Chinese Camp</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28.1%</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34.3%</w:t>
            </w:r>
          </w:p>
        </w:tc>
      </w:tr>
      <w:tr w:rsidR="00204E5C" w:rsidRPr="00204E5C" w:rsidTr="00DD1FF7">
        <w:tc>
          <w:tcPr>
            <w:tcW w:w="2245" w:type="dxa"/>
          </w:tcPr>
          <w:p w:rsidR="00204E5C" w:rsidRPr="00204E5C" w:rsidRDefault="00204E5C" w:rsidP="00204E5C">
            <w:pPr>
              <w:rPr>
                <w:rFonts w:ascii="Cambria" w:hAnsi="Cambria"/>
                <w:sz w:val="24"/>
                <w:szCs w:val="24"/>
              </w:rPr>
            </w:pP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Columbia</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11.0%</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13.7%</w:t>
            </w:r>
          </w:p>
        </w:tc>
      </w:tr>
      <w:tr w:rsidR="00204E5C" w:rsidRPr="00204E5C" w:rsidTr="00DD1FF7">
        <w:tc>
          <w:tcPr>
            <w:tcW w:w="2245" w:type="dxa"/>
          </w:tcPr>
          <w:p w:rsidR="00204E5C" w:rsidRPr="00204E5C" w:rsidRDefault="00204E5C" w:rsidP="00204E5C">
            <w:pPr>
              <w:rPr>
                <w:rFonts w:ascii="Cambria" w:hAnsi="Cambria"/>
                <w:sz w:val="24"/>
                <w:szCs w:val="24"/>
              </w:rPr>
            </w:pP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MiWuk Village</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13.7%</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16.9%</w:t>
            </w:r>
          </w:p>
        </w:tc>
      </w:tr>
      <w:tr w:rsidR="00204E5C" w:rsidRPr="00204E5C" w:rsidTr="00DD1FF7">
        <w:tc>
          <w:tcPr>
            <w:tcW w:w="2245" w:type="dxa"/>
          </w:tcPr>
          <w:p w:rsidR="00204E5C" w:rsidRPr="00204E5C" w:rsidRDefault="00204E5C" w:rsidP="00204E5C">
            <w:pPr>
              <w:rPr>
                <w:rFonts w:ascii="Cambria" w:hAnsi="Cambria"/>
                <w:sz w:val="24"/>
                <w:szCs w:val="24"/>
              </w:rPr>
            </w:pP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Soulsbyville</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11.1%</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13.9%</w:t>
            </w:r>
          </w:p>
        </w:tc>
      </w:tr>
      <w:tr w:rsidR="00204E5C" w:rsidRPr="00204E5C" w:rsidTr="00DD1FF7">
        <w:tc>
          <w:tcPr>
            <w:tcW w:w="2245" w:type="dxa"/>
          </w:tcPr>
          <w:p w:rsidR="00204E5C" w:rsidRPr="00204E5C" w:rsidRDefault="00204E5C" w:rsidP="00204E5C">
            <w:pPr>
              <w:rPr>
                <w:rFonts w:ascii="Cambria" w:hAnsi="Cambria"/>
                <w:sz w:val="24"/>
                <w:szCs w:val="24"/>
              </w:rPr>
            </w:pP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Twain Harte</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8.2%</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10.3%</w:t>
            </w:r>
          </w:p>
        </w:tc>
      </w:tr>
      <w:tr w:rsidR="00204E5C" w:rsidRPr="00204E5C" w:rsidTr="00DD1FF7">
        <w:tc>
          <w:tcPr>
            <w:tcW w:w="2245" w:type="dxa"/>
          </w:tcPr>
          <w:p w:rsidR="00204E5C" w:rsidRPr="00204E5C" w:rsidRDefault="00204E5C" w:rsidP="00204E5C">
            <w:pPr>
              <w:rPr>
                <w:rFonts w:ascii="Cambria" w:hAnsi="Cambria"/>
                <w:sz w:val="24"/>
                <w:szCs w:val="24"/>
              </w:rPr>
            </w:pP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Mono Vista</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12.1%</w:t>
            </w:r>
          </w:p>
        </w:tc>
        <w:tc>
          <w:tcPr>
            <w:tcW w:w="2160" w:type="dxa"/>
          </w:tcPr>
          <w:p w:rsidR="00204E5C" w:rsidRPr="00204E5C" w:rsidRDefault="00204E5C" w:rsidP="00204E5C">
            <w:pPr>
              <w:rPr>
                <w:rFonts w:ascii="Cambria" w:hAnsi="Cambria"/>
                <w:sz w:val="24"/>
                <w:szCs w:val="24"/>
              </w:rPr>
            </w:pPr>
            <w:r w:rsidRPr="00204E5C">
              <w:rPr>
                <w:rFonts w:ascii="Cambria" w:hAnsi="Cambria"/>
                <w:sz w:val="24"/>
                <w:szCs w:val="24"/>
              </w:rPr>
              <w:t>15.1%</w:t>
            </w:r>
          </w:p>
        </w:tc>
      </w:tr>
    </w:tbl>
    <w:p w:rsidR="00204E5C" w:rsidRPr="00204E5C" w:rsidRDefault="00204E5C" w:rsidP="00204E5C">
      <w:pPr>
        <w:spacing w:after="0" w:line="240" w:lineRule="auto"/>
        <w:rPr>
          <w:rFonts w:ascii="Cambria" w:hAnsi="Cambria"/>
          <w:sz w:val="24"/>
          <w:szCs w:val="24"/>
        </w:rPr>
      </w:pPr>
    </w:p>
    <w:p w:rsidR="00204E5C" w:rsidRPr="00204E5C" w:rsidRDefault="00204E5C" w:rsidP="00204E5C">
      <w:pPr>
        <w:spacing w:after="0" w:line="240" w:lineRule="auto"/>
        <w:rPr>
          <w:rFonts w:ascii="Cambria" w:hAnsi="Cambria"/>
          <w:sz w:val="24"/>
          <w:szCs w:val="24"/>
        </w:rPr>
      </w:pPr>
      <w:r w:rsidRPr="00204E5C">
        <w:rPr>
          <w:rFonts w:ascii="Cambria" w:hAnsi="Cambria"/>
          <w:sz w:val="24"/>
          <w:szCs w:val="24"/>
        </w:rPr>
        <w:lastRenderedPageBreak/>
        <w:t>The appearance is that the foothill and mountainous areas of 22 rural counties in northern and central California were simply “turned off” in the “Screening Tool” that developed the Disadvantaged Communities List.</w:t>
      </w:r>
    </w:p>
    <w:p w:rsidR="00204E5C" w:rsidRPr="00204E5C" w:rsidRDefault="00204E5C" w:rsidP="00204E5C">
      <w:pPr>
        <w:spacing w:after="0" w:line="240" w:lineRule="auto"/>
        <w:rPr>
          <w:rFonts w:ascii="Cambria" w:hAnsi="Cambria"/>
          <w:sz w:val="24"/>
          <w:szCs w:val="24"/>
        </w:rPr>
      </w:pPr>
    </w:p>
    <w:p w:rsidR="00204E5C" w:rsidRPr="00204E5C" w:rsidRDefault="00204E5C" w:rsidP="00204E5C">
      <w:pPr>
        <w:spacing w:after="0" w:line="240" w:lineRule="auto"/>
        <w:rPr>
          <w:rFonts w:ascii="Cambria" w:hAnsi="Cambria"/>
          <w:b/>
          <w:sz w:val="24"/>
          <w:szCs w:val="24"/>
        </w:rPr>
      </w:pPr>
      <w:r w:rsidRPr="00204E5C">
        <w:rPr>
          <w:rFonts w:ascii="Cambria" w:hAnsi="Cambria"/>
          <w:b/>
          <w:sz w:val="24"/>
          <w:szCs w:val="24"/>
        </w:rPr>
        <w:t>Opportunities for Greenhouse Gas (GHG) Emission Reductions</w:t>
      </w:r>
    </w:p>
    <w:p w:rsidR="00204E5C" w:rsidRPr="00204E5C" w:rsidRDefault="00204E5C" w:rsidP="00204E5C">
      <w:pPr>
        <w:spacing w:after="0" w:line="240" w:lineRule="auto"/>
        <w:rPr>
          <w:rFonts w:ascii="Cambria" w:hAnsi="Cambria"/>
          <w:b/>
          <w:sz w:val="24"/>
          <w:szCs w:val="24"/>
        </w:rPr>
      </w:pPr>
    </w:p>
    <w:p w:rsidR="00204E5C" w:rsidRPr="00204E5C" w:rsidRDefault="00204E5C" w:rsidP="00204E5C">
      <w:pPr>
        <w:spacing w:after="0" w:line="240" w:lineRule="auto"/>
        <w:rPr>
          <w:rFonts w:ascii="Cambria" w:hAnsi="Cambria"/>
          <w:sz w:val="24"/>
          <w:szCs w:val="24"/>
        </w:rPr>
      </w:pPr>
      <w:r w:rsidRPr="00204E5C">
        <w:rPr>
          <w:rFonts w:ascii="Cambria" w:hAnsi="Cambria"/>
          <w:sz w:val="24"/>
          <w:szCs w:val="24"/>
        </w:rPr>
        <w:t>In the Forest Sector of California’s economy, there are multiple opportunities for GHG emission reductions.</w:t>
      </w:r>
    </w:p>
    <w:p w:rsidR="00204E5C" w:rsidRPr="00204E5C" w:rsidRDefault="00204E5C" w:rsidP="00204E5C">
      <w:pPr>
        <w:spacing w:after="0" w:line="240" w:lineRule="auto"/>
        <w:rPr>
          <w:rFonts w:ascii="Cambria" w:hAnsi="Cambria"/>
          <w:sz w:val="24"/>
          <w:szCs w:val="24"/>
        </w:rPr>
      </w:pPr>
    </w:p>
    <w:p w:rsidR="00204E5C" w:rsidRPr="00204E5C" w:rsidRDefault="00204E5C" w:rsidP="00204E5C">
      <w:pPr>
        <w:numPr>
          <w:ilvl w:val="0"/>
          <w:numId w:val="37"/>
        </w:numPr>
        <w:spacing w:after="0" w:line="240" w:lineRule="auto"/>
        <w:ind w:left="360" w:firstLine="0"/>
        <w:rPr>
          <w:rFonts w:ascii="Cambria" w:hAnsi="Cambria"/>
          <w:b/>
          <w:sz w:val="24"/>
          <w:szCs w:val="24"/>
        </w:rPr>
      </w:pPr>
      <w:r w:rsidRPr="00204E5C">
        <w:rPr>
          <w:rFonts w:ascii="Cambria" w:hAnsi="Cambria"/>
          <w:b/>
          <w:sz w:val="24"/>
          <w:szCs w:val="24"/>
        </w:rPr>
        <w:t>Dramatically reducing tree density on California’s National Forests</w:t>
      </w:r>
    </w:p>
    <w:p w:rsidR="00204E5C" w:rsidRPr="00204E5C" w:rsidRDefault="00204E5C" w:rsidP="00204E5C">
      <w:pPr>
        <w:spacing w:after="0" w:line="240" w:lineRule="auto"/>
        <w:rPr>
          <w:rFonts w:ascii="Cambria" w:hAnsi="Cambria"/>
          <w:sz w:val="24"/>
          <w:szCs w:val="24"/>
        </w:rPr>
      </w:pPr>
    </w:p>
    <w:p w:rsidR="00204E5C" w:rsidRPr="00204E5C" w:rsidRDefault="00204E5C" w:rsidP="00204E5C">
      <w:pPr>
        <w:spacing w:after="0" w:line="240" w:lineRule="auto"/>
        <w:ind w:left="720"/>
        <w:rPr>
          <w:rFonts w:ascii="Cambria" w:hAnsi="Cambria"/>
          <w:sz w:val="24"/>
          <w:szCs w:val="24"/>
        </w:rPr>
      </w:pPr>
      <w:r w:rsidRPr="00204E5C">
        <w:rPr>
          <w:rFonts w:ascii="Cambria" w:hAnsi="Cambria"/>
          <w:sz w:val="24"/>
          <w:szCs w:val="24"/>
        </w:rPr>
        <w:t xml:space="preserve">California’s National Forests average 224 trees/acre on a landscape historically that had about 19 trees/acre (Attachment 2). </w:t>
      </w:r>
    </w:p>
    <w:p w:rsidR="00204E5C" w:rsidRPr="00204E5C" w:rsidRDefault="00204E5C" w:rsidP="00204E5C">
      <w:pPr>
        <w:spacing w:after="0" w:line="240" w:lineRule="auto"/>
        <w:ind w:left="720"/>
        <w:rPr>
          <w:rFonts w:ascii="Cambria" w:hAnsi="Cambria"/>
          <w:sz w:val="24"/>
          <w:szCs w:val="24"/>
        </w:rPr>
      </w:pPr>
    </w:p>
    <w:p w:rsidR="00204E5C" w:rsidRPr="00204E5C" w:rsidRDefault="00204E5C" w:rsidP="00204E5C">
      <w:pPr>
        <w:spacing w:after="0" w:line="240" w:lineRule="auto"/>
        <w:ind w:left="720"/>
        <w:rPr>
          <w:rFonts w:ascii="Cambria" w:hAnsi="Cambria"/>
          <w:sz w:val="24"/>
          <w:szCs w:val="24"/>
        </w:rPr>
      </w:pPr>
      <w:r w:rsidRPr="00204E5C">
        <w:rPr>
          <w:rFonts w:ascii="Cambria" w:hAnsi="Cambria"/>
          <w:sz w:val="24"/>
          <w:szCs w:val="24"/>
        </w:rPr>
        <w:t>The California Energy Commission sponsored study January 2010, Mark Nechodom, “Biomass to Energy: Forest Management for Wildfire Reduction, Energy Production, and other Benefits” (</w:t>
      </w:r>
      <w:hyperlink r:id="rId9" w:history="1">
        <w:r w:rsidRPr="00204E5C">
          <w:rPr>
            <w:rFonts w:ascii="Cambria" w:hAnsi="Cambria"/>
            <w:color w:val="0563C1" w:themeColor="hyperlink"/>
            <w:sz w:val="24"/>
            <w:szCs w:val="24"/>
            <w:u w:val="single"/>
          </w:rPr>
          <w:t>http://passthrough.fw-notify.net/download/381689/http://www.energy.ca.gov/2009publications/CEC-500-2009-080/CEC-500-2009-080.PDF</w:t>
        </w:r>
      </w:hyperlink>
      <w:r w:rsidRPr="00204E5C">
        <w:rPr>
          <w:rFonts w:ascii="Cambria" w:hAnsi="Cambria"/>
          <w:sz w:val="24"/>
          <w:szCs w:val="24"/>
        </w:rPr>
        <w:t>) is one example that clearly shows substantial gains can be made by aggressively reducing the tree density on California’s National Forests.  That study, on a life cycle basis, showed:</w:t>
      </w:r>
    </w:p>
    <w:p w:rsidR="00204E5C" w:rsidRPr="00204E5C" w:rsidRDefault="00204E5C" w:rsidP="00204E5C">
      <w:pPr>
        <w:spacing w:after="0" w:line="240" w:lineRule="auto"/>
        <w:rPr>
          <w:rFonts w:ascii="Cambria" w:hAnsi="Cambria"/>
          <w:sz w:val="24"/>
          <w:szCs w:val="24"/>
        </w:rPr>
      </w:pPr>
    </w:p>
    <w:p w:rsidR="00204E5C" w:rsidRPr="00204E5C" w:rsidRDefault="00204E5C" w:rsidP="00204E5C">
      <w:pPr>
        <w:numPr>
          <w:ilvl w:val="0"/>
          <w:numId w:val="38"/>
        </w:numPr>
        <w:autoSpaceDE w:val="0"/>
        <w:autoSpaceDN w:val="0"/>
        <w:adjustRightInd w:val="0"/>
        <w:spacing w:after="0" w:line="240" w:lineRule="auto"/>
        <w:ind w:left="1080"/>
        <w:contextualSpacing/>
        <w:rPr>
          <w:rFonts w:ascii="Cambria" w:hAnsi="Cambria" w:cs="TTE148F848t00"/>
          <w:sz w:val="24"/>
          <w:szCs w:val="24"/>
        </w:rPr>
      </w:pPr>
      <w:r w:rsidRPr="00204E5C">
        <w:rPr>
          <w:rFonts w:ascii="Cambria" w:hAnsi="Cambria" w:cs="TTE148F848t00"/>
          <w:sz w:val="24"/>
          <w:szCs w:val="24"/>
        </w:rPr>
        <w:t>22% reduction in the extent of wildfire and significant reductions in fire severity</w:t>
      </w:r>
    </w:p>
    <w:p w:rsidR="00204E5C" w:rsidRPr="00204E5C" w:rsidRDefault="00204E5C" w:rsidP="00204E5C">
      <w:pPr>
        <w:numPr>
          <w:ilvl w:val="0"/>
          <w:numId w:val="38"/>
        </w:numPr>
        <w:autoSpaceDE w:val="0"/>
        <w:autoSpaceDN w:val="0"/>
        <w:adjustRightInd w:val="0"/>
        <w:spacing w:after="0" w:line="240" w:lineRule="auto"/>
        <w:ind w:left="1080"/>
        <w:contextualSpacing/>
        <w:rPr>
          <w:rFonts w:ascii="Cambria" w:hAnsi="Cambria" w:cs="TTE148F848t00"/>
          <w:sz w:val="24"/>
          <w:szCs w:val="24"/>
        </w:rPr>
      </w:pPr>
      <w:r w:rsidRPr="00204E5C">
        <w:rPr>
          <w:rFonts w:ascii="Cambria" w:hAnsi="Cambria" w:cs="TTE148F848t00"/>
          <w:sz w:val="24"/>
          <w:szCs w:val="24"/>
        </w:rPr>
        <w:t>65% reduction in greenhouse gases (from 17 to 5.9 million tons CO2 equivalent)</w:t>
      </w:r>
    </w:p>
    <w:p w:rsidR="00204E5C" w:rsidRPr="00204E5C" w:rsidRDefault="00204E5C" w:rsidP="00204E5C">
      <w:pPr>
        <w:numPr>
          <w:ilvl w:val="0"/>
          <w:numId w:val="38"/>
        </w:numPr>
        <w:autoSpaceDE w:val="0"/>
        <w:autoSpaceDN w:val="0"/>
        <w:adjustRightInd w:val="0"/>
        <w:spacing w:after="0" w:line="240" w:lineRule="auto"/>
        <w:ind w:left="1080"/>
        <w:contextualSpacing/>
        <w:rPr>
          <w:rFonts w:ascii="Cambria" w:hAnsi="Cambria" w:cs="TTE148F848t00"/>
          <w:sz w:val="24"/>
          <w:szCs w:val="24"/>
        </w:rPr>
      </w:pPr>
      <w:r w:rsidRPr="00204E5C">
        <w:rPr>
          <w:rFonts w:ascii="Cambria" w:hAnsi="Cambria" w:cs="TTE148F848t00"/>
          <w:sz w:val="24"/>
          <w:szCs w:val="24"/>
        </w:rPr>
        <w:t>$246 million savings in wildfire damage</w:t>
      </w:r>
    </w:p>
    <w:p w:rsidR="00204E5C" w:rsidRPr="00204E5C" w:rsidRDefault="00204E5C" w:rsidP="00204E5C">
      <w:pPr>
        <w:numPr>
          <w:ilvl w:val="0"/>
          <w:numId w:val="38"/>
        </w:numPr>
        <w:autoSpaceDE w:val="0"/>
        <w:autoSpaceDN w:val="0"/>
        <w:adjustRightInd w:val="0"/>
        <w:spacing w:after="0" w:line="240" w:lineRule="auto"/>
        <w:ind w:left="1080"/>
        <w:contextualSpacing/>
        <w:rPr>
          <w:rFonts w:ascii="Cambria" w:hAnsi="Cambria" w:cs="TTE148F848t00"/>
          <w:sz w:val="24"/>
          <w:szCs w:val="24"/>
        </w:rPr>
      </w:pPr>
      <w:r w:rsidRPr="00204E5C">
        <w:rPr>
          <w:rFonts w:ascii="Cambria" w:hAnsi="Cambria" w:cs="TTE148F848t00"/>
          <w:sz w:val="24"/>
          <w:szCs w:val="24"/>
        </w:rPr>
        <w:t>$4.6 million reduction in firefighting costs</w:t>
      </w:r>
    </w:p>
    <w:p w:rsidR="00204E5C" w:rsidRPr="00204E5C" w:rsidRDefault="00204E5C" w:rsidP="00204E5C">
      <w:pPr>
        <w:numPr>
          <w:ilvl w:val="0"/>
          <w:numId w:val="38"/>
        </w:numPr>
        <w:autoSpaceDE w:val="0"/>
        <w:autoSpaceDN w:val="0"/>
        <w:adjustRightInd w:val="0"/>
        <w:spacing w:after="0" w:line="240" w:lineRule="auto"/>
        <w:ind w:left="1080"/>
        <w:contextualSpacing/>
        <w:rPr>
          <w:rFonts w:ascii="Cambria" w:hAnsi="Cambria" w:cs="TTE148F848t00"/>
          <w:sz w:val="24"/>
          <w:szCs w:val="24"/>
        </w:rPr>
      </w:pPr>
      <w:r w:rsidRPr="00204E5C">
        <w:rPr>
          <w:rFonts w:ascii="Cambria" w:hAnsi="Cambria" w:cs="TTE148F848t00"/>
          <w:sz w:val="24"/>
          <w:szCs w:val="24"/>
        </w:rPr>
        <w:t>Significant differences in watershed impacts</w:t>
      </w:r>
    </w:p>
    <w:p w:rsidR="00204E5C" w:rsidRPr="00204E5C" w:rsidRDefault="00204E5C" w:rsidP="00204E5C">
      <w:pPr>
        <w:numPr>
          <w:ilvl w:val="0"/>
          <w:numId w:val="38"/>
        </w:numPr>
        <w:autoSpaceDE w:val="0"/>
        <w:autoSpaceDN w:val="0"/>
        <w:adjustRightInd w:val="0"/>
        <w:spacing w:after="0" w:line="240" w:lineRule="auto"/>
        <w:ind w:left="1080"/>
        <w:contextualSpacing/>
        <w:rPr>
          <w:rFonts w:ascii="Cambria" w:hAnsi="Cambria" w:cs="TTE148F848t00"/>
          <w:sz w:val="24"/>
          <w:szCs w:val="24"/>
        </w:rPr>
      </w:pPr>
      <w:r w:rsidRPr="00204E5C">
        <w:rPr>
          <w:rFonts w:ascii="Cambria" w:hAnsi="Cambria" w:cs="TTE148F848t00"/>
          <w:sz w:val="24"/>
          <w:szCs w:val="24"/>
        </w:rPr>
        <w:t>No significant change in habitat quality</w:t>
      </w:r>
    </w:p>
    <w:p w:rsidR="00204E5C" w:rsidRPr="00204E5C" w:rsidRDefault="00204E5C" w:rsidP="00204E5C">
      <w:pPr>
        <w:spacing w:after="0" w:line="240" w:lineRule="auto"/>
        <w:ind w:left="1080"/>
        <w:rPr>
          <w:rFonts w:ascii="Cambria" w:hAnsi="Cambria"/>
          <w:sz w:val="24"/>
          <w:szCs w:val="24"/>
        </w:rPr>
      </w:pPr>
      <w:r w:rsidRPr="00204E5C">
        <w:rPr>
          <w:rFonts w:ascii="Cambria" w:hAnsi="Cambria"/>
          <w:sz w:val="24"/>
          <w:szCs w:val="24"/>
        </w:rPr>
        <w:t>(</w:t>
      </w:r>
      <w:hyperlink r:id="rId10" w:history="1">
        <w:r w:rsidRPr="00204E5C">
          <w:rPr>
            <w:rFonts w:ascii="Cambria" w:hAnsi="Cambria"/>
            <w:color w:val="0563C1" w:themeColor="hyperlink"/>
            <w:sz w:val="24"/>
            <w:szCs w:val="24"/>
            <w:u w:val="single"/>
          </w:rPr>
          <w:t>http://www.energy.ca.gov/2009_energypolicy/documents/2009-04-21_workshop/presentations/11_B2E_for_CEC_Biofuels_Conf.pdf</w:t>
        </w:r>
      </w:hyperlink>
      <w:r w:rsidRPr="00204E5C">
        <w:rPr>
          <w:rFonts w:ascii="Cambria" w:hAnsi="Cambria"/>
          <w:sz w:val="24"/>
          <w:szCs w:val="24"/>
        </w:rPr>
        <w:t>)</w:t>
      </w:r>
    </w:p>
    <w:p w:rsidR="00204E5C" w:rsidRPr="00204E5C" w:rsidRDefault="00204E5C" w:rsidP="00204E5C">
      <w:pPr>
        <w:spacing w:after="0" w:line="240" w:lineRule="auto"/>
        <w:ind w:left="720"/>
        <w:rPr>
          <w:rFonts w:ascii="Cambria" w:hAnsi="Cambria"/>
          <w:sz w:val="24"/>
          <w:szCs w:val="24"/>
        </w:rPr>
      </w:pPr>
    </w:p>
    <w:p w:rsidR="00204E5C" w:rsidRPr="00204E5C" w:rsidRDefault="00204E5C" w:rsidP="00204E5C">
      <w:pPr>
        <w:spacing w:after="0" w:line="240" w:lineRule="auto"/>
        <w:ind w:left="720"/>
        <w:rPr>
          <w:rFonts w:ascii="Cambria" w:hAnsi="Cambria"/>
          <w:sz w:val="24"/>
          <w:szCs w:val="24"/>
        </w:rPr>
      </w:pPr>
      <w:r w:rsidRPr="00204E5C">
        <w:rPr>
          <w:rFonts w:ascii="Cambria" w:hAnsi="Cambria"/>
          <w:sz w:val="24"/>
          <w:szCs w:val="24"/>
        </w:rPr>
        <w:t>California’s National Forests are burning on average at the rate of over 304,000 acres/year since 2001 (Attachment #3).  Further, and just as important, the percentage of acres burned that are high burn severity (greater than 90% of the vegetation killed) has increased from 21% in 1986 to 31% in 2010 to 38% on the Rim Fire in 2013 to 47% on the King Fire in 2014.  Millions of tons of CO2 equivalent, Methane, and Particulate Matter are the result.  In fact, ARB has recognized in its Climate Action Plan Update (fall, 2014) that 52% of all Particulate Matter generated statewide annually comes from wildfires.</w:t>
      </w:r>
    </w:p>
    <w:p w:rsidR="00204E5C" w:rsidRPr="00204E5C" w:rsidRDefault="00204E5C" w:rsidP="00204E5C">
      <w:pPr>
        <w:spacing w:after="0" w:line="240" w:lineRule="auto"/>
        <w:ind w:left="720"/>
        <w:rPr>
          <w:rFonts w:ascii="Cambria" w:hAnsi="Cambria"/>
          <w:sz w:val="24"/>
          <w:szCs w:val="24"/>
        </w:rPr>
      </w:pPr>
    </w:p>
    <w:p w:rsidR="00204E5C" w:rsidRPr="00204E5C" w:rsidRDefault="00204E5C" w:rsidP="00204E5C">
      <w:pPr>
        <w:spacing w:after="0" w:line="240" w:lineRule="auto"/>
        <w:ind w:left="720"/>
        <w:rPr>
          <w:rFonts w:ascii="Cambria" w:hAnsi="Cambria"/>
          <w:sz w:val="24"/>
          <w:szCs w:val="24"/>
        </w:rPr>
      </w:pPr>
      <w:r w:rsidRPr="00204E5C">
        <w:rPr>
          <w:rFonts w:ascii="Cambria" w:hAnsi="Cambria"/>
          <w:sz w:val="24"/>
          <w:szCs w:val="24"/>
        </w:rPr>
        <w:t>On average approximately 20 million tons of Carbon Dioxide equivalent is being released into the atmosphere from California wildfires annually.</w:t>
      </w:r>
    </w:p>
    <w:p w:rsidR="00204E5C" w:rsidRPr="00204E5C" w:rsidRDefault="00204E5C" w:rsidP="00204E5C">
      <w:pPr>
        <w:spacing w:after="0" w:line="240" w:lineRule="auto"/>
        <w:ind w:left="360"/>
        <w:rPr>
          <w:rFonts w:ascii="Cambria" w:hAnsi="Cambria"/>
          <w:sz w:val="24"/>
          <w:szCs w:val="24"/>
        </w:rPr>
      </w:pPr>
    </w:p>
    <w:p w:rsidR="00204E5C" w:rsidRPr="00204E5C" w:rsidRDefault="00204E5C" w:rsidP="00204E5C">
      <w:pPr>
        <w:numPr>
          <w:ilvl w:val="0"/>
          <w:numId w:val="39"/>
        </w:numPr>
        <w:spacing w:after="0" w:line="240" w:lineRule="auto"/>
        <w:rPr>
          <w:rFonts w:ascii="Cambria" w:hAnsi="Cambria"/>
          <w:b/>
          <w:sz w:val="24"/>
          <w:szCs w:val="24"/>
        </w:rPr>
      </w:pPr>
      <w:r w:rsidRPr="00204E5C">
        <w:rPr>
          <w:rFonts w:ascii="Cambria" w:hAnsi="Cambria"/>
          <w:b/>
          <w:sz w:val="24"/>
          <w:szCs w:val="24"/>
        </w:rPr>
        <w:t>Consuming Forest Wood Waste in a Biomass Powerplant Boiler Rather Than Open Field Pile Burning or Open Field Decomposition</w:t>
      </w:r>
    </w:p>
    <w:p w:rsidR="00204E5C" w:rsidRPr="00204E5C" w:rsidRDefault="00204E5C" w:rsidP="00204E5C">
      <w:pPr>
        <w:spacing w:after="0" w:line="240" w:lineRule="auto"/>
        <w:ind w:left="720" w:hanging="360"/>
        <w:rPr>
          <w:rFonts w:ascii="Cambria" w:hAnsi="Cambria"/>
          <w:sz w:val="24"/>
          <w:szCs w:val="24"/>
        </w:rPr>
      </w:pPr>
    </w:p>
    <w:p w:rsidR="00204E5C" w:rsidRPr="00204E5C" w:rsidRDefault="00204E5C" w:rsidP="00204E5C">
      <w:pPr>
        <w:autoSpaceDE w:val="0"/>
        <w:autoSpaceDN w:val="0"/>
        <w:adjustRightInd w:val="0"/>
        <w:spacing w:after="0" w:line="240" w:lineRule="auto"/>
        <w:ind w:left="720"/>
        <w:rPr>
          <w:rFonts w:ascii="Cambria" w:hAnsi="Cambria"/>
          <w:sz w:val="24"/>
          <w:szCs w:val="24"/>
        </w:rPr>
      </w:pPr>
      <w:r w:rsidRPr="00204E5C">
        <w:rPr>
          <w:rFonts w:ascii="Cambria" w:hAnsi="Cambria"/>
          <w:sz w:val="24"/>
          <w:szCs w:val="24"/>
        </w:rPr>
        <w:t>The research has been in since 1979 (Attachment 4) that burning wood waste in a biomass boiler reduces criteria pollutants by 98% compared to open field pile burning.  These results have been verified in 2010 and 2015 publications by Bruce Springsteen Placer County Air Pollution Control District. (Sept. 2015, Springsteen etal. “</w:t>
      </w:r>
      <w:r w:rsidRPr="00204E5C">
        <w:rPr>
          <w:rFonts w:ascii="Cambria" w:hAnsi="Cambria" w:cs="MyriadPro-SemiboldCond"/>
          <w:sz w:val="24"/>
          <w:szCs w:val="24"/>
        </w:rPr>
        <w:t xml:space="preserve">Forest biomass diversion in the Sierra Nevada: Energy, economics and emissions;” </w:t>
      </w:r>
      <w:r w:rsidRPr="00204E5C">
        <w:rPr>
          <w:rFonts w:ascii="Cambria" w:hAnsi="Cambria"/>
          <w:sz w:val="24"/>
          <w:szCs w:val="24"/>
        </w:rPr>
        <w:t>October 10, 2011. Springsteen etal.</w:t>
      </w:r>
      <w:r w:rsidRPr="00204E5C">
        <w:rPr>
          <w:rFonts w:ascii="Cambria" w:hAnsi="Cambria"/>
          <w:b/>
          <w:sz w:val="24"/>
          <w:szCs w:val="24"/>
        </w:rPr>
        <w:t xml:space="preserve"> “</w:t>
      </w:r>
      <w:r w:rsidRPr="00204E5C">
        <w:rPr>
          <w:rFonts w:ascii="Cambria" w:hAnsi="Cambria" w:cs="Trebuchet MS"/>
          <w:bCs/>
          <w:sz w:val="24"/>
          <w:szCs w:val="24"/>
        </w:rPr>
        <w:t>Emission Reductions from Woody Biomass Waste for Energy as an Alternative to Open Burning”.</w:t>
      </w:r>
      <w:r w:rsidRPr="00204E5C">
        <w:rPr>
          <w:rFonts w:ascii="Cambria" w:hAnsi="Cambria"/>
          <w:sz w:val="24"/>
          <w:szCs w:val="24"/>
        </w:rPr>
        <w:t xml:space="preserve"> )</w:t>
      </w:r>
    </w:p>
    <w:p w:rsidR="00204E5C" w:rsidRPr="00204E5C" w:rsidRDefault="00204E5C" w:rsidP="00204E5C">
      <w:pPr>
        <w:autoSpaceDE w:val="0"/>
        <w:autoSpaceDN w:val="0"/>
        <w:adjustRightInd w:val="0"/>
        <w:spacing w:after="0" w:line="240" w:lineRule="auto"/>
        <w:ind w:left="720"/>
        <w:rPr>
          <w:rFonts w:ascii="Cambria" w:hAnsi="Cambria"/>
          <w:sz w:val="24"/>
          <w:szCs w:val="24"/>
        </w:rPr>
      </w:pPr>
    </w:p>
    <w:p w:rsidR="00204E5C" w:rsidRPr="00204E5C" w:rsidRDefault="00204E5C" w:rsidP="00204E5C">
      <w:pPr>
        <w:autoSpaceDE w:val="0"/>
        <w:autoSpaceDN w:val="0"/>
        <w:adjustRightInd w:val="0"/>
        <w:spacing w:after="0" w:line="240" w:lineRule="auto"/>
        <w:ind w:left="720"/>
        <w:rPr>
          <w:rFonts w:ascii="Cambria" w:hAnsi="Cambria"/>
          <w:sz w:val="24"/>
          <w:szCs w:val="24"/>
        </w:rPr>
      </w:pPr>
      <w:r w:rsidRPr="00204E5C">
        <w:rPr>
          <w:rFonts w:ascii="Cambria" w:hAnsi="Cambria"/>
          <w:sz w:val="24"/>
          <w:szCs w:val="24"/>
        </w:rPr>
        <w:t>The Biomass Powerplant Industry in California was born in the early 1980’s under then Governor Jerry Brown.  The State set a 12 cent/kW-hr price floor to incentivize development of the industry.  66 powerplants were built with an operating capacity of nearly 1000 megawatts (MW).  In the early 1990’s the price floor expired and the biomass power plant industry has had to compete for an energy price contract with other renewables.  As a result, the industry has been in a decline ever since.</w:t>
      </w:r>
    </w:p>
    <w:p w:rsidR="00204E5C" w:rsidRPr="00204E5C" w:rsidRDefault="00204E5C" w:rsidP="00204E5C">
      <w:pPr>
        <w:autoSpaceDE w:val="0"/>
        <w:autoSpaceDN w:val="0"/>
        <w:adjustRightInd w:val="0"/>
        <w:spacing w:after="0" w:line="240" w:lineRule="auto"/>
        <w:ind w:left="720"/>
        <w:rPr>
          <w:rFonts w:ascii="Cambria" w:hAnsi="Cambria"/>
          <w:sz w:val="24"/>
          <w:szCs w:val="24"/>
        </w:rPr>
      </w:pPr>
    </w:p>
    <w:p w:rsidR="00204E5C" w:rsidRPr="00204E5C" w:rsidRDefault="00204E5C" w:rsidP="00204E5C">
      <w:pPr>
        <w:autoSpaceDE w:val="0"/>
        <w:autoSpaceDN w:val="0"/>
        <w:adjustRightInd w:val="0"/>
        <w:spacing w:after="0" w:line="240" w:lineRule="auto"/>
        <w:ind w:left="720"/>
        <w:rPr>
          <w:rFonts w:ascii="Cambria" w:hAnsi="Cambria"/>
          <w:sz w:val="24"/>
          <w:szCs w:val="24"/>
        </w:rPr>
      </w:pPr>
      <w:r w:rsidRPr="00204E5C">
        <w:rPr>
          <w:rFonts w:ascii="Cambria" w:hAnsi="Cambria"/>
          <w:sz w:val="24"/>
          <w:szCs w:val="24"/>
        </w:rPr>
        <w:t>In 1999, Dr. Gregg Morris, in his publication “The Value of Biomass Power” displayed that burning wood waste in a biomass boiler rather than open field pile burning has an 11.4 cent/kW-hr environmental benefit.  This finding was verified by the Western Governors Association Biomass Taskforce Report in January 2006.</w:t>
      </w:r>
    </w:p>
    <w:p w:rsidR="00204E5C" w:rsidRPr="00204E5C" w:rsidRDefault="00204E5C" w:rsidP="00204E5C">
      <w:pPr>
        <w:autoSpaceDE w:val="0"/>
        <w:autoSpaceDN w:val="0"/>
        <w:adjustRightInd w:val="0"/>
        <w:spacing w:after="0" w:line="240" w:lineRule="auto"/>
        <w:ind w:left="720"/>
        <w:rPr>
          <w:rFonts w:ascii="Cambria" w:hAnsi="Cambria"/>
          <w:sz w:val="24"/>
          <w:szCs w:val="24"/>
        </w:rPr>
      </w:pPr>
    </w:p>
    <w:p w:rsidR="00204E5C" w:rsidRPr="00204E5C" w:rsidRDefault="00204E5C" w:rsidP="00204E5C">
      <w:pPr>
        <w:autoSpaceDE w:val="0"/>
        <w:autoSpaceDN w:val="0"/>
        <w:adjustRightInd w:val="0"/>
        <w:spacing w:after="0" w:line="240" w:lineRule="auto"/>
        <w:ind w:left="720"/>
        <w:rPr>
          <w:rFonts w:ascii="Cambria" w:hAnsi="Cambria"/>
          <w:sz w:val="24"/>
          <w:szCs w:val="24"/>
        </w:rPr>
      </w:pPr>
      <w:r w:rsidRPr="00204E5C">
        <w:rPr>
          <w:rFonts w:ascii="Cambria" w:hAnsi="Cambria"/>
          <w:sz w:val="24"/>
          <w:szCs w:val="24"/>
        </w:rPr>
        <w:t>The decline in the industry has continued to where there are now 24 operating biomass powerplants remaining producing 616 MW.  The Governor’s Aug. 22, 2012 bioenergy action plan calls for a doubling of the biomass powerplant industry to about 1,200 MW.  The Governor’s Office just took action in the Proclamation of A State of Emergency for Insect, Disease, and Drought October 30, 2015 where the serious tree mortality situation addresses the biomass powerplant industry in the Proclamation Orders #8-13.</w:t>
      </w:r>
    </w:p>
    <w:p w:rsidR="00204E5C" w:rsidRPr="00204E5C" w:rsidRDefault="00204E5C" w:rsidP="00204E5C">
      <w:pPr>
        <w:autoSpaceDE w:val="0"/>
        <w:autoSpaceDN w:val="0"/>
        <w:adjustRightInd w:val="0"/>
        <w:spacing w:after="0" w:line="240" w:lineRule="auto"/>
        <w:ind w:left="720"/>
        <w:rPr>
          <w:rFonts w:ascii="Cambria" w:hAnsi="Cambria"/>
          <w:sz w:val="24"/>
          <w:szCs w:val="24"/>
        </w:rPr>
      </w:pPr>
    </w:p>
    <w:p w:rsidR="00204E5C" w:rsidRPr="00204E5C" w:rsidRDefault="00204E5C" w:rsidP="00204E5C">
      <w:pPr>
        <w:ind w:left="720"/>
        <w:rPr>
          <w:rFonts w:ascii="Cambria" w:hAnsi="Cambria"/>
          <w:b/>
          <w:sz w:val="24"/>
          <w:szCs w:val="24"/>
        </w:rPr>
      </w:pPr>
      <w:r w:rsidRPr="00204E5C">
        <w:rPr>
          <w:rFonts w:ascii="Cambria" w:hAnsi="Cambria"/>
          <w:sz w:val="24"/>
          <w:szCs w:val="24"/>
        </w:rPr>
        <w:t>Attached to these comments is a separate paper entitled “Forest Wood Residues and the California Biomass Powerplant Industry (VERSION 7)” by Steve Brink, October 4, 2015 (Attachment #5).</w:t>
      </w:r>
    </w:p>
    <w:p w:rsidR="00204E5C" w:rsidRPr="00204E5C" w:rsidRDefault="00204E5C" w:rsidP="00204E5C">
      <w:pPr>
        <w:autoSpaceDE w:val="0"/>
        <w:autoSpaceDN w:val="0"/>
        <w:adjustRightInd w:val="0"/>
        <w:spacing w:after="0" w:line="240" w:lineRule="auto"/>
        <w:ind w:left="720"/>
        <w:rPr>
          <w:rFonts w:ascii="Cambria" w:hAnsi="Cambria" w:cs="Arial"/>
          <w:bCs/>
          <w:color w:val="000000"/>
          <w:sz w:val="24"/>
          <w:szCs w:val="24"/>
        </w:rPr>
      </w:pPr>
      <w:r w:rsidRPr="00204E5C">
        <w:rPr>
          <w:rFonts w:ascii="Cambria" w:hAnsi="Cambria" w:cs="Arial"/>
          <w:color w:val="000000"/>
          <w:sz w:val="24"/>
          <w:szCs w:val="24"/>
        </w:rPr>
        <w:t xml:space="preserve">The paper outlines in detail the emission reduction advantages and other environmental benefits of reducing tree density on the national forests and incentivizing the biomass powerplant industry again.  One example of co-benefits of aggressively thinning California’s National Forests, and thereby reducing the tree density dramatically to return the forests to a resilient condition, is a likely increase of up to 16% in water yield (over 2 million acre-feet annually) (November 2011, Dr. Roger Bales etal. </w:t>
      </w:r>
      <w:r w:rsidRPr="00204E5C">
        <w:rPr>
          <w:rFonts w:ascii="Arial" w:hAnsi="Arial" w:cs="Arial"/>
          <w:color w:val="000000"/>
          <w:sz w:val="24"/>
          <w:szCs w:val="24"/>
        </w:rPr>
        <w:t xml:space="preserve"> “</w:t>
      </w:r>
      <w:r w:rsidRPr="00204E5C">
        <w:rPr>
          <w:rFonts w:ascii="Cambria" w:hAnsi="Cambria" w:cs="Arial"/>
          <w:bCs/>
          <w:color w:val="000000"/>
          <w:sz w:val="24"/>
          <w:szCs w:val="24"/>
        </w:rPr>
        <w:t>Forests and Water in the Sierra Nevada: Sierra Nevada Watershed Ecosystem Enhancement Project”.</w:t>
      </w:r>
    </w:p>
    <w:p w:rsidR="00204E5C" w:rsidRPr="00204E5C" w:rsidRDefault="00204E5C" w:rsidP="00204E5C">
      <w:pPr>
        <w:autoSpaceDE w:val="0"/>
        <w:autoSpaceDN w:val="0"/>
        <w:adjustRightInd w:val="0"/>
        <w:spacing w:after="0" w:line="240" w:lineRule="auto"/>
        <w:ind w:left="720"/>
        <w:rPr>
          <w:rFonts w:ascii="Cambria" w:hAnsi="Cambria" w:cs="Arial"/>
          <w:bCs/>
          <w:color w:val="000000"/>
          <w:sz w:val="24"/>
          <w:szCs w:val="24"/>
        </w:rPr>
      </w:pPr>
    </w:p>
    <w:p w:rsidR="00204E5C" w:rsidRPr="00204E5C" w:rsidRDefault="00204E5C" w:rsidP="00204E5C">
      <w:pPr>
        <w:numPr>
          <w:ilvl w:val="0"/>
          <w:numId w:val="39"/>
        </w:numPr>
        <w:autoSpaceDE w:val="0"/>
        <w:autoSpaceDN w:val="0"/>
        <w:adjustRightInd w:val="0"/>
        <w:spacing w:after="0" w:line="240" w:lineRule="auto"/>
        <w:rPr>
          <w:rFonts w:ascii="Arial" w:hAnsi="Arial" w:cs="Arial"/>
          <w:b/>
          <w:color w:val="000000"/>
          <w:sz w:val="24"/>
          <w:szCs w:val="24"/>
        </w:rPr>
      </w:pPr>
      <w:r w:rsidRPr="00204E5C">
        <w:rPr>
          <w:rFonts w:ascii="Arial" w:hAnsi="Arial" w:cs="Arial"/>
          <w:b/>
          <w:color w:val="000000"/>
          <w:sz w:val="24"/>
          <w:szCs w:val="24"/>
        </w:rPr>
        <w:t>Governor’s Proclamation of a State of Emergency</w:t>
      </w:r>
    </w:p>
    <w:p w:rsidR="00204E5C" w:rsidRPr="00204E5C" w:rsidRDefault="00204E5C" w:rsidP="00204E5C">
      <w:pPr>
        <w:autoSpaceDE w:val="0"/>
        <w:autoSpaceDN w:val="0"/>
        <w:adjustRightInd w:val="0"/>
        <w:spacing w:after="0" w:line="240" w:lineRule="auto"/>
        <w:ind w:left="720"/>
        <w:rPr>
          <w:rFonts w:ascii="Cambria" w:hAnsi="Cambria" w:cs="Arial"/>
          <w:b/>
          <w:color w:val="000000"/>
          <w:sz w:val="24"/>
          <w:szCs w:val="24"/>
        </w:rPr>
      </w:pPr>
    </w:p>
    <w:p w:rsidR="00204E5C" w:rsidRPr="00204E5C" w:rsidRDefault="00204E5C" w:rsidP="00204E5C">
      <w:pPr>
        <w:autoSpaceDE w:val="0"/>
        <w:autoSpaceDN w:val="0"/>
        <w:adjustRightInd w:val="0"/>
        <w:spacing w:after="0" w:line="240" w:lineRule="auto"/>
        <w:ind w:left="720"/>
        <w:rPr>
          <w:rFonts w:ascii="Cambria" w:hAnsi="Cambria" w:cs="Arial"/>
          <w:color w:val="000000"/>
          <w:sz w:val="24"/>
          <w:szCs w:val="24"/>
        </w:rPr>
      </w:pPr>
      <w:r w:rsidRPr="00204E5C">
        <w:rPr>
          <w:rFonts w:ascii="Cambria" w:hAnsi="Cambria" w:cs="Arial"/>
          <w:color w:val="000000"/>
          <w:sz w:val="24"/>
          <w:szCs w:val="24"/>
        </w:rPr>
        <w:t xml:space="preserve">“Over 22 million trees are dead and . . . tens of millions more likely to die”.  These trees will simply decompose releasing carbon dioxide and methane into the </w:t>
      </w:r>
      <w:r w:rsidRPr="00204E5C">
        <w:rPr>
          <w:rFonts w:ascii="Cambria" w:hAnsi="Cambria" w:cs="Arial"/>
          <w:color w:val="000000"/>
          <w:sz w:val="24"/>
          <w:szCs w:val="24"/>
        </w:rPr>
        <w:lastRenderedPageBreak/>
        <w:t>atmosphere unless they are removed and the saw timber that can be utilized from these dead trees for lumber can have the carbon stored in long lived wood products and the biomass used for heat and power at a biomass powerplant.</w:t>
      </w:r>
    </w:p>
    <w:p w:rsidR="00204E5C" w:rsidRPr="00204E5C" w:rsidRDefault="00204E5C" w:rsidP="00204E5C">
      <w:pPr>
        <w:autoSpaceDE w:val="0"/>
        <w:autoSpaceDN w:val="0"/>
        <w:adjustRightInd w:val="0"/>
        <w:spacing w:after="0" w:line="240" w:lineRule="auto"/>
        <w:ind w:left="720"/>
        <w:rPr>
          <w:rFonts w:ascii="Cambria" w:hAnsi="Cambria" w:cs="Arial"/>
          <w:color w:val="000000"/>
          <w:sz w:val="24"/>
          <w:szCs w:val="24"/>
        </w:rPr>
      </w:pPr>
    </w:p>
    <w:p w:rsidR="00204E5C" w:rsidRPr="00204E5C" w:rsidRDefault="00204E5C" w:rsidP="00204E5C">
      <w:pPr>
        <w:autoSpaceDE w:val="0"/>
        <w:autoSpaceDN w:val="0"/>
        <w:adjustRightInd w:val="0"/>
        <w:spacing w:after="0" w:line="240" w:lineRule="auto"/>
        <w:ind w:left="720"/>
        <w:rPr>
          <w:rFonts w:ascii="Cambria" w:hAnsi="Cambria" w:cs="Arial"/>
          <w:color w:val="000000"/>
          <w:sz w:val="24"/>
          <w:szCs w:val="24"/>
        </w:rPr>
      </w:pPr>
      <w:r w:rsidRPr="00204E5C">
        <w:rPr>
          <w:rFonts w:ascii="Cambria" w:hAnsi="Cambria" w:cs="Arial"/>
          <w:color w:val="000000"/>
          <w:sz w:val="24"/>
          <w:szCs w:val="24"/>
        </w:rPr>
        <w:t>Helping small landowners remove the dead trees from their property and reestablishing vegetation by planting seedlings is needed.</w:t>
      </w:r>
    </w:p>
    <w:p w:rsidR="00204E5C" w:rsidRPr="00204E5C" w:rsidRDefault="00204E5C" w:rsidP="00204E5C">
      <w:pPr>
        <w:autoSpaceDE w:val="0"/>
        <w:autoSpaceDN w:val="0"/>
        <w:adjustRightInd w:val="0"/>
        <w:spacing w:after="0" w:line="240" w:lineRule="auto"/>
        <w:ind w:left="720"/>
        <w:rPr>
          <w:rFonts w:ascii="Cambria" w:hAnsi="Cambria" w:cs="Arial"/>
          <w:color w:val="000000"/>
          <w:sz w:val="24"/>
          <w:szCs w:val="24"/>
        </w:rPr>
      </w:pPr>
    </w:p>
    <w:p w:rsidR="00204E5C" w:rsidRPr="00204E5C" w:rsidRDefault="00204E5C" w:rsidP="00204E5C">
      <w:pPr>
        <w:autoSpaceDE w:val="0"/>
        <w:autoSpaceDN w:val="0"/>
        <w:adjustRightInd w:val="0"/>
        <w:spacing w:after="0" w:line="240" w:lineRule="auto"/>
        <w:ind w:left="720"/>
        <w:rPr>
          <w:rFonts w:ascii="Cambria" w:hAnsi="Cambria" w:cs="Arial"/>
          <w:color w:val="000000"/>
          <w:sz w:val="24"/>
          <w:szCs w:val="24"/>
        </w:rPr>
      </w:pPr>
      <w:r w:rsidRPr="00204E5C">
        <w:rPr>
          <w:rFonts w:ascii="Cambria" w:hAnsi="Cambria" w:cs="Arial"/>
          <w:color w:val="000000"/>
          <w:sz w:val="24"/>
          <w:szCs w:val="24"/>
        </w:rPr>
        <w:t>The Cap and Trade Investment Plan should include minimizing CO2 equivalent emissions from the drought-induced insect and disease tree mortality statewide.</w:t>
      </w:r>
    </w:p>
    <w:p w:rsidR="00204E5C" w:rsidRPr="00204E5C" w:rsidRDefault="00204E5C" w:rsidP="00204E5C">
      <w:pPr>
        <w:autoSpaceDE w:val="0"/>
        <w:autoSpaceDN w:val="0"/>
        <w:adjustRightInd w:val="0"/>
        <w:spacing w:after="0" w:line="240" w:lineRule="auto"/>
        <w:ind w:left="720"/>
        <w:rPr>
          <w:rFonts w:ascii="Cambria" w:hAnsi="Cambria" w:cs="Arial"/>
          <w:color w:val="000000"/>
          <w:sz w:val="24"/>
          <w:szCs w:val="24"/>
        </w:rPr>
      </w:pPr>
    </w:p>
    <w:p w:rsidR="00204E5C" w:rsidRPr="00204E5C" w:rsidRDefault="00204E5C" w:rsidP="00204E5C">
      <w:pPr>
        <w:numPr>
          <w:ilvl w:val="0"/>
          <w:numId w:val="39"/>
        </w:numPr>
        <w:autoSpaceDE w:val="0"/>
        <w:autoSpaceDN w:val="0"/>
        <w:adjustRightInd w:val="0"/>
        <w:spacing w:after="0" w:line="240" w:lineRule="auto"/>
        <w:rPr>
          <w:rFonts w:ascii="Cambria" w:hAnsi="Cambria" w:cs="Arial"/>
          <w:color w:val="000000"/>
          <w:sz w:val="24"/>
          <w:szCs w:val="24"/>
        </w:rPr>
      </w:pPr>
      <w:r w:rsidRPr="00204E5C">
        <w:rPr>
          <w:rFonts w:ascii="Cambria" w:hAnsi="Cambria" w:cs="Arial"/>
          <w:color w:val="000000"/>
          <w:sz w:val="24"/>
          <w:szCs w:val="24"/>
        </w:rPr>
        <w:t>The September 2016 update to the Statewide Implementation Plan will have to address the reduction in the EPA-established Ozone Standard at 70 parts per billion versus the current 75 parts per billion.  This could trigger re-opening on-road and off-road diesel engine rules in California.  In-State on-road diesel trucks and off-road diesel equipment are not going to be able to respond financially to more rigorous replacement schedules.</w:t>
      </w:r>
    </w:p>
    <w:p w:rsidR="00204E5C" w:rsidRPr="00204E5C" w:rsidRDefault="00204E5C" w:rsidP="00204E5C">
      <w:pPr>
        <w:autoSpaceDE w:val="0"/>
        <w:autoSpaceDN w:val="0"/>
        <w:adjustRightInd w:val="0"/>
        <w:spacing w:after="0" w:line="240" w:lineRule="auto"/>
        <w:ind w:left="720"/>
        <w:rPr>
          <w:rFonts w:ascii="Cambria" w:hAnsi="Cambria" w:cs="Arial"/>
          <w:color w:val="000000"/>
          <w:sz w:val="24"/>
          <w:szCs w:val="24"/>
        </w:rPr>
      </w:pPr>
    </w:p>
    <w:p w:rsidR="00204E5C" w:rsidRPr="00204E5C" w:rsidRDefault="00204E5C" w:rsidP="00204E5C">
      <w:pPr>
        <w:autoSpaceDE w:val="0"/>
        <w:autoSpaceDN w:val="0"/>
        <w:adjustRightInd w:val="0"/>
        <w:spacing w:after="0" w:line="240" w:lineRule="auto"/>
        <w:ind w:left="720"/>
        <w:rPr>
          <w:rFonts w:ascii="Cambria" w:hAnsi="Cambria" w:cs="Arial"/>
          <w:color w:val="000000"/>
          <w:sz w:val="24"/>
          <w:szCs w:val="24"/>
        </w:rPr>
      </w:pPr>
      <w:r w:rsidRPr="00204E5C">
        <w:rPr>
          <w:rFonts w:ascii="Cambria" w:hAnsi="Cambria" w:cs="Arial"/>
          <w:color w:val="000000"/>
          <w:sz w:val="24"/>
          <w:szCs w:val="24"/>
        </w:rPr>
        <w:t xml:space="preserve">The cap-and-trade investment plan should include voucher programs for both on-road diesel trucks and off-road diesel equipment replacements.  CFA suggests a 70% of a new truck or piece of equipment price be in the form of a voucher similar to the existing Carl Moyer </w:t>
      </w:r>
      <w:r w:rsidRPr="00204E5C">
        <w:rPr>
          <w:rFonts w:ascii="Cambria" w:hAnsi="Cambria" w:cs="Arial"/>
          <w:color w:val="000000"/>
          <w:sz w:val="24"/>
          <w:szCs w:val="24"/>
          <w:lang w:val="en"/>
        </w:rPr>
        <w:t>Truck Improvement/Modernization Benefitting Emission Reductions (</w:t>
      </w:r>
      <w:r w:rsidRPr="00204E5C">
        <w:rPr>
          <w:rFonts w:ascii="Cambria" w:hAnsi="Cambria" w:cs="Arial"/>
          <w:bCs/>
          <w:color w:val="000000"/>
          <w:sz w:val="24"/>
          <w:szCs w:val="24"/>
          <w:lang w:val="en"/>
        </w:rPr>
        <w:t>TIMBER</w:t>
      </w:r>
      <w:r w:rsidRPr="00204E5C">
        <w:rPr>
          <w:rFonts w:ascii="Cambria" w:hAnsi="Cambria" w:cs="Arial"/>
          <w:b/>
          <w:color w:val="000000"/>
          <w:sz w:val="24"/>
          <w:szCs w:val="24"/>
          <w:lang w:val="en"/>
        </w:rPr>
        <w:t xml:space="preserve">) </w:t>
      </w:r>
      <w:r w:rsidRPr="00204E5C">
        <w:rPr>
          <w:rFonts w:ascii="Cambria" w:hAnsi="Cambria" w:cs="Arial"/>
          <w:bCs/>
          <w:color w:val="000000"/>
          <w:sz w:val="24"/>
          <w:szCs w:val="24"/>
          <w:lang w:val="en"/>
        </w:rPr>
        <w:t>Program</w:t>
      </w:r>
      <w:r w:rsidRPr="00204E5C">
        <w:rPr>
          <w:rFonts w:ascii="Cambria" w:hAnsi="Cambria" w:cs="Arial"/>
          <w:color w:val="000000"/>
          <w:sz w:val="24"/>
          <w:szCs w:val="24"/>
        </w:rPr>
        <w:t xml:space="preserve"> to replace log trucks.  This would greatly expedite replacement of older equipment and thereby allow the State to move quickly toward modernization of trucks and equipment to respond to the new standard.</w:t>
      </w:r>
    </w:p>
    <w:p w:rsidR="00204E5C" w:rsidRPr="00204E5C" w:rsidRDefault="00204E5C" w:rsidP="00204E5C">
      <w:pPr>
        <w:autoSpaceDE w:val="0"/>
        <w:autoSpaceDN w:val="0"/>
        <w:adjustRightInd w:val="0"/>
        <w:spacing w:after="0" w:line="240" w:lineRule="auto"/>
        <w:ind w:left="720"/>
        <w:rPr>
          <w:rFonts w:ascii="Cambria" w:hAnsi="Cambria" w:cs="Arial"/>
          <w:color w:val="000000"/>
          <w:sz w:val="24"/>
          <w:szCs w:val="24"/>
        </w:rPr>
      </w:pPr>
    </w:p>
    <w:p w:rsidR="00204E5C" w:rsidRPr="00204E5C" w:rsidRDefault="00204E5C" w:rsidP="00204E5C">
      <w:pPr>
        <w:autoSpaceDE w:val="0"/>
        <w:autoSpaceDN w:val="0"/>
        <w:adjustRightInd w:val="0"/>
        <w:spacing w:after="0" w:line="240" w:lineRule="auto"/>
        <w:ind w:left="720"/>
        <w:rPr>
          <w:rFonts w:ascii="Cambria" w:hAnsi="Cambria" w:cs="Arial"/>
          <w:color w:val="000000"/>
          <w:sz w:val="24"/>
          <w:szCs w:val="24"/>
        </w:rPr>
      </w:pPr>
      <w:r w:rsidRPr="00204E5C">
        <w:rPr>
          <w:rFonts w:ascii="Cambria" w:hAnsi="Cambria" w:cs="Arial"/>
          <w:color w:val="000000"/>
          <w:sz w:val="24"/>
          <w:szCs w:val="24"/>
        </w:rPr>
        <w:t xml:space="preserve">CFA appreciates the opportunity to comment on the cap-and-trade second investment plan.  Questions can be directed to Steve Brink, </w:t>
      </w:r>
      <w:hyperlink r:id="rId11" w:history="1">
        <w:r w:rsidRPr="00204E5C">
          <w:rPr>
            <w:rFonts w:ascii="Cambria" w:hAnsi="Cambria" w:cs="Arial"/>
            <w:color w:val="0563C1" w:themeColor="hyperlink"/>
            <w:sz w:val="24"/>
            <w:szCs w:val="24"/>
            <w:u w:val="single"/>
          </w:rPr>
          <w:t>steveb@calforests.org</w:t>
        </w:r>
      </w:hyperlink>
      <w:r w:rsidRPr="00204E5C">
        <w:rPr>
          <w:rFonts w:ascii="Cambria" w:hAnsi="Cambria" w:cs="Arial"/>
          <w:color w:val="000000"/>
          <w:sz w:val="24"/>
          <w:szCs w:val="24"/>
        </w:rPr>
        <w:t>; 916-208-2425.</w:t>
      </w:r>
    </w:p>
    <w:p w:rsidR="00204E5C" w:rsidRPr="00204E5C" w:rsidRDefault="00204E5C" w:rsidP="00204E5C">
      <w:pPr>
        <w:autoSpaceDE w:val="0"/>
        <w:autoSpaceDN w:val="0"/>
        <w:adjustRightInd w:val="0"/>
        <w:spacing w:after="0" w:line="240" w:lineRule="auto"/>
        <w:ind w:left="720"/>
        <w:rPr>
          <w:rFonts w:ascii="Cambria" w:hAnsi="Cambria" w:cs="Arial"/>
          <w:color w:val="000000"/>
          <w:sz w:val="24"/>
          <w:szCs w:val="24"/>
        </w:rPr>
      </w:pPr>
    </w:p>
    <w:p w:rsidR="00204E5C" w:rsidRPr="00204E5C" w:rsidRDefault="00204E5C" w:rsidP="00204E5C">
      <w:pPr>
        <w:autoSpaceDE w:val="0"/>
        <w:autoSpaceDN w:val="0"/>
        <w:adjustRightInd w:val="0"/>
        <w:spacing w:after="0" w:line="240" w:lineRule="auto"/>
        <w:ind w:left="720"/>
        <w:rPr>
          <w:rFonts w:ascii="Cambria" w:hAnsi="Cambria" w:cs="Arial"/>
          <w:color w:val="000000"/>
          <w:sz w:val="24"/>
          <w:szCs w:val="24"/>
        </w:rPr>
      </w:pPr>
      <w:r w:rsidRPr="00204E5C">
        <w:rPr>
          <w:rFonts w:ascii="Cambria" w:hAnsi="Cambria" w:cs="Arial"/>
          <w:color w:val="000000"/>
          <w:sz w:val="24"/>
          <w:szCs w:val="24"/>
        </w:rPr>
        <w:t>Sincerely,</w:t>
      </w:r>
    </w:p>
    <w:p w:rsidR="00204E5C" w:rsidRPr="00204E5C" w:rsidRDefault="00204E5C" w:rsidP="00204E5C">
      <w:pPr>
        <w:autoSpaceDE w:val="0"/>
        <w:autoSpaceDN w:val="0"/>
        <w:adjustRightInd w:val="0"/>
        <w:spacing w:after="0" w:line="240" w:lineRule="auto"/>
        <w:ind w:left="720"/>
        <w:rPr>
          <w:rFonts w:ascii="Cambria" w:hAnsi="Cambria" w:cs="Arial"/>
          <w:color w:val="000000"/>
          <w:sz w:val="24"/>
          <w:szCs w:val="24"/>
        </w:rPr>
      </w:pPr>
    </w:p>
    <w:p w:rsidR="00204E5C" w:rsidRPr="00204E5C" w:rsidRDefault="00204E5C" w:rsidP="00204E5C">
      <w:pPr>
        <w:autoSpaceDE w:val="0"/>
        <w:autoSpaceDN w:val="0"/>
        <w:adjustRightInd w:val="0"/>
        <w:spacing w:after="0" w:line="240" w:lineRule="auto"/>
        <w:ind w:left="720"/>
        <w:rPr>
          <w:rFonts w:ascii="Cambria" w:hAnsi="Cambria" w:cs="Arial"/>
          <w:color w:val="000000"/>
          <w:sz w:val="24"/>
          <w:szCs w:val="24"/>
        </w:rPr>
      </w:pPr>
      <w:r w:rsidRPr="00204E5C">
        <w:rPr>
          <w:rFonts w:ascii="Arial" w:hAnsi="Arial" w:cs="Arial"/>
          <w:noProof/>
          <w:color w:val="000000"/>
          <w:sz w:val="24"/>
          <w:szCs w:val="24"/>
        </w:rPr>
        <w:drawing>
          <wp:inline distT="0" distB="0" distL="0" distR="0" wp14:anchorId="04144EC6" wp14:editId="1A1EC43E">
            <wp:extent cx="2057400" cy="457200"/>
            <wp:effectExtent l="0" t="0" r="0" b="0"/>
            <wp:docPr id="4" name="Picture 4" descr="Steve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ve s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457200"/>
                    </a:xfrm>
                    <a:prstGeom prst="rect">
                      <a:avLst/>
                    </a:prstGeom>
                    <a:noFill/>
                    <a:ln>
                      <a:noFill/>
                    </a:ln>
                  </pic:spPr>
                </pic:pic>
              </a:graphicData>
            </a:graphic>
          </wp:inline>
        </w:drawing>
      </w:r>
    </w:p>
    <w:p w:rsidR="00204E5C" w:rsidRPr="00204E5C" w:rsidRDefault="00204E5C" w:rsidP="00204E5C">
      <w:pPr>
        <w:autoSpaceDE w:val="0"/>
        <w:autoSpaceDN w:val="0"/>
        <w:adjustRightInd w:val="0"/>
        <w:spacing w:after="0" w:line="240" w:lineRule="auto"/>
        <w:ind w:left="720"/>
        <w:rPr>
          <w:rFonts w:ascii="Cambria" w:hAnsi="Cambria" w:cs="Arial"/>
          <w:color w:val="000000"/>
          <w:sz w:val="24"/>
          <w:szCs w:val="24"/>
        </w:rPr>
      </w:pPr>
    </w:p>
    <w:p w:rsidR="00204E5C" w:rsidRPr="00204E5C" w:rsidRDefault="00204E5C" w:rsidP="00204E5C">
      <w:pPr>
        <w:autoSpaceDE w:val="0"/>
        <w:autoSpaceDN w:val="0"/>
        <w:adjustRightInd w:val="0"/>
        <w:spacing w:after="0" w:line="240" w:lineRule="auto"/>
        <w:ind w:left="720"/>
        <w:rPr>
          <w:rFonts w:ascii="Cambria" w:hAnsi="Cambria" w:cs="Arial"/>
          <w:color w:val="000000"/>
          <w:sz w:val="24"/>
          <w:szCs w:val="24"/>
        </w:rPr>
      </w:pPr>
      <w:r w:rsidRPr="00204E5C">
        <w:rPr>
          <w:rFonts w:ascii="Cambria" w:hAnsi="Cambria" w:cs="Arial"/>
          <w:color w:val="000000"/>
          <w:sz w:val="24"/>
          <w:szCs w:val="24"/>
        </w:rPr>
        <w:t>STEVEN A. BRINK</w:t>
      </w:r>
    </w:p>
    <w:p w:rsidR="00204E5C" w:rsidRPr="00204E5C" w:rsidRDefault="00204E5C" w:rsidP="00204E5C">
      <w:pPr>
        <w:autoSpaceDE w:val="0"/>
        <w:autoSpaceDN w:val="0"/>
        <w:adjustRightInd w:val="0"/>
        <w:spacing w:after="0" w:line="240" w:lineRule="auto"/>
        <w:ind w:left="720"/>
        <w:rPr>
          <w:rFonts w:ascii="Cambria" w:hAnsi="Cambria" w:cs="Arial"/>
          <w:color w:val="000000"/>
          <w:sz w:val="24"/>
          <w:szCs w:val="24"/>
        </w:rPr>
      </w:pPr>
      <w:r w:rsidRPr="00204E5C">
        <w:rPr>
          <w:rFonts w:ascii="Cambria" w:hAnsi="Cambria" w:cs="Arial"/>
          <w:color w:val="000000"/>
          <w:sz w:val="24"/>
          <w:szCs w:val="24"/>
        </w:rPr>
        <w:t>Vice President – Public Resources</w:t>
      </w:r>
    </w:p>
    <w:p w:rsidR="00204E5C" w:rsidRPr="00204E5C" w:rsidRDefault="00204E5C" w:rsidP="00204E5C">
      <w:pPr>
        <w:autoSpaceDE w:val="0"/>
        <w:autoSpaceDN w:val="0"/>
        <w:adjustRightInd w:val="0"/>
        <w:spacing w:after="0" w:line="240" w:lineRule="auto"/>
        <w:ind w:left="720"/>
        <w:rPr>
          <w:rFonts w:ascii="Cambria" w:hAnsi="Cambria" w:cs="Arial"/>
          <w:color w:val="000000"/>
          <w:sz w:val="24"/>
          <w:szCs w:val="24"/>
        </w:rPr>
      </w:pPr>
    </w:p>
    <w:p w:rsidR="00204E5C" w:rsidRPr="00204E5C" w:rsidRDefault="00204E5C" w:rsidP="00204E5C">
      <w:pPr>
        <w:autoSpaceDE w:val="0"/>
        <w:autoSpaceDN w:val="0"/>
        <w:adjustRightInd w:val="0"/>
        <w:spacing w:after="0" w:line="240" w:lineRule="auto"/>
        <w:ind w:left="720"/>
        <w:rPr>
          <w:rFonts w:ascii="Cambria" w:hAnsi="Cambria"/>
          <w:sz w:val="24"/>
          <w:szCs w:val="24"/>
        </w:rPr>
      </w:pPr>
      <w:r w:rsidRPr="00204E5C">
        <w:rPr>
          <w:rFonts w:ascii="Cambria" w:hAnsi="Cambria"/>
          <w:sz w:val="24"/>
          <w:szCs w:val="24"/>
        </w:rPr>
        <w:t>Enclosures</w:t>
      </w:r>
    </w:p>
    <w:p w:rsidR="00204E5C" w:rsidRPr="00204E5C" w:rsidRDefault="00204E5C" w:rsidP="00204E5C">
      <w:pPr>
        <w:autoSpaceDE w:val="0"/>
        <w:autoSpaceDN w:val="0"/>
        <w:adjustRightInd w:val="0"/>
        <w:spacing w:after="0" w:line="240" w:lineRule="auto"/>
        <w:ind w:left="720"/>
        <w:rPr>
          <w:rFonts w:ascii="Cambria" w:hAnsi="Cambria"/>
          <w:sz w:val="24"/>
          <w:szCs w:val="24"/>
        </w:rPr>
      </w:pPr>
    </w:p>
    <w:p w:rsidR="00204E5C" w:rsidRPr="00204E5C" w:rsidRDefault="00204E5C" w:rsidP="00204E5C">
      <w:pPr>
        <w:autoSpaceDE w:val="0"/>
        <w:autoSpaceDN w:val="0"/>
        <w:adjustRightInd w:val="0"/>
        <w:spacing w:after="0" w:line="240" w:lineRule="auto"/>
        <w:ind w:left="720"/>
        <w:rPr>
          <w:rFonts w:ascii="Cambria" w:hAnsi="Cambria" w:cs="Trebuchet MS"/>
          <w:bCs/>
          <w:sz w:val="24"/>
          <w:szCs w:val="24"/>
        </w:rPr>
      </w:pPr>
      <w:r w:rsidRPr="00204E5C">
        <w:rPr>
          <w:rFonts w:ascii="Cambria" w:hAnsi="Cambria"/>
          <w:b/>
          <w:sz w:val="24"/>
          <w:szCs w:val="24"/>
        </w:rPr>
        <w:br w:type="page"/>
      </w:r>
    </w:p>
    <w:p w:rsidR="00204E5C" w:rsidRPr="00204E5C" w:rsidRDefault="00204E5C" w:rsidP="00204E5C">
      <w:pPr>
        <w:rPr>
          <w:rFonts w:ascii="Cambria" w:hAnsi="Cambria"/>
          <w:b/>
          <w:sz w:val="24"/>
          <w:szCs w:val="24"/>
        </w:rPr>
      </w:pPr>
      <w:r w:rsidRPr="00204E5C">
        <w:rPr>
          <w:rFonts w:ascii="Cambria" w:hAnsi="Cambria"/>
          <w:b/>
          <w:sz w:val="24"/>
          <w:szCs w:val="24"/>
        </w:rPr>
        <w:lastRenderedPageBreak/>
        <w:t>Enclosure #1:  Disadvantaged Communities</w:t>
      </w:r>
    </w:p>
    <w:p w:rsidR="00204E5C" w:rsidRPr="00204E5C" w:rsidRDefault="00204E5C" w:rsidP="00204E5C">
      <w:pPr>
        <w:autoSpaceDE w:val="0"/>
        <w:autoSpaceDN w:val="0"/>
        <w:adjustRightInd w:val="0"/>
        <w:spacing w:after="0" w:line="240" w:lineRule="auto"/>
        <w:rPr>
          <w:rFonts w:ascii="Arial" w:hAnsi="Arial" w:cs="Arial"/>
          <w:b/>
          <w:color w:val="000000"/>
          <w:sz w:val="24"/>
          <w:szCs w:val="24"/>
        </w:rPr>
      </w:pPr>
      <w:r w:rsidRPr="00204E5C">
        <w:rPr>
          <w:rFonts w:ascii="Cambria" w:hAnsi="Cambria" w:cs="Arial"/>
          <w:b/>
          <w:color w:val="000000"/>
          <w:sz w:val="24"/>
          <w:szCs w:val="24"/>
        </w:rPr>
        <w:t xml:space="preserve">Formulated October 2014 from the </w:t>
      </w:r>
      <w:r w:rsidRPr="00204E5C">
        <w:rPr>
          <w:rFonts w:ascii="Cambria" w:hAnsi="Cambria" w:cs="Arial"/>
          <w:b/>
          <w:i/>
          <w:iCs/>
          <w:color w:val="000000"/>
          <w:sz w:val="24"/>
          <w:szCs w:val="24"/>
        </w:rPr>
        <w:t xml:space="preserve">California Communities Environmental Health Screening Tool </w:t>
      </w:r>
      <w:r w:rsidRPr="00204E5C">
        <w:rPr>
          <w:rFonts w:ascii="Cambria" w:hAnsi="Cambria" w:cs="Arial"/>
          <w:b/>
          <w:iCs/>
          <w:color w:val="000000"/>
          <w:sz w:val="24"/>
          <w:szCs w:val="24"/>
        </w:rPr>
        <w:t>in accordance with SB 535</w:t>
      </w:r>
    </w:p>
    <w:p w:rsidR="00204E5C" w:rsidRPr="00204E5C" w:rsidRDefault="00204E5C" w:rsidP="00204E5C"/>
    <w:p w:rsidR="00204E5C" w:rsidRPr="00204E5C" w:rsidRDefault="00204E5C" w:rsidP="00204E5C">
      <w:r w:rsidRPr="00204E5C">
        <w:rPr>
          <w:noProof/>
        </w:rPr>
        <w:drawing>
          <wp:inline distT="0" distB="0" distL="0" distR="0" wp14:anchorId="295B4ED9" wp14:editId="2EECA9E2">
            <wp:extent cx="5619750" cy="725633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5635" cy="7289760"/>
                    </a:xfrm>
                    <a:prstGeom prst="rect">
                      <a:avLst/>
                    </a:prstGeom>
                    <a:noFill/>
                    <a:ln>
                      <a:noFill/>
                    </a:ln>
                  </pic:spPr>
                </pic:pic>
              </a:graphicData>
            </a:graphic>
          </wp:inline>
        </w:drawing>
      </w:r>
    </w:p>
    <w:p w:rsidR="00204E5C" w:rsidRPr="00204E5C" w:rsidRDefault="00204E5C" w:rsidP="00204E5C">
      <w:pPr>
        <w:rPr>
          <w:rFonts w:ascii="Cambria" w:hAnsi="Cambria"/>
          <w:b/>
          <w:sz w:val="24"/>
          <w:szCs w:val="24"/>
        </w:rPr>
      </w:pPr>
      <w:r w:rsidRPr="00204E5C">
        <w:rPr>
          <w:rFonts w:ascii="Cambria" w:hAnsi="Cambria"/>
          <w:b/>
          <w:sz w:val="24"/>
          <w:szCs w:val="24"/>
        </w:rPr>
        <w:lastRenderedPageBreak/>
        <w:t>Enclosure 2: 2012. Collins etal. “Managing Fire in California Mixed-Conifer Forests”</w:t>
      </w:r>
    </w:p>
    <w:p w:rsidR="00204E5C" w:rsidRPr="00204E5C" w:rsidRDefault="00204E5C" w:rsidP="00204E5C">
      <w:r w:rsidRPr="00204E5C">
        <w:rPr>
          <w:noProof/>
        </w:rPr>
        <w:drawing>
          <wp:inline distT="0" distB="0" distL="0" distR="0" wp14:anchorId="483E0EC7" wp14:editId="0FC9D3AB">
            <wp:extent cx="6697345" cy="4104954"/>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27191" cy="4123247"/>
                    </a:xfrm>
                    <a:prstGeom prst="rect">
                      <a:avLst/>
                    </a:prstGeom>
                  </pic:spPr>
                </pic:pic>
              </a:graphicData>
            </a:graphic>
          </wp:inline>
        </w:drawing>
      </w:r>
      <w:r w:rsidRPr="00204E5C">
        <w:t xml:space="preserve"> </w:t>
      </w:r>
      <w:r w:rsidRPr="00204E5C">
        <w:br w:type="page"/>
      </w:r>
    </w:p>
    <w:p w:rsidR="00204E5C" w:rsidRPr="00204E5C" w:rsidRDefault="00204E5C" w:rsidP="00204E5C">
      <w:pPr>
        <w:rPr>
          <w:rFonts w:ascii="Cambria" w:hAnsi="Cambria"/>
          <w:b/>
          <w:sz w:val="24"/>
          <w:szCs w:val="24"/>
        </w:rPr>
      </w:pPr>
      <w:r w:rsidRPr="00204E5C">
        <w:rPr>
          <w:rFonts w:ascii="Cambria" w:hAnsi="Cambria"/>
          <w:b/>
          <w:sz w:val="24"/>
          <w:szCs w:val="24"/>
        </w:rPr>
        <w:lastRenderedPageBreak/>
        <w:t>Enclosure #3: Average Annual Acres Burned on California’s National Forests 2001-2015</w:t>
      </w:r>
    </w:p>
    <w:p w:rsidR="00204E5C" w:rsidRPr="00204E5C" w:rsidRDefault="00204E5C" w:rsidP="00204E5C">
      <w:pPr>
        <w:rPr>
          <w:rFonts w:ascii="Cambria" w:hAnsi="Cambria"/>
          <w:b/>
        </w:rPr>
      </w:pPr>
    </w:p>
    <w:tbl>
      <w:tblPr>
        <w:tblW w:w="8936" w:type="dxa"/>
        <w:tblLook w:val="04A0" w:firstRow="1" w:lastRow="0" w:firstColumn="1" w:lastColumn="0" w:noHBand="0" w:noVBand="1"/>
      </w:tblPr>
      <w:tblGrid>
        <w:gridCol w:w="1298"/>
        <w:gridCol w:w="344"/>
        <w:gridCol w:w="3150"/>
        <w:gridCol w:w="1717"/>
        <w:gridCol w:w="2427"/>
      </w:tblGrid>
      <w:tr w:rsidR="00204E5C" w:rsidRPr="00204E5C" w:rsidTr="00DD1FF7">
        <w:trPr>
          <w:trHeight w:val="300"/>
        </w:trPr>
        <w:tc>
          <w:tcPr>
            <w:tcW w:w="8936" w:type="dxa"/>
            <w:gridSpan w:val="5"/>
            <w:tcBorders>
              <w:top w:val="nil"/>
              <w:left w:val="nil"/>
              <w:bottom w:val="nil"/>
              <w:right w:val="nil"/>
            </w:tcBorders>
            <w:shd w:val="clear" w:color="auto" w:fill="auto"/>
            <w:noWrap/>
            <w:vAlign w:val="bottom"/>
            <w:hideMark/>
          </w:tcPr>
          <w:p w:rsidR="00204E5C" w:rsidRPr="00204E5C" w:rsidRDefault="00204E5C" w:rsidP="00204E5C">
            <w:pPr>
              <w:spacing w:after="0" w:line="240" w:lineRule="auto"/>
              <w:rPr>
                <w:rFonts w:ascii="Cambria" w:eastAsia="Times New Roman" w:hAnsi="Cambria" w:cs="Times New Roman"/>
                <w:color w:val="000000"/>
              </w:rPr>
            </w:pPr>
            <w:r w:rsidRPr="00204E5C">
              <w:rPr>
                <w:rFonts w:ascii="Cambria" w:eastAsia="Times New Roman" w:hAnsi="Cambria" w:cs="Times New Roman"/>
                <w:color w:val="000000"/>
              </w:rPr>
              <w:t>California Acres Burned (US Forest Service and Total) Year 2001-2015</w:t>
            </w:r>
          </w:p>
        </w:tc>
      </w:tr>
      <w:tr w:rsidR="00204E5C" w:rsidRPr="00204E5C" w:rsidTr="00DD1FF7">
        <w:trPr>
          <w:trHeight w:val="300"/>
        </w:trPr>
        <w:tc>
          <w:tcPr>
            <w:tcW w:w="1642" w:type="dxa"/>
            <w:gridSpan w:val="2"/>
            <w:tcBorders>
              <w:top w:val="nil"/>
              <w:left w:val="nil"/>
              <w:bottom w:val="nil"/>
              <w:right w:val="nil"/>
            </w:tcBorders>
            <w:shd w:val="clear" w:color="auto" w:fill="auto"/>
            <w:noWrap/>
            <w:vAlign w:val="bottom"/>
            <w:hideMark/>
          </w:tcPr>
          <w:p w:rsidR="00204E5C" w:rsidRPr="00204E5C" w:rsidRDefault="00204E5C" w:rsidP="00204E5C">
            <w:pPr>
              <w:spacing w:after="0" w:line="240" w:lineRule="auto"/>
              <w:rPr>
                <w:rFonts w:ascii="Cambria" w:eastAsia="Times New Roman" w:hAnsi="Cambria" w:cs="Times New Roman"/>
                <w:color w:val="000000"/>
              </w:rPr>
            </w:pPr>
            <w:r w:rsidRPr="00204E5C">
              <w:rPr>
                <w:rFonts w:ascii="Cambria" w:eastAsia="Times New Roman" w:hAnsi="Cambria" w:cs="Times New Roman"/>
                <w:color w:val="000000"/>
              </w:rPr>
              <w:t>by Steve Brink, 11/2/2015</w:t>
            </w:r>
          </w:p>
        </w:tc>
        <w:tc>
          <w:tcPr>
            <w:tcW w:w="3150"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rPr>
                <w:rFonts w:ascii="Cambria" w:eastAsia="Times New Roman" w:hAnsi="Cambria" w:cs="Times New Roman"/>
                <w:color w:val="000000"/>
              </w:rPr>
            </w:pPr>
          </w:p>
        </w:tc>
        <w:tc>
          <w:tcPr>
            <w:tcW w:w="171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rPr>
                <w:rFonts w:ascii="Cambria" w:eastAsia="Times New Roman" w:hAnsi="Cambria" w:cs="Times New Roman"/>
                <w:sz w:val="20"/>
                <w:szCs w:val="20"/>
              </w:rPr>
            </w:pPr>
          </w:p>
        </w:tc>
        <w:tc>
          <w:tcPr>
            <w:tcW w:w="242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mbria" w:eastAsia="Times New Roman" w:hAnsi="Cambria" w:cs="Times New Roman"/>
                <w:color w:val="000000"/>
              </w:rPr>
            </w:pPr>
            <w:r w:rsidRPr="00204E5C">
              <w:rPr>
                <w:rFonts w:ascii="Cambria" w:eastAsia="Times New Roman" w:hAnsi="Cambria" w:cs="Times New Roman"/>
                <w:color w:val="000000"/>
              </w:rPr>
              <w:t>Estimated</w:t>
            </w:r>
          </w:p>
        </w:tc>
      </w:tr>
      <w:tr w:rsidR="00204E5C" w:rsidRPr="00204E5C" w:rsidTr="00DD1FF7">
        <w:trPr>
          <w:trHeight w:val="243"/>
        </w:trPr>
        <w:tc>
          <w:tcPr>
            <w:tcW w:w="1298"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rPr>
                <w:rFonts w:ascii="Cambria" w:eastAsia="Times New Roman" w:hAnsi="Cambria" w:cs="Times New Roman"/>
                <w:color w:val="000000"/>
              </w:rPr>
            </w:pPr>
          </w:p>
        </w:tc>
        <w:tc>
          <w:tcPr>
            <w:tcW w:w="344"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rPr>
                <w:rFonts w:ascii="Cambria" w:eastAsia="Times New Roman" w:hAnsi="Cambria" w:cs="Times New Roman"/>
                <w:sz w:val="20"/>
                <w:szCs w:val="20"/>
              </w:rPr>
            </w:pPr>
          </w:p>
        </w:tc>
        <w:tc>
          <w:tcPr>
            <w:tcW w:w="3150"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rPr>
                <w:rFonts w:ascii="Cambria" w:eastAsia="Times New Roman" w:hAnsi="Cambria" w:cs="Times New Roman"/>
                <w:sz w:val="20"/>
                <w:szCs w:val="20"/>
              </w:rPr>
            </w:pPr>
          </w:p>
        </w:tc>
        <w:tc>
          <w:tcPr>
            <w:tcW w:w="171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rPr>
                <w:rFonts w:ascii="Cambria" w:eastAsia="Times New Roman" w:hAnsi="Cambria" w:cs="Times New Roman"/>
                <w:sz w:val="20"/>
                <w:szCs w:val="20"/>
              </w:rPr>
            </w:pPr>
          </w:p>
        </w:tc>
        <w:tc>
          <w:tcPr>
            <w:tcW w:w="242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mbria" w:eastAsia="Times New Roman" w:hAnsi="Cambria" w:cs="Times New Roman"/>
                <w:color w:val="000000"/>
              </w:rPr>
            </w:pPr>
            <w:r w:rsidRPr="00204E5C">
              <w:rPr>
                <w:rFonts w:ascii="Cambria" w:eastAsia="Times New Roman" w:hAnsi="Cambria" w:cs="Times New Roman"/>
                <w:color w:val="000000"/>
              </w:rPr>
              <w:t>Total CO2</w:t>
            </w:r>
          </w:p>
        </w:tc>
      </w:tr>
      <w:tr w:rsidR="00204E5C" w:rsidRPr="00204E5C" w:rsidTr="00DD1FF7">
        <w:trPr>
          <w:trHeight w:val="300"/>
        </w:trPr>
        <w:tc>
          <w:tcPr>
            <w:tcW w:w="1298"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mbria" w:eastAsia="Times New Roman" w:hAnsi="Cambria" w:cs="Times New Roman"/>
                <w:b/>
                <w:bCs/>
                <w:color w:val="000000"/>
                <w:u w:val="single"/>
              </w:rPr>
            </w:pPr>
            <w:r w:rsidRPr="00204E5C">
              <w:rPr>
                <w:rFonts w:ascii="Cambria" w:eastAsia="Times New Roman" w:hAnsi="Cambria" w:cs="Times New Roman"/>
                <w:b/>
                <w:bCs/>
                <w:color w:val="000000"/>
                <w:u w:val="single"/>
              </w:rPr>
              <w:t>Year</w:t>
            </w:r>
          </w:p>
        </w:tc>
        <w:tc>
          <w:tcPr>
            <w:tcW w:w="344"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rPr>
                <w:rFonts w:ascii="Cambria" w:eastAsia="Times New Roman" w:hAnsi="Cambria" w:cs="Times New Roman"/>
                <w:b/>
                <w:bCs/>
                <w:color w:val="000000"/>
                <w:u w:val="single"/>
              </w:rPr>
            </w:pPr>
          </w:p>
        </w:tc>
        <w:tc>
          <w:tcPr>
            <w:tcW w:w="3150"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mbria" w:eastAsia="Times New Roman" w:hAnsi="Cambria" w:cs="Times New Roman"/>
                <w:b/>
                <w:bCs/>
                <w:color w:val="000000"/>
                <w:u w:val="single"/>
              </w:rPr>
            </w:pPr>
            <w:r w:rsidRPr="00204E5C">
              <w:rPr>
                <w:rFonts w:ascii="Cambria" w:eastAsia="Times New Roman" w:hAnsi="Cambria" w:cs="Times New Roman"/>
                <w:b/>
                <w:bCs/>
                <w:color w:val="000000"/>
                <w:u w:val="single"/>
              </w:rPr>
              <w:t>Forest Service*</w:t>
            </w:r>
          </w:p>
        </w:tc>
        <w:tc>
          <w:tcPr>
            <w:tcW w:w="171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mbria" w:eastAsia="Times New Roman" w:hAnsi="Cambria" w:cs="Times New Roman"/>
                <w:b/>
                <w:bCs/>
                <w:color w:val="000000"/>
                <w:u w:val="single"/>
              </w:rPr>
            </w:pPr>
            <w:r w:rsidRPr="00204E5C">
              <w:rPr>
                <w:rFonts w:ascii="Cambria" w:eastAsia="Times New Roman" w:hAnsi="Cambria" w:cs="Times New Roman"/>
                <w:b/>
                <w:bCs/>
                <w:color w:val="000000"/>
                <w:u w:val="single"/>
              </w:rPr>
              <w:t>Total Acres</w:t>
            </w:r>
          </w:p>
        </w:tc>
        <w:tc>
          <w:tcPr>
            <w:tcW w:w="242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mbria" w:eastAsia="Times New Roman" w:hAnsi="Cambria" w:cs="Times New Roman"/>
                <w:b/>
                <w:bCs/>
                <w:color w:val="000000"/>
                <w:u w:val="single"/>
              </w:rPr>
            </w:pPr>
            <w:r w:rsidRPr="00204E5C">
              <w:rPr>
                <w:rFonts w:ascii="Cambria" w:eastAsia="Times New Roman" w:hAnsi="Cambria" w:cs="Times New Roman"/>
                <w:b/>
                <w:bCs/>
                <w:color w:val="000000"/>
                <w:u w:val="single"/>
              </w:rPr>
              <w:t>Emissions</w:t>
            </w:r>
          </w:p>
        </w:tc>
      </w:tr>
      <w:tr w:rsidR="00204E5C" w:rsidRPr="00204E5C" w:rsidTr="00DD1FF7">
        <w:trPr>
          <w:trHeight w:val="300"/>
        </w:trPr>
        <w:tc>
          <w:tcPr>
            <w:tcW w:w="1298"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mbria" w:eastAsia="Times New Roman" w:hAnsi="Cambria" w:cs="Times New Roman"/>
                <w:b/>
                <w:bCs/>
                <w:color w:val="000000"/>
                <w:u w:val="single"/>
              </w:rPr>
            </w:pPr>
            <w:r w:rsidRPr="00204E5C">
              <w:rPr>
                <w:rFonts w:ascii="Cambria" w:eastAsia="Times New Roman" w:hAnsi="Cambria" w:cs="Times New Roman"/>
                <w:b/>
                <w:bCs/>
                <w:color w:val="000000"/>
                <w:u w:val="single"/>
              </w:rPr>
              <w:t>As of</w:t>
            </w:r>
          </w:p>
        </w:tc>
        <w:tc>
          <w:tcPr>
            <w:tcW w:w="344"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rPr>
                <w:rFonts w:ascii="Cambria" w:eastAsia="Times New Roman" w:hAnsi="Cambria" w:cs="Times New Roman"/>
                <w:b/>
                <w:bCs/>
                <w:color w:val="000000"/>
                <w:u w:val="single"/>
              </w:rPr>
            </w:pPr>
          </w:p>
        </w:tc>
        <w:tc>
          <w:tcPr>
            <w:tcW w:w="3150"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mbria" w:eastAsia="Times New Roman" w:hAnsi="Cambria" w:cs="Times New Roman"/>
                <w:b/>
                <w:bCs/>
                <w:color w:val="000000"/>
                <w:u w:val="single"/>
              </w:rPr>
            </w:pPr>
            <w:r w:rsidRPr="00204E5C">
              <w:rPr>
                <w:rFonts w:ascii="Cambria" w:eastAsia="Times New Roman" w:hAnsi="Cambria" w:cs="Times New Roman"/>
                <w:b/>
                <w:bCs/>
                <w:color w:val="000000"/>
                <w:u w:val="single"/>
              </w:rPr>
              <w:t>Acres Burned</w:t>
            </w:r>
          </w:p>
        </w:tc>
        <w:tc>
          <w:tcPr>
            <w:tcW w:w="171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mbria" w:eastAsia="Times New Roman" w:hAnsi="Cambria" w:cs="Times New Roman"/>
                <w:b/>
                <w:bCs/>
                <w:color w:val="000000"/>
                <w:u w:val="single"/>
              </w:rPr>
            </w:pPr>
            <w:r w:rsidRPr="00204E5C">
              <w:rPr>
                <w:rFonts w:ascii="Cambria" w:eastAsia="Times New Roman" w:hAnsi="Cambria" w:cs="Times New Roman"/>
                <w:b/>
                <w:bCs/>
                <w:color w:val="000000"/>
                <w:u w:val="single"/>
              </w:rPr>
              <w:t>Burned</w:t>
            </w:r>
          </w:p>
        </w:tc>
        <w:tc>
          <w:tcPr>
            <w:tcW w:w="242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mbria" w:eastAsia="Times New Roman" w:hAnsi="Cambria" w:cs="Times New Roman"/>
                <w:color w:val="000000"/>
              </w:rPr>
            </w:pPr>
            <w:r w:rsidRPr="00204E5C">
              <w:rPr>
                <w:rFonts w:ascii="Cambria" w:eastAsia="Times New Roman" w:hAnsi="Cambria" w:cs="Times New Roman"/>
                <w:color w:val="000000"/>
              </w:rPr>
              <w:t>(@37 tons/burned Acre)</w:t>
            </w:r>
          </w:p>
        </w:tc>
      </w:tr>
      <w:tr w:rsidR="00204E5C" w:rsidRPr="00204E5C" w:rsidTr="00DD1FF7">
        <w:trPr>
          <w:trHeight w:val="300"/>
        </w:trPr>
        <w:tc>
          <w:tcPr>
            <w:tcW w:w="1298" w:type="dxa"/>
            <w:tcBorders>
              <w:top w:val="nil"/>
              <w:left w:val="nil"/>
              <w:bottom w:val="nil"/>
              <w:right w:val="nil"/>
            </w:tcBorders>
            <w:shd w:val="clear" w:color="auto" w:fill="auto"/>
            <w:noWrap/>
            <w:vAlign w:val="bottom"/>
          </w:tcPr>
          <w:p w:rsidR="00204E5C" w:rsidRPr="00204E5C" w:rsidRDefault="00204E5C" w:rsidP="00204E5C">
            <w:pPr>
              <w:spacing w:after="0" w:line="240" w:lineRule="auto"/>
              <w:jc w:val="center"/>
              <w:rPr>
                <w:rFonts w:ascii="Calibri" w:eastAsia="Times New Roman" w:hAnsi="Calibri" w:cs="Times New Roman"/>
                <w:b/>
                <w:bCs/>
                <w:color w:val="000000"/>
                <w:u w:val="single"/>
              </w:rPr>
            </w:pPr>
          </w:p>
        </w:tc>
        <w:tc>
          <w:tcPr>
            <w:tcW w:w="344" w:type="dxa"/>
            <w:tcBorders>
              <w:top w:val="nil"/>
              <w:left w:val="nil"/>
              <w:bottom w:val="nil"/>
              <w:right w:val="nil"/>
            </w:tcBorders>
            <w:shd w:val="clear" w:color="auto" w:fill="auto"/>
            <w:noWrap/>
            <w:vAlign w:val="bottom"/>
          </w:tcPr>
          <w:p w:rsidR="00204E5C" w:rsidRPr="00204E5C" w:rsidRDefault="00204E5C" w:rsidP="00204E5C">
            <w:pPr>
              <w:spacing w:after="0" w:line="240" w:lineRule="auto"/>
              <w:jc w:val="center"/>
              <w:rPr>
                <w:rFonts w:ascii="Calibri" w:eastAsia="Times New Roman" w:hAnsi="Calibri" w:cs="Times New Roman"/>
                <w:b/>
                <w:bCs/>
                <w:color w:val="000000"/>
                <w:u w:val="single"/>
              </w:rPr>
            </w:pPr>
          </w:p>
        </w:tc>
        <w:tc>
          <w:tcPr>
            <w:tcW w:w="3150" w:type="dxa"/>
            <w:tcBorders>
              <w:top w:val="nil"/>
              <w:left w:val="nil"/>
              <w:bottom w:val="nil"/>
              <w:right w:val="nil"/>
            </w:tcBorders>
            <w:shd w:val="clear" w:color="auto" w:fill="auto"/>
            <w:noWrap/>
            <w:vAlign w:val="bottom"/>
          </w:tcPr>
          <w:p w:rsidR="00204E5C" w:rsidRPr="00204E5C" w:rsidRDefault="00204E5C" w:rsidP="00204E5C">
            <w:pPr>
              <w:spacing w:after="0" w:line="240" w:lineRule="auto"/>
              <w:jc w:val="center"/>
              <w:rPr>
                <w:rFonts w:eastAsia="Times New Roman" w:cs="Times New Roman"/>
              </w:rPr>
            </w:pPr>
          </w:p>
        </w:tc>
        <w:tc>
          <w:tcPr>
            <w:tcW w:w="1717" w:type="dxa"/>
            <w:tcBorders>
              <w:top w:val="nil"/>
              <w:left w:val="nil"/>
              <w:bottom w:val="nil"/>
              <w:right w:val="nil"/>
            </w:tcBorders>
            <w:shd w:val="clear" w:color="auto" w:fill="auto"/>
            <w:noWrap/>
            <w:vAlign w:val="bottom"/>
          </w:tcPr>
          <w:p w:rsidR="00204E5C" w:rsidRPr="00204E5C" w:rsidRDefault="00204E5C" w:rsidP="00204E5C">
            <w:pPr>
              <w:spacing w:after="0" w:line="240" w:lineRule="auto"/>
              <w:jc w:val="center"/>
              <w:rPr>
                <w:rFonts w:eastAsia="Times New Roman" w:cs="Times New Roman"/>
              </w:rPr>
            </w:pPr>
          </w:p>
        </w:tc>
        <w:tc>
          <w:tcPr>
            <w:tcW w:w="2427" w:type="dxa"/>
            <w:tcBorders>
              <w:top w:val="nil"/>
              <w:left w:val="nil"/>
              <w:bottom w:val="nil"/>
              <w:right w:val="nil"/>
            </w:tcBorders>
            <w:shd w:val="clear" w:color="auto" w:fill="auto"/>
            <w:noWrap/>
            <w:vAlign w:val="bottom"/>
          </w:tcPr>
          <w:p w:rsidR="00204E5C" w:rsidRPr="00204E5C" w:rsidRDefault="00204E5C" w:rsidP="00204E5C">
            <w:pPr>
              <w:spacing w:after="0" w:line="240" w:lineRule="auto"/>
              <w:jc w:val="center"/>
              <w:rPr>
                <w:rFonts w:eastAsia="Times New Roman" w:cs="Times New Roman"/>
              </w:rPr>
            </w:pPr>
          </w:p>
        </w:tc>
      </w:tr>
      <w:tr w:rsidR="00204E5C" w:rsidRPr="00204E5C" w:rsidTr="00DD1FF7">
        <w:trPr>
          <w:trHeight w:val="300"/>
        </w:trPr>
        <w:tc>
          <w:tcPr>
            <w:tcW w:w="1298"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b/>
                <w:bCs/>
                <w:color w:val="000000"/>
                <w:u w:val="single"/>
              </w:rPr>
            </w:pPr>
            <w:r w:rsidRPr="00204E5C">
              <w:rPr>
                <w:rFonts w:ascii="Calibri" w:eastAsia="Times New Roman" w:hAnsi="Calibri" w:cs="Times New Roman"/>
                <w:b/>
                <w:bCs/>
                <w:color w:val="000000"/>
                <w:u w:val="single"/>
              </w:rPr>
              <w:t>10/25/2015</w:t>
            </w:r>
          </w:p>
        </w:tc>
        <w:tc>
          <w:tcPr>
            <w:tcW w:w="344"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b/>
                <w:bCs/>
                <w:color w:val="000000"/>
                <w:u w:val="single"/>
              </w:rPr>
            </w:pPr>
          </w:p>
        </w:tc>
        <w:tc>
          <w:tcPr>
            <w:tcW w:w="3150"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eastAsia="Times New Roman" w:cs="Times New Roman"/>
              </w:rPr>
            </w:pPr>
            <w:r w:rsidRPr="00204E5C">
              <w:rPr>
                <w:rFonts w:eastAsia="Times New Roman" w:cs="Times New Roman"/>
              </w:rPr>
              <w:t>428,017</w:t>
            </w:r>
          </w:p>
        </w:tc>
        <w:tc>
          <w:tcPr>
            <w:tcW w:w="171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eastAsia="Times New Roman" w:cs="Times New Roman"/>
              </w:rPr>
            </w:pPr>
            <w:r w:rsidRPr="00204E5C">
              <w:rPr>
                <w:rFonts w:eastAsia="Times New Roman" w:cs="Times New Roman"/>
              </w:rPr>
              <w:t>735,452</w:t>
            </w:r>
          </w:p>
        </w:tc>
        <w:tc>
          <w:tcPr>
            <w:tcW w:w="242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eastAsia="Times New Roman" w:cs="Times New Roman"/>
              </w:rPr>
            </w:pPr>
            <w:r w:rsidRPr="00204E5C">
              <w:rPr>
                <w:rFonts w:eastAsia="Times New Roman" w:cs="Times New Roman"/>
              </w:rPr>
              <w:t>27,211,724</w:t>
            </w:r>
          </w:p>
        </w:tc>
      </w:tr>
      <w:tr w:rsidR="00204E5C" w:rsidRPr="00204E5C" w:rsidTr="00DD1FF7">
        <w:trPr>
          <w:trHeight w:val="300"/>
        </w:trPr>
        <w:tc>
          <w:tcPr>
            <w:tcW w:w="1298" w:type="dxa"/>
            <w:tcBorders>
              <w:top w:val="nil"/>
              <w:left w:val="nil"/>
              <w:bottom w:val="nil"/>
              <w:right w:val="nil"/>
            </w:tcBorders>
            <w:shd w:val="clear" w:color="auto" w:fill="auto"/>
            <w:noWrap/>
            <w:vAlign w:val="bottom"/>
          </w:tcPr>
          <w:p w:rsidR="00204E5C" w:rsidRPr="00204E5C" w:rsidRDefault="00204E5C" w:rsidP="00204E5C">
            <w:pPr>
              <w:spacing w:after="0" w:line="240" w:lineRule="auto"/>
              <w:jc w:val="center"/>
              <w:rPr>
                <w:rFonts w:ascii="Calibri" w:eastAsia="Times New Roman" w:hAnsi="Calibri" w:cs="Times New Roman"/>
                <w:b/>
                <w:bCs/>
                <w:color w:val="000000"/>
                <w:u w:val="single"/>
              </w:rPr>
            </w:pPr>
          </w:p>
        </w:tc>
        <w:tc>
          <w:tcPr>
            <w:tcW w:w="344" w:type="dxa"/>
            <w:tcBorders>
              <w:top w:val="nil"/>
              <w:left w:val="nil"/>
              <w:bottom w:val="nil"/>
              <w:right w:val="nil"/>
            </w:tcBorders>
            <w:shd w:val="clear" w:color="auto" w:fill="auto"/>
            <w:noWrap/>
            <w:vAlign w:val="bottom"/>
          </w:tcPr>
          <w:p w:rsidR="00204E5C" w:rsidRPr="00204E5C" w:rsidRDefault="00204E5C" w:rsidP="00204E5C">
            <w:pPr>
              <w:spacing w:after="0" w:line="240" w:lineRule="auto"/>
              <w:jc w:val="center"/>
              <w:rPr>
                <w:rFonts w:ascii="Calibri" w:eastAsia="Times New Roman" w:hAnsi="Calibri" w:cs="Times New Roman"/>
                <w:b/>
                <w:bCs/>
                <w:color w:val="000000"/>
                <w:u w:val="single"/>
              </w:rPr>
            </w:pPr>
          </w:p>
        </w:tc>
        <w:tc>
          <w:tcPr>
            <w:tcW w:w="3150" w:type="dxa"/>
            <w:tcBorders>
              <w:top w:val="nil"/>
              <w:left w:val="nil"/>
              <w:bottom w:val="nil"/>
              <w:right w:val="nil"/>
            </w:tcBorders>
            <w:shd w:val="clear" w:color="auto" w:fill="auto"/>
            <w:noWrap/>
            <w:vAlign w:val="bottom"/>
          </w:tcPr>
          <w:p w:rsidR="00204E5C" w:rsidRPr="00204E5C" w:rsidRDefault="00204E5C" w:rsidP="00204E5C">
            <w:pPr>
              <w:spacing w:after="0" w:line="240" w:lineRule="auto"/>
              <w:jc w:val="center"/>
              <w:rPr>
                <w:rFonts w:eastAsia="Times New Roman" w:cs="Times New Roman"/>
              </w:rPr>
            </w:pPr>
          </w:p>
        </w:tc>
        <w:tc>
          <w:tcPr>
            <w:tcW w:w="1717" w:type="dxa"/>
            <w:tcBorders>
              <w:top w:val="nil"/>
              <w:left w:val="nil"/>
              <w:bottom w:val="nil"/>
              <w:right w:val="nil"/>
            </w:tcBorders>
            <w:shd w:val="clear" w:color="auto" w:fill="auto"/>
            <w:noWrap/>
            <w:vAlign w:val="bottom"/>
          </w:tcPr>
          <w:p w:rsidR="00204E5C" w:rsidRPr="00204E5C" w:rsidRDefault="00204E5C" w:rsidP="00204E5C">
            <w:pPr>
              <w:spacing w:after="0" w:line="240" w:lineRule="auto"/>
              <w:jc w:val="center"/>
              <w:rPr>
                <w:rFonts w:eastAsia="Times New Roman" w:cs="Times New Roman"/>
              </w:rPr>
            </w:pPr>
          </w:p>
        </w:tc>
        <w:tc>
          <w:tcPr>
            <w:tcW w:w="2427" w:type="dxa"/>
            <w:tcBorders>
              <w:top w:val="nil"/>
              <w:left w:val="nil"/>
              <w:bottom w:val="nil"/>
              <w:right w:val="nil"/>
            </w:tcBorders>
            <w:shd w:val="clear" w:color="auto" w:fill="auto"/>
            <w:noWrap/>
            <w:vAlign w:val="bottom"/>
          </w:tcPr>
          <w:p w:rsidR="00204E5C" w:rsidRPr="00204E5C" w:rsidRDefault="00204E5C" w:rsidP="00204E5C">
            <w:pPr>
              <w:spacing w:after="0" w:line="240" w:lineRule="auto"/>
              <w:jc w:val="center"/>
              <w:rPr>
                <w:rFonts w:eastAsia="Times New Roman" w:cs="Times New Roman"/>
              </w:rPr>
            </w:pPr>
          </w:p>
        </w:tc>
      </w:tr>
      <w:tr w:rsidR="00204E5C" w:rsidRPr="00204E5C" w:rsidTr="00DD1FF7">
        <w:trPr>
          <w:trHeight w:val="300"/>
        </w:trPr>
        <w:tc>
          <w:tcPr>
            <w:tcW w:w="1298"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right"/>
              <w:rPr>
                <w:rFonts w:ascii="Calibri" w:eastAsia="Times New Roman" w:hAnsi="Calibri" w:cs="Times New Roman"/>
                <w:color w:val="000000"/>
              </w:rPr>
            </w:pPr>
            <w:r w:rsidRPr="00204E5C">
              <w:rPr>
                <w:rFonts w:ascii="Calibri" w:eastAsia="Times New Roman" w:hAnsi="Calibri" w:cs="Times New Roman"/>
                <w:color w:val="000000"/>
              </w:rPr>
              <w:t>2014</w:t>
            </w:r>
          </w:p>
        </w:tc>
        <w:tc>
          <w:tcPr>
            <w:tcW w:w="344"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p>
        </w:tc>
        <w:tc>
          <w:tcPr>
            <w:tcW w:w="3150"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400,005</w:t>
            </w:r>
          </w:p>
        </w:tc>
        <w:tc>
          <w:tcPr>
            <w:tcW w:w="171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530,794</w:t>
            </w:r>
          </w:p>
        </w:tc>
        <w:tc>
          <w:tcPr>
            <w:tcW w:w="242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19,639,378</w:t>
            </w:r>
          </w:p>
        </w:tc>
      </w:tr>
      <w:tr w:rsidR="00204E5C" w:rsidRPr="00204E5C" w:rsidTr="00DD1FF7">
        <w:trPr>
          <w:trHeight w:val="300"/>
        </w:trPr>
        <w:tc>
          <w:tcPr>
            <w:tcW w:w="1298"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right"/>
              <w:rPr>
                <w:rFonts w:ascii="Calibri" w:eastAsia="Times New Roman" w:hAnsi="Calibri" w:cs="Times New Roman"/>
                <w:color w:val="000000"/>
              </w:rPr>
            </w:pPr>
            <w:r w:rsidRPr="00204E5C">
              <w:rPr>
                <w:rFonts w:ascii="Calibri" w:eastAsia="Times New Roman" w:hAnsi="Calibri" w:cs="Times New Roman"/>
                <w:color w:val="000000"/>
              </w:rPr>
              <w:t>2013</w:t>
            </w:r>
          </w:p>
        </w:tc>
        <w:tc>
          <w:tcPr>
            <w:tcW w:w="344"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p>
        </w:tc>
        <w:tc>
          <w:tcPr>
            <w:tcW w:w="3150"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350,642</w:t>
            </w:r>
          </w:p>
        </w:tc>
        <w:tc>
          <w:tcPr>
            <w:tcW w:w="171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577,675</w:t>
            </w:r>
          </w:p>
        </w:tc>
        <w:tc>
          <w:tcPr>
            <w:tcW w:w="242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21,373,975</w:t>
            </w:r>
          </w:p>
        </w:tc>
      </w:tr>
      <w:tr w:rsidR="00204E5C" w:rsidRPr="00204E5C" w:rsidTr="00DD1FF7">
        <w:trPr>
          <w:trHeight w:val="300"/>
        </w:trPr>
        <w:tc>
          <w:tcPr>
            <w:tcW w:w="1298"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right"/>
              <w:rPr>
                <w:rFonts w:ascii="Calibri" w:eastAsia="Times New Roman" w:hAnsi="Calibri" w:cs="Times New Roman"/>
                <w:color w:val="000000"/>
              </w:rPr>
            </w:pPr>
            <w:r w:rsidRPr="00204E5C">
              <w:rPr>
                <w:rFonts w:ascii="Calibri" w:eastAsia="Times New Roman" w:hAnsi="Calibri" w:cs="Times New Roman"/>
                <w:color w:val="000000"/>
              </w:rPr>
              <w:t>2012</w:t>
            </w:r>
          </w:p>
        </w:tc>
        <w:tc>
          <w:tcPr>
            <w:tcW w:w="344"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p>
        </w:tc>
        <w:tc>
          <w:tcPr>
            <w:tcW w:w="3150"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297,212</w:t>
            </w:r>
          </w:p>
        </w:tc>
        <w:tc>
          <w:tcPr>
            <w:tcW w:w="171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869,599</w:t>
            </w:r>
          </w:p>
        </w:tc>
        <w:tc>
          <w:tcPr>
            <w:tcW w:w="242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32,175,163</w:t>
            </w:r>
          </w:p>
        </w:tc>
      </w:tr>
      <w:tr w:rsidR="00204E5C" w:rsidRPr="00204E5C" w:rsidTr="00DD1FF7">
        <w:trPr>
          <w:trHeight w:val="300"/>
        </w:trPr>
        <w:tc>
          <w:tcPr>
            <w:tcW w:w="1298"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right"/>
              <w:rPr>
                <w:rFonts w:ascii="Calibri" w:eastAsia="Times New Roman" w:hAnsi="Calibri" w:cs="Times New Roman"/>
                <w:color w:val="000000"/>
              </w:rPr>
            </w:pPr>
            <w:r w:rsidRPr="00204E5C">
              <w:rPr>
                <w:rFonts w:ascii="Calibri" w:eastAsia="Times New Roman" w:hAnsi="Calibri" w:cs="Times New Roman"/>
                <w:color w:val="000000"/>
              </w:rPr>
              <w:t>2011</w:t>
            </w:r>
          </w:p>
        </w:tc>
        <w:tc>
          <w:tcPr>
            <w:tcW w:w="344"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p>
        </w:tc>
        <w:tc>
          <w:tcPr>
            <w:tcW w:w="3150"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41,777</w:t>
            </w:r>
          </w:p>
        </w:tc>
        <w:tc>
          <w:tcPr>
            <w:tcW w:w="171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126,854</w:t>
            </w:r>
          </w:p>
        </w:tc>
        <w:tc>
          <w:tcPr>
            <w:tcW w:w="242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4,693,598</w:t>
            </w:r>
          </w:p>
        </w:tc>
      </w:tr>
      <w:tr w:rsidR="00204E5C" w:rsidRPr="00204E5C" w:rsidTr="00DD1FF7">
        <w:trPr>
          <w:trHeight w:val="300"/>
        </w:trPr>
        <w:tc>
          <w:tcPr>
            <w:tcW w:w="1298"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right"/>
              <w:rPr>
                <w:rFonts w:ascii="Calibri" w:eastAsia="Times New Roman" w:hAnsi="Calibri" w:cs="Times New Roman"/>
                <w:color w:val="000000"/>
              </w:rPr>
            </w:pPr>
            <w:r w:rsidRPr="00204E5C">
              <w:rPr>
                <w:rFonts w:ascii="Calibri" w:eastAsia="Times New Roman" w:hAnsi="Calibri" w:cs="Times New Roman"/>
                <w:color w:val="000000"/>
              </w:rPr>
              <w:t>2010</w:t>
            </w:r>
          </w:p>
        </w:tc>
        <w:tc>
          <w:tcPr>
            <w:tcW w:w="344"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p>
        </w:tc>
        <w:tc>
          <w:tcPr>
            <w:tcW w:w="3150"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39,288</w:t>
            </w:r>
          </w:p>
        </w:tc>
        <w:tc>
          <w:tcPr>
            <w:tcW w:w="171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109,529</w:t>
            </w:r>
          </w:p>
        </w:tc>
        <w:tc>
          <w:tcPr>
            <w:tcW w:w="242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4,052,573</w:t>
            </w:r>
          </w:p>
        </w:tc>
      </w:tr>
      <w:tr w:rsidR="00204E5C" w:rsidRPr="00204E5C" w:rsidTr="00DD1FF7">
        <w:trPr>
          <w:trHeight w:val="300"/>
        </w:trPr>
        <w:tc>
          <w:tcPr>
            <w:tcW w:w="1298"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right"/>
              <w:rPr>
                <w:rFonts w:ascii="Calibri" w:eastAsia="Times New Roman" w:hAnsi="Calibri" w:cs="Times New Roman"/>
                <w:color w:val="000000"/>
              </w:rPr>
            </w:pPr>
            <w:r w:rsidRPr="00204E5C">
              <w:rPr>
                <w:rFonts w:ascii="Calibri" w:eastAsia="Times New Roman" w:hAnsi="Calibri" w:cs="Times New Roman"/>
                <w:color w:val="000000"/>
              </w:rPr>
              <w:t>2009</w:t>
            </w:r>
          </w:p>
        </w:tc>
        <w:tc>
          <w:tcPr>
            <w:tcW w:w="344"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p>
        </w:tc>
        <w:tc>
          <w:tcPr>
            <w:tcW w:w="3150"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305,371</w:t>
            </w:r>
          </w:p>
        </w:tc>
        <w:tc>
          <w:tcPr>
            <w:tcW w:w="171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405,585</w:t>
            </w:r>
          </w:p>
        </w:tc>
        <w:tc>
          <w:tcPr>
            <w:tcW w:w="242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15,006,645</w:t>
            </w:r>
          </w:p>
        </w:tc>
      </w:tr>
      <w:tr w:rsidR="00204E5C" w:rsidRPr="00204E5C" w:rsidTr="00DD1FF7">
        <w:trPr>
          <w:trHeight w:val="300"/>
        </w:trPr>
        <w:tc>
          <w:tcPr>
            <w:tcW w:w="1298"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right"/>
              <w:rPr>
                <w:rFonts w:ascii="Calibri" w:eastAsia="Times New Roman" w:hAnsi="Calibri" w:cs="Times New Roman"/>
                <w:color w:val="000000"/>
              </w:rPr>
            </w:pPr>
            <w:r w:rsidRPr="00204E5C">
              <w:rPr>
                <w:rFonts w:ascii="Calibri" w:eastAsia="Times New Roman" w:hAnsi="Calibri" w:cs="Times New Roman"/>
                <w:color w:val="000000"/>
              </w:rPr>
              <w:t>2008</w:t>
            </w:r>
          </w:p>
        </w:tc>
        <w:tc>
          <w:tcPr>
            <w:tcW w:w="344"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p>
        </w:tc>
        <w:tc>
          <w:tcPr>
            <w:tcW w:w="3150"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919,716</w:t>
            </w:r>
          </w:p>
        </w:tc>
        <w:tc>
          <w:tcPr>
            <w:tcW w:w="171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1,375,781</w:t>
            </w:r>
          </w:p>
        </w:tc>
        <w:tc>
          <w:tcPr>
            <w:tcW w:w="242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50,903,897</w:t>
            </w:r>
          </w:p>
        </w:tc>
      </w:tr>
      <w:tr w:rsidR="00204E5C" w:rsidRPr="00204E5C" w:rsidTr="00DD1FF7">
        <w:trPr>
          <w:trHeight w:val="300"/>
        </w:trPr>
        <w:tc>
          <w:tcPr>
            <w:tcW w:w="1298"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right"/>
              <w:rPr>
                <w:rFonts w:ascii="Calibri" w:eastAsia="Times New Roman" w:hAnsi="Calibri" w:cs="Times New Roman"/>
                <w:color w:val="000000"/>
              </w:rPr>
            </w:pPr>
            <w:r w:rsidRPr="00204E5C">
              <w:rPr>
                <w:rFonts w:ascii="Calibri" w:eastAsia="Times New Roman" w:hAnsi="Calibri" w:cs="Times New Roman"/>
                <w:color w:val="000000"/>
              </w:rPr>
              <w:t>2007</w:t>
            </w:r>
          </w:p>
        </w:tc>
        <w:tc>
          <w:tcPr>
            <w:tcW w:w="344"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p>
        </w:tc>
        <w:tc>
          <w:tcPr>
            <w:tcW w:w="3150"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551,932</w:t>
            </w:r>
          </w:p>
        </w:tc>
        <w:tc>
          <w:tcPr>
            <w:tcW w:w="171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1,087,110</w:t>
            </w:r>
          </w:p>
        </w:tc>
        <w:tc>
          <w:tcPr>
            <w:tcW w:w="242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40,223,070</w:t>
            </w:r>
          </w:p>
        </w:tc>
      </w:tr>
      <w:tr w:rsidR="00204E5C" w:rsidRPr="00204E5C" w:rsidTr="00DD1FF7">
        <w:trPr>
          <w:trHeight w:val="300"/>
        </w:trPr>
        <w:tc>
          <w:tcPr>
            <w:tcW w:w="1298"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right"/>
              <w:rPr>
                <w:rFonts w:ascii="Calibri" w:eastAsia="Times New Roman" w:hAnsi="Calibri" w:cs="Times New Roman"/>
                <w:color w:val="000000"/>
              </w:rPr>
            </w:pPr>
            <w:r w:rsidRPr="00204E5C">
              <w:rPr>
                <w:rFonts w:ascii="Calibri" w:eastAsia="Times New Roman" w:hAnsi="Calibri" w:cs="Times New Roman"/>
                <w:color w:val="000000"/>
              </w:rPr>
              <w:t>2006</w:t>
            </w:r>
          </w:p>
        </w:tc>
        <w:tc>
          <w:tcPr>
            <w:tcW w:w="344"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p>
        </w:tc>
        <w:tc>
          <w:tcPr>
            <w:tcW w:w="3150"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453,500</w:t>
            </w:r>
          </w:p>
        </w:tc>
        <w:tc>
          <w:tcPr>
            <w:tcW w:w="171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678,919</w:t>
            </w:r>
          </w:p>
        </w:tc>
        <w:tc>
          <w:tcPr>
            <w:tcW w:w="242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25,120,003</w:t>
            </w:r>
          </w:p>
        </w:tc>
      </w:tr>
      <w:tr w:rsidR="00204E5C" w:rsidRPr="00204E5C" w:rsidTr="00DD1FF7">
        <w:trPr>
          <w:trHeight w:val="300"/>
        </w:trPr>
        <w:tc>
          <w:tcPr>
            <w:tcW w:w="1298"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right"/>
              <w:rPr>
                <w:rFonts w:ascii="Calibri" w:eastAsia="Times New Roman" w:hAnsi="Calibri" w:cs="Times New Roman"/>
                <w:color w:val="000000"/>
              </w:rPr>
            </w:pPr>
            <w:r w:rsidRPr="00204E5C">
              <w:rPr>
                <w:rFonts w:ascii="Calibri" w:eastAsia="Times New Roman" w:hAnsi="Calibri" w:cs="Times New Roman"/>
                <w:color w:val="000000"/>
              </w:rPr>
              <w:t>2005</w:t>
            </w:r>
          </w:p>
        </w:tc>
        <w:tc>
          <w:tcPr>
            <w:tcW w:w="344"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p>
        </w:tc>
        <w:tc>
          <w:tcPr>
            <w:tcW w:w="3150"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19,583</w:t>
            </w:r>
          </w:p>
        </w:tc>
        <w:tc>
          <w:tcPr>
            <w:tcW w:w="171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202,754</w:t>
            </w:r>
          </w:p>
        </w:tc>
        <w:tc>
          <w:tcPr>
            <w:tcW w:w="242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7,501,898</w:t>
            </w:r>
          </w:p>
        </w:tc>
      </w:tr>
      <w:tr w:rsidR="00204E5C" w:rsidRPr="00204E5C" w:rsidTr="00DD1FF7">
        <w:trPr>
          <w:trHeight w:val="300"/>
        </w:trPr>
        <w:tc>
          <w:tcPr>
            <w:tcW w:w="1298"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right"/>
              <w:rPr>
                <w:rFonts w:ascii="Calibri" w:eastAsia="Times New Roman" w:hAnsi="Calibri" w:cs="Times New Roman"/>
                <w:color w:val="000000"/>
              </w:rPr>
            </w:pPr>
            <w:r w:rsidRPr="00204E5C">
              <w:rPr>
                <w:rFonts w:ascii="Calibri" w:eastAsia="Times New Roman" w:hAnsi="Calibri" w:cs="Times New Roman"/>
                <w:color w:val="000000"/>
              </w:rPr>
              <w:t>2004</w:t>
            </w:r>
          </w:p>
        </w:tc>
        <w:tc>
          <w:tcPr>
            <w:tcW w:w="344"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p>
        </w:tc>
        <w:tc>
          <w:tcPr>
            <w:tcW w:w="3150"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49,437</w:t>
            </w:r>
          </w:p>
        </w:tc>
        <w:tc>
          <w:tcPr>
            <w:tcW w:w="171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242,057</w:t>
            </w:r>
          </w:p>
        </w:tc>
        <w:tc>
          <w:tcPr>
            <w:tcW w:w="242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8,956,109</w:t>
            </w:r>
          </w:p>
        </w:tc>
      </w:tr>
      <w:tr w:rsidR="00204E5C" w:rsidRPr="00204E5C" w:rsidTr="00DD1FF7">
        <w:trPr>
          <w:trHeight w:val="300"/>
        </w:trPr>
        <w:tc>
          <w:tcPr>
            <w:tcW w:w="1298"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right"/>
              <w:rPr>
                <w:rFonts w:ascii="Calibri" w:eastAsia="Times New Roman" w:hAnsi="Calibri" w:cs="Times New Roman"/>
                <w:color w:val="000000"/>
              </w:rPr>
            </w:pPr>
            <w:r w:rsidRPr="00204E5C">
              <w:rPr>
                <w:rFonts w:ascii="Calibri" w:eastAsia="Times New Roman" w:hAnsi="Calibri" w:cs="Times New Roman"/>
                <w:color w:val="000000"/>
              </w:rPr>
              <w:t>2003</w:t>
            </w:r>
          </w:p>
        </w:tc>
        <w:tc>
          <w:tcPr>
            <w:tcW w:w="344"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p>
        </w:tc>
        <w:tc>
          <w:tcPr>
            <w:tcW w:w="3150"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363,964</w:t>
            </w:r>
          </w:p>
        </w:tc>
        <w:tc>
          <w:tcPr>
            <w:tcW w:w="171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793,402</w:t>
            </w:r>
          </w:p>
        </w:tc>
        <w:tc>
          <w:tcPr>
            <w:tcW w:w="242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29,355,874</w:t>
            </w:r>
          </w:p>
        </w:tc>
      </w:tr>
      <w:tr w:rsidR="00204E5C" w:rsidRPr="00204E5C" w:rsidTr="00DD1FF7">
        <w:trPr>
          <w:trHeight w:val="300"/>
        </w:trPr>
        <w:tc>
          <w:tcPr>
            <w:tcW w:w="1298"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right"/>
              <w:rPr>
                <w:rFonts w:ascii="Calibri" w:eastAsia="Times New Roman" w:hAnsi="Calibri" w:cs="Times New Roman"/>
                <w:color w:val="000000"/>
              </w:rPr>
            </w:pPr>
            <w:r w:rsidRPr="00204E5C">
              <w:rPr>
                <w:rFonts w:ascii="Calibri" w:eastAsia="Times New Roman" w:hAnsi="Calibri" w:cs="Times New Roman"/>
                <w:color w:val="000000"/>
              </w:rPr>
              <w:t>2002</w:t>
            </w:r>
          </w:p>
        </w:tc>
        <w:tc>
          <w:tcPr>
            <w:tcW w:w="344"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p>
        </w:tc>
        <w:tc>
          <w:tcPr>
            <w:tcW w:w="3150"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365,945</w:t>
            </w:r>
          </w:p>
        </w:tc>
        <w:tc>
          <w:tcPr>
            <w:tcW w:w="171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506,696</w:t>
            </w:r>
          </w:p>
        </w:tc>
        <w:tc>
          <w:tcPr>
            <w:tcW w:w="242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18,747,752</w:t>
            </w:r>
          </w:p>
        </w:tc>
      </w:tr>
      <w:tr w:rsidR="00204E5C" w:rsidRPr="00204E5C" w:rsidTr="00DD1FF7">
        <w:trPr>
          <w:trHeight w:val="300"/>
        </w:trPr>
        <w:tc>
          <w:tcPr>
            <w:tcW w:w="1298"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right"/>
              <w:rPr>
                <w:rFonts w:ascii="Calibri" w:eastAsia="Times New Roman" w:hAnsi="Calibri" w:cs="Times New Roman"/>
                <w:color w:val="000000"/>
              </w:rPr>
            </w:pPr>
            <w:r w:rsidRPr="00204E5C">
              <w:rPr>
                <w:rFonts w:ascii="Calibri" w:eastAsia="Times New Roman" w:hAnsi="Calibri" w:cs="Times New Roman"/>
                <w:color w:val="000000"/>
              </w:rPr>
              <w:t>2001</w:t>
            </w:r>
          </w:p>
        </w:tc>
        <w:tc>
          <w:tcPr>
            <w:tcW w:w="344"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p>
        </w:tc>
        <w:tc>
          <w:tcPr>
            <w:tcW w:w="3150"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106,798</w:t>
            </w:r>
          </w:p>
        </w:tc>
        <w:tc>
          <w:tcPr>
            <w:tcW w:w="171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329,126</w:t>
            </w:r>
          </w:p>
        </w:tc>
        <w:tc>
          <w:tcPr>
            <w:tcW w:w="242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12,177,662</w:t>
            </w:r>
          </w:p>
        </w:tc>
      </w:tr>
      <w:tr w:rsidR="00204E5C" w:rsidRPr="00204E5C" w:rsidTr="00DD1FF7">
        <w:trPr>
          <w:trHeight w:val="300"/>
        </w:trPr>
        <w:tc>
          <w:tcPr>
            <w:tcW w:w="1642" w:type="dxa"/>
            <w:gridSpan w:val="2"/>
            <w:tcBorders>
              <w:top w:val="nil"/>
              <w:left w:val="nil"/>
              <w:bottom w:val="nil"/>
              <w:right w:val="nil"/>
            </w:tcBorders>
            <w:shd w:val="clear" w:color="auto" w:fill="auto"/>
            <w:noWrap/>
            <w:vAlign w:val="bottom"/>
          </w:tcPr>
          <w:p w:rsidR="00204E5C" w:rsidRPr="00204E5C" w:rsidRDefault="00204E5C" w:rsidP="00204E5C">
            <w:pPr>
              <w:spacing w:after="0" w:line="240" w:lineRule="auto"/>
              <w:rPr>
                <w:rFonts w:ascii="Calibri" w:eastAsia="Times New Roman" w:hAnsi="Calibri" w:cs="Times New Roman"/>
                <w:color w:val="000000"/>
              </w:rPr>
            </w:pPr>
          </w:p>
        </w:tc>
        <w:tc>
          <w:tcPr>
            <w:tcW w:w="3150" w:type="dxa"/>
            <w:tcBorders>
              <w:top w:val="nil"/>
              <w:left w:val="nil"/>
              <w:bottom w:val="nil"/>
              <w:right w:val="nil"/>
            </w:tcBorders>
            <w:shd w:val="clear" w:color="auto" w:fill="auto"/>
            <w:noWrap/>
            <w:vAlign w:val="bottom"/>
          </w:tcPr>
          <w:p w:rsidR="00204E5C" w:rsidRPr="00204E5C" w:rsidRDefault="00204E5C" w:rsidP="00204E5C">
            <w:pPr>
              <w:spacing w:after="0" w:line="240" w:lineRule="auto"/>
              <w:jc w:val="center"/>
              <w:rPr>
                <w:rFonts w:ascii="Calibri" w:eastAsia="Times New Roman" w:hAnsi="Calibri" w:cs="Times New Roman"/>
                <w:color w:val="000000"/>
              </w:rPr>
            </w:pPr>
          </w:p>
        </w:tc>
        <w:tc>
          <w:tcPr>
            <w:tcW w:w="1717" w:type="dxa"/>
            <w:tcBorders>
              <w:top w:val="nil"/>
              <w:left w:val="nil"/>
              <w:bottom w:val="nil"/>
              <w:right w:val="nil"/>
            </w:tcBorders>
            <w:shd w:val="clear" w:color="auto" w:fill="auto"/>
            <w:noWrap/>
            <w:vAlign w:val="bottom"/>
          </w:tcPr>
          <w:p w:rsidR="00204E5C" w:rsidRPr="00204E5C" w:rsidRDefault="00204E5C" w:rsidP="00204E5C">
            <w:pPr>
              <w:spacing w:after="0" w:line="240" w:lineRule="auto"/>
              <w:rPr>
                <w:rFonts w:ascii="Calibri" w:eastAsia="Times New Roman" w:hAnsi="Calibri" w:cs="Times New Roman"/>
                <w:color w:val="000000"/>
              </w:rPr>
            </w:pPr>
          </w:p>
        </w:tc>
        <w:tc>
          <w:tcPr>
            <w:tcW w:w="2427" w:type="dxa"/>
            <w:tcBorders>
              <w:top w:val="nil"/>
              <w:left w:val="nil"/>
              <w:bottom w:val="nil"/>
              <w:right w:val="nil"/>
            </w:tcBorders>
            <w:shd w:val="clear" w:color="auto" w:fill="auto"/>
            <w:noWrap/>
            <w:vAlign w:val="bottom"/>
          </w:tcPr>
          <w:p w:rsidR="00204E5C" w:rsidRPr="00204E5C" w:rsidRDefault="00204E5C" w:rsidP="00204E5C">
            <w:pPr>
              <w:spacing w:after="0" w:line="240" w:lineRule="auto"/>
              <w:jc w:val="center"/>
              <w:rPr>
                <w:rFonts w:ascii="Calibri" w:eastAsia="Times New Roman" w:hAnsi="Calibri" w:cs="Times New Roman"/>
                <w:color w:val="000000"/>
              </w:rPr>
            </w:pPr>
          </w:p>
        </w:tc>
      </w:tr>
      <w:tr w:rsidR="00204E5C" w:rsidRPr="00204E5C" w:rsidTr="00DD1FF7">
        <w:trPr>
          <w:trHeight w:val="300"/>
        </w:trPr>
        <w:tc>
          <w:tcPr>
            <w:tcW w:w="1642" w:type="dxa"/>
            <w:gridSpan w:val="2"/>
            <w:tcBorders>
              <w:top w:val="nil"/>
              <w:left w:val="nil"/>
              <w:bottom w:val="nil"/>
              <w:right w:val="nil"/>
            </w:tcBorders>
            <w:shd w:val="clear" w:color="auto" w:fill="auto"/>
            <w:noWrap/>
            <w:vAlign w:val="bottom"/>
            <w:hideMark/>
          </w:tcPr>
          <w:p w:rsidR="00204E5C" w:rsidRPr="00204E5C" w:rsidRDefault="00204E5C" w:rsidP="00204E5C">
            <w:pPr>
              <w:spacing w:after="0" w:line="240" w:lineRule="auto"/>
              <w:rPr>
                <w:rFonts w:ascii="Calibri" w:eastAsia="Times New Roman" w:hAnsi="Calibri" w:cs="Times New Roman"/>
                <w:color w:val="000000"/>
              </w:rPr>
            </w:pPr>
            <w:r w:rsidRPr="00204E5C">
              <w:rPr>
                <w:rFonts w:ascii="Calibri" w:eastAsia="Times New Roman" w:hAnsi="Calibri" w:cs="Times New Roman"/>
                <w:color w:val="000000"/>
              </w:rPr>
              <w:t>AVG. 2001-2014</w:t>
            </w:r>
          </w:p>
        </w:tc>
        <w:tc>
          <w:tcPr>
            <w:tcW w:w="3150"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304,655</w:t>
            </w:r>
          </w:p>
        </w:tc>
        <w:tc>
          <w:tcPr>
            <w:tcW w:w="171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rPr>
                <w:rFonts w:ascii="Calibri" w:eastAsia="Times New Roman" w:hAnsi="Calibri" w:cs="Times New Roman"/>
                <w:color w:val="000000"/>
              </w:rPr>
            </w:pPr>
            <w:r w:rsidRPr="00204E5C">
              <w:rPr>
                <w:rFonts w:ascii="Calibri" w:eastAsia="Times New Roman" w:hAnsi="Calibri" w:cs="Times New Roman"/>
                <w:color w:val="000000"/>
              </w:rPr>
              <w:t xml:space="preserve">         559,706 </w:t>
            </w:r>
          </w:p>
        </w:tc>
        <w:tc>
          <w:tcPr>
            <w:tcW w:w="242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jc w:val="center"/>
              <w:rPr>
                <w:rFonts w:ascii="Calibri" w:eastAsia="Times New Roman" w:hAnsi="Calibri" w:cs="Times New Roman"/>
                <w:color w:val="000000"/>
              </w:rPr>
            </w:pPr>
            <w:r w:rsidRPr="00204E5C">
              <w:rPr>
                <w:rFonts w:ascii="Calibri" w:eastAsia="Times New Roman" w:hAnsi="Calibri" w:cs="Times New Roman"/>
                <w:color w:val="000000"/>
              </w:rPr>
              <w:t>20,709,114</w:t>
            </w:r>
          </w:p>
        </w:tc>
      </w:tr>
      <w:tr w:rsidR="00204E5C" w:rsidRPr="00204E5C" w:rsidTr="00DD1FF7">
        <w:trPr>
          <w:trHeight w:val="300"/>
        </w:trPr>
        <w:tc>
          <w:tcPr>
            <w:tcW w:w="1298"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rPr>
                <w:rFonts w:ascii="Calibri" w:eastAsia="Times New Roman" w:hAnsi="Calibri" w:cs="Times New Roman"/>
                <w:color w:val="000000"/>
              </w:rPr>
            </w:pPr>
          </w:p>
        </w:tc>
        <w:tc>
          <w:tcPr>
            <w:tcW w:w="344"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rPr>
                <w:rFonts w:ascii="Times New Roman" w:eastAsia="Times New Roman" w:hAnsi="Times New Roman" w:cs="Times New Roman"/>
                <w:sz w:val="20"/>
                <w:szCs w:val="20"/>
              </w:rPr>
            </w:pPr>
          </w:p>
        </w:tc>
        <w:tc>
          <w:tcPr>
            <w:tcW w:w="3150"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rPr>
                <w:rFonts w:ascii="Times New Roman" w:eastAsia="Times New Roman" w:hAnsi="Times New Roman" w:cs="Times New Roman"/>
                <w:sz w:val="20"/>
                <w:szCs w:val="20"/>
              </w:rPr>
            </w:pPr>
          </w:p>
        </w:tc>
        <w:tc>
          <w:tcPr>
            <w:tcW w:w="171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rPr>
                <w:rFonts w:ascii="Times New Roman" w:eastAsia="Times New Roman" w:hAnsi="Times New Roman" w:cs="Times New Roman"/>
                <w:sz w:val="20"/>
                <w:szCs w:val="20"/>
              </w:rPr>
            </w:pPr>
          </w:p>
        </w:tc>
        <w:tc>
          <w:tcPr>
            <w:tcW w:w="242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rPr>
                <w:rFonts w:ascii="Times New Roman" w:eastAsia="Times New Roman" w:hAnsi="Times New Roman" w:cs="Times New Roman"/>
                <w:sz w:val="20"/>
                <w:szCs w:val="20"/>
              </w:rPr>
            </w:pPr>
          </w:p>
        </w:tc>
      </w:tr>
      <w:tr w:rsidR="00204E5C" w:rsidRPr="00204E5C" w:rsidTr="00DD1FF7">
        <w:trPr>
          <w:trHeight w:val="300"/>
        </w:trPr>
        <w:tc>
          <w:tcPr>
            <w:tcW w:w="4792" w:type="dxa"/>
            <w:gridSpan w:val="3"/>
            <w:tcBorders>
              <w:top w:val="nil"/>
              <w:left w:val="nil"/>
              <w:bottom w:val="nil"/>
              <w:right w:val="nil"/>
            </w:tcBorders>
            <w:shd w:val="clear" w:color="auto" w:fill="auto"/>
            <w:noWrap/>
            <w:vAlign w:val="bottom"/>
            <w:hideMark/>
          </w:tcPr>
          <w:p w:rsidR="00204E5C" w:rsidRPr="00204E5C" w:rsidRDefault="00204E5C" w:rsidP="00204E5C">
            <w:pPr>
              <w:spacing w:after="0" w:line="240" w:lineRule="auto"/>
              <w:rPr>
                <w:rFonts w:ascii="Calibri" w:eastAsia="Times New Roman" w:hAnsi="Calibri" w:cs="Times New Roman"/>
                <w:color w:val="000000"/>
              </w:rPr>
            </w:pPr>
            <w:r w:rsidRPr="00204E5C">
              <w:rPr>
                <w:rFonts w:ascii="Calibri" w:eastAsia="Times New Roman" w:hAnsi="Calibri" w:cs="Times New Roman"/>
                <w:color w:val="000000"/>
              </w:rPr>
              <w:t>* - 20% of acreage in California; 53% of acres burned</w:t>
            </w:r>
          </w:p>
        </w:tc>
        <w:tc>
          <w:tcPr>
            <w:tcW w:w="171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rPr>
                <w:rFonts w:ascii="Calibri" w:eastAsia="Times New Roman" w:hAnsi="Calibri" w:cs="Times New Roman"/>
                <w:color w:val="000000"/>
              </w:rPr>
            </w:pPr>
          </w:p>
        </w:tc>
        <w:tc>
          <w:tcPr>
            <w:tcW w:w="242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rPr>
                <w:rFonts w:ascii="Times New Roman" w:eastAsia="Times New Roman" w:hAnsi="Times New Roman" w:cs="Times New Roman"/>
                <w:sz w:val="20"/>
                <w:szCs w:val="20"/>
              </w:rPr>
            </w:pPr>
          </w:p>
        </w:tc>
      </w:tr>
    </w:tbl>
    <w:p w:rsidR="00204E5C" w:rsidRPr="00204E5C" w:rsidRDefault="00204E5C" w:rsidP="00204E5C"/>
    <w:tbl>
      <w:tblPr>
        <w:tblW w:w="8936" w:type="dxa"/>
        <w:tblLook w:val="04A0" w:firstRow="1" w:lastRow="0" w:firstColumn="1" w:lastColumn="0" w:noHBand="0" w:noVBand="1"/>
      </w:tblPr>
      <w:tblGrid>
        <w:gridCol w:w="6509"/>
        <w:gridCol w:w="2427"/>
      </w:tblGrid>
      <w:tr w:rsidR="00204E5C" w:rsidRPr="00204E5C" w:rsidTr="00DD1FF7">
        <w:trPr>
          <w:trHeight w:val="300"/>
        </w:trPr>
        <w:tc>
          <w:tcPr>
            <w:tcW w:w="6509"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rPr>
                <w:rFonts w:ascii="Calibri" w:eastAsia="Times New Roman" w:hAnsi="Calibri" w:cs="Times New Roman"/>
                <w:color w:val="000000"/>
              </w:rPr>
            </w:pPr>
            <w:r w:rsidRPr="00204E5C">
              <w:rPr>
                <w:rFonts w:ascii="Calibri" w:eastAsia="Times New Roman" w:hAnsi="Calibri" w:cs="Times New Roman"/>
                <w:color w:val="000000"/>
              </w:rPr>
              <w:t xml:space="preserve">Source:  </w:t>
            </w:r>
            <w:hyperlink r:id="rId15" w:history="1">
              <w:r w:rsidRPr="00204E5C">
                <w:rPr>
                  <w:rFonts w:ascii="Calibri" w:eastAsia="Times New Roman" w:hAnsi="Calibri" w:cs="Times New Roman"/>
                  <w:color w:val="0563C1" w:themeColor="hyperlink"/>
                  <w:u w:val="single"/>
                </w:rPr>
                <w:t>http://www.nifc.gov/fireInfo/fireInfo_statistics.html</w:t>
              </w:r>
            </w:hyperlink>
            <w:r w:rsidRPr="00204E5C">
              <w:rPr>
                <w:rFonts w:ascii="Calibri" w:eastAsia="Times New Roman" w:hAnsi="Calibri" w:cs="Times New Roman"/>
                <w:color w:val="000000"/>
              </w:rPr>
              <w:t xml:space="preserve"> </w:t>
            </w:r>
          </w:p>
          <w:p w:rsidR="00204E5C" w:rsidRPr="00204E5C" w:rsidRDefault="00204E5C" w:rsidP="00204E5C">
            <w:pPr>
              <w:spacing w:after="0" w:line="240" w:lineRule="auto"/>
              <w:rPr>
                <w:rFonts w:ascii="Calibri" w:eastAsia="Times New Roman" w:hAnsi="Calibri" w:cs="Times New Roman"/>
                <w:color w:val="000000"/>
              </w:rPr>
            </w:pPr>
          </w:p>
        </w:tc>
        <w:tc>
          <w:tcPr>
            <w:tcW w:w="2427" w:type="dxa"/>
            <w:tcBorders>
              <w:top w:val="nil"/>
              <w:left w:val="nil"/>
              <w:bottom w:val="nil"/>
              <w:right w:val="nil"/>
            </w:tcBorders>
            <w:shd w:val="clear" w:color="auto" w:fill="auto"/>
            <w:noWrap/>
            <w:vAlign w:val="bottom"/>
            <w:hideMark/>
          </w:tcPr>
          <w:p w:rsidR="00204E5C" w:rsidRPr="00204E5C" w:rsidRDefault="00204E5C" w:rsidP="00204E5C">
            <w:pPr>
              <w:spacing w:after="0" w:line="240" w:lineRule="auto"/>
              <w:rPr>
                <w:rFonts w:ascii="Calibri" w:eastAsia="Times New Roman" w:hAnsi="Calibri" w:cs="Times New Roman"/>
                <w:color w:val="000000"/>
              </w:rPr>
            </w:pPr>
          </w:p>
        </w:tc>
      </w:tr>
    </w:tbl>
    <w:p w:rsidR="00204E5C" w:rsidRPr="00204E5C" w:rsidRDefault="00204E5C" w:rsidP="00204E5C">
      <w:r w:rsidRPr="00204E5C">
        <w:br w:type="page"/>
      </w:r>
    </w:p>
    <w:tbl>
      <w:tblPr>
        <w:tblW w:w="8936" w:type="dxa"/>
        <w:tblLook w:val="04A0" w:firstRow="1" w:lastRow="0" w:firstColumn="1" w:lastColumn="0" w:noHBand="0" w:noVBand="1"/>
      </w:tblPr>
      <w:tblGrid>
        <w:gridCol w:w="6509"/>
        <w:gridCol w:w="2427"/>
      </w:tblGrid>
      <w:tr w:rsidR="00204E5C" w:rsidRPr="00204E5C" w:rsidTr="00DD1FF7">
        <w:trPr>
          <w:trHeight w:val="300"/>
        </w:trPr>
        <w:tc>
          <w:tcPr>
            <w:tcW w:w="6509" w:type="dxa"/>
            <w:tcBorders>
              <w:top w:val="nil"/>
              <w:left w:val="nil"/>
              <w:bottom w:val="nil"/>
              <w:right w:val="nil"/>
            </w:tcBorders>
            <w:shd w:val="clear" w:color="auto" w:fill="auto"/>
            <w:noWrap/>
            <w:vAlign w:val="bottom"/>
          </w:tcPr>
          <w:p w:rsidR="00204E5C" w:rsidRPr="00204E5C" w:rsidRDefault="00204E5C" w:rsidP="00204E5C">
            <w:pPr>
              <w:spacing w:after="0" w:line="240" w:lineRule="auto"/>
              <w:rPr>
                <w:rFonts w:ascii="Calibri" w:eastAsia="Times New Roman" w:hAnsi="Calibri" w:cs="Times New Roman"/>
                <w:color w:val="000000"/>
              </w:rPr>
            </w:pPr>
          </w:p>
        </w:tc>
        <w:tc>
          <w:tcPr>
            <w:tcW w:w="2427" w:type="dxa"/>
            <w:tcBorders>
              <w:top w:val="nil"/>
              <w:left w:val="nil"/>
              <w:bottom w:val="nil"/>
              <w:right w:val="nil"/>
            </w:tcBorders>
            <w:shd w:val="clear" w:color="auto" w:fill="auto"/>
            <w:noWrap/>
            <w:vAlign w:val="bottom"/>
          </w:tcPr>
          <w:p w:rsidR="00204E5C" w:rsidRPr="00204E5C" w:rsidRDefault="00204E5C" w:rsidP="00204E5C">
            <w:pPr>
              <w:spacing w:after="0" w:line="240" w:lineRule="auto"/>
              <w:rPr>
                <w:rFonts w:ascii="Calibri" w:eastAsia="Times New Roman" w:hAnsi="Calibri" w:cs="Times New Roman"/>
                <w:color w:val="000000"/>
              </w:rPr>
            </w:pPr>
          </w:p>
        </w:tc>
      </w:tr>
    </w:tbl>
    <w:p w:rsidR="00204E5C" w:rsidRPr="00204E5C" w:rsidRDefault="00204E5C" w:rsidP="00204E5C">
      <w:pPr>
        <w:rPr>
          <w:rFonts w:ascii="Cambria" w:hAnsi="Cambria"/>
          <w:b/>
          <w:sz w:val="24"/>
          <w:szCs w:val="24"/>
        </w:rPr>
      </w:pPr>
      <w:r w:rsidRPr="00204E5C">
        <w:rPr>
          <w:rFonts w:ascii="Cambria" w:hAnsi="Cambria"/>
          <w:b/>
          <w:sz w:val="24"/>
          <w:szCs w:val="24"/>
        </w:rPr>
        <w:t>Enclosure #4:</w:t>
      </w:r>
    </w:p>
    <w:p w:rsidR="00204E5C" w:rsidRPr="00204E5C" w:rsidRDefault="00204E5C" w:rsidP="00204E5C">
      <w:pPr>
        <w:rPr>
          <w:b/>
        </w:rPr>
      </w:pPr>
    </w:p>
    <w:p w:rsidR="00204E5C" w:rsidRPr="00204E5C" w:rsidRDefault="00204E5C" w:rsidP="00204E5C">
      <w:pPr>
        <w:rPr>
          <w:b/>
        </w:rPr>
      </w:pPr>
      <w:r w:rsidRPr="00204E5C">
        <w:rPr>
          <w:b/>
          <w:noProof/>
        </w:rPr>
        <w:drawing>
          <wp:inline distT="0" distB="0" distL="0" distR="0" wp14:anchorId="4CCA05C3" wp14:editId="7D4BDDFB">
            <wp:extent cx="6642099" cy="498157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82471" cy="5011854"/>
                    </a:xfrm>
                    <a:prstGeom prst="rect">
                      <a:avLst/>
                    </a:prstGeom>
                  </pic:spPr>
                </pic:pic>
              </a:graphicData>
            </a:graphic>
          </wp:inline>
        </w:drawing>
      </w:r>
    </w:p>
    <w:p w:rsidR="00204E5C" w:rsidRPr="00204E5C" w:rsidRDefault="00204E5C" w:rsidP="00204E5C">
      <w:pPr>
        <w:rPr>
          <w:rFonts w:ascii="Cambria" w:hAnsi="Cambria"/>
          <w:b/>
          <w:sz w:val="24"/>
          <w:szCs w:val="24"/>
        </w:rPr>
      </w:pPr>
    </w:p>
    <w:p w:rsidR="00204E5C" w:rsidRPr="00204E5C" w:rsidRDefault="00204E5C" w:rsidP="00204E5C">
      <w:pPr>
        <w:rPr>
          <w:rFonts w:ascii="Cambria" w:hAnsi="Cambria"/>
          <w:sz w:val="24"/>
          <w:szCs w:val="24"/>
        </w:rPr>
      </w:pPr>
      <w:r w:rsidRPr="00204E5C">
        <w:rPr>
          <w:rFonts w:ascii="Cambria" w:hAnsi="Cambria"/>
          <w:sz w:val="24"/>
          <w:szCs w:val="24"/>
        </w:rPr>
        <w:t>April 1979. E.F. Darling. Cal/ARB Project A7-068-30, University of California, Riverside. “Hydrocarbons Characterization of Agricultural Waste Burning.”</w:t>
      </w:r>
    </w:p>
    <w:p w:rsidR="00204E5C" w:rsidRPr="00204E5C" w:rsidRDefault="00204E5C" w:rsidP="00204E5C">
      <w:pPr>
        <w:rPr>
          <w:rFonts w:ascii="Cambria" w:hAnsi="Cambria"/>
          <w:sz w:val="24"/>
          <w:szCs w:val="24"/>
        </w:rPr>
      </w:pPr>
      <w:r w:rsidRPr="00204E5C">
        <w:rPr>
          <w:rFonts w:ascii="Cambria" w:hAnsi="Cambria"/>
          <w:sz w:val="24"/>
          <w:szCs w:val="24"/>
        </w:rPr>
        <w:br w:type="page"/>
      </w:r>
    </w:p>
    <w:p w:rsidR="00204E5C" w:rsidRDefault="00204E5C" w:rsidP="00204E5C">
      <w:pPr>
        <w:rPr>
          <w:rFonts w:ascii="Cambria" w:hAnsi="Cambria"/>
          <w:sz w:val="24"/>
          <w:szCs w:val="24"/>
        </w:rPr>
      </w:pPr>
      <w:r w:rsidRPr="00204E5C">
        <w:rPr>
          <w:rFonts w:ascii="Cambria" w:hAnsi="Cambria"/>
          <w:b/>
          <w:sz w:val="24"/>
          <w:szCs w:val="24"/>
        </w:rPr>
        <w:lastRenderedPageBreak/>
        <w:t>Enclosure #5 -</w:t>
      </w:r>
      <w:r w:rsidRPr="00204E5C">
        <w:rPr>
          <w:rFonts w:ascii="Cambria" w:hAnsi="Cambria"/>
          <w:sz w:val="24"/>
          <w:szCs w:val="24"/>
        </w:rPr>
        <w:t>“Forest Wood Residues and the California Biomass Powerplant Industry (VERSION 7)” by Steve Brink, October 4, 2015</w:t>
      </w:r>
    </w:p>
    <w:p w:rsidR="004E4AAA" w:rsidRDefault="00204E5C" w:rsidP="00204E5C">
      <w:pPr>
        <w:jc w:val="right"/>
        <w:rPr>
          <w:rFonts w:ascii="Cambria" w:hAnsi="Cambria"/>
          <w:sz w:val="24"/>
          <w:szCs w:val="24"/>
        </w:rPr>
      </w:pPr>
      <w:r>
        <w:rPr>
          <w:rFonts w:ascii="Cambria" w:hAnsi="Cambria"/>
          <w:sz w:val="24"/>
          <w:szCs w:val="24"/>
        </w:rPr>
        <w:t>O</w:t>
      </w:r>
      <w:bookmarkStart w:id="0" w:name="_GoBack"/>
      <w:bookmarkEnd w:id="0"/>
      <w:r w:rsidR="00170DAD">
        <w:rPr>
          <w:rFonts w:ascii="Cambria" w:hAnsi="Cambria"/>
          <w:sz w:val="24"/>
          <w:szCs w:val="24"/>
        </w:rPr>
        <w:t>ctober 4</w:t>
      </w:r>
      <w:r w:rsidR="004E4AAA">
        <w:rPr>
          <w:rFonts w:ascii="Cambria" w:hAnsi="Cambria"/>
          <w:sz w:val="24"/>
          <w:szCs w:val="24"/>
        </w:rPr>
        <w:t>, 2015</w:t>
      </w:r>
    </w:p>
    <w:p w:rsidR="004E4AAA" w:rsidRPr="00D140C4" w:rsidRDefault="004E4AAA" w:rsidP="004E4AAA">
      <w:pPr>
        <w:rPr>
          <w:rFonts w:ascii="Cambria" w:hAnsi="Cambria"/>
          <w:b/>
          <w:sz w:val="24"/>
          <w:szCs w:val="24"/>
        </w:rPr>
      </w:pPr>
      <w:r w:rsidRPr="00D140C4">
        <w:rPr>
          <w:rFonts w:ascii="Cambria" w:hAnsi="Cambria"/>
          <w:b/>
          <w:sz w:val="24"/>
          <w:szCs w:val="24"/>
        </w:rPr>
        <w:t>Forest Wood Residues and the Califor</w:t>
      </w:r>
      <w:r w:rsidR="00485DCD" w:rsidRPr="00D140C4">
        <w:rPr>
          <w:rFonts w:ascii="Cambria" w:hAnsi="Cambria"/>
          <w:b/>
          <w:sz w:val="24"/>
          <w:szCs w:val="24"/>
        </w:rPr>
        <w:t>nia Biomass Powerplant Industry</w:t>
      </w:r>
      <w:r w:rsidR="00316B87">
        <w:rPr>
          <w:rFonts w:ascii="Cambria" w:hAnsi="Cambria"/>
          <w:b/>
          <w:sz w:val="24"/>
          <w:szCs w:val="24"/>
        </w:rPr>
        <w:t xml:space="preserve"> (VERSION 7</w:t>
      </w:r>
      <w:r w:rsidR="008B4B7F">
        <w:rPr>
          <w:rFonts w:ascii="Cambria" w:hAnsi="Cambria"/>
          <w:b/>
          <w:sz w:val="24"/>
          <w:szCs w:val="24"/>
        </w:rPr>
        <w:t>)</w:t>
      </w:r>
    </w:p>
    <w:p w:rsidR="00485DCD" w:rsidRDefault="00485DCD" w:rsidP="004E4AAA">
      <w:pPr>
        <w:rPr>
          <w:rFonts w:ascii="Cambria" w:hAnsi="Cambria"/>
          <w:sz w:val="24"/>
          <w:szCs w:val="24"/>
        </w:rPr>
      </w:pPr>
      <w:r>
        <w:rPr>
          <w:rFonts w:ascii="Cambria" w:hAnsi="Cambria"/>
          <w:sz w:val="24"/>
          <w:szCs w:val="24"/>
        </w:rPr>
        <w:t>This paper is divided up into several Chapters:</w:t>
      </w:r>
    </w:p>
    <w:p w:rsidR="00AA3DA5" w:rsidRPr="00AA3DA5" w:rsidRDefault="00AA3DA5" w:rsidP="00AA3DA5">
      <w:pPr>
        <w:pStyle w:val="ListParagraph"/>
        <w:numPr>
          <w:ilvl w:val="0"/>
          <w:numId w:val="3"/>
        </w:numPr>
        <w:rPr>
          <w:rFonts w:ascii="Cambria" w:hAnsi="Cambria"/>
          <w:sz w:val="24"/>
          <w:szCs w:val="24"/>
        </w:rPr>
      </w:pPr>
      <w:r>
        <w:rPr>
          <w:rFonts w:ascii="Cambria" w:hAnsi="Cambria"/>
          <w:sz w:val="24"/>
          <w:szCs w:val="24"/>
        </w:rPr>
        <w:t>Executive Summary</w:t>
      </w:r>
    </w:p>
    <w:p w:rsidR="00485DCD" w:rsidRDefault="00485DCD" w:rsidP="00485DCD">
      <w:pPr>
        <w:pStyle w:val="ListParagraph"/>
        <w:numPr>
          <w:ilvl w:val="0"/>
          <w:numId w:val="3"/>
        </w:numPr>
        <w:rPr>
          <w:rFonts w:ascii="Cambria" w:hAnsi="Cambria"/>
          <w:sz w:val="24"/>
          <w:szCs w:val="24"/>
        </w:rPr>
      </w:pPr>
      <w:r>
        <w:rPr>
          <w:rFonts w:ascii="Cambria" w:hAnsi="Cambria"/>
          <w:sz w:val="24"/>
          <w:szCs w:val="24"/>
        </w:rPr>
        <w:t>History of and current situation with California’s Wood-Fired Heat and Power Industry</w:t>
      </w:r>
    </w:p>
    <w:p w:rsidR="00485DCD" w:rsidRDefault="00485DCD" w:rsidP="00485DCD">
      <w:pPr>
        <w:pStyle w:val="ListParagraph"/>
        <w:numPr>
          <w:ilvl w:val="0"/>
          <w:numId w:val="3"/>
        </w:numPr>
        <w:rPr>
          <w:rFonts w:ascii="Cambria" w:hAnsi="Cambria"/>
          <w:sz w:val="24"/>
          <w:szCs w:val="24"/>
        </w:rPr>
      </w:pPr>
      <w:r>
        <w:rPr>
          <w:rFonts w:ascii="Cambria" w:hAnsi="Cambria"/>
          <w:sz w:val="24"/>
          <w:szCs w:val="24"/>
        </w:rPr>
        <w:t>Social and Environmental Benefits of a Healthy Biomass Powerplant Industry</w:t>
      </w:r>
    </w:p>
    <w:p w:rsidR="00485DCD" w:rsidRDefault="00485DCD" w:rsidP="00485DCD">
      <w:pPr>
        <w:pStyle w:val="ListParagraph"/>
        <w:rPr>
          <w:rFonts w:ascii="Cambria" w:hAnsi="Cambria"/>
          <w:sz w:val="24"/>
          <w:szCs w:val="24"/>
        </w:rPr>
      </w:pPr>
      <w:r>
        <w:rPr>
          <w:rFonts w:ascii="Cambria" w:hAnsi="Cambria"/>
          <w:sz w:val="24"/>
          <w:szCs w:val="24"/>
        </w:rPr>
        <w:t>Reduced risk of large wildfires</w:t>
      </w:r>
    </w:p>
    <w:p w:rsidR="00485DCD" w:rsidRDefault="00485DCD" w:rsidP="00485DCD">
      <w:pPr>
        <w:pStyle w:val="ListParagraph"/>
        <w:rPr>
          <w:rFonts w:ascii="Cambria" w:hAnsi="Cambria"/>
          <w:sz w:val="24"/>
          <w:szCs w:val="24"/>
        </w:rPr>
      </w:pPr>
      <w:r>
        <w:rPr>
          <w:rFonts w:ascii="Cambria" w:hAnsi="Cambria"/>
          <w:sz w:val="24"/>
          <w:szCs w:val="24"/>
        </w:rPr>
        <w:t>Criteria Pollutants</w:t>
      </w:r>
    </w:p>
    <w:p w:rsidR="00485DCD" w:rsidRDefault="00485DCD" w:rsidP="00485DCD">
      <w:pPr>
        <w:pStyle w:val="ListParagraph"/>
        <w:numPr>
          <w:ilvl w:val="0"/>
          <w:numId w:val="3"/>
        </w:numPr>
        <w:rPr>
          <w:rFonts w:ascii="Cambria" w:hAnsi="Cambria"/>
          <w:sz w:val="24"/>
          <w:szCs w:val="24"/>
        </w:rPr>
      </w:pPr>
      <w:r>
        <w:rPr>
          <w:rFonts w:ascii="Cambria" w:hAnsi="Cambria"/>
          <w:sz w:val="24"/>
          <w:szCs w:val="24"/>
        </w:rPr>
        <w:t>CO2 emissions and black carbon reduction  benefits from Active Forest Management and the Wood Residues it produces</w:t>
      </w:r>
    </w:p>
    <w:p w:rsidR="00485DCD" w:rsidRDefault="00485DCD" w:rsidP="00485DCD">
      <w:pPr>
        <w:pStyle w:val="ListParagraph"/>
        <w:numPr>
          <w:ilvl w:val="0"/>
          <w:numId w:val="3"/>
        </w:numPr>
        <w:rPr>
          <w:rFonts w:ascii="Cambria" w:hAnsi="Cambria"/>
          <w:sz w:val="24"/>
          <w:szCs w:val="24"/>
        </w:rPr>
      </w:pPr>
      <w:r>
        <w:rPr>
          <w:rFonts w:ascii="Cambria" w:hAnsi="Cambria"/>
          <w:sz w:val="24"/>
          <w:szCs w:val="24"/>
        </w:rPr>
        <w:t>Current state of the Vegetation Condition on California’s National Forests</w:t>
      </w:r>
    </w:p>
    <w:p w:rsidR="00AA3DA5" w:rsidRDefault="00AA3DA5">
      <w:pPr>
        <w:rPr>
          <w:rFonts w:ascii="Cambria" w:hAnsi="Cambria"/>
          <w:sz w:val="24"/>
          <w:szCs w:val="24"/>
        </w:rPr>
      </w:pPr>
      <w:r>
        <w:rPr>
          <w:noProof/>
        </w:rPr>
        <w:drawing>
          <wp:inline distT="0" distB="0" distL="0" distR="0" wp14:anchorId="6414F78D" wp14:editId="1369CC2B">
            <wp:extent cx="5731922" cy="4234419"/>
            <wp:effectExtent l="0" t="0" r="254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srcRect/>
                    <a:stretch>
                      <a:fillRect/>
                    </a:stretch>
                  </pic:blipFill>
                  <pic:spPr bwMode="auto">
                    <a:xfrm>
                      <a:off x="0" y="0"/>
                      <a:ext cx="5822634" cy="4301432"/>
                    </a:xfrm>
                    <a:prstGeom prst="rect">
                      <a:avLst/>
                    </a:prstGeom>
                    <a:noFill/>
                    <a:ln w="9525">
                      <a:noFill/>
                      <a:miter lim="800000"/>
                      <a:headEnd/>
                      <a:tailEnd/>
                    </a:ln>
                    <a:effectLst/>
                  </pic:spPr>
                </pic:pic>
              </a:graphicData>
            </a:graphic>
          </wp:inline>
        </w:drawing>
      </w:r>
    </w:p>
    <w:p w:rsidR="008167BC" w:rsidRDefault="008167BC" w:rsidP="008167BC">
      <w:pPr>
        <w:pStyle w:val="ListParagraph"/>
        <w:ind w:left="360"/>
        <w:rPr>
          <w:rFonts w:ascii="Cambria" w:hAnsi="Cambria"/>
          <w:b/>
          <w:sz w:val="24"/>
          <w:szCs w:val="24"/>
        </w:rPr>
      </w:pPr>
    </w:p>
    <w:p w:rsidR="008167BC" w:rsidRDefault="00170DAD" w:rsidP="008167BC">
      <w:pPr>
        <w:pStyle w:val="ListParagraph"/>
        <w:ind w:left="360"/>
        <w:rPr>
          <w:rFonts w:ascii="Cambria" w:hAnsi="Cambria"/>
          <w:b/>
          <w:sz w:val="24"/>
          <w:szCs w:val="24"/>
        </w:rPr>
      </w:pPr>
      <w:r>
        <w:rPr>
          <w:rFonts w:ascii="Cambria" w:hAnsi="Cambria"/>
          <w:b/>
          <w:sz w:val="24"/>
          <w:szCs w:val="24"/>
        </w:rPr>
        <w:t>By Steven Brink</w:t>
      </w:r>
    </w:p>
    <w:p w:rsidR="00170DAD" w:rsidRDefault="00170DAD" w:rsidP="00170DAD">
      <w:pPr>
        <w:pStyle w:val="ListParagraph"/>
        <w:ind w:left="360"/>
        <w:rPr>
          <w:rFonts w:ascii="Cambria" w:hAnsi="Cambria"/>
          <w:b/>
          <w:sz w:val="24"/>
          <w:szCs w:val="24"/>
        </w:rPr>
      </w:pPr>
      <w:r>
        <w:rPr>
          <w:rFonts w:ascii="Cambria" w:hAnsi="Cambria"/>
          <w:b/>
          <w:sz w:val="24"/>
          <w:szCs w:val="24"/>
        </w:rPr>
        <w:t>Vice President- Public Resources</w:t>
      </w:r>
    </w:p>
    <w:p w:rsidR="00170DAD" w:rsidRPr="00170DAD" w:rsidRDefault="00170DAD" w:rsidP="00170DAD">
      <w:pPr>
        <w:pStyle w:val="ListParagraph"/>
        <w:ind w:left="360"/>
        <w:rPr>
          <w:rFonts w:ascii="Cambria" w:hAnsi="Cambria"/>
          <w:b/>
          <w:sz w:val="24"/>
          <w:szCs w:val="24"/>
        </w:rPr>
      </w:pPr>
      <w:r>
        <w:rPr>
          <w:rFonts w:ascii="Cambria" w:hAnsi="Cambria"/>
          <w:b/>
          <w:sz w:val="24"/>
          <w:szCs w:val="24"/>
        </w:rPr>
        <w:lastRenderedPageBreak/>
        <w:t>California Forestry Association</w:t>
      </w:r>
    </w:p>
    <w:p w:rsidR="008167BC" w:rsidRPr="008167BC" w:rsidRDefault="008167BC" w:rsidP="008167BC">
      <w:pPr>
        <w:pStyle w:val="ListParagraph"/>
        <w:ind w:left="360"/>
        <w:rPr>
          <w:rFonts w:ascii="Cambria" w:hAnsi="Cambria"/>
          <w:b/>
          <w:sz w:val="24"/>
          <w:szCs w:val="24"/>
        </w:rPr>
      </w:pPr>
    </w:p>
    <w:p w:rsidR="00AA3DA5" w:rsidRDefault="00AA3DA5" w:rsidP="00086540">
      <w:pPr>
        <w:pStyle w:val="ListParagraph"/>
        <w:numPr>
          <w:ilvl w:val="0"/>
          <w:numId w:val="25"/>
        </w:numPr>
        <w:ind w:left="360" w:hanging="360"/>
        <w:rPr>
          <w:rFonts w:ascii="Cambria" w:hAnsi="Cambria"/>
          <w:b/>
          <w:sz w:val="24"/>
          <w:szCs w:val="24"/>
        </w:rPr>
      </w:pPr>
      <w:r w:rsidRPr="00086540">
        <w:rPr>
          <w:rFonts w:ascii="Cambria" w:hAnsi="Cambria"/>
          <w:b/>
          <w:sz w:val="24"/>
          <w:szCs w:val="24"/>
        </w:rPr>
        <w:t>Executive Summary</w:t>
      </w:r>
    </w:p>
    <w:p w:rsidR="008167BC" w:rsidRPr="00086540" w:rsidRDefault="008167BC" w:rsidP="008167BC">
      <w:pPr>
        <w:pStyle w:val="ListParagraph"/>
        <w:ind w:left="360"/>
        <w:rPr>
          <w:rFonts w:ascii="Cambria" w:hAnsi="Cambria"/>
          <w:b/>
          <w:sz w:val="24"/>
          <w:szCs w:val="24"/>
        </w:rPr>
      </w:pPr>
    </w:p>
    <w:p w:rsidR="00D12C18" w:rsidRDefault="00D12C18" w:rsidP="00E91440">
      <w:pPr>
        <w:pStyle w:val="ListParagraph"/>
        <w:ind w:left="360"/>
        <w:rPr>
          <w:rFonts w:ascii="Cambria" w:hAnsi="Cambria"/>
          <w:sz w:val="24"/>
          <w:szCs w:val="24"/>
        </w:rPr>
      </w:pPr>
      <w:r>
        <w:rPr>
          <w:rFonts w:ascii="Cambria" w:hAnsi="Cambria"/>
          <w:sz w:val="24"/>
          <w:szCs w:val="24"/>
        </w:rPr>
        <w:t>California’s existing wood-fired heat and power industry is in serious trouble.  The industry has gone from 66 operating plants producing 957 megawatts (MW) down to the current level of 2</w:t>
      </w:r>
      <w:r w:rsidR="00DC1B1B">
        <w:rPr>
          <w:rFonts w:ascii="Cambria" w:hAnsi="Cambria"/>
          <w:sz w:val="24"/>
          <w:szCs w:val="24"/>
        </w:rPr>
        <w:t>1 operating plants and about 616</w:t>
      </w:r>
      <w:r>
        <w:rPr>
          <w:rFonts w:ascii="Cambria" w:hAnsi="Cambria"/>
          <w:sz w:val="24"/>
          <w:szCs w:val="24"/>
        </w:rPr>
        <w:t xml:space="preserve"> MW.  Closures will continue as energy price contracts expire</w:t>
      </w:r>
      <w:r w:rsidR="00DC1B1B">
        <w:rPr>
          <w:rFonts w:ascii="Cambria" w:hAnsi="Cambria"/>
          <w:sz w:val="24"/>
          <w:szCs w:val="24"/>
        </w:rPr>
        <w:t xml:space="preserve"> unless the environmental benefits are recognized in the energy price</w:t>
      </w:r>
      <w:r>
        <w:rPr>
          <w:rFonts w:ascii="Cambria" w:hAnsi="Cambria"/>
          <w:sz w:val="24"/>
          <w:szCs w:val="24"/>
        </w:rPr>
        <w:t>.</w:t>
      </w:r>
    </w:p>
    <w:p w:rsidR="00D12C18" w:rsidRDefault="00D12C18" w:rsidP="00D12C18">
      <w:pPr>
        <w:pStyle w:val="ListParagraph"/>
        <w:rPr>
          <w:rFonts w:ascii="Cambria" w:hAnsi="Cambria"/>
          <w:sz w:val="24"/>
          <w:szCs w:val="24"/>
        </w:rPr>
      </w:pPr>
    </w:p>
    <w:p w:rsidR="00E91440" w:rsidRDefault="00E91440" w:rsidP="00E91440">
      <w:pPr>
        <w:pStyle w:val="ListParagraph"/>
        <w:ind w:left="360"/>
        <w:rPr>
          <w:rFonts w:ascii="Cambria" w:hAnsi="Cambria"/>
          <w:sz w:val="24"/>
          <w:szCs w:val="24"/>
        </w:rPr>
      </w:pPr>
      <w:r>
        <w:rPr>
          <w:rFonts w:ascii="Cambria" w:hAnsi="Cambria"/>
          <w:sz w:val="24"/>
          <w:szCs w:val="24"/>
        </w:rPr>
        <w:t>California’s 2012 Bioenergy Action Plan calls for actions that will reduce the economic and regulatory barriers such that the wood-fired heat and power industry will expand to about 1,200 MW of operating capacity.</w:t>
      </w:r>
    </w:p>
    <w:p w:rsidR="00D12C18" w:rsidRPr="00D12C18" w:rsidRDefault="00D12C18" w:rsidP="00E91440">
      <w:pPr>
        <w:ind w:left="360"/>
        <w:rPr>
          <w:rFonts w:ascii="Cambria" w:hAnsi="Cambria"/>
          <w:sz w:val="24"/>
          <w:szCs w:val="24"/>
        </w:rPr>
      </w:pPr>
      <w:r>
        <w:rPr>
          <w:rFonts w:ascii="Cambria" w:hAnsi="Cambria"/>
          <w:sz w:val="24"/>
          <w:szCs w:val="24"/>
        </w:rPr>
        <w:t>There are three major hurdles to implement California’s 2012 Bioenergy Action Plan</w:t>
      </w:r>
      <w:r w:rsidR="00E91440">
        <w:rPr>
          <w:rFonts w:ascii="Cambria" w:hAnsi="Cambria"/>
          <w:sz w:val="24"/>
          <w:szCs w:val="24"/>
        </w:rPr>
        <w:t>:</w:t>
      </w:r>
    </w:p>
    <w:p w:rsidR="00F61BDB" w:rsidRDefault="00E91440" w:rsidP="00E91440">
      <w:pPr>
        <w:pStyle w:val="ListParagraph"/>
        <w:numPr>
          <w:ilvl w:val="0"/>
          <w:numId w:val="6"/>
        </w:numPr>
        <w:autoSpaceDE w:val="0"/>
        <w:autoSpaceDN w:val="0"/>
        <w:adjustRightInd w:val="0"/>
        <w:spacing w:after="0" w:line="240" w:lineRule="auto"/>
        <w:ind w:left="1080"/>
        <w:rPr>
          <w:rFonts w:ascii="Cambria" w:hAnsi="Cambria"/>
          <w:sz w:val="24"/>
          <w:szCs w:val="24"/>
        </w:rPr>
      </w:pPr>
      <w:r>
        <w:rPr>
          <w:rFonts w:ascii="Cambria" w:hAnsi="Cambria"/>
          <w:sz w:val="24"/>
          <w:szCs w:val="24"/>
        </w:rPr>
        <w:t>Recognizing and implementing policies that</w:t>
      </w:r>
      <w:r w:rsidR="00C137D1">
        <w:rPr>
          <w:rFonts w:ascii="Cambria" w:hAnsi="Cambria"/>
          <w:sz w:val="24"/>
          <w:szCs w:val="24"/>
        </w:rPr>
        <w:t xml:space="preserve"> will compensate about ½ of the</w:t>
      </w:r>
      <w:r>
        <w:rPr>
          <w:rFonts w:ascii="Cambria" w:hAnsi="Cambria"/>
          <w:sz w:val="24"/>
          <w:szCs w:val="24"/>
        </w:rPr>
        <w:t xml:space="preserve"> </w:t>
      </w:r>
      <w:r w:rsidR="00F61BDB">
        <w:rPr>
          <w:rFonts w:ascii="Cambria" w:hAnsi="Cambria"/>
          <w:sz w:val="24"/>
          <w:szCs w:val="24"/>
        </w:rPr>
        <w:t>11 cents/kW of uncompensated ancillary benefits</w:t>
      </w:r>
      <w:r>
        <w:rPr>
          <w:rFonts w:ascii="Cambria" w:hAnsi="Cambria"/>
          <w:sz w:val="24"/>
          <w:szCs w:val="24"/>
        </w:rPr>
        <w:t xml:space="preserve"> associated with wood-fired heat and power (which would be additive to the current offering of about 3.5 cents/kW to match the cost of natural gas)</w:t>
      </w:r>
      <w:r w:rsidR="00F61BDB">
        <w:rPr>
          <w:rFonts w:ascii="Cambria" w:hAnsi="Cambria"/>
          <w:sz w:val="24"/>
          <w:szCs w:val="24"/>
        </w:rPr>
        <w:t>.</w:t>
      </w:r>
      <w:r>
        <w:rPr>
          <w:rFonts w:ascii="Cambria" w:hAnsi="Cambria"/>
          <w:sz w:val="24"/>
          <w:szCs w:val="24"/>
        </w:rPr>
        <w:t xml:space="preserve">  Hence the total energy price would around 9 cents/kW.</w:t>
      </w:r>
    </w:p>
    <w:p w:rsidR="008167BC" w:rsidRDefault="008167BC" w:rsidP="008167BC">
      <w:pPr>
        <w:pStyle w:val="ListParagraph"/>
        <w:autoSpaceDE w:val="0"/>
        <w:autoSpaceDN w:val="0"/>
        <w:adjustRightInd w:val="0"/>
        <w:spacing w:after="0" w:line="240" w:lineRule="auto"/>
        <w:ind w:left="1080"/>
        <w:rPr>
          <w:rFonts w:ascii="Cambria" w:hAnsi="Cambria"/>
          <w:sz w:val="24"/>
          <w:szCs w:val="24"/>
        </w:rPr>
      </w:pPr>
    </w:p>
    <w:p w:rsidR="008167BC" w:rsidRDefault="00E91440" w:rsidP="00E91440">
      <w:pPr>
        <w:pStyle w:val="ListParagraph"/>
        <w:numPr>
          <w:ilvl w:val="0"/>
          <w:numId w:val="6"/>
        </w:numPr>
        <w:autoSpaceDE w:val="0"/>
        <w:autoSpaceDN w:val="0"/>
        <w:adjustRightInd w:val="0"/>
        <w:spacing w:after="0" w:line="240" w:lineRule="auto"/>
        <w:ind w:left="1080"/>
        <w:rPr>
          <w:rFonts w:ascii="Cambria" w:hAnsi="Cambria"/>
          <w:sz w:val="24"/>
          <w:szCs w:val="24"/>
        </w:rPr>
      </w:pPr>
      <w:r>
        <w:rPr>
          <w:rFonts w:ascii="Cambria" w:hAnsi="Cambria"/>
          <w:sz w:val="24"/>
          <w:szCs w:val="24"/>
        </w:rPr>
        <w:t>Recognizing biogenic boiler emissions are</w:t>
      </w:r>
      <w:r w:rsidR="00F61BDB">
        <w:rPr>
          <w:rFonts w:ascii="Cambria" w:hAnsi="Cambria"/>
          <w:sz w:val="24"/>
          <w:szCs w:val="24"/>
        </w:rPr>
        <w:t xml:space="preserve"> different than fossil emissions</w:t>
      </w:r>
    </w:p>
    <w:p w:rsidR="00F61BDB" w:rsidRPr="008167BC" w:rsidRDefault="00F61BDB" w:rsidP="008167BC">
      <w:pPr>
        <w:autoSpaceDE w:val="0"/>
        <w:autoSpaceDN w:val="0"/>
        <w:adjustRightInd w:val="0"/>
        <w:spacing w:after="0" w:line="240" w:lineRule="auto"/>
        <w:rPr>
          <w:rFonts w:ascii="Cambria" w:hAnsi="Cambria"/>
          <w:sz w:val="24"/>
          <w:szCs w:val="24"/>
        </w:rPr>
      </w:pPr>
      <w:r w:rsidRPr="008167BC">
        <w:rPr>
          <w:rFonts w:ascii="Cambria" w:hAnsi="Cambria"/>
          <w:sz w:val="24"/>
          <w:szCs w:val="24"/>
        </w:rPr>
        <w:t xml:space="preserve">  </w:t>
      </w:r>
    </w:p>
    <w:p w:rsidR="00F61BDB" w:rsidRDefault="00E91440" w:rsidP="00E91440">
      <w:pPr>
        <w:pStyle w:val="ListParagraph"/>
        <w:numPr>
          <w:ilvl w:val="0"/>
          <w:numId w:val="6"/>
        </w:numPr>
        <w:autoSpaceDE w:val="0"/>
        <w:autoSpaceDN w:val="0"/>
        <w:adjustRightInd w:val="0"/>
        <w:spacing w:after="0" w:line="240" w:lineRule="auto"/>
        <w:ind w:left="1080"/>
        <w:rPr>
          <w:rFonts w:ascii="Cambria" w:hAnsi="Cambria"/>
          <w:sz w:val="24"/>
          <w:szCs w:val="24"/>
        </w:rPr>
      </w:pPr>
      <w:r>
        <w:rPr>
          <w:rFonts w:ascii="Cambria" w:hAnsi="Cambria"/>
          <w:sz w:val="24"/>
          <w:szCs w:val="24"/>
        </w:rPr>
        <w:t>Avoiding and reversing any policies that lead to</w:t>
      </w:r>
      <w:r w:rsidR="00F61BDB">
        <w:rPr>
          <w:rFonts w:ascii="Cambria" w:hAnsi="Cambria"/>
          <w:sz w:val="24"/>
          <w:szCs w:val="24"/>
        </w:rPr>
        <w:t xml:space="preserve"> reduced forest harvest levels</w:t>
      </w:r>
      <w:r>
        <w:rPr>
          <w:rFonts w:ascii="Cambria" w:hAnsi="Cambria"/>
          <w:sz w:val="24"/>
          <w:szCs w:val="24"/>
        </w:rPr>
        <w:t xml:space="preserve">. </w:t>
      </w:r>
    </w:p>
    <w:p w:rsidR="00C137D1" w:rsidRDefault="00C137D1" w:rsidP="00C137D1">
      <w:pPr>
        <w:autoSpaceDE w:val="0"/>
        <w:autoSpaceDN w:val="0"/>
        <w:adjustRightInd w:val="0"/>
        <w:spacing w:after="0" w:line="240" w:lineRule="auto"/>
        <w:rPr>
          <w:rFonts w:ascii="Cambria" w:hAnsi="Cambria"/>
          <w:sz w:val="24"/>
          <w:szCs w:val="24"/>
        </w:rPr>
      </w:pPr>
    </w:p>
    <w:p w:rsidR="008167BC" w:rsidRDefault="00C137D1" w:rsidP="00C137D1">
      <w:pPr>
        <w:autoSpaceDE w:val="0"/>
        <w:autoSpaceDN w:val="0"/>
        <w:adjustRightInd w:val="0"/>
        <w:spacing w:after="0" w:line="240" w:lineRule="auto"/>
        <w:ind w:left="360"/>
        <w:rPr>
          <w:rFonts w:ascii="Cambria" w:hAnsi="Cambria"/>
          <w:sz w:val="24"/>
          <w:szCs w:val="24"/>
        </w:rPr>
      </w:pPr>
      <w:r>
        <w:rPr>
          <w:rFonts w:ascii="Cambria" w:hAnsi="Cambria"/>
          <w:sz w:val="24"/>
          <w:szCs w:val="24"/>
        </w:rPr>
        <w:t>Other benefits to actively managing California’s National Forests</w:t>
      </w:r>
      <w:r w:rsidR="008167BC">
        <w:rPr>
          <w:rFonts w:ascii="Cambria" w:hAnsi="Cambria"/>
          <w:sz w:val="24"/>
          <w:szCs w:val="24"/>
        </w:rPr>
        <w:t xml:space="preserve"> and implementing the 2012 Biomass Energy Action Plan</w:t>
      </w:r>
      <w:r>
        <w:rPr>
          <w:rFonts w:ascii="Cambria" w:hAnsi="Cambria"/>
          <w:sz w:val="24"/>
          <w:szCs w:val="24"/>
        </w:rPr>
        <w:t xml:space="preserve"> could include but not be limited to:</w:t>
      </w:r>
    </w:p>
    <w:p w:rsidR="008B4B7F" w:rsidRDefault="008B4B7F" w:rsidP="00C137D1">
      <w:pPr>
        <w:autoSpaceDE w:val="0"/>
        <w:autoSpaceDN w:val="0"/>
        <w:adjustRightInd w:val="0"/>
        <w:spacing w:after="0" w:line="240" w:lineRule="auto"/>
        <w:ind w:left="360"/>
        <w:rPr>
          <w:rFonts w:ascii="Cambria" w:hAnsi="Cambria"/>
          <w:sz w:val="24"/>
          <w:szCs w:val="24"/>
        </w:rPr>
      </w:pPr>
    </w:p>
    <w:p w:rsidR="008167BC" w:rsidRPr="008167BC" w:rsidRDefault="00C137D1" w:rsidP="008167BC">
      <w:pPr>
        <w:pStyle w:val="ListParagraph"/>
        <w:numPr>
          <w:ilvl w:val="0"/>
          <w:numId w:val="27"/>
        </w:numPr>
        <w:autoSpaceDE w:val="0"/>
        <w:autoSpaceDN w:val="0"/>
        <w:adjustRightInd w:val="0"/>
        <w:spacing w:after="0" w:line="240" w:lineRule="auto"/>
        <w:rPr>
          <w:rFonts w:ascii="Cambria" w:hAnsi="Cambria"/>
          <w:sz w:val="24"/>
          <w:szCs w:val="24"/>
        </w:rPr>
      </w:pPr>
      <w:r w:rsidRPr="008167BC">
        <w:rPr>
          <w:rFonts w:ascii="Cambria" w:hAnsi="Cambria"/>
          <w:sz w:val="24"/>
          <w:szCs w:val="24"/>
        </w:rPr>
        <w:t>22% reduction in burned acres from wildfires and a drop in burn severity;</w:t>
      </w:r>
    </w:p>
    <w:p w:rsidR="008167BC" w:rsidRPr="008167BC" w:rsidRDefault="008167BC" w:rsidP="008167BC">
      <w:pPr>
        <w:pStyle w:val="ListParagraph"/>
        <w:autoSpaceDE w:val="0"/>
        <w:autoSpaceDN w:val="0"/>
        <w:adjustRightInd w:val="0"/>
        <w:spacing w:after="0" w:line="240" w:lineRule="auto"/>
        <w:ind w:left="1140"/>
        <w:rPr>
          <w:rFonts w:ascii="Cambria" w:hAnsi="Cambria"/>
          <w:sz w:val="24"/>
          <w:szCs w:val="24"/>
        </w:rPr>
      </w:pPr>
    </w:p>
    <w:p w:rsidR="008167BC" w:rsidRPr="008167BC" w:rsidRDefault="00C137D1" w:rsidP="008167BC">
      <w:pPr>
        <w:pStyle w:val="ListParagraph"/>
        <w:numPr>
          <w:ilvl w:val="0"/>
          <w:numId w:val="27"/>
        </w:numPr>
        <w:autoSpaceDE w:val="0"/>
        <w:autoSpaceDN w:val="0"/>
        <w:adjustRightInd w:val="0"/>
        <w:spacing w:after="0" w:line="240" w:lineRule="auto"/>
        <w:rPr>
          <w:rFonts w:ascii="Cambria" w:hAnsi="Cambria"/>
          <w:sz w:val="24"/>
          <w:szCs w:val="24"/>
        </w:rPr>
      </w:pPr>
      <w:r w:rsidRPr="008167BC">
        <w:rPr>
          <w:rFonts w:ascii="Cambria" w:hAnsi="Cambria"/>
          <w:sz w:val="24"/>
          <w:szCs w:val="24"/>
        </w:rPr>
        <w:t>a 65% reduction (11 million tons CO2equivalent) in net CO2 emissions and a 17,265 ton annual reduction in black carbon, including emissions associated with utilization of forest residues for biomass heat and power</w:t>
      </w:r>
      <w:r w:rsidR="005D3C3A">
        <w:rPr>
          <w:rFonts w:ascii="Cambria" w:hAnsi="Cambria"/>
          <w:sz w:val="24"/>
          <w:szCs w:val="24"/>
        </w:rPr>
        <w:t xml:space="preserve"> on a 2.7 million acre landscape that was modeled for 1.97 million acres of vegetation treatments over a 40 year time horizon;</w:t>
      </w:r>
    </w:p>
    <w:p w:rsidR="008167BC" w:rsidRPr="008167BC" w:rsidRDefault="008167BC" w:rsidP="008167BC">
      <w:pPr>
        <w:autoSpaceDE w:val="0"/>
        <w:autoSpaceDN w:val="0"/>
        <w:adjustRightInd w:val="0"/>
        <w:spacing w:after="0" w:line="240" w:lineRule="auto"/>
        <w:rPr>
          <w:rFonts w:ascii="Cambria" w:hAnsi="Cambria"/>
          <w:sz w:val="24"/>
          <w:szCs w:val="24"/>
        </w:rPr>
      </w:pPr>
    </w:p>
    <w:p w:rsidR="00C137D1" w:rsidRPr="008167BC" w:rsidRDefault="00C137D1" w:rsidP="008167BC">
      <w:pPr>
        <w:pStyle w:val="ListParagraph"/>
        <w:numPr>
          <w:ilvl w:val="0"/>
          <w:numId w:val="27"/>
        </w:numPr>
        <w:autoSpaceDE w:val="0"/>
        <w:autoSpaceDN w:val="0"/>
        <w:adjustRightInd w:val="0"/>
        <w:spacing w:after="0" w:line="240" w:lineRule="auto"/>
        <w:rPr>
          <w:rFonts w:ascii="Cambria" w:hAnsi="Cambria"/>
          <w:sz w:val="24"/>
          <w:szCs w:val="24"/>
        </w:rPr>
      </w:pPr>
      <w:r w:rsidRPr="008167BC">
        <w:rPr>
          <w:rFonts w:ascii="Cambria" w:hAnsi="Cambria"/>
          <w:sz w:val="24"/>
          <w:szCs w:val="24"/>
        </w:rPr>
        <w:t>2 million acre-feet more water yiel</w:t>
      </w:r>
      <w:r w:rsidR="005D3C3A">
        <w:rPr>
          <w:rFonts w:ascii="Cambria" w:hAnsi="Cambria"/>
          <w:sz w:val="24"/>
          <w:szCs w:val="24"/>
        </w:rPr>
        <w:t>d annually, and</w:t>
      </w:r>
    </w:p>
    <w:p w:rsidR="008167BC" w:rsidRDefault="008167BC" w:rsidP="008167BC">
      <w:pPr>
        <w:pStyle w:val="ListParagraph"/>
        <w:rPr>
          <w:rFonts w:ascii="Cambria" w:hAnsi="Cambria"/>
          <w:sz w:val="24"/>
          <w:szCs w:val="24"/>
        </w:rPr>
      </w:pPr>
    </w:p>
    <w:p w:rsidR="008167BC" w:rsidRPr="008167BC" w:rsidRDefault="008167BC" w:rsidP="008167BC">
      <w:pPr>
        <w:pStyle w:val="ListParagraph"/>
        <w:numPr>
          <w:ilvl w:val="0"/>
          <w:numId w:val="27"/>
        </w:numPr>
        <w:rPr>
          <w:rFonts w:ascii="Cambria" w:hAnsi="Cambria"/>
          <w:sz w:val="24"/>
          <w:szCs w:val="24"/>
        </w:rPr>
      </w:pPr>
      <w:r>
        <w:rPr>
          <w:rFonts w:ascii="Cambria" w:hAnsi="Cambria"/>
          <w:sz w:val="24"/>
          <w:szCs w:val="24"/>
        </w:rPr>
        <w:t>Recognition that utilizing wood residues for biomass heat and power in lieu of open burning and/or decomposition can provide an 85-100% reduction in criteria pollutants.</w:t>
      </w:r>
    </w:p>
    <w:p w:rsidR="00C137D1" w:rsidRDefault="008B4B7F" w:rsidP="008B4B7F">
      <w:pPr>
        <w:autoSpaceDE w:val="0"/>
        <w:autoSpaceDN w:val="0"/>
        <w:adjustRightInd w:val="0"/>
        <w:spacing w:after="0" w:line="240" w:lineRule="auto"/>
        <w:ind w:left="360"/>
        <w:rPr>
          <w:rFonts w:ascii="Cambria" w:hAnsi="Cambria"/>
          <w:sz w:val="24"/>
          <w:szCs w:val="24"/>
        </w:rPr>
      </w:pPr>
      <w:r>
        <w:rPr>
          <w:rFonts w:ascii="Cambria" w:hAnsi="Cambria"/>
          <w:sz w:val="24"/>
          <w:szCs w:val="24"/>
        </w:rPr>
        <w:t xml:space="preserve">For Benefit #1 and #2 above, </w:t>
      </w:r>
      <w:r w:rsidR="00DF7928">
        <w:rPr>
          <w:rFonts w:ascii="Cambria" w:hAnsi="Cambria"/>
          <w:sz w:val="24"/>
          <w:szCs w:val="24"/>
        </w:rPr>
        <w:t>w</w:t>
      </w:r>
      <w:r w:rsidR="008167BC">
        <w:rPr>
          <w:rFonts w:ascii="Cambria" w:hAnsi="Cambria"/>
          <w:sz w:val="24"/>
          <w:szCs w:val="24"/>
        </w:rPr>
        <w:t xml:space="preserve">ithout a major change in vegetation management direction on California’s National Forests, the </w:t>
      </w:r>
      <w:r w:rsidR="00DF7928">
        <w:rPr>
          <w:rFonts w:ascii="Cambria" w:hAnsi="Cambria"/>
          <w:sz w:val="24"/>
          <w:szCs w:val="24"/>
        </w:rPr>
        <w:t xml:space="preserve">national </w:t>
      </w:r>
      <w:r w:rsidR="008167BC">
        <w:rPr>
          <w:rFonts w:ascii="Cambria" w:hAnsi="Cambria"/>
          <w:sz w:val="24"/>
          <w:szCs w:val="24"/>
        </w:rPr>
        <w:t xml:space="preserve">forests will continue to get </w:t>
      </w:r>
      <w:r w:rsidR="008167BC">
        <w:rPr>
          <w:rFonts w:ascii="Cambria" w:hAnsi="Cambria"/>
          <w:sz w:val="24"/>
          <w:szCs w:val="24"/>
        </w:rPr>
        <w:lastRenderedPageBreak/>
        <w:t>denser and denser and denser leading to larger and more severe wildfires and more insect and disease damage.</w:t>
      </w:r>
      <w:r>
        <w:rPr>
          <w:rFonts w:ascii="Cambria" w:hAnsi="Cambria"/>
          <w:sz w:val="24"/>
          <w:szCs w:val="24"/>
        </w:rPr>
        <w:t xml:space="preserve">  With active management, returning the forest to a resilient condition could result in </w:t>
      </w:r>
      <w:r w:rsidR="00C137D1">
        <w:rPr>
          <w:rFonts w:ascii="Cambria" w:hAnsi="Cambria"/>
          <w:sz w:val="24"/>
          <w:szCs w:val="24"/>
        </w:rPr>
        <w:t>a</w:t>
      </w:r>
      <w:r w:rsidR="005D3C3A">
        <w:rPr>
          <w:rFonts w:ascii="Cambria" w:hAnsi="Cambria"/>
          <w:sz w:val="24"/>
          <w:szCs w:val="24"/>
        </w:rPr>
        <w:t xml:space="preserve"> significant net emission reduction from active forest land management on California’s National Forests and non-industrial private forest lands.</w:t>
      </w:r>
    </w:p>
    <w:p w:rsidR="008B4B7F" w:rsidRDefault="008B4B7F" w:rsidP="008B4B7F">
      <w:pPr>
        <w:autoSpaceDE w:val="0"/>
        <w:autoSpaceDN w:val="0"/>
        <w:adjustRightInd w:val="0"/>
        <w:spacing w:after="0" w:line="240" w:lineRule="auto"/>
        <w:ind w:left="360"/>
        <w:rPr>
          <w:rFonts w:ascii="Cambria" w:hAnsi="Cambria"/>
          <w:sz w:val="24"/>
          <w:szCs w:val="24"/>
        </w:rPr>
      </w:pPr>
    </w:p>
    <w:p w:rsidR="008B4B7F" w:rsidRDefault="008B4B7F" w:rsidP="008B4B7F">
      <w:pPr>
        <w:autoSpaceDE w:val="0"/>
        <w:autoSpaceDN w:val="0"/>
        <w:adjustRightInd w:val="0"/>
        <w:spacing w:after="0" w:line="240" w:lineRule="auto"/>
        <w:ind w:left="360"/>
        <w:rPr>
          <w:rFonts w:ascii="Cambria" w:hAnsi="Cambria"/>
          <w:sz w:val="24"/>
          <w:szCs w:val="24"/>
        </w:rPr>
      </w:pPr>
      <w:r>
        <w:rPr>
          <w:rFonts w:ascii="Cambria" w:hAnsi="Cambria"/>
          <w:sz w:val="24"/>
          <w:szCs w:val="24"/>
        </w:rPr>
        <w:t xml:space="preserve">For Benefit #3, </w:t>
      </w:r>
      <w:r w:rsidR="00A50EF0">
        <w:rPr>
          <w:rFonts w:ascii="Cambria" w:hAnsi="Cambria"/>
          <w:sz w:val="24"/>
          <w:szCs w:val="24"/>
        </w:rPr>
        <w:t>for scale 2 million acre-feet is about ½ of the total annual surface water request from crop agriculture in the San Joaquin Valley</w:t>
      </w:r>
    </w:p>
    <w:p w:rsidR="00A50EF0" w:rsidRDefault="00A50EF0" w:rsidP="008B4B7F">
      <w:pPr>
        <w:autoSpaceDE w:val="0"/>
        <w:autoSpaceDN w:val="0"/>
        <w:adjustRightInd w:val="0"/>
        <w:spacing w:after="0" w:line="240" w:lineRule="auto"/>
        <w:ind w:left="360"/>
        <w:rPr>
          <w:rFonts w:ascii="Cambria" w:hAnsi="Cambria"/>
          <w:sz w:val="24"/>
          <w:szCs w:val="24"/>
        </w:rPr>
      </w:pPr>
    </w:p>
    <w:p w:rsidR="008B4B7F" w:rsidRDefault="008B4B7F" w:rsidP="008B4B7F">
      <w:pPr>
        <w:autoSpaceDE w:val="0"/>
        <w:autoSpaceDN w:val="0"/>
        <w:adjustRightInd w:val="0"/>
        <w:spacing w:after="0" w:line="240" w:lineRule="auto"/>
        <w:ind w:left="360"/>
        <w:rPr>
          <w:rFonts w:ascii="Cambria" w:hAnsi="Cambria"/>
          <w:sz w:val="24"/>
          <w:szCs w:val="24"/>
        </w:rPr>
      </w:pPr>
      <w:r>
        <w:rPr>
          <w:rFonts w:ascii="Cambria" w:hAnsi="Cambria"/>
          <w:sz w:val="24"/>
          <w:szCs w:val="24"/>
        </w:rPr>
        <w:t xml:space="preserve">For Benefit #4 – </w:t>
      </w:r>
      <w:r w:rsidR="00F83118">
        <w:rPr>
          <w:rFonts w:ascii="Cambria" w:hAnsi="Cambria"/>
          <w:sz w:val="24"/>
          <w:szCs w:val="24"/>
        </w:rPr>
        <w:t>There is a 17% reduction</w:t>
      </w:r>
      <w:r w:rsidR="00A8350C">
        <w:rPr>
          <w:rFonts w:ascii="Cambria" w:hAnsi="Cambria"/>
          <w:sz w:val="24"/>
          <w:szCs w:val="24"/>
        </w:rPr>
        <w:t xml:space="preserve"> in criteria pollutants</w:t>
      </w:r>
      <w:r w:rsidR="00D25D21">
        <w:rPr>
          <w:rFonts w:ascii="Cambria" w:hAnsi="Cambria"/>
          <w:sz w:val="24"/>
          <w:szCs w:val="24"/>
        </w:rPr>
        <w:t xml:space="preserve"> and a 96</w:t>
      </w:r>
      <w:r w:rsidR="00F83118">
        <w:rPr>
          <w:rFonts w:ascii="Cambria" w:hAnsi="Cambria"/>
          <w:sz w:val="24"/>
          <w:szCs w:val="24"/>
        </w:rPr>
        <w:t>% reduction in Particulate Matter</w:t>
      </w:r>
      <w:r w:rsidR="00A8350C">
        <w:rPr>
          <w:rFonts w:ascii="Cambria" w:hAnsi="Cambria"/>
          <w:sz w:val="24"/>
          <w:szCs w:val="24"/>
        </w:rPr>
        <w:t xml:space="preserve"> from burning wood residue in a biomass powerplant boiler versus open pile burning</w:t>
      </w:r>
      <w:r w:rsidR="00F83118">
        <w:rPr>
          <w:rFonts w:ascii="Cambria" w:hAnsi="Cambria"/>
          <w:sz w:val="24"/>
          <w:szCs w:val="24"/>
        </w:rPr>
        <w:t>.  Thes</w:t>
      </w:r>
      <w:r w:rsidR="00D86D0B">
        <w:rPr>
          <w:rFonts w:ascii="Cambria" w:hAnsi="Cambria"/>
          <w:sz w:val="24"/>
          <w:szCs w:val="24"/>
        </w:rPr>
        <w:t>e measurements were published</w:t>
      </w:r>
      <w:r w:rsidR="00F83118">
        <w:rPr>
          <w:rFonts w:ascii="Cambria" w:hAnsi="Cambria"/>
          <w:sz w:val="24"/>
          <w:szCs w:val="24"/>
        </w:rPr>
        <w:t xml:space="preserve"> in 1999 by Dr. Gregg Morris’</w:t>
      </w:r>
      <w:r w:rsidR="00A8474C">
        <w:rPr>
          <w:rFonts w:ascii="Cambria" w:hAnsi="Cambria"/>
          <w:sz w:val="24"/>
          <w:szCs w:val="24"/>
        </w:rPr>
        <w:t xml:space="preserve"> “Value of Biomass Power</w:t>
      </w:r>
      <w:r w:rsidR="00F83118">
        <w:rPr>
          <w:rFonts w:ascii="Cambria" w:hAnsi="Cambria"/>
          <w:sz w:val="24"/>
          <w:szCs w:val="24"/>
        </w:rPr>
        <w:t>”</w:t>
      </w:r>
      <w:r w:rsidR="00A8474C">
        <w:rPr>
          <w:rFonts w:ascii="Cambria" w:hAnsi="Cambria"/>
          <w:sz w:val="24"/>
          <w:szCs w:val="24"/>
        </w:rPr>
        <w:t xml:space="preserve"> </w:t>
      </w:r>
      <w:r w:rsidR="006D1E39">
        <w:rPr>
          <w:rFonts w:ascii="Cambria" w:hAnsi="Cambria"/>
          <w:sz w:val="24"/>
          <w:szCs w:val="24"/>
        </w:rPr>
        <w:t xml:space="preserve">and </w:t>
      </w:r>
      <w:r w:rsidR="00F83118">
        <w:rPr>
          <w:rFonts w:ascii="Cambria" w:hAnsi="Cambria"/>
          <w:sz w:val="24"/>
          <w:szCs w:val="24"/>
        </w:rPr>
        <w:t xml:space="preserve">verified in a 2010 study by Bruce </w:t>
      </w:r>
      <w:r w:rsidR="006D1E39">
        <w:rPr>
          <w:rFonts w:ascii="Cambria" w:hAnsi="Cambria"/>
          <w:sz w:val="24"/>
          <w:szCs w:val="24"/>
        </w:rPr>
        <w:t>S</w:t>
      </w:r>
      <w:r w:rsidR="00F83118">
        <w:rPr>
          <w:rFonts w:ascii="Cambria" w:hAnsi="Cambria"/>
          <w:sz w:val="24"/>
          <w:szCs w:val="24"/>
        </w:rPr>
        <w:t>pringsteen etal “</w:t>
      </w:r>
      <w:r w:rsidR="006D1E39">
        <w:rPr>
          <w:rFonts w:ascii="Cambria" w:hAnsi="Cambria"/>
          <w:sz w:val="24"/>
          <w:szCs w:val="24"/>
        </w:rPr>
        <w:t>Emission Reductions from Woody Biomass Waste for Energy as an Alternative to Open Burning”</w:t>
      </w:r>
      <w:r w:rsidR="00F83118">
        <w:rPr>
          <w:rFonts w:ascii="Cambria" w:hAnsi="Cambria"/>
          <w:sz w:val="24"/>
          <w:szCs w:val="24"/>
        </w:rPr>
        <w:t>.   Bruce Springsteen etal have again verified similar outcomes in a new study 2015. Springsteen etal. “Forest biomass diversion in the Sierra Nevada: Energy, economics, and emissions.”</w:t>
      </w:r>
    </w:p>
    <w:p w:rsidR="00DF7928" w:rsidRDefault="00DF7928" w:rsidP="008B4B7F"/>
    <w:p w:rsidR="00175925" w:rsidRDefault="00A8350C" w:rsidP="00A8350C">
      <w:pPr>
        <w:autoSpaceDE w:val="0"/>
        <w:autoSpaceDN w:val="0"/>
        <w:adjustRightInd w:val="0"/>
        <w:spacing w:after="0" w:line="240" w:lineRule="auto"/>
        <w:ind w:left="360"/>
        <w:rPr>
          <w:rFonts w:ascii="Cambria" w:hAnsi="Cambria"/>
          <w:sz w:val="24"/>
          <w:szCs w:val="24"/>
        </w:rPr>
      </w:pPr>
      <w:r w:rsidRPr="00A8350C">
        <w:rPr>
          <w:rFonts w:ascii="Cambria" w:hAnsi="Cambria"/>
          <w:sz w:val="24"/>
          <w:szCs w:val="24"/>
        </w:rPr>
        <w:t xml:space="preserve">The reduced criteria pollutants with the current 600 MW operating capacity of the Biomass Powerplant industry is </w:t>
      </w:r>
      <w:r w:rsidR="005B02BD">
        <w:rPr>
          <w:rFonts w:ascii="Cambria" w:hAnsi="Cambria"/>
          <w:sz w:val="24"/>
          <w:szCs w:val="24"/>
        </w:rPr>
        <w:t xml:space="preserve">annually </w:t>
      </w:r>
      <w:r w:rsidRPr="00A8350C">
        <w:rPr>
          <w:rFonts w:ascii="Cambria" w:hAnsi="Cambria"/>
          <w:sz w:val="24"/>
          <w:szCs w:val="24"/>
        </w:rPr>
        <w:t>about</w:t>
      </w:r>
      <w:r w:rsidR="005B02BD">
        <w:rPr>
          <w:rFonts w:ascii="Cambria" w:hAnsi="Cambria"/>
          <w:sz w:val="24"/>
          <w:szCs w:val="24"/>
        </w:rPr>
        <w:t xml:space="preserve"> 17% (</w:t>
      </w:r>
      <w:r w:rsidRPr="00A8350C">
        <w:rPr>
          <w:rFonts w:ascii="Cambria" w:hAnsi="Cambria"/>
          <w:sz w:val="24"/>
          <w:szCs w:val="24"/>
        </w:rPr>
        <w:t>1.8 million tons of CO2e</w:t>
      </w:r>
      <w:r w:rsidR="005B02BD">
        <w:rPr>
          <w:rFonts w:ascii="Cambria" w:hAnsi="Cambria"/>
          <w:sz w:val="24"/>
          <w:szCs w:val="24"/>
        </w:rPr>
        <w:t>)</w:t>
      </w:r>
      <w:r w:rsidRPr="00A8350C">
        <w:rPr>
          <w:rFonts w:ascii="Cambria" w:hAnsi="Cambria"/>
          <w:sz w:val="24"/>
          <w:szCs w:val="24"/>
        </w:rPr>
        <w:t xml:space="preserve"> and </w:t>
      </w:r>
      <w:r w:rsidR="005B02BD">
        <w:rPr>
          <w:rFonts w:ascii="Cambria" w:hAnsi="Cambria"/>
          <w:sz w:val="24"/>
          <w:szCs w:val="24"/>
        </w:rPr>
        <w:t>96% (</w:t>
      </w:r>
      <w:r w:rsidRPr="00A8350C">
        <w:rPr>
          <w:rFonts w:ascii="Cambria" w:hAnsi="Cambria"/>
          <w:sz w:val="24"/>
          <w:szCs w:val="24"/>
        </w:rPr>
        <w:t>28,000 tons</w:t>
      </w:r>
      <w:r w:rsidR="005B02BD">
        <w:rPr>
          <w:rFonts w:ascii="Cambria" w:hAnsi="Cambria"/>
          <w:sz w:val="24"/>
          <w:szCs w:val="24"/>
        </w:rPr>
        <w:t>)</w:t>
      </w:r>
      <w:r w:rsidRPr="00A8350C">
        <w:rPr>
          <w:rFonts w:ascii="Cambria" w:hAnsi="Cambria"/>
          <w:sz w:val="24"/>
          <w:szCs w:val="24"/>
        </w:rPr>
        <w:t xml:space="preserve"> of particulate matter.  If the 2012 Bioenergy Action Plan were fully implemented increasing the operating capacity to 1,200 MW, the values of reduced criteria pollutants would double.</w:t>
      </w:r>
      <w:r w:rsidR="00F83118">
        <w:rPr>
          <w:rFonts w:ascii="Cambria" w:hAnsi="Cambria"/>
          <w:sz w:val="24"/>
          <w:szCs w:val="24"/>
        </w:rPr>
        <w:t xml:space="preserve">  Through the cap-and-trade offsets program, CO2e is selling for about $11/ton.  Particulate Matter was estimated to have a $2,500/ton value in 1999; today the Carl Moyer Program </w:t>
      </w:r>
      <w:r w:rsidR="00D25D21">
        <w:rPr>
          <w:rFonts w:ascii="Cambria" w:hAnsi="Cambria"/>
          <w:sz w:val="24"/>
          <w:szCs w:val="24"/>
        </w:rPr>
        <w:t xml:space="preserve">incentives put the equivalent value at </w:t>
      </w:r>
      <w:r w:rsidR="00F83118">
        <w:rPr>
          <w:rFonts w:ascii="Cambria" w:hAnsi="Cambria"/>
          <w:sz w:val="24"/>
          <w:szCs w:val="24"/>
        </w:rPr>
        <w:t>up to $16,000/ton.</w:t>
      </w:r>
      <w:r w:rsidR="005B02BD">
        <w:rPr>
          <w:rFonts w:ascii="Cambria" w:hAnsi="Cambria"/>
          <w:sz w:val="24"/>
          <w:szCs w:val="24"/>
        </w:rPr>
        <w:t xml:space="preserve"> </w:t>
      </w:r>
    </w:p>
    <w:p w:rsidR="00175925" w:rsidRDefault="00175925">
      <w:pPr>
        <w:rPr>
          <w:rFonts w:ascii="Cambria" w:hAnsi="Cambria"/>
          <w:sz w:val="24"/>
          <w:szCs w:val="24"/>
        </w:rPr>
      </w:pPr>
      <w:r>
        <w:rPr>
          <w:rFonts w:ascii="Cambria" w:hAnsi="Cambria"/>
          <w:sz w:val="24"/>
          <w:szCs w:val="24"/>
        </w:rPr>
        <w:br w:type="page"/>
      </w:r>
    </w:p>
    <w:p w:rsidR="00A8350C" w:rsidRPr="00A8350C" w:rsidRDefault="00A8350C" w:rsidP="00A8350C">
      <w:pPr>
        <w:autoSpaceDE w:val="0"/>
        <w:autoSpaceDN w:val="0"/>
        <w:adjustRightInd w:val="0"/>
        <w:spacing w:after="0" w:line="240" w:lineRule="auto"/>
        <w:ind w:left="360"/>
        <w:rPr>
          <w:rFonts w:ascii="Cambria" w:hAnsi="Cambria"/>
          <w:sz w:val="24"/>
          <w:szCs w:val="24"/>
        </w:rPr>
      </w:pPr>
    </w:p>
    <w:p w:rsidR="00A8350C" w:rsidRDefault="00A8350C" w:rsidP="008B4B7F"/>
    <w:p w:rsidR="00AA3DA5" w:rsidRPr="00086540" w:rsidRDefault="00AA3DA5" w:rsidP="00086540">
      <w:pPr>
        <w:pStyle w:val="ListParagraph"/>
        <w:numPr>
          <w:ilvl w:val="0"/>
          <w:numId w:val="25"/>
        </w:numPr>
        <w:ind w:left="360" w:hanging="360"/>
        <w:rPr>
          <w:rFonts w:ascii="Cambria" w:hAnsi="Cambria"/>
          <w:b/>
          <w:sz w:val="24"/>
          <w:szCs w:val="24"/>
        </w:rPr>
      </w:pPr>
      <w:r w:rsidRPr="00086540">
        <w:rPr>
          <w:rFonts w:ascii="Cambria" w:hAnsi="Cambria"/>
          <w:b/>
          <w:sz w:val="24"/>
          <w:szCs w:val="24"/>
        </w:rPr>
        <w:t>History of and current situation with California’s Wood-Fired Heat and Power Industry</w:t>
      </w:r>
    </w:p>
    <w:p w:rsidR="00CD35DE" w:rsidRDefault="00CD35DE" w:rsidP="00CD35DE">
      <w:pPr>
        <w:pStyle w:val="ListParagraph"/>
        <w:rPr>
          <w:rFonts w:ascii="Cambria" w:hAnsi="Cambria"/>
          <w:sz w:val="24"/>
          <w:szCs w:val="24"/>
        </w:rPr>
      </w:pPr>
    </w:p>
    <w:p w:rsidR="00CD35DE" w:rsidRDefault="007F5AA2" w:rsidP="00086540">
      <w:pPr>
        <w:pStyle w:val="ListParagraph"/>
        <w:ind w:left="360"/>
        <w:rPr>
          <w:rFonts w:ascii="Cambria" w:hAnsi="Cambria"/>
          <w:sz w:val="24"/>
          <w:szCs w:val="24"/>
        </w:rPr>
      </w:pPr>
      <w:r>
        <w:rPr>
          <w:rFonts w:ascii="Cambria" w:hAnsi="Cambria"/>
          <w:sz w:val="24"/>
          <w:szCs w:val="24"/>
        </w:rPr>
        <w:t xml:space="preserve">The California wood-fired powerplant </w:t>
      </w:r>
      <w:r w:rsidR="00CD35DE">
        <w:rPr>
          <w:rFonts w:ascii="Cambria" w:hAnsi="Cambria"/>
          <w:sz w:val="24"/>
          <w:szCs w:val="24"/>
        </w:rPr>
        <w:t>Industry was born during the 1</w:t>
      </w:r>
      <w:r w:rsidR="00CD35DE" w:rsidRPr="00CD35DE">
        <w:rPr>
          <w:rFonts w:ascii="Cambria" w:hAnsi="Cambria"/>
          <w:sz w:val="24"/>
          <w:szCs w:val="24"/>
          <w:vertAlign w:val="superscript"/>
        </w:rPr>
        <w:t>st</w:t>
      </w:r>
      <w:r w:rsidR="00CD35DE">
        <w:rPr>
          <w:rFonts w:ascii="Cambria" w:hAnsi="Cambria"/>
          <w:sz w:val="24"/>
          <w:szCs w:val="24"/>
        </w:rPr>
        <w:t xml:space="preserve"> term of Governor Jerry Brown where California made a lucrative incentive of a 12 cent/kW</w:t>
      </w:r>
      <w:r>
        <w:rPr>
          <w:rFonts w:ascii="Cambria" w:hAnsi="Cambria"/>
          <w:sz w:val="24"/>
          <w:szCs w:val="24"/>
        </w:rPr>
        <w:t>h</w:t>
      </w:r>
      <w:r w:rsidR="00CD35DE">
        <w:rPr>
          <w:rFonts w:ascii="Cambria" w:hAnsi="Cambria"/>
          <w:sz w:val="24"/>
          <w:szCs w:val="24"/>
        </w:rPr>
        <w:t xml:space="preserve"> price floor for power purchas</w:t>
      </w:r>
      <w:r>
        <w:rPr>
          <w:rFonts w:ascii="Cambria" w:hAnsi="Cambria"/>
          <w:sz w:val="24"/>
          <w:szCs w:val="24"/>
        </w:rPr>
        <w:t>e agreements.  The result was 66</w:t>
      </w:r>
      <w:r w:rsidR="00CD35DE">
        <w:rPr>
          <w:rFonts w:ascii="Cambria" w:hAnsi="Cambria"/>
          <w:sz w:val="24"/>
          <w:szCs w:val="24"/>
        </w:rPr>
        <w:t xml:space="preserve"> powerplants constructed in about a 10 year period p</w:t>
      </w:r>
      <w:r>
        <w:rPr>
          <w:rFonts w:ascii="Cambria" w:hAnsi="Cambria"/>
          <w:sz w:val="24"/>
          <w:szCs w:val="24"/>
        </w:rPr>
        <w:t>roducing a total of nearly 957</w:t>
      </w:r>
      <w:r w:rsidR="00CD35DE">
        <w:rPr>
          <w:rFonts w:ascii="Cambria" w:hAnsi="Cambria"/>
          <w:sz w:val="24"/>
          <w:szCs w:val="24"/>
        </w:rPr>
        <w:t xml:space="preserve"> Megawatts (MW).</w:t>
      </w:r>
    </w:p>
    <w:p w:rsidR="00CD35DE" w:rsidRDefault="00CD35DE" w:rsidP="00086540">
      <w:pPr>
        <w:pStyle w:val="ListParagraph"/>
        <w:ind w:left="360"/>
        <w:rPr>
          <w:rFonts w:ascii="Cambria" w:hAnsi="Cambria"/>
          <w:sz w:val="24"/>
          <w:szCs w:val="24"/>
        </w:rPr>
      </w:pPr>
    </w:p>
    <w:p w:rsidR="00CD35DE" w:rsidRDefault="00CD35DE" w:rsidP="00086540">
      <w:pPr>
        <w:pStyle w:val="ListParagraph"/>
        <w:ind w:left="360"/>
        <w:rPr>
          <w:rFonts w:ascii="Cambria" w:hAnsi="Cambria"/>
          <w:sz w:val="24"/>
          <w:szCs w:val="24"/>
        </w:rPr>
      </w:pPr>
      <w:r>
        <w:rPr>
          <w:rFonts w:ascii="Cambria" w:hAnsi="Cambria"/>
          <w:sz w:val="24"/>
          <w:szCs w:val="24"/>
        </w:rPr>
        <w:t>However, in the 1990’s, the 12 cent price floor went away and as the energy price renewal dates arrived for the power purcha</w:t>
      </w:r>
      <w:r w:rsidRPr="00CD35DE">
        <w:rPr>
          <w:rFonts w:ascii="Cambria" w:hAnsi="Cambria"/>
          <w:sz w:val="24"/>
          <w:szCs w:val="24"/>
        </w:rPr>
        <w:t>se agreements, the renewa</w:t>
      </w:r>
      <w:r>
        <w:rPr>
          <w:rFonts w:ascii="Cambria" w:hAnsi="Cambria"/>
          <w:sz w:val="24"/>
          <w:szCs w:val="24"/>
        </w:rPr>
        <w:t>l price started dropping and plants started disappearing.</w:t>
      </w:r>
    </w:p>
    <w:p w:rsidR="00CD35DE" w:rsidRDefault="00CD35DE" w:rsidP="00086540">
      <w:pPr>
        <w:pStyle w:val="ListParagraph"/>
        <w:ind w:left="360"/>
        <w:rPr>
          <w:rFonts w:ascii="Cambria" w:hAnsi="Cambria"/>
          <w:sz w:val="24"/>
          <w:szCs w:val="24"/>
        </w:rPr>
      </w:pPr>
    </w:p>
    <w:p w:rsidR="00514039" w:rsidRDefault="00CD35DE" w:rsidP="00086540">
      <w:pPr>
        <w:pStyle w:val="ListParagraph"/>
        <w:ind w:left="360"/>
        <w:rPr>
          <w:rFonts w:ascii="Cambria" w:hAnsi="Cambria"/>
          <w:sz w:val="24"/>
          <w:szCs w:val="24"/>
        </w:rPr>
      </w:pPr>
      <w:r>
        <w:rPr>
          <w:rFonts w:ascii="Cambria" w:hAnsi="Cambria"/>
          <w:sz w:val="24"/>
          <w:szCs w:val="24"/>
        </w:rPr>
        <w:t>In the past few years, many powerplants have closed because of the energy price being set too low to be able to operate</w:t>
      </w:r>
      <w:r w:rsidR="00192D57">
        <w:rPr>
          <w:rFonts w:ascii="Cambria" w:hAnsi="Cambria"/>
          <w:sz w:val="24"/>
          <w:szCs w:val="24"/>
        </w:rPr>
        <w:t xml:space="preserve"> (Enclosure #1)</w:t>
      </w:r>
      <w:r>
        <w:rPr>
          <w:rFonts w:ascii="Cambria" w:hAnsi="Cambria"/>
          <w:sz w:val="24"/>
          <w:szCs w:val="24"/>
        </w:rPr>
        <w:t xml:space="preserve">.  Many of the plants were essentially required to compete with the price of natural gas which has been and continues to be at about 3.5 cents/kW.  </w:t>
      </w:r>
      <w:r w:rsidR="00514039">
        <w:rPr>
          <w:rFonts w:ascii="Cambria" w:hAnsi="Cambria"/>
          <w:sz w:val="24"/>
          <w:szCs w:val="24"/>
        </w:rPr>
        <w:t>Since 2002, eleven powerplants have closed</w:t>
      </w:r>
      <w:r w:rsidR="00192D57">
        <w:rPr>
          <w:rFonts w:ascii="Cambria" w:hAnsi="Cambria"/>
          <w:sz w:val="24"/>
          <w:szCs w:val="24"/>
        </w:rPr>
        <w:t xml:space="preserve"> </w:t>
      </w:r>
      <w:r w:rsidR="007F5AA2">
        <w:rPr>
          <w:rFonts w:ascii="Cambria" w:hAnsi="Cambria"/>
          <w:sz w:val="24"/>
          <w:szCs w:val="24"/>
        </w:rPr>
        <w:t xml:space="preserve">(Enclosure #1) </w:t>
      </w:r>
      <w:r w:rsidR="00192D57">
        <w:rPr>
          <w:rFonts w:ascii="Cambria" w:hAnsi="Cambria"/>
          <w:sz w:val="24"/>
          <w:szCs w:val="24"/>
        </w:rPr>
        <w:t>leaving 21</w:t>
      </w:r>
      <w:r w:rsidR="002F5F6F">
        <w:rPr>
          <w:rFonts w:ascii="Cambria" w:hAnsi="Cambria"/>
          <w:sz w:val="24"/>
          <w:szCs w:val="24"/>
        </w:rPr>
        <w:t xml:space="preserve"> of the original 66</w:t>
      </w:r>
      <w:r w:rsidR="00192D57">
        <w:rPr>
          <w:rFonts w:ascii="Cambria" w:hAnsi="Cambria"/>
          <w:sz w:val="24"/>
          <w:szCs w:val="24"/>
        </w:rPr>
        <w:t xml:space="preserve"> powerplants</w:t>
      </w:r>
      <w:r w:rsidR="007F5AA2">
        <w:rPr>
          <w:rFonts w:ascii="Cambria" w:hAnsi="Cambria"/>
          <w:sz w:val="24"/>
          <w:szCs w:val="24"/>
        </w:rPr>
        <w:t xml:space="preserve"> (Enclosure #2) </w:t>
      </w:r>
      <w:r w:rsidR="00192D57">
        <w:rPr>
          <w:rFonts w:ascii="Cambria" w:hAnsi="Cambria"/>
          <w:sz w:val="24"/>
          <w:szCs w:val="24"/>
        </w:rPr>
        <w:t>still operating; the eleven closed plants</w:t>
      </w:r>
      <w:r w:rsidR="00514039">
        <w:rPr>
          <w:rFonts w:ascii="Cambria" w:hAnsi="Cambria"/>
          <w:sz w:val="24"/>
          <w:szCs w:val="24"/>
        </w:rPr>
        <w:t xml:space="preserve"> are:</w:t>
      </w:r>
    </w:p>
    <w:p w:rsidR="00514039" w:rsidRDefault="00514039" w:rsidP="00CD35DE">
      <w:pPr>
        <w:pStyle w:val="ListParagraph"/>
        <w:rPr>
          <w:rFonts w:ascii="Cambria" w:hAnsi="Cambria"/>
          <w:sz w:val="24"/>
          <w:szCs w:val="24"/>
        </w:rPr>
      </w:pPr>
    </w:p>
    <w:tbl>
      <w:tblPr>
        <w:tblStyle w:val="TableGrid"/>
        <w:tblW w:w="0" w:type="auto"/>
        <w:tblInd w:w="720" w:type="dxa"/>
        <w:tblLook w:val="04A0" w:firstRow="1" w:lastRow="0" w:firstColumn="1" w:lastColumn="0" w:noHBand="0" w:noVBand="1"/>
      </w:tblPr>
      <w:tblGrid>
        <w:gridCol w:w="2905"/>
        <w:gridCol w:w="2841"/>
        <w:gridCol w:w="2884"/>
      </w:tblGrid>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Powerplant Name</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Year Closed</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Operating Capacity</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Blue Lake</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2015</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12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Burney</w:t>
            </w:r>
            <w:r w:rsidR="00366E15">
              <w:rPr>
                <w:rFonts w:ascii="Cambria" w:hAnsi="Cambria"/>
                <w:sz w:val="24"/>
                <w:szCs w:val="24"/>
              </w:rPr>
              <w:t xml:space="preserve"> </w:t>
            </w:r>
            <w:r>
              <w:rPr>
                <w:rFonts w:ascii="Cambria" w:hAnsi="Cambria"/>
                <w:sz w:val="24"/>
                <w:szCs w:val="24"/>
              </w:rPr>
              <w:t>Mountain Power</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2011</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12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Bieber</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2002</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 xml:space="preserve">  7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Loyalton</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2009</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10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Madera</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2013</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25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Mendota</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2014</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25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Oroville</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2012</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18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Scotia</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2014</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28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Terra Bella</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2014</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9.5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Tracy</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2014</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18.5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Westwood</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2011</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12 MW</w:t>
            </w:r>
          </w:p>
        </w:tc>
      </w:tr>
    </w:tbl>
    <w:p w:rsidR="00CD35DE" w:rsidRPr="00514039" w:rsidRDefault="00CD35DE" w:rsidP="00514039">
      <w:pPr>
        <w:rPr>
          <w:rFonts w:ascii="Cambria" w:hAnsi="Cambria"/>
          <w:sz w:val="24"/>
          <w:szCs w:val="24"/>
        </w:rPr>
      </w:pPr>
    </w:p>
    <w:p w:rsidR="00CD35DE" w:rsidRDefault="00CD35DE" w:rsidP="00086540">
      <w:pPr>
        <w:pStyle w:val="ListParagraph"/>
        <w:ind w:left="360"/>
        <w:rPr>
          <w:rFonts w:ascii="Cambria" w:hAnsi="Cambria"/>
          <w:sz w:val="24"/>
          <w:szCs w:val="24"/>
        </w:rPr>
      </w:pPr>
      <w:r>
        <w:rPr>
          <w:rFonts w:ascii="Cambria" w:hAnsi="Cambria"/>
          <w:sz w:val="24"/>
          <w:szCs w:val="24"/>
        </w:rPr>
        <w:t>Stand-alone biomass powerplants of 10-50 MW need 8.5-10 cents/kW to operate.  Co-generation plants that are part of an integrated system with a sawmill can produce power to run the entire complex and provide the steam to run the dry kilns.  This configuration generally means the powerplant can run at 5-7 cents/kW because the mill residues provide a substantial percentage of the needed feedstock to run the powerplant.</w:t>
      </w:r>
      <w:r w:rsidR="007F5AA2">
        <w:rPr>
          <w:rFonts w:ascii="Cambria" w:hAnsi="Cambria"/>
          <w:sz w:val="24"/>
          <w:szCs w:val="24"/>
        </w:rPr>
        <w:t xml:space="preserve">  In many cases, the co-gen powerplant was sized with the sawmill so that the mil</w:t>
      </w:r>
      <w:r w:rsidR="00F50F3E">
        <w:rPr>
          <w:rFonts w:ascii="Cambria" w:hAnsi="Cambria"/>
          <w:sz w:val="24"/>
          <w:szCs w:val="24"/>
        </w:rPr>
        <w:t>l residues generally provide most of</w:t>
      </w:r>
      <w:r w:rsidR="007F5AA2">
        <w:rPr>
          <w:rFonts w:ascii="Cambria" w:hAnsi="Cambria"/>
          <w:sz w:val="24"/>
          <w:szCs w:val="24"/>
        </w:rPr>
        <w:t xml:space="preserve"> the needed feedstock although some </w:t>
      </w:r>
      <w:r w:rsidR="007F5AA2">
        <w:rPr>
          <w:rFonts w:ascii="Cambria" w:hAnsi="Cambria"/>
          <w:sz w:val="24"/>
          <w:szCs w:val="24"/>
        </w:rPr>
        <w:lastRenderedPageBreak/>
        <w:t>additional chips are needed to mix with the mill residues to get a higher efficiency burn in the boiler.</w:t>
      </w:r>
    </w:p>
    <w:p w:rsidR="00CD35DE" w:rsidRDefault="00CD35DE" w:rsidP="00CD35DE">
      <w:pPr>
        <w:pStyle w:val="ListParagraph"/>
        <w:rPr>
          <w:rFonts w:ascii="Cambria" w:hAnsi="Cambria"/>
          <w:sz w:val="24"/>
          <w:szCs w:val="24"/>
        </w:rPr>
      </w:pPr>
    </w:p>
    <w:p w:rsidR="00CD35DE" w:rsidRDefault="00FF55C3" w:rsidP="00086540">
      <w:pPr>
        <w:pStyle w:val="ListParagraph"/>
        <w:ind w:left="360"/>
        <w:rPr>
          <w:rFonts w:ascii="Cambria" w:hAnsi="Cambria"/>
          <w:sz w:val="24"/>
          <w:szCs w:val="24"/>
        </w:rPr>
      </w:pPr>
      <w:r>
        <w:rPr>
          <w:rFonts w:ascii="Cambria" w:hAnsi="Cambria"/>
          <w:sz w:val="24"/>
          <w:szCs w:val="24"/>
        </w:rPr>
        <w:t>As recent as August 22, 2012 with California’s press release of its 2012 Bioenergy Action Plan, the Plan at p. 4 states:</w:t>
      </w:r>
    </w:p>
    <w:p w:rsidR="001E6120" w:rsidRDefault="001E6120" w:rsidP="00CD35DE">
      <w:pPr>
        <w:pStyle w:val="ListParagraph"/>
        <w:rPr>
          <w:rFonts w:ascii="Cambria" w:hAnsi="Cambria"/>
          <w:sz w:val="24"/>
          <w:szCs w:val="24"/>
        </w:rPr>
      </w:pPr>
    </w:p>
    <w:p w:rsidR="00FF55C3" w:rsidRDefault="00FF55C3" w:rsidP="00086540">
      <w:pPr>
        <w:pStyle w:val="ListParagraph"/>
        <w:ind w:left="540"/>
        <w:rPr>
          <w:rFonts w:ascii="Cambria" w:hAnsi="Cambria"/>
          <w:sz w:val="24"/>
          <w:szCs w:val="24"/>
          <w:u w:val="single"/>
        </w:rPr>
      </w:pPr>
      <w:r>
        <w:rPr>
          <w:rFonts w:ascii="Cambria" w:hAnsi="Cambria"/>
          <w:sz w:val="24"/>
          <w:szCs w:val="24"/>
        </w:rPr>
        <w:t>“</w:t>
      </w:r>
      <w:r w:rsidRPr="00FF55C3">
        <w:rPr>
          <w:rFonts w:ascii="Cambria" w:hAnsi="Cambria"/>
          <w:sz w:val="24"/>
          <w:szCs w:val="24"/>
        </w:rPr>
        <w:t xml:space="preserve">California currently </w:t>
      </w:r>
      <w:r>
        <w:rPr>
          <w:rFonts w:ascii="Cambria" w:hAnsi="Cambria"/>
          <w:sz w:val="24"/>
          <w:szCs w:val="24"/>
        </w:rPr>
        <w:t>has 33 biomass plants that generate a combined</w:t>
      </w:r>
      <w:r w:rsidRPr="00FF55C3">
        <w:rPr>
          <w:rFonts w:ascii="Cambria" w:hAnsi="Cambria"/>
          <w:sz w:val="24"/>
          <w:szCs w:val="24"/>
        </w:rPr>
        <w:t xml:space="preserve"> 600 megawatts of electricity and 50 to 100 million gasoline gallon equivalents from organic waste each year. Bioenergy facilities employ about 5,000 people and contribute $575 million to the California economy. </w:t>
      </w:r>
      <w:r w:rsidRPr="00FF55C3">
        <w:rPr>
          <w:rFonts w:ascii="Cambria" w:hAnsi="Cambria"/>
          <w:sz w:val="24"/>
          <w:szCs w:val="24"/>
          <w:u w:val="single"/>
        </w:rPr>
        <w:t>By reducing the economic and regulatory barriers to bioenergy development in California, the Bioenergy Action Plan will help to nearly double these numbers</w:t>
      </w:r>
      <w:r>
        <w:rPr>
          <w:rFonts w:ascii="Cambria" w:hAnsi="Cambria"/>
          <w:sz w:val="24"/>
          <w:szCs w:val="24"/>
          <w:u w:val="single"/>
        </w:rPr>
        <w:t xml:space="preserve"> [emphasis added]</w:t>
      </w:r>
      <w:r w:rsidRPr="00FF55C3">
        <w:rPr>
          <w:rFonts w:ascii="Cambria" w:hAnsi="Cambria"/>
          <w:sz w:val="24"/>
          <w:szCs w:val="24"/>
          <w:u w:val="single"/>
        </w:rPr>
        <w:t>.</w:t>
      </w:r>
      <w:r>
        <w:rPr>
          <w:rFonts w:ascii="Cambria" w:hAnsi="Cambria"/>
          <w:sz w:val="24"/>
          <w:szCs w:val="24"/>
          <w:u w:val="single"/>
        </w:rPr>
        <w:t>”</w:t>
      </w:r>
    </w:p>
    <w:p w:rsidR="00FF55C3" w:rsidRDefault="00FF55C3" w:rsidP="00FF55C3">
      <w:pPr>
        <w:pStyle w:val="ListParagraph"/>
        <w:ind w:left="1080"/>
        <w:rPr>
          <w:rFonts w:ascii="Cambria" w:hAnsi="Cambria"/>
          <w:sz w:val="24"/>
          <w:szCs w:val="24"/>
          <w:u w:val="single"/>
        </w:rPr>
      </w:pPr>
    </w:p>
    <w:p w:rsidR="00FF55C3" w:rsidRPr="00310F02" w:rsidRDefault="00FF55C3" w:rsidP="00310F02">
      <w:pPr>
        <w:spacing w:line="256" w:lineRule="auto"/>
        <w:ind w:left="360"/>
        <w:rPr>
          <w:rFonts w:ascii="Cambria" w:hAnsi="Cambria"/>
          <w:sz w:val="24"/>
          <w:szCs w:val="24"/>
        </w:rPr>
      </w:pPr>
      <w:r w:rsidRPr="00310F02">
        <w:rPr>
          <w:rFonts w:ascii="Cambria" w:hAnsi="Cambria"/>
          <w:sz w:val="24"/>
          <w:szCs w:val="24"/>
        </w:rPr>
        <w:t xml:space="preserve">Since release of the 2012 Bioenergy Action Plan, </w:t>
      </w:r>
      <w:r w:rsidR="00B02A46">
        <w:rPr>
          <w:rFonts w:ascii="Cambria" w:hAnsi="Cambria"/>
          <w:sz w:val="24"/>
          <w:szCs w:val="24"/>
        </w:rPr>
        <w:t>6 more biomass powerplants had their energy price expire leading to them closing. T</w:t>
      </w:r>
      <w:r w:rsidRPr="00310F02">
        <w:rPr>
          <w:rFonts w:ascii="Cambria" w:hAnsi="Cambria"/>
          <w:sz w:val="24"/>
          <w:szCs w:val="24"/>
        </w:rPr>
        <w:t xml:space="preserve">he number of operating biomass powerplants </w:t>
      </w:r>
      <w:r w:rsidR="00B02A46">
        <w:rPr>
          <w:rFonts w:ascii="Cambria" w:hAnsi="Cambria"/>
          <w:sz w:val="24"/>
          <w:szCs w:val="24"/>
        </w:rPr>
        <w:t xml:space="preserve">currently </w:t>
      </w:r>
      <w:r w:rsidRPr="00310F02">
        <w:rPr>
          <w:rFonts w:ascii="Cambria" w:hAnsi="Cambria"/>
          <w:sz w:val="24"/>
          <w:szCs w:val="24"/>
        </w:rPr>
        <w:t>has dec</w:t>
      </w:r>
      <w:r w:rsidR="00D86D0B" w:rsidRPr="00310F02">
        <w:rPr>
          <w:rFonts w:ascii="Cambria" w:hAnsi="Cambria"/>
          <w:sz w:val="24"/>
          <w:szCs w:val="24"/>
        </w:rPr>
        <w:t>reased to 21 producing about 616</w:t>
      </w:r>
      <w:r w:rsidRPr="00310F02">
        <w:rPr>
          <w:rFonts w:ascii="Cambria" w:hAnsi="Cambria"/>
          <w:sz w:val="24"/>
          <w:szCs w:val="24"/>
        </w:rPr>
        <w:t xml:space="preserve"> MW.</w:t>
      </w:r>
      <w:r w:rsidR="001E6120" w:rsidRPr="00310F02">
        <w:rPr>
          <w:rFonts w:ascii="Cambria" w:hAnsi="Cambria"/>
          <w:sz w:val="24"/>
          <w:szCs w:val="24"/>
        </w:rPr>
        <w:t xml:space="preserve">  Plant closures will continue as energy price contractual agreements expire unless the </w:t>
      </w:r>
      <w:r w:rsidR="003B4CCA" w:rsidRPr="00310F02">
        <w:rPr>
          <w:rFonts w:ascii="Cambria" w:hAnsi="Cambria"/>
          <w:sz w:val="24"/>
          <w:szCs w:val="24"/>
        </w:rPr>
        <w:t>uncompensated environmental benefits (11.4 cents/kWh) are recognized and at least partially incorporated in the energy price. Recognition that utilizing wood residues for biomass heat and power in lieu of open burning and/or decomposition can provide an 85-100% reduction in criteria pollutants.</w:t>
      </w:r>
    </w:p>
    <w:p w:rsidR="00FF55C3" w:rsidRDefault="00FF55C3" w:rsidP="00086540">
      <w:pPr>
        <w:ind w:left="360"/>
        <w:rPr>
          <w:rFonts w:ascii="Cambria" w:hAnsi="Cambria"/>
          <w:sz w:val="24"/>
          <w:szCs w:val="24"/>
        </w:rPr>
      </w:pPr>
      <w:r w:rsidRPr="00FF55C3">
        <w:rPr>
          <w:rFonts w:ascii="Cambria" w:hAnsi="Cambria"/>
          <w:sz w:val="24"/>
          <w:szCs w:val="24"/>
        </w:rPr>
        <w:t xml:space="preserve">Doubling the operating </w:t>
      </w:r>
      <w:r>
        <w:rPr>
          <w:rFonts w:ascii="Cambria" w:hAnsi="Cambria"/>
          <w:sz w:val="24"/>
          <w:szCs w:val="24"/>
        </w:rPr>
        <w:t xml:space="preserve">biomass operating </w:t>
      </w:r>
      <w:r w:rsidRPr="00FF55C3">
        <w:rPr>
          <w:rFonts w:ascii="Cambria" w:hAnsi="Cambria"/>
          <w:sz w:val="24"/>
          <w:szCs w:val="24"/>
        </w:rPr>
        <w:t>capacity to about 1,200 MW would increase total employment by 4.9 total jobs per megawatt (nearly 3,000 jobs).</w:t>
      </w:r>
      <w:r>
        <w:rPr>
          <w:rFonts w:ascii="Cambria" w:hAnsi="Cambria"/>
          <w:sz w:val="24"/>
          <w:szCs w:val="24"/>
        </w:rPr>
        <w:t xml:space="preserve">  It would utilize an additional 4.8 million bone dry tons of urban, agricul</w:t>
      </w:r>
      <w:r w:rsidR="00655AAB">
        <w:rPr>
          <w:rFonts w:ascii="Cambria" w:hAnsi="Cambria"/>
          <w:sz w:val="24"/>
          <w:szCs w:val="24"/>
        </w:rPr>
        <w:t>ture, and forest woody residues (h</w:t>
      </w:r>
      <w:r w:rsidR="005E1C52">
        <w:rPr>
          <w:rFonts w:ascii="Cambria" w:hAnsi="Cambria"/>
          <w:sz w:val="24"/>
          <w:szCs w:val="24"/>
        </w:rPr>
        <w:t>istorically about 40% forest, 30% urban, 3</w:t>
      </w:r>
      <w:r w:rsidR="00655AAB">
        <w:rPr>
          <w:rFonts w:ascii="Cambria" w:hAnsi="Cambria"/>
          <w:sz w:val="24"/>
          <w:szCs w:val="24"/>
        </w:rPr>
        <w:t>0% agriculture)</w:t>
      </w:r>
      <w:r w:rsidR="001E6120">
        <w:rPr>
          <w:rFonts w:ascii="Cambria" w:hAnsi="Cambria"/>
          <w:sz w:val="24"/>
          <w:szCs w:val="24"/>
        </w:rPr>
        <w:t xml:space="preserve"> (2012 Bioenergy Action Plan, p. 12).  Utilization of</w:t>
      </w:r>
      <w:r w:rsidR="005E1C52">
        <w:rPr>
          <w:rFonts w:ascii="Cambria" w:hAnsi="Cambria"/>
          <w:sz w:val="24"/>
          <w:szCs w:val="24"/>
        </w:rPr>
        <w:t xml:space="preserve"> an additional 2 million bone dry tons of forest residues (separate from mill residues) would nearly equate to 100% utilization and virtual elimination of open field burning and/or in-the-woods decomposition.</w:t>
      </w:r>
    </w:p>
    <w:p w:rsidR="00AA3DA5" w:rsidRDefault="00310F02" w:rsidP="00086540">
      <w:pPr>
        <w:ind w:left="360"/>
        <w:rPr>
          <w:rFonts w:ascii="Cambria" w:hAnsi="Cambria"/>
          <w:sz w:val="24"/>
          <w:szCs w:val="24"/>
        </w:rPr>
      </w:pPr>
      <w:r>
        <w:rPr>
          <w:rFonts w:ascii="Cambria" w:hAnsi="Cambria"/>
          <w:sz w:val="24"/>
          <w:szCs w:val="24"/>
        </w:rPr>
        <w:t xml:space="preserve">Without recognition of the uncompensated 11.4 cent/kWh environmental benefit </w:t>
      </w:r>
      <w:r w:rsidR="001E6120">
        <w:rPr>
          <w:rFonts w:ascii="Cambria" w:hAnsi="Cambria"/>
          <w:sz w:val="24"/>
          <w:szCs w:val="24"/>
        </w:rPr>
        <w:t>for wood-fired heat and power</w:t>
      </w:r>
      <w:r>
        <w:rPr>
          <w:rFonts w:ascii="Cambria" w:hAnsi="Cambria"/>
          <w:sz w:val="24"/>
          <w:szCs w:val="24"/>
        </w:rPr>
        <w:t>, it</w:t>
      </w:r>
      <w:r w:rsidR="001E6120">
        <w:rPr>
          <w:rFonts w:ascii="Cambria" w:hAnsi="Cambria"/>
          <w:sz w:val="24"/>
          <w:szCs w:val="24"/>
        </w:rPr>
        <w:t xml:space="preserve"> will continue to lead to the remaining powerplants competing</w:t>
      </w:r>
      <w:r>
        <w:rPr>
          <w:rFonts w:ascii="Cambria" w:hAnsi="Cambria"/>
          <w:sz w:val="24"/>
          <w:szCs w:val="24"/>
        </w:rPr>
        <w:t xml:space="preserve"> with essentially the price of natural g</w:t>
      </w:r>
      <w:r w:rsidR="001E6120">
        <w:rPr>
          <w:rFonts w:ascii="Cambria" w:hAnsi="Cambria"/>
          <w:sz w:val="24"/>
          <w:szCs w:val="24"/>
        </w:rPr>
        <w:t xml:space="preserve">as (about 3.5 cents/kW).   </w:t>
      </w:r>
      <w:r w:rsidR="00E91440">
        <w:rPr>
          <w:rFonts w:ascii="Cambria" w:hAnsi="Cambria"/>
          <w:sz w:val="24"/>
          <w:szCs w:val="24"/>
        </w:rPr>
        <w:t>The result will be a continuing reduction in the remaining operating powerplants as their current energy price contract expires.</w:t>
      </w:r>
    </w:p>
    <w:p w:rsidR="001E6120" w:rsidRDefault="001E6120" w:rsidP="00086540">
      <w:pPr>
        <w:ind w:left="360"/>
        <w:rPr>
          <w:rFonts w:ascii="Cambria" w:hAnsi="Cambria"/>
          <w:sz w:val="24"/>
          <w:szCs w:val="24"/>
        </w:rPr>
      </w:pPr>
      <w:r>
        <w:rPr>
          <w:rFonts w:ascii="Cambria" w:hAnsi="Cambria"/>
          <w:sz w:val="24"/>
          <w:szCs w:val="24"/>
        </w:rPr>
        <w:t>As will be shown in the next Chapter, it’s been known for the past 15 years that there is an uncompensated ancillary 11.4 cent/kWh environmental benefit of utilizing wood residue burned in a controlled combustion boiler for heat and power in lieu of open field burning and/or in-the-forest decomposition.</w:t>
      </w:r>
    </w:p>
    <w:p w:rsidR="00E91440" w:rsidRDefault="00E91440" w:rsidP="00086540">
      <w:pPr>
        <w:ind w:left="360"/>
        <w:rPr>
          <w:rFonts w:ascii="Cambria" w:hAnsi="Cambria"/>
          <w:sz w:val="24"/>
          <w:szCs w:val="24"/>
        </w:rPr>
      </w:pPr>
      <w:r>
        <w:rPr>
          <w:rFonts w:ascii="Cambria" w:hAnsi="Cambria"/>
          <w:sz w:val="24"/>
          <w:szCs w:val="24"/>
        </w:rPr>
        <w:t>To implement the 2012 State Bioe</w:t>
      </w:r>
      <w:r w:rsidR="00310F02">
        <w:rPr>
          <w:rFonts w:ascii="Cambria" w:hAnsi="Cambria"/>
          <w:sz w:val="24"/>
          <w:szCs w:val="24"/>
        </w:rPr>
        <w:t xml:space="preserve">nergy Action Plan for biomass, </w:t>
      </w:r>
      <w:r w:rsidR="00220969">
        <w:rPr>
          <w:rFonts w:ascii="Cambria" w:hAnsi="Cambria"/>
          <w:sz w:val="24"/>
          <w:szCs w:val="24"/>
        </w:rPr>
        <w:t xml:space="preserve">at least ½ of the ancillary benefits would </w:t>
      </w:r>
      <w:r w:rsidR="00310F02">
        <w:rPr>
          <w:rFonts w:ascii="Cambria" w:hAnsi="Cambria"/>
          <w:sz w:val="24"/>
          <w:szCs w:val="24"/>
        </w:rPr>
        <w:t xml:space="preserve">have to </w:t>
      </w:r>
      <w:r w:rsidR="00220969">
        <w:rPr>
          <w:rFonts w:ascii="Cambria" w:hAnsi="Cambria"/>
          <w:sz w:val="24"/>
          <w:szCs w:val="24"/>
        </w:rPr>
        <w:t xml:space="preserve">be added to the price of natural gas (about 3.5 cents/kW) putting biomass powerplants up to generally around 9 cents/kW.  For </w:t>
      </w:r>
      <w:r w:rsidR="00220969">
        <w:rPr>
          <w:rFonts w:ascii="Cambria" w:hAnsi="Cambria"/>
          <w:sz w:val="24"/>
          <w:szCs w:val="24"/>
        </w:rPr>
        <w:lastRenderedPageBreak/>
        <w:t>powerplants less than 10 MW operating capacity, the price would have to be higher.</w:t>
      </w:r>
      <w:r w:rsidR="00310F02">
        <w:rPr>
          <w:rFonts w:ascii="Cambria" w:hAnsi="Cambria"/>
          <w:sz w:val="24"/>
          <w:szCs w:val="24"/>
        </w:rPr>
        <w:t xml:space="preserve">  SB1122 powerplant</w:t>
      </w:r>
      <w:r w:rsidR="0029515D">
        <w:rPr>
          <w:rFonts w:ascii="Cambria" w:hAnsi="Cambria"/>
          <w:sz w:val="24"/>
          <w:szCs w:val="24"/>
        </w:rPr>
        <w:t>s</w:t>
      </w:r>
      <w:r w:rsidR="00310F02">
        <w:rPr>
          <w:rFonts w:ascii="Cambria" w:hAnsi="Cambria"/>
          <w:sz w:val="24"/>
          <w:szCs w:val="24"/>
        </w:rPr>
        <w:t xml:space="preserve"> (less than 3 MW) have a PUC regulatory procedure that could lead to a 12.77 cent/kWh price floor for those plants.</w:t>
      </w:r>
    </w:p>
    <w:p w:rsidR="00BF7247" w:rsidRDefault="00BF7247" w:rsidP="00086540">
      <w:pPr>
        <w:ind w:left="360"/>
        <w:rPr>
          <w:rFonts w:ascii="Cambria" w:hAnsi="Cambria"/>
          <w:sz w:val="24"/>
          <w:szCs w:val="24"/>
        </w:rPr>
      </w:pPr>
      <w:r>
        <w:rPr>
          <w:rFonts w:ascii="Cambria" w:hAnsi="Cambria"/>
          <w:sz w:val="24"/>
          <w:szCs w:val="24"/>
        </w:rPr>
        <w:t>A 5.5 cent/kW increase in energy price for the remaining biomass powerplants would equate to about $32 million.  If incentives were such that the industry doubled in operating capacity, the total cost would be about $65 million.</w:t>
      </w:r>
    </w:p>
    <w:p w:rsidR="005C14E6" w:rsidRDefault="005C14E6">
      <w:pPr>
        <w:rPr>
          <w:rFonts w:ascii="Cambria" w:hAnsi="Cambria"/>
          <w:sz w:val="24"/>
          <w:szCs w:val="24"/>
        </w:rPr>
      </w:pPr>
      <w:r>
        <w:rPr>
          <w:rFonts w:ascii="Cambria" w:hAnsi="Cambria"/>
          <w:sz w:val="24"/>
          <w:szCs w:val="24"/>
        </w:rPr>
        <w:br w:type="page"/>
      </w:r>
    </w:p>
    <w:p w:rsidR="005C14E6" w:rsidRDefault="005C14E6">
      <w:pPr>
        <w:rPr>
          <w:rFonts w:ascii="Cambria" w:hAnsi="Cambria"/>
          <w:b/>
          <w:sz w:val="24"/>
          <w:szCs w:val="24"/>
        </w:rPr>
      </w:pPr>
    </w:p>
    <w:p w:rsidR="00AA3DA5" w:rsidRPr="00086540" w:rsidRDefault="00AA3DA5" w:rsidP="00086540">
      <w:pPr>
        <w:pStyle w:val="ListParagraph"/>
        <w:numPr>
          <w:ilvl w:val="0"/>
          <w:numId w:val="25"/>
        </w:numPr>
        <w:ind w:left="360" w:hanging="360"/>
        <w:rPr>
          <w:rFonts w:ascii="Cambria" w:hAnsi="Cambria"/>
          <w:sz w:val="24"/>
          <w:szCs w:val="24"/>
        </w:rPr>
      </w:pPr>
      <w:r w:rsidRPr="00086540">
        <w:rPr>
          <w:rFonts w:ascii="Cambria" w:hAnsi="Cambria"/>
          <w:b/>
          <w:sz w:val="24"/>
          <w:szCs w:val="24"/>
        </w:rPr>
        <w:t>Social and Environmental Benefits of a Healthy Biomass Powerplant Industry</w:t>
      </w:r>
    </w:p>
    <w:p w:rsidR="00AA3DA5" w:rsidRPr="00C218CF" w:rsidRDefault="00AA3DA5" w:rsidP="00C218CF">
      <w:pPr>
        <w:rPr>
          <w:rFonts w:ascii="Cambria" w:hAnsi="Cambria"/>
          <w:b/>
          <w:sz w:val="24"/>
          <w:szCs w:val="24"/>
        </w:rPr>
      </w:pPr>
      <w:r w:rsidRPr="00C218CF">
        <w:rPr>
          <w:rFonts w:ascii="Cambria" w:hAnsi="Cambria"/>
          <w:b/>
          <w:sz w:val="24"/>
          <w:szCs w:val="24"/>
        </w:rPr>
        <w:t>Criteria Pollutants</w:t>
      </w:r>
    </w:p>
    <w:p w:rsidR="0011772D" w:rsidRDefault="0011772D" w:rsidP="002F5F6F">
      <w:pPr>
        <w:ind w:left="360"/>
        <w:rPr>
          <w:rFonts w:ascii="Cambria" w:hAnsi="Cambria"/>
          <w:sz w:val="24"/>
          <w:szCs w:val="24"/>
        </w:rPr>
      </w:pPr>
      <w:r>
        <w:rPr>
          <w:rFonts w:ascii="Cambria" w:hAnsi="Cambria"/>
          <w:sz w:val="24"/>
          <w:szCs w:val="24"/>
        </w:rPr>
        <w:t>The 11.4 cent/kW uncompensated ancillary benefits of biomass energy production are well established and discussed in detail in the Western Governors Association 2006 Biomass Taskforce Report (</w:t>
      </w:r>
      <w:hyperlink r:id="rId18" w:history="1">
        <w:r w:rsidRPr="00E86040">
          <w:rPr>
            <w:rStyle w:val="Hyperlink"/>
            <w:rFonts w:ascii="Cambria" w:hAnsi="Cambria"/>
            <w:sz w:val="24"/>
            <w:szCs w:val="24"/>
          </w:rPr>
          <w:t>www.westgov.org</w:t>
        </w:r>
      </w:hyperlink>
      <w:r>
        <w:rPr>
          <w:rFonts w:ascii="Cambria" w:hAnsi="Cambria"/>
          <w:sz w:val="24"/>
          <w:szCs w:val="24"/>
        </w:rPr>
        <w:t>) and the 1999 Value of Biomass Power report by Dr. Gregg Morris.  These two reports display and discuss the value of the Benefits:</w:t>
      </w:r>
    </w:p>
    <w:p w:rsidR="0011772D" w:rsidRPr="002F5F6F" w:rsidRDefault="0011772D" w:rsidP="0011772D">
      <w:pPr>
        <w:numPr>
          <w:ilvl w:val="0"/>
          <w:numId w:val="7"/>
        </w:numPr>
        <w:tabs>
          <w:tab w:val="clear" w:pos="720"/>
          <w:tab w:val="num" w:pos="990"/>
        </w:tabs>
        <w:spacing w:after="0" w:line="240" w:lineRule="auto"/>
        <w:ind w:left="1080"/>
        <w:rPr>
          <w:rFonts w:ascii="Cambria" w:hAnsi="Cambria"/>
          <w:sz w:val="24"/>
          <w:szCs w:val="24"/>
        </w:rPr>
      </w:pPr>
      <w:r w:rsidRPr="002F5F6F">
        <w:rPr>
          <w:rFonts w:ascii="Cambria" w:hAnsi="Cambria"/>
          <w:sz w:val="24"/>
          <w:szCs w:val="24"/>
        </w:rPr>
        <w:t>Criteria Pollutants</w:t>
      </w:r>
      <w:r w:rsidRPr="002F5F6F">
        <w:rPr>
          <w:rFonts w:ascii="Cambria" w:hAnsi="Cambria"/>
          <w:sz w:val="24"/>
          <w:szCs w:val="24"/>
        </w:rPr>
        <w:tab/>
      </w:r>
      <w:r w:rsidRPr="002F5F6F">
        <w:rPr>
          <w:rFonts w:ascii="Cambria" w:hAnsi="Cambria"/>
          <w:sz w:val="24"/>
          <w:szCs w:val="24"/>
        </w:rPr>
        <w:tab/>
        <w:t xml:space="preserve"> </w:t>
      </w:r>
      <w:r w:rsidRPr="002F5F6F">
        <w:rPr>
          <w:rFonts w:ascii="Cambria" w:hAnsi="Cambria"/>
          <w:sz w:val="24"/>
          <w:szCs w:val="24"/>
        </w:rPr>
        <w:tab/>
      </w:r>
      <w:r w:rsidRPr="002F5F6F">
        <w:rPr>
          <w:rFonts w:ascii="Cambria" w:hAnsi="Cambria"/>
          <w:sz w:val="24"/>
          <w:szCs w:val="24"/>
        </w:rPr>
        <w:tab/>
      </w:r>
      <w:r w:rsidRPr="002F5F6F">
        <w:rPr>
          <w:rFonts w:ascii="Cambria" w:hAnsi="Cambria"/>
          <w:sz w:val="24"/>
          <w:szCs w:val="24"/>
        </w:rPr>
        <w:tab/>
        <w:t>- 4.3 cents/kilowatt</w:t>
      </w:r>
    </w:p>
    <w:p w:rsidR="0011772D" w:rsidRPr="002F5F6F" w:rsidRDefault="0011772D" w:rsidP="0011772D">
      <w:pPr>
        <w:numPr>
          <w:ilvl w:val="0"/>
          <w:numId w:val="7"/>
        </w:numPr>
        <w:tabs>
          <w:tab w:val="clear" w:pos="720"/>
          <w:tab w:val="num" w:pos="990"/>
        </w:tabs>
        <w:spacing w:after="0" w:line="240" w:lineRule="auto"/>
        <w:ind w:left="1080"/>
        <w:rPr>
          <w:rFonts w:ascii="Cambria" w:hAnsi="Cambria"/>
          <w:sz w:val="24"/>
          <w:szCs w:val="24"/>
        </w:rPr>
      </w:pPr>
      <w:r w:rsidRPr="002F5F6F">
        <w:rPr>
          <w:rFonts w:ascii="Cambria" w:hAnsi="Cambria"/>
          <w:sz w:val="24"/>
          <w:szCs w:val="24"/>
        </w:rPr>
        <w:t>Reductio</w:t>
      </w:r>
      <w:r>
        <w:rPr>
          <w:rFonts w:ascii="Cambria" w:hAnsi="Cambria"/>
          <w:sz w:val="24"/>
          <w:szCs w:val="24"/>
        </w:rPr>
        <w:t>n in Greenhouse Gas Emissions</w:t>
      </w:r>
      <w:r>
        <w:rPr>
          <w:rFonts w:ascii="Cambria" w:hAnsi="Cambria"/>
          <w:sz w:val="24"/>
          <w:szCs w:val="24"/>
        </w:rPr>
        <w:tab/>
      </w:r>
      <w:r w:rsidRPr="002F5F6F">
        <w:rPr>
          <w:rFonts w:ascii="Cambria" w:hAnsi="Cambria"/>
          <w:sz w:val="24"/>
          <w:szCs w:val="24"/>
        </w:rPr>
        <w:t>- 5.9 cents/kilowatt</w:t>
      </w:r>
    </w:p>
    <w:p w:rsidR="0011772D" w:rsidRPr="002F5F6F" w:rsidRDefault="0011772D" w:rsidP="0011772D">
      <w:pPr>
        <w:numPr>
          <w:ilvl w:val="0"/>
          <w:numId w:val="7"/>
        </w:numPr>
        <w:tabs>
          <w:tab w:val="clear" w:pos="720"/>
          <w:tab w:val="num" w:pos="990"/>
        </w:tabs>
        <w:spacing w:after="0" w:line="240" w:lineRule="auto"/>
        <w:ind w:left="1080"/>
        <w:rPr>
          <w:rFonts w:ascii="Cambria" w:hAnsi="Cambria"/>
          <w:sz w:val="24"/>
          <w:szCs w:val="24"/>
        </w:rPr>
      </w:pPr>
      <w:r>
        <w:rPr>
          <w:rFonts w:ascii="Cambria" w:hAnsi="Cambria"/>
          <w:sz w:val="24"/>
          <w:szCs w:val="24"/>
        </w:rPr>
        <w:t>Avoided Landfill</w:t>
      </w:r>
      <w:r>
        <w:rPr>
          <w:rFonts w:ascii="Cambria" w:hAnsi="Cambria"/>
          <w:sz w:val="24"/>
          <w:szCs w:val="24"/>
        </w:rPr>
        <w:tab/>
      </w:r>
      <w:r>
        <w:rPr>
          <w:rFonts w:ascii="Cambria" w:hAnsi="Cambria"/>
          <w:sz w:val="24"/>
          <w:szCs w:val="24"/>
        </w:rPr>
        <w:tab/>
        <w:t xml:space="preserve"> </w:t>
      </w:r>
      <w:r>
        <w:rPr>
          <w:rFonts w:ascii="Cambria" w:hAnsi="Cambria"/>
          <w:sz w:val="24"/>
          <w:szCs w:val="24"/>
        </w:rPr>
        <w:tab/>
      </w:r>
      <w:r>
        <w:rPr>
          <w:rFonts w:ascii="Cambria" w:hAnsi="Cambria"/>
          <w:sz w:val="24"/>
          <w:szCs w:val="24"/>
        </w:rPr>
        <w:tab/>
      </w:r>
      <w:r w:rsidRPr="002F5F6F">
        <w:rPr>
          <w:rFonts w:ascii="Cambria" w:hAnsi="Cambria"/>
          <w:sz w:val="24"/>
          <w:szCs w:val="24"/>
        </w:rPr>
        <w:tab/>
        <w:t>- 1.1 cents/kilowatt</w:t>
      </w:r>
    </w:p>
    <w:p w:rsidR="0011772D" w:rsidRDefault="0011772D" w:rsidP="0011772D">
      <w:pPr>
        <w:numPr>
          <w:ilvl w:val="0"/>
          <w:numId w:val="7"/>
        </w:numPr>
        <w:tabs>
          <w:tab w:val="clear" w:pos="720"/>
          <w:tab w:val="num" w:pos="990"/>
        </w:tabs>
        <w:spacing w:after="0" w:line="240" w:lineRule="auto"/>
        <w:ind w:left="1080"/>
        <w:rPr>
          <w:rFonts w:ascii="Cambria" w:hAnsi="Cambria"/>
          <w:sz w:val="24"/>
          <w:szCs w:val="24"/>
        </w:rPr>
      </w:pPr>
      <w:r>
        <w:rPr>
          <w:rFonts w:ascii="Cambria" w:hAnsi="Cambria"/>
          <w:sz w:val="24"/>
          <w:szCs w:val="24"/>
        </w:rPr>
        <w:t>Timber Stand Improvement</w:t>
      </w:r>
      <w:r>
        <w:rPr>
          <w:rFonts w:ascii="Cambria" w:hAnsi="Cambria"/>
          <w:sz w:val="24"/>
          <w:szCs w:val="24"/>
        </w:rPr>
        <w:tab/>
        <w:t xml:space="preserve"> </w:t>
      </w:r>
      <w:r>
        <w:rPr>
          <w:rFonts w:ascii="Cambria" w:hAnsi="Cambria"/>
          <w:sz w:val="24"/>
          <w:szCs w:val="24"/>
        </w:rPr>
        <w:tab/>
      </w:r>
      <w:r>
        <w:rPr>
          <w:rFonts w:ascii="Cambria" w:hAnsi="Cambria"/>
          <w:sz w:val="24"/>
          <w:szCs w:val="24"/>
        </w:rPr>
        <w:tab/>
      </w:r>
      <w:r w:rsidRPr="002F5F6F">
        <w:rPr>
          <w:rFonts w:ascii="Cambria" w:hAnsi="Cambria"/>
          <w:sz w:val="24"/>
          <w:szCs w:val="24"/>
        </w:rPr>
        <w:t xml:space="preserve">- 0.1 cents/kilowatt </w:t>
      </w:r>
    </w:p>
    <w:p w:rsidR="0011772D" w:rsidRDefault="0011772D" w:rsidP="0011772D">
      <w:pPr>
        <w:spacing w:after="0" w:line="240" w:lineRule="auto"/>
        <w:rPr>
          <w:rFonts w:ascii="Cambria" w:hAnsi="Cambria"/>
          <w:sz w:val="24"/>
          <w:szCs w:val="24"/>
        </w:rPr>
      </w:pPr>
    </w:p>
    <w:p w:rsidR="00DB432A" w:rsidRDefault="0011772D" w:rsidP="00086540">
      <w:pPr>
        <w:spacing w:after="0" w:line="240" w:lineRule="auto"/>
        <w:ind w:left="360"/>
        <w:rPr>
          <w:rFonts w:ascii="Cambria" w:hAnsi="Cambria"/>
          <w:sz w:val="24"/>
          <w:szCs w:val="24"/>
        </w:rPr>
      </w:pPr>
      <w:r>
        <w:rPr>
          <w:rFonts w:ascii="Cambria" w:hAnsi="Cambria"/>
          <w:sz w:val="24"/>
          <w:szCs w:val="24"/>
        </w:rPr>
        <w:t>Some of the more obvious benefits are that all 3 forms of wood residue, urban, forest and agriculture, will produce subst</w:t>
      </w:r>
      <w:r w:rsidR="008B4B7F">
        <w:rPr>
          <w:rFonts w:ascii="Cambria" w:hAnsi="Cambria"/>
          <w:sz w:val="24"/>
          <w:szCs w:val="24"/>
        </w:rPr>
        <w:t>antial amounts of methane (25</w:t>
      </w:r>
      <w:r>
        <w:rPr>
          <w:rFonts w:ascii="Cambria" w:hAnsi="Cambria"/>
          <w:sz w:val="24"/>
          <w:szCs w:val="24"/>
        </w:rPr>
        <w:t xml:space="preserve"> times more potent as a GHG than CO2)</w:t>
      </w:r>
      <w:r w:rsidR="008B4B7F">
        <w:rPr>
          <w:rFonts w:ascii="Cambria" w:hAnsi="Cambria"/>
          <w:sz w:val="24"/>
          <w:szCs w:val="24"/>
        </w:rPr>
        <w:t xml:space="preserve"> </w:t>
      </w:r>
      <w:r>
        <w:rPr>
          <w:rFonts w:ascii="Cambria" w:hAnsi="Cambria"/>
          <w:sz w:val="24"/>
          <w:szCs w:val="24"/>
        </w:rPr>
        <w:t xml:space="preserve">if left to </w:t>
      </w:r>
      <w:r w:rsidR="008B4B7F">
        <w:rPr>
          <w:rFonts w:ascii="Cambria" w:hAnsi="Cambria"/>
          <w:sz w:val="24"/>
          <w:szCs w:val="24"/>
        </w:rPr>
        <w:t>open burning or above ground decomposition</w:t>
      </w:r>
      <w:r>
        <w:rPr>
          <w:rFonts w:ascii="Cambria" w:hAnsi="Cambria"/>
          <w:sz w:val="24"/>
          <w:szCs w:val="24"/>
        </w:rPr>
        <w:t>.  And, if the residues are open-burned, they emit unburned hydrocarbons</w:t>
      </w:r>
      <w:r w:rsidR="008B4B7F">
        <w:rPr>
          <w:rFonts w:ascii="Cambria" w:hAnsi="Cambria"/>
          <w:sz w:val="24"/>
          <w:szCs w:val="24"/>
        </w:rPr>
        <w:t xml:space="preserve"> and Particulate Matter</w:t>
      </w:r>
      <w:r>
        <w:rPr>
          <w:rFonts w:ascii="Cambria" w:hAnsi="Cambria"/>
          <w:sz w:val="24"/>
          <w:szCs w:val="24"/>
        </w:rPr>
        <w:t xml:space="preserve"> that </w:t>
      </w:r>
      <w:r w:rsidR="008B4B7F">
        <w:rPr>
          <w:rFonts w:ascii="Cambria" w:hAnsi="Cambria"/>
          <w:sz w:val="24"/>
          <w:szCs w:val="24"/>
        </w:rPr>
        <w:t xml:space="preserve">dramatically increase </w:t>
      </w:r>
      <w:r>
        <w:rPr>
          <w:rFonts w:ascii="Cambria" w:hAnsi="Cambria"/>
          <w:sz w:val="24"/>
          <w:szCs w:val="24"/>
        </w:rPr>
        <w:t xml:space="preserve">impacts relative to controlled combustion in a biomass boiler.” </w:t>
      </w:r>
    </w:p>
    <w:p w:rsidR="00086540" w:rsidRDefault="00086540" w:rsidP="00086540">
      <w:pPr>
        <w:spacing w:after="0" w:line="240" w:lineRule="auto"/>
        <w:ind w:left="360"/>
        <w:rPr>
          <w:rFonts w:ascii="Cambria" w:hAnsi="Cambria"/>
          <w:sz w:val="24"/>
          <w:szCs w:val="24"/>
        </w:rPr>
      </w:pPr>
    </w:p>
    <w:p w:rsidR="008E6B78" w:rsidRPr="002F5F6F" w:rsidRDefault="008E6B78" w:rsidP="002F5F6F">
      <w:pPr>
        <w:ind w:left="360"/>
        <w:rPr>
          <w:rFonts w:ascii="Cambria" w:hAnsi="Cambria"/>
          <w:sz w:val="24"/>
          <w:szCs w:val="24"/>
        </w:rPr>
      </w:pPr>
      <w:r w:rsidRPr="002F5F6F">
        <w:rPr>
          <w:rFonts w:ascii="Cambria" w:hAnsi="Cambria"/>
          <w:sz w:val="24"/>
          <w:szCs w:val="24"/>
        </w:rPr>
        <w:t>The State’s Renewables Energy Portfolio Standard (RPS) makes no clear differentiation or preference currently between base load and intermittent power and places almost complet</w:t>
      </w:r>
      <w:r w:rsidR="002F5F6F" w:rsidRPr="002F5F6F">
        <w:rPr>
          <w:rFonts w:ascii="Cambria" w:hAnsi="Cambria"/>
          <w:sz w:val="24"/>
          <w:szCs w:val="24"/>
        </w:rPr>
        <w:t>e emphasis on “low price” wins.</w:t>
      </w:r>
    </w:p>
    <w:p w:rsidR="008E6B78" w:rsidRPr="002F5F6F" w:rsidRDefault="008E6B78" w:rsidP="00086540">
      <w:pPr>
        <w:ind w:left="360"/>
        <w:rPr>
          <w:rFonts w:ascii="Cambria" w:hAnsi="Cambria"/>
          <w:sz w:val="24"/>
          <w:szCs w:val="24"/>
        </w:rPr>
      </w:pPr>
      <w:r w:rsidRPr="002F5F6F">
        <w:rPr>
          <w:rFonts w:ascii="Cambria" w:hAnsi="Cambria"/>
          <w:sz w:val="24"/>
          <w:szCs w:val="24"/>
        </w:rPr>
        <w:t xml:space="preserve">California </w:t>
      </w:r>
      <w:r w:rsidR="0029515D">
        <w:rPr>
          <w:rFonts w:ascii="Cambria" w:hAnsi="Cambria"/>
          <w:sz w:val="24"/>
          <w:szCs w:val="24"/>
        </w:rPr>
        <w:t xml:space="preserve">currently </w:t>
      </w:r>
      <w:r w:rsidRPr="002F5F6F">
        <w:rPr>
          <w:rFonts w:ascii="Cambria" w:hAnsi="Cambria"/>
          <w:sz w:val="24"/>
          <w:szCs w:val="24"/>
        </w:rPr>
        <w:t xml:space="preserve">has no mechanism </w:t>
      </w:r>
      <w:r w:rsidR="0029515D">
        <w:rPr>
          <w:rFonts w:ascii="Cambria" w:hAnsi="Cambria"/>
          <w:sz w:val="24"/>
          <w:szCs w:val="24"/>
        </w:rPr>
        <w:t xml:space="preserve">to address </w:t>
      </w:r>
      <w:r w:rsidRPr="002F5F6F">
        <w:rPr>
          <w:rFonts w:ascii="Cambria" w:hAnsi="Cambria"/>
          <w:sz w:val="24"/>
          <w:szCs w:val="24"/>
        </w:rPr>
        <w:t>the non-electric environmental and social benefits provided by the biomass industry</w:t>
      </w:r>
      <w:r w:rsidR="008B4B7F">
        <w:rPr>
          <w:rFonts w:ascii="Cambria" w:hAnsi="Cambria"/>
          <w:sz w:val="24"/>
          <w:szCs w:val="24"/>
        </w:rPr>
        <w:t>.</w:t>
      </w:r>
    </w:p>
    <w:p w:rsidR="00F61BDB" w:rsidRPr="00F61BDB" w:rsidRDefault="00366E15" w:rsidP="00F61BDB">
      <w:pPr>
        <w:autoSpaceDE w:val="0"/>
        <w:autoSpaceDN w:val="0"/>
        <w:adjustRightInd w:val="0"/>
        <w:spacing w:after="0" w:line="240" w:lineRule="auto"/>
        <w:ind w:left="360"/>
        <w:rPr>
          <w:rFonts w:ascii="Cambria" w:hAnsi="Cambria" w:cs="AGaramond-Regular"/>
          <w:sz w:val="24"/>
          <w:szCs w:val="24"/>
        </w:rPr>
      </w:pPr>
      <w:r>
        <w:rPr>
          <w:rFonts w:ascii="Cambria" w:hAnsi="Cambria" w:cs="AGaramond-Regular"/>
          <w:sz w:val="24"/>
          <w:szCs w:val="24"/>
        </w:rPr>
        <w:t>As reported by Lippke eta</w:t>
      </w:r>
      <w:r w:rsidR="00F61BDB" w:rsidRPr="00F61BDB">
        <w:rPr>
          <w:rFonts w:ascii="Cambria" w:hAnsi="Cambria" w:cs="AGaramond-Regular"/>
          <w:sz w:val="24"/>
          <w:szCs w:val="24"/>
        </w:rPr>
        <w:t xml:space="preserve">l (CORRIM.org), </w:t>
      </w:r>
      <w:r w:rsidR="00F61BDB">
        <w:rPr>
          <w:rFonts w:ascii="Cambria" w:hAnsi="Cambria" w:cs="AGaramond-Regular"/>
          <w:sz w:val="24"/>
          <w:szCs w:val="24"/>
        </w:rPr>
        <w:t>“</w:t>
      </w:r>
      <w:r w:rsidR="00F61BDB" w:rsidRPr="00F61BDB">
        <w:rPr>
          <w:rFonts w:ascii="Cambria" w:hAnsi="Cambria" w:cs="AGaramond-Regular"/>
          <w:sz w:val="24"/>
          <w:szCs w:val="24"/>
        </w:rPr>
        <w:t>life cycle carbon accounting exposes many unintended policy impacts such as:</w:t>
      </w:r>
    </w:p>
    <w:p w:rsidR="00F61BDB" w:rsidRPr="00F61BDB" w:rsidRDefault="00F61BDB" w:rsidP="00F61BDB">
      <w:pPr>
        <w:autoSpaceDE w:val="0"/>
        <w:autoSpaceDN w:val="0"/>
        <w:adjustRightInd w:val="0"/>
        <w:spacing w:after="0" w:line="240" w:lineRule="auto"/>
        <w:rPr>
          <w:rFonts w:ascii="Cambria" w:hAnsi="Cambria" w:cs="AGaramond-Regular"/>
          <w:sz w:val="24"/>
          <w:szCs w:val="24"/>
        </w:rPr>
      </w:pPr>
    </w:p>
    <w:p w:rsidR="00F61BDB" w:rsidRPr="00F61BDB" w:rsidRDefault="00F61BDB" w:rsidP="00F61BDB">
      <w:pPr>
        <w:pStyle w:val="ListParagraph"/>
        <w:numPr>
          <w:ilvl w:val="0"/>
          <w:numId w:val="21"/>
        </w:numPr>
        <w:autoSpaceDE w:val="0"/>
        <w:autoSpaceDN w:val="0"/>
        <w:adjustRightInd w:val="0"/>
        <w:spacing w:after="0" w:line="240" w:lineRule="auto"/>
        <w:ind w:left="1080"/>
        <w:rPr>
          <w:rFonts w:ascii="Cambria" w:hAnsi="Cambria" w:cs="AGaramond-Regular"/>
          <w:sz w:val="24"/>
          <w:szCs w:val="24"/>
        </w:rPr>
      </w:pPr>
      <w:r w:rsidRPr="00F61BDB">
        <w:rPr>
          <w:rFonts w:ascii="Cambria" w:hAnsi="Cambria" w:cs="AGaramond-Regular"/>
          <w:sz w:val="24"/>
          <w:szCs w:val="24"/>
        </w:rPr>
        <w:t>Carbon exchanges that incentivize reduced harvesting, which can contribute to greater emissions from using more fossil fuels than can be offset by increasing forest carbon stores;</w:t>
      </w:r>
    </w:p>
    <w:p w:rsidR="00F61BDB" w:rsidRPr="00F61BDB" w:rsidRDefault="00F61BDB" w:rsidP="00F61BDB">
      <w:pPr>
        <w:pStyle w:val="ListParagraph"/>
        <w:numPr>
          <w:ilvl w:val="0"/>
          <w:numId w:val="21"/>
        </w:numPr>
        <w:autoSpaceDE w:val="0"/>
        <w:autoSpaceDN w:val="0"/>
        <w:adjustRightInd w:val="0"/>
        <w:spacing w:after="0" w:line="240" w:lineRule="auto"/>
        <w:ind w:left="1080"/>
        <w:rPr>
          <w:rFonts w:ascii="Cambria" w:hAnsi="Cambria" w:cs="AGaramond-Regular"/>
          <w:sz w:val="24"/>
          <w:szCs w:val="24"/>
        </w:rPr>
      </w:pPr>
      <w:r w:rsidRPr="00F61BDB">
        <w:rPr>
          <w:rFonts w:ascii="Cambria" w:hAnsi="Cambria" w:cs="AGaramond-Regular"/>
          <w:sz w:val="24"/>
          <w:szCs w:val="24"/>
        </w:rPr>
        <w:t>Ignoring substitution of wood for fossil intensive products since it has the highest potential leverage in reducing emissions;</w:t>
      </w:r>
    </w:p>
    <w:p w:rsidR="00F61BDB" w:rsidRPr="00F61BDB" w:rsidRDefault="00F61BDB" w:rsidP="00F61BDB">
      <w:pPr>
        <w:pStyle w:val="ListParagraph"/>
        <w:numPr>
          <w:ilvl w:val="0"/>
          <w:numId w:val="21"/>
        </w:numPr>
        <w:autoSpaceDE w:val="0"/>
        <w:autoSpaceDN w:val="0"/>
        <w:adjustRightInd w:val="0"/>
        <w:spacing w:after="0" w:line="240" w:lineRule="auto"/>
        <w:ind w:left="1080"/>
        <w:rPr>
          <w:rFonts w:ascii="Cambria" w:hAnsi="Cambria" w:cs="AGaramond-Regular"/>
          <w:sz w:val="24"/>
          <w:szCs w:val="24"/>
        </w:rPr>
      </w:pPr>
      <w:r w:rsidRPr="00F61BDB">
        <w:rPr>
          <w:rFonts w:ascii="Cambria" w:hAnsi="Cambria" w:cs="AGaramond-Regular"/>
          <w:sz w:val="24"/>
          <w:szCs w:val="24"/>
        </w:rPr>
        <w:t>Incentivizing low-value fuels such as ethanol that will divert feedstock from higher leverage fossil emission displacement options such as composite wood products;</w:t>
      </w:r>
    </w:p>
    <w:p w:rsidR="00F61BDB" w:rsidRPr="00F61BDB" w:rsidRDefault="00F61BDB" w:rsidP="00F61BDB">
      <w:pPr>
        <w:pStyle w:val="ListParagraph"/>
        <w:numPr>
          <w:ilvl w:val="0"/>
          <w:numId w:val="21"/>
        </w:numPr>
        <w:autoSpaceDE w:val="0"/>
        <w:autoSpaceDN w:val="0"/>
        <w:adjustRightInd w:val="0"/>
        <w:spacing w:after="0" w:line="240" w:lineRule="auto"/>
        <w:ind w:left="1080"/>
        <w:rPr>
          <w:rFonts w:ascii="Cambria" w:hAnsi="Cambria" w:cs="AGaramond-Regular"/>
          <w:sz w:val="24"/>
          <w:szCs w:val="24"/>
        </w:rPr>
      </w:pPr>
      <w:r w:rsidRPr="00F61BDB">
        <w:rPr>
          <w:rFonts w:ascii="Cambria" w:hAnsi="Cambria" w:cs="AGaramond-Regular"/>
          <w:sz w:val="24"/>
          <w:szCs w:val="24"/>
        </w:rPr>
        <w:t>Considering biogenic boiler emissions no different than fossil emissions when intendin</w:t>
      </w:r>
      <w:r w:rsidR="002D36E2">
        <w:rPr>
          <w:rFonts w:ascii="Cambria" w:hAnsi="Cambria" w:cs="AGaramond-Regular"/>
          <w:sz w:val="24"/>
          <w:szCs w:val="24"/>
        </w:rPr>
        <w:t>g to constrain fossil emissions</w:t>
      </w:r>
      <w:r w:rsidRPr="00F61BDB">
        <w:rPr>
          <w:rFonts w:ascii="Cambria" w:hAnsi="Cambria" w:cs="AGaramond-Regular"/>
          <w:sz w:val="24"/>
          <w:szCs w:val="24"/>
        </w:rPr>
        <w:t>, which will discourage the use of biomass for energy, increasing rather than decreasing emissions;</w:t>
      </w:r>
    </w:p>
    <w:p w:rsidR="00F61BDB" w:rsidRPr="00031E30" w:rsidRDefault="00F61BDB" w:rsidP="00F61BDB">
      <w:pPr>
        <w:pStyle w:val="ListParagraph"/>
        <w:numPr>
          <w:ilvl w:val="0"/>
          <w:numId w:val="21"/>
        </w:numPr>
        <w:autoSpaceDE w:val="0"/>
        <w:autoSpaceDN w:val="0"/>
        <w:adjustRightInd w:val="0"/>
        <w:spacing w:after="0" w:line="240" w:lineRule="auto"/>
        <w:ind w:left="1080"/>
        <w:rPr>
          <w:rFonts w:ascii="AGaramond-Regular" w:hAnsi="AGaramond-Regular" w:cs="AGaramond-Regular"/>
          <w:sz w:val="20"/>
          <w:szCs w:val="20"/>
        </w:rPr>
      </w:pPr>
      <w:r w:rsidRPr="00F61BDB">
        <w:rPr>
          <w:rFonts w:ascii="Cambria" w:hAnsi="Cambria" w:cs="AGaramond-Regular"/>
          <w:sz w:val="24"/>
          <w:szCs w:val="24"/>
        </w:rPr>
        <w:t xml:space="preserve">Renewable fuel standards/requirements for utilities that force the diversion of feedstock from other higher leveraged uses of the biomass and fragment the </w:t>
      </w:r>
      <w:r w:rsidRPr="00F61BDB">
        <w:rPr>
          <w:rFonts w:ascii="Cambria" w:hAnsi="Cambria" w:cs="AGaramond-Regular"/>
          <w:sz w:val="24"/>
          <w:szCs w:val="24"/>
        </w:rPr>
        <w:lastRenderedPageBreak/>
        <w:t>supply reducing the op</w:t>
      </w:r>
      <w:r>
        <w:rPr>
          <w:rFonts w:ascii="Cambria" w:hAnsi="Cambria" w:cs="AGaramond-Regular"/>
          <w:sz w:val="24"/>
          <w:szCs w:val="24"/>
        </w:rPr>
        <w:t>p</w:t>
      </w:r>
      <w:r w:rsidRPr="00F61BDB">
        <w:rPr>
          <w:rFonts w:ascii="Cambria" w:hAnsi="Cambria" w:cs="AGaramond-Regular"/>
          <w:sz w:val="24"/>
          <w:szCs w:val="24"/>
        </w:rPr>
        <w:t>ortunity for investments in efficient scale mill uses of the feedstock.</w:t>
      </w:r>
      <w:r>
        <w:rPr>
          <w:rFonts w:ascii="Cambria" w:hAnsi="Cambria" w:cs="AGaramond-Regular"/>
          <w:sz w:val="24"/>
          <w:szCs w:val="24"/>
        </w:rPr>
        <w:t xml:space="preserve"> (</w:t>
      </w:r>
      <w:r w:rsidRPr="00695D61">
        <w:rPr>
          <w:rFonts w:ascii="Cambria" w:hAnsi="Cambria" w:cs="MyriadPro-Regular"/>
          <w:sz w:val="24"/>
          <w:szCs w:val="24"/>
        </w:rPr>
        <w:t>Life cycle impacts of forest management and wood utilization on carbon mitigation: knowns and unknowns.”</w:t>
      </w:r>
      <w:r>
        <w:rPr>
          <w:rFonts w:ascii="Cambria" w:hAnsi="Cambria" w:cs="MyriadPro-Regular"/>
          <w:sz w:val="24"/>
          <w:szCs w:val="24"/>
        </w:rPr>
        <w:t xml:space="preserve"> P. 322).”</w:t>
      </w:r>
    </w:p>
    <w:p w:rsidR="00031E30" w:rsidRDefault="00031E30" w:rsidP="00031E30">
      <w:pPr>
        <w:autoSpaceDE w:val="0"/>
        <w:autoSpaceDN w:val="0"/>
        <w:adjustRightInd w:val="0"/>
        <w:spacing w:after="0" w:line="240" w:lineRule="auto"/>
        <w:ind w:left="720"/>
        <w:rPr>
          <w:rFonts w:ascii="AGaramond-Regular" w:hAnsi="AGaramond-Regular" w:cs="AGaramond-Regular"/>
          <w:sz w:val="20"/>
          <w:szCs w:val="20"/>
        </w:rPr>
      </w:pPr>
    </w:p>
    <w:p w:rsidR="00F11090" w:rsidRDefault="00031E30" w:rsidP="00031E30">
      <w:pPr>
        <w:autoSpaceDE w:val="0"/>
        <w:autoSpaceDN w:val="0"/>
        <w:adjustRightInd w:val="0"/>
        <w:spacing w:after="0" w:line="240" w:lineRule="auto"/>
        <w:ind w:left="720"/>
        <w:rPr>
          <w:rFonts w:ascii="Cambria" w:hAnsi="Cambria" w:cs="AGaramond-Regular"/>
          <w:sz w:val="24"/>
          <w:szCs w:val="24"/>
        </w:rPr>
      </w:pPr>
      <w:r w:rsidRPr="00031E30">
        <w:rPr>
          <w:rFonts w:ascii="Cambria" w:hAnsi="Cambria" w:cs="AGaramond-Regular"/>
          <w:sz w:val="24"/>
          <w:szCs w:val="24"/>
        </w:rPr>
        <w:t>Since</w:t>
      </w:r>
      <w:r>
        <w:rPr>
          <w:rFonts w:ascii="Cambria" w:hAnsi="Cambria" w:cs="AGaramond-Regular"/>
          <w:sz w:val="24"/>
          <w:szCs w:val="24"/>
        </w:rPr>
        <w:t xml:space="preserve"> about 2006, Dr. Roger Bales (UC Merced) has had evapotranspiration instrumentation in-place on the Sierra Natl. Forest.  His preliminary findings were published in 2011 (</w:t>
      </w:r>
      <w:hyperlink r:id="rId19" w:history="1">
        <w:r w:rsidR="00C137D1" w:rsidRPr="00676BDA">
          <w:rPr>
            <w:rStyle w:val="Hyperlink"/>
            <w:rFonts w:ascii="Cambria" w:hAnsi="Cambria" w:cs="AGaramond-Regular"/>
            <w:sz w:val="24"/>
            <w:szCs w:val="24"/>
          </w:rPr>
          <w:t>http://ucanr.edu/sites/cff/files/146199.pdf</w:t>
        </w:r>
      </w:hyperlink>
      <w:r w:rsidR="00C137D1">
        <w:rPr>
          <w:rFonts w:ascii="Cambria" w:hAnsi="Cambria" w:cs="AGaramond-Regular"/>
          <w:sz w:val="24"/>
          <w:szCs w:val="24"/>
        </w:rPr>
        <w:t xml:space="preserve">) page 2 and indicate that up to a 16% </w:t>
      </w:r>
      <w:r w:rsidR="00647404">
        <w:rPr>
          <w:rFonts w:ascii="Cambria" w:hAnsi="Cambria" w:cs="AGaramond-Regular"/>
          <w:sz w:val="24"/>
          <w:szCs w:val="24"/>
        </w:rPr>
        <w:t xml:space="preserve">increase </w:t>
      </w:r>
    </w:p>
    <w:p w:rsidR="00031E30" w:rsidRDefault="00C137D1" w:rsidP="00031E30">
      <w:pPr>
        <w:autoSpaceDE w:val="0"/>
        <w:autoSpaceDN w:val="0"/>
        <w:adjustRightInd w:val="0"/>
        <w:spacing w:after="0" w:line="240" w:lineRule="auto"/>
        <w:ind w:left="720"/>
        <w:rPr>
          <w:rFonts w:ascii="Cambria" w:hAnsi="Cambria" w:cs="AGaramond-Regular"/>
          <w:sz w:val="24"/>
          <w:szCs w:val="24"/>
        </w:rPr>
      </w:pPr>
      <w:r>
        <w:rPr>
          <w:rFonts w:ascii="Cambria" w:hAnsi="Cambria" w:cs="AGaramond-Regular"/>
          <w:sz w:val="24"/>
          <w:szCs w:val="24"/>
        </w:rPr>
        <w:t xml:space="preserve">in water yield is possible if the forests were thinned and maintained.  That would be over 2 million acre-feet/year for the Sierra Nevada in increased water yield.  </w:t>
      </w:r>
    </w:p>
    <w:p w:rsidR="008B4B7F" w:rsidRDefault="008B4B7F" w:rsidP="00031E30">
      <w:pPr>
        <w:autoSpaceDE w:val="0"/>
        <w:autoSpaceDN w:val="0"/>
        <w:adjustRightInd w:val="0"/>
        <w:spacing w:after="0" w:line="240" w:lineRule="auto"/>
        <w:ind w:left="720"/>
        <w:rPr>
          <w:rFonts w:ascii="Cambria" w:hAnsi="Cambria" w:cs="AGaramond-Regular"/>
          <w:sz w:val="24"/>
          <w:szCs w:val="24"/>
        </w:rPr>
      </w:pPr>
    </w:p>
    <w:p w:rsidR="008B4B7F" w:rsidRDefault="00C218CF" w:rsidP="008B4B7F">
      <w:r>
        <w:rPr>
          <w:rFonts w:ascii="Cambria" w:hAnsi="Cambria"/>
          <w:sz w:val="24"/>
          <w:szCs w:val="24"/>
        </w:rPr>
        <w:t>C</w:t>
      </w:r>
      <w:r w:rsidR="008B4B7F">
        <w:rPr>
          <w:rFonts w:ascii="Cambria" w:hAnsi="Cambria"/>
          <w:sz w:val="24"/>
          <w:szCs w:val="24"/>
        </w:rPr>
        <w:t>onsuming wood residues in a boiler (Biomass Powerplant) versus open burning or above ground decomposition</w:t>
      </w:r>
      <w:r>
        <w:rPr>
          <w:rFonts w:ascii="Cambria" w:hAnsi="Cambria"/>
          <w:sz w:val="24"/>
          <w:szCs w:val="24"/>
        </w:rPr>
        <w:t xml:space="preserve"> has substantial benefits due to significant reductions in criteria pollutants.</w:t>
      </w:r>
    </w:p>
    <w:p w:rsidR="000F3874" w:rsidRPr="000F3874" w:rsidRDefault="000F3874" w:rsidP="000F3874">
      <w:pPr>
        <w:ind w:right="-1080"/>
        <w:jc w:val="center"/>
        <w:rPr>
          <w:rFonts w:ascii="Cambria" w:hAnsi="Cambria"/>
          <w:b/>
          <w:sz w:val="24"/>
          <w:szCs w:val="24"/>
        </w:rPr>
      </w:pPr>
      <w:r w:rsidRPr="000F3874">
        <w:rPr>
          <w:rFonts w:ascii="Cambria" w:hAnsi="Cambria"/>
          <w:b/>
          <w:sz w:val="24"/>
          <w:szCs w:val="24"/>
        </w:rPr>
        <w:t>Comparison of Emissions from Biomass Powerplants, Open Burning, and Forest Accumulation</w:t>
      </w:r>
    </w:p>
    <w:tbl>
      <w:tblPr>
        <w:tblStyle w:val="TableGrid2"/>
        <w:tblpPr w:leftFromText="180" w:rightFromText="180" w:vertAnchor="text" w:horzAnchor="margin" w:tblpXSpec="center" w:tblpY="373"/>
        <w:tblW w:w="10530" w:type="dxa"/>
        <w:tblLayout w:type="fixed"/>
        <w:tblLook w:val="04A0" w:firstRow="1" w:lastRow="0" w:firstColumn="1" w:lastColumn="0" w:noHBand="0" w:noVBand="1"/>
      </w:tblPr>
      <w:tblGrid>
        <w:gridCol w:w="1255"/>
        <w:gridCol w:w="1260"/>
        <w:gridCol w:w="1350"/>
        <w:gridCol w:w="990"/>
        <w:gridCol w:w="1260"/>
        <w:gridCol w:w="1260"/>
        <w:gridCol w:w="1530"/>
        <w:gridCol w:w="1625"/>
      </w:tblGrid>
      <w:tr w:rsidR="00175925" w:rsidRPr="000F3874" w:rsidTr="00175925">
        <w:trPr>
          <w:trHeight w:val="1092"/>
        </w:trPr>
        <w:tc>
          <w:tcPr>
            <w:tcW w:w="125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 xml:space="preserve">Emission </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Carbon Dioxide Equivalent (CO2e)</w:t>
            </w:r>
          </w:p>
        </w:tc>
        <w:tc>
          <w:tcPr>
            <w:tcW w:w="135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Biomass Powerplant Emission</w:t>
            </w:r>
          </w:p>
        </w:tc>
        <w:tc>
          <w:tcPr>
            <w:tcW w:w="99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CO2e   (tons) for 600 MW</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Open Burning Emission</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CO2e (tons) for 4.8 million BDT</w:t>
            </w:r>
          </w:p>
        </w:tc>
        <w:tc>
          <w:tcPr>
            <w:tcW w:w="153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Forest Accumulation Emission</w:t>
            </w:r>
          </w:p>
        </w:tc>
        <w:tc>
          <w:tcPr>
            <w:tcW w:w="162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CO2e (tons)</w:t>
            </w:r>
          </w:p>
          <w:p w:rsidR="00175925" w:rsidRDefault="00175925" w:rsidP="00175925">
            <w:pPr>
              <w:spacing w:after="160" w:line="259" w:lineRule="auto"/>
              <w:ind w:right="739"/>
              <w:rPr>
                <w:rFonts w:ascii="Cambria" w:hAnsi="Cambria"/>
              </w:rPr>
            </w:pPr>
            <w:r w:rsidRPr="000F3874">
              <w:rPr>
                <w:rFonts w:ascii="Cambria" w:hAnsi="Cambria"/>
              </w:rPr>
              <w:t xml:space="preserve"> For</w:t>
            </w:r>
          </w:p>
          <w:p w:rsidR="00175925" w:rsidRPr="000F3874" w:rsidRDefault="00175925" w:rsidP="00175925">
            <w:pPr>
              <w:spacing w:after="160" w:line="259" w:lineRule="auto"/>
              <w:ind w:right="739"/>
              <w:rPr>
                <w:rFonts w:ascii="Cambria" w:hAnsi="Cambria"/>
              </w:rPr>
            </w:pPr>
            <w:r>
              <w:rPr>
                <w:rFonts w:ascii="Cambria" w:hAnsi="Cambria"/>
              </w:rPr>
              <w:t xml:space="preserve"> 4.8 </w:t>
            </w:r>
            <w:r w:rsidRPr="000F3874">
              <w:rPr>
                <w:rFonts w:ascii="Cambria" w:hAnsi="Cambria"/>
              </w:rPr>
              <w:t>million</w:t>
            </w:r>
          </w:p>
          <w:p w:rsidR="00175925" w:rsidRPr="000F3874" w:rsidRDefault="00175925" w:rsidP="00175925">
            <w:pPr>
              <w:spacing w:after="160" w:line="259" w:lineRule="auto"/>
              <w:rPr>
                <w:rFonts w:ascii="Cambria" w:hAnsi="Cambria"/>
              </w:rPr>
            </w:pPr>
            <w:r w:rsidRPr="000F3874">
              <w:rPr>
                <w:rFonts w:ascii="Cambria" w:hAnsi="Cambria"/>
              </w:rPr>
              <w:t xml:space="preserve"> BDT</w:t>
            </w:r>
          </w:p>
        </w:tc>
      </w:tr>
      <w:tr w:rsidR="00175925" w:rsidRPr="000F3874" w:rsidTr="00175925">
        <w:trPr>
          <w:trHeight w:val="539"/>
        </w:trPr>
        <w:tc>
          <w:tcPr>
            <w:tcW w:w="125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Pr>
                <w:rFonts w:ascii="Cambria" w:hAnsi="Cambria"/>
              </w:rPr>
              <w:t>Nitrous Oxide (NOx</w:t>
            </w:r>
            <w:r w:rsidRPr="000F3874">
              <w:rPr>
                <w:rFonts w:ascii="Cambria" w:hAnsi="Cambria"/>
              </w:rPr>
              <w:t>)</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Pr>
                <w:rFonts w:ascii="Cambria" w:hAnsi="Cambria"/>
              </w:rPr>
              <w:t>1</w:t>
            </w:r>
          </w:p>
        </w:tc>
        <w:tc>
          <w:tcPr>
            <w:tcW w:w="135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2.5 lb/BDT</w:t>
            </w:r>
          </w:p>
        </w:tc>
        <w:tc>
          <w:tcPr>
            <w:tcW w:w="99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1.8 million</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7.0 lb/BDT</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5.0 million</w:t>
            </w:r>
          </w:p>
        </w:tc>
        <w:tc>
          <w:tcPr>
            <w:tcW w:w="153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7.0 lb/BDT</w:t>
            </w:r>
          </w:p>
        </w:tc>
        <w:tc>
          <w:tcPr>
            <w:tcW w:w="162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5.0 million</w:t>
            </w:r>
          </w:p>
        </w:tc>
      </w:tr>
      <w:tr w:rsidR="00175925" w:rsidRPr="000F3874" w:rsidTr="00175925">
        <w:trPr>
          <w:trHeight w:val="539"/>
        </w:trPr>
        <w:tc>
          <w:tcPr>
            <w:tcW w:w="125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Sulfur Dioxide (S02)</w:t>
            </w:r>
          </w:p>
        </w:tc>
        <w:tc>
          <w:tcPr>
            <w:tcW w:w="1260" w:type="dxa"/>
            <w:tcBorders>
              <w:top w:val="single" w:sz="4" w:space="0" w:color="auto"/>
              <w:left w:val="single" w:sz="4" w:space="0" w:color="auto"/>
              <w:bottom w:val="single" w:sz="4" w:space="0" w:color="auto"/>
              <w:right w:val="single" w:sz="4" w:space="0" w:color="auto"/>
            </w:tcBorders>
          </w:tcPr>
          <w:p w:rsidR="00175925" w:rsidRPr="000F3874" w:rsidRDefault="00175925" w:rsidP="00175925">
            <w:pPr>
              <w:spacing w:after="160" w:line="259" w:lineRule="auto"/>
              <w:rPr>
                <w:rFonts w:ascii="Cambria" w:hAnsi="Cambria"/>
              </w:rPr>
            </w:pPr>
          </w:p>
        </w:tc>
        <w:tc>
          <w:tcPr>
            <w:tcW w:w="135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0.15 lb/BDT</w:t>
            </w:r>
          </w:p>
        </w:tc>
        <w:tc>
          <w:tcPr>
            <w:tcW w:w="99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360</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0.15 lb/BDT</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360</w:t>
            </w:r>
          </w:p>
        </w:tc>
        <w:tc>
          <w:tcPr>
            <w:tcW w:w="153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0.15 lb/BDT</w:t>
            </w:r>
          </w:p>
        </w:tc>
        <w:tc>
          <w:tcPr>
            <w:tcW w:w="162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360</w:t>
            </w:r>
          </w:p>
        </w:tc>
      </w:tr>
      <w:tr w:rsidR="00175925" w:rsidRPr="000F3874" w:rsidTr="00175925">
        <w:trPr>
          <w:trHeight w:val="552"/>
        </w:trPr>
        <w:tc>
          <w:tcPr>
            <w:tcW w:w="125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Carbon Monoxide (CO)</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w:t>
            </w:r>
          </w:p>
        </w:tc>
        <w:tc>
          <w:tcPr>
            <w:tcW w:w="135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7.5 lb/BDT</w:t>
            </w:r>
          </w:p>
        </w:tc>
        <w:tc>
          <w:tcPr>
            <w:tcW w:w="99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18,000</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150</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360,000</w:t>
            </w:r>
          </w:p>
        </w:tc>
        <w:tc>
          <w:tcPr>
            <w:tcW w:w="153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280</w:t>
            </w:r>
          </w:p>
        </w:tc>
        <w:tc>
          <w:tcPr>
            <w:tcW w:w="162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672,000</w:t>
            </w:r>
          </w:p>
        </w:tc>
      </w:tr>
      <w:tr w:rsidR="00175925" w:rsidRPr="000F3874" w:rsidTr="00175925">
        <w:trPr>
          <w:trHeight w:val="262"/>
        </w:trPr>
        <w:tc>
          <w:tcPr>
            <w:tcW w:w="125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Hydro-carbons</w:t>
            </w:r>
          </w:p>
        </w:tc>
        <w:tc>
          <w:tcPr>
            <w:tcW w:w="1260" w:type="dxa"/>
            <w:tcBorders>
              <w:top w:val="single" w:sz="4" w:space="0" w:color="auto"/>
              <w:left w:val="single" w:sz="4" w:space="0" w:color="auto"/>
              <w:bottom w:val="single" w:sz="4" w:space="0" w:color="auto"/>
              <w:right w:val="single" w:sz="4" w:space="0" w:color="auto"/>
            </w:tcBorders>
          </w:tcPr>
          <w:p w:rsidR="00175925" w:rsidRPr="000F3874" w:rsidRDefault="00175925" w:rsidP="00175925">
            <w:pPr>
              <w:spacing w:after="160" w:line="259" w:lineRule="auto"/>
              <w:rPr>
                <w:rFonts w:ascii="Cambria" w:hAnsi="Cambria"/>
              </w:rPr>
            </w:pPr>
          </w:p>
        </w:tc>
        <w:tc>
          <w:tcPr>
            <w:tcW w:w="135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0.025 lb/BDT</w:t>
            </w:r>
          </w:p>
        </w:tc>
        <w:tc>
          <w:tcPr>
            <w:tcW w:w="99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60.0</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24 lb/BDT</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57,600</w:t>
            </w:r>
          </w:p>
        </w:tc>
        <w:tc>
          <w:tcPr>
            <w:tcW w:w="153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23 lb/BDT</w:t>
            </w:r>
          </w:p>
        </w:tc>
        <w:tc>
          <w:tcPr>
            <w:tcW w:w="162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55,200</w:t>
            </w:r>
          </w:p>
        </w:tc>
      </w:tr>
      <w:tr w:rsidR="00175925" w:rsidRPr="000F3874" w:rsidTr="00175925">
        <w:trPr>
          <w:trHeight w:val="276"/>
        </w:trPr>
        <w:tc>
          <w:tcPr>
            <w:tcW w:w="1255" w:type="dxa"/>
            <w:tcBorders>
              <w:top w:val="single" w:sz="4" w:space="0" w:color="auto"/>
              <w:left w:val="single" w:sz="4" w:space="0" w:color="auto"/>
              <w:bottom w:val="single" w:sz="4" w:space="0" w:color="auto"/>
              <w:right w:val="single" w:sz="4" w:space="0" w:color="auto"/>
            </w:tcBorders>
            <w:hideMark/>
          </w:tcPr>
          <w:p w:rsidR="00175925" w:rsidRDefault="00175925" w:rsidP="00175925">
            <w:pPr>
              <w:spacing w:after="160" w:line="259" w:lineRule="auto"/>
              <w:rPr>
                <w:rFonts w:ascii="Cambria" w:hAnsi="Cambria"/>
              </w:rPr>
            </w:pPr>
            <w:r w:rsidRPr="000F3874">
              <w:rPr>
                <w:rFonts w:ascii="Cambria" w:hAnsi="Cambria"/>
              </w:rPr>
              <w:t>Particulate</w:t>
            </w:r>
          </w:p>
          <w:p w:rsidR="00175925" w:rsidRPr="000F3874" w:rsidRDefault="00175925" w:rsidP="00175925">
            <w:pPr>
              <w:spacing w:after="160" w:line="259" w:lineRule="auto"/>
              <w:rPr>
                <w:rFonts w:ascii="Cambria" w:hAnsi="Cambria"/>
              </w:rPr>
            </w:pPr>
            <w:r>
              <w:rPr>
                <w:rFonts w:ascii="Cambria" w:hAnsi="Cambria"/>
              </w:rPr>
              <w:t>Matter</w:t>
            </w:r>
          </w:p>
        </w:tc>
        <w:tc>
          <w:tcPr>
            <w:tcW w:w="1260" w:type="dxa"/>
            <w:tcBorders>
              <w:top w:val="single" w:sz="4" w:space="0" w:color="auto"/>
              <w:left w:val="single" w:sz="4" w:space="0" w:color="auto"/>
              <w:bottom w:val="single" w:sz="4" w:space="0" w:color="auto"/>
              <w:right w:val="single" w:sz="4" w:space="0" w:color="auto"/>
            </w:tcBorders>
          </w:tcPr>
          <w:p w:rsidR="00175925" w:rsidRPr="000F3874" w:rsidRDefault="00175925" w:rsidP="00175925">
            <w:pPr>
              <w:spacing w:after="160" w:line="259" w:lineRule="auto"/>
              <w:rPr>
                <w:rFonts w:ascii="Cambria" w:hAnsi="Cambria"/>
              </w:rPr>
            </w:pPr>
          </w:p>
        </w:tc>
        <w:tc>
          <w:tcPr>
            <w:tcW w:w="135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0.45 lb/BDT</w:t>
            </w:r>
          </w:p>
        </w:tc>
        <w:tc>
          <w:tcPr>
            <w:tcW w:w="99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1,080</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15 lb/BDT</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36,000</w:t>
            </w:r>
          </w:p>
        </w:tc>
        <w:tc>
          <w:tcPr>
            <w:tcW w:w="153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21 lb/BDT</w:t>
            </w:r>
          </w:p>
        </w:tc>
        <w:tc>
          <w:tcPr>
            <w:tcW w:w="162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50,400</w:t>
            </w:r>
          </w:p>
        </w:tc>
      </w:tr>
      <w:tr w:rsidR="00175925" w:rsidRPr="000F3874" w:rsidTr="00175925">
        <w:trPr>
          <w:trHeight w:val="262"/>
        </w:trPr>
        <w:tc>
          <w:tcPr>
            <w:tcW w:w="125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Methane (CH4)</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25</w:t>
            </w:r>
          </w:p>
        </w:tc>
        <w:tc>
          <w:tcPr>
            <w:tcW w:w="135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0.25 lb/BDT</w:t>
            </w:r>
          </w:p>
        </w:tc>
        <w:tc>
          <w:tcPr>
            <w:tcW w:w="99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15,000</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8 lb/BDT</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480,000</w:t>
            </w:r>
          </w:p>
        </w:tc>
        <w:tc>
          <w:tcPr>
            <w:tcW w:w="153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7 lb/BDT</w:t>
            </w:r>
          </w:p>
        </w:tc>
        <w:tc>
          <w:tcPr>
            <w:tcW w:w="162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420,000</w:t>
            </w:r>
          </w:p>
        </w:tc>
      </w:tr>
      <w:tr w:rsidR="00175925" w:rsidRPr="000F3874" w:rsidTr="00175925">
        <w:trPr>
          <w:trHeight w:val="539"/>
        </w:trPr>
        <w:tc>
          <w:tcPr>
            <w:tcW w:w="125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lastRenderedPageBreak/>
              <w:t>Carbon Dioxide (CO2)</w:t>
            </w:r>
          </w:p>
        </w:tc>
        <w:tc>
          <w:tcPr>
            <w:tcW w:w="1260" w:type="dxa"/>
            <w:tcBorders>
              <w:top w:val="single" w:sz="4" w:space="0" w:color="auto"/>
              <w:left w:val="single" w:sz="4" w:space="0" w:color="auto"/>
              <w:bottom w:val="single" w:sz="4" w:space="0" w:color="auto"/>
              <w:right w:val="single" w:sz="4" w:space="0" w:color="auto"/>
            </w:tcBorders>
          </w:tcPr>
          <w:p w:rsidR="00175925" w:rsidRPr="000F3874" w:rsidRDefault="00175925" w:rsidP="00175925">
            <w:pPr>
              <w:spacing w:after="160" w:line="259" w:lineRule="auto"/>
              <w:rPr>
                <w:rFonts w:ascii="Cambria" w:hAnsi="Cambria"/>
              </w:rPr>
            </w:pPr>
          </w:p>
        </w:tc>
        <w:tc>
          <w:tcPr>
            <w:tcW w:w="135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1.78 Tons/BDT</w:t>
            </w:r>
          </w:p>
        </w:tc>
        <w:tc>
          <w:tcPr>
            <w:tcW w:w="99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4,272</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1.69 Tons/BDT</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4,056</w:t>
            </w:r>
          </w:p>
        </w:tc>
        <w:tc>
          <w:tcPr>
            <w:tcW w:w="153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1.69 Tons/BDT</w:t>
            </w:r>
          </w:p>
        </w:tc>
        <w:tc>
          <w:tcPr>
            <w:tcW w:w="162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4,056</w:t>
            </w:r>
          </w:p>
        </w:tc>
      </w:tr>
    </w:tbl>
    <w:p w:rsidR="000F3874" w:rsidRPr="000F3874" w:rsidRDefault="000F3874" w:rsidP="000F3874">
      <w:pPr>
        <w:rPr>
          <w:rFonts w:ascii="Cambria" w:hAnsi="Cambria"/>
          <w:sz w:val="24"/>
          <w:szCs w:val="24"/>
        </w:rPr>
      </w:pPr>
    </w:p>
    <w:p w:rsidR="000F3874" w:rsidRPr="000F3874" w:rsidRDefault="000F3874" w:rsidP="000F3874">
      <w:pPr>
        <w:rPr>
          <w:rFonts w:ascii="Cambria" w:hAnsi="Cambria"/>
          <w:sz w:val="24"/>
          <w:szCs w:val="24"/>
        </w:rPr>
      </w:pPr>
    </w:p>
    <w:p w:rsidR="000F3874" w:rsidRPr="000F3874" w:rsidRDefault="000F3874" w:rsidP="000F3874">
      <w:pPr>
        <w:rPr>
          <w:rFonts w:ascii="Cambria" w:hAnsi="Cambria"/>
          <w:sz w:val="24"/>
          <w:szCs w:val="24"/>
        </w:rPr>
      </w:pPr>
      <w:r w:rsidRPr="000F3874">
        <w:rPr>
          <w:rFonts w:ascii="Cambria" w:hAnsi="Cambria"/>
          <w:sz w:val="24"/>
          <w:szCs w:val="24"/>
        </w:rPr>
        <w:t xml:space="preserve">(Table </w:t>
      </w:r>
      <w:r>
        <w:rPr>
          <w:rFonts w:ascii="Cambria" w:hAnsi="Cambria"/>
          <w:sz w:val="24"/>
          <w:szCs w:val="24"/>
        </w:rPr>
        <w:t xml:space="preserve">above </w:t>
      </w:r>
      <w:r w:rsidRPr="000F3874">
        <w:rPr>
          <w:rFonts w:ascii="Cambria" w:hAnsi="Cambria"/>
          <w:sz w:val="24"/>
          <w:szCs w:val="24"/>
        </w:rPr>
        <w:t>derived from 1999, Dr. Gregg Morris, “Value of Biomass P</w:t>
      </w:r>
      <w:r w:rsidR="00175925">
        <w:rPr>
          <w:rFonts w:ascii="Cambria" w:hAnsi="Cambria"/>
          <w:sz w:val="24"/>
          <w:szCs w:val="24"/>
        </w:rPr>
        <w:t xml:space="preserve">ower” and from CO2e conversion for </w:t>
      </w:r>
      <w:r w:rsidRPr="000F3874">
        <w:rPr>
          <w:rFonts w:ascii="Cambria" w:hAnsi="Cambria"/>
          <w:sz w:val="24"/>
          <w:szCs w:val="24"/>
        </w:rPr>
        <w:t>Methane)</w:t>
      </w:r>
    </w:p>
    <w:p w:rsidR="000F3874" w:rsidRPr="000F3874" w:rsidRDefault="000F3874" w:rsidP="000F3874">
      <w:pPr>
        <w:rPr>
          <w:rFonts w:ascii="Cambria" w:hAnsi="Cambria"/>
          <w:sz w:val="24"/>
          <w:szCs w:val="24"/>
        </w:rPr>
      </w:pPr>
    </w:p>
    <w:p w:rsidR="000F3874" w:rsidRPr="000F3874" w:rsidRDefault="000F3874" w:rsidP="000F3874">
      <w:pPr>
        <w:rPr>
          <w:rFonts w:ascii="Cambria" w:hAnsi="Cambria"/>
          <w:sz w:val="24"/>
          <w:szCs w:val="24"/>
        </w:rPr>
      </w:pPr>
      <w:r w:rsidRPr="000F3874">
        <w:rPr>
          <w:rFonts w:ascii="Cambria" w:hAnsi="Cambria"/>
          <w:sz w:val="24"/>
          <w:szCs w:val="24"/>
        </w:rPr>
        <w:t xml:space="preserve">Notes: </w:t>
      </w:r>
    </w:p>
    <w:p w:rsidR="000F3874" w:rsidRDefault="000F3874" w:rsidP="000F3874">
      <w:pPr>
        <w:numPr>
          <w:ilvl w:val="0"/>
          <w:numId w:val="30"/>
        </w:numPr>
        <w:spacing w:line="256" w:lineRule="auto"/>
        <w:contextualSpacing/>
        <w:rPr>
          <w:rFonts w:ascii="Cambria" w:hAnsi="Cambria"/>
          <w:sz w:val="24"/>
          <w:szCs w:val="24"/>
        </w:rPr>
      </w:pPr>
      <w:r>
        <w:rPr>
          <w:rFonts w:ascii="Cambria" w:hAnsi="Cambria"/>
          <w:sz w:val="24"/>
          <w:szCs w:val="24"/>
        </w:rPr>
        <w:t>8,000 bone dry tons of wood residue produces 1 megawatt of electricity (MW)</w:t>
      </w:r>
    </w:p>
    <w:p w:rsidR="000F3874" w:rsidRPr="000F3874" w:rsidRDefault="000F3874" w:rsidP="000F3874">
      <w:pPr>
        <w:numPr>
          <w:ilvl w:val="0"/>
          <w:numId w:val="30"/>
        </w:numPr>
        <w:spacing w:line="256" w:lineRule="auto"/>
        <w:contextualSpacing/>
        <w:rPr>
          <w:rFonts w:ascii="Cambria" w:hAnsi="Cambria"/>
          <w:sz w:val="24"/>
          <w:szCs w:val="24"/>
        </w:rPr>
      </w:pPr>
      <w:r w:rsidRPr="000F3874">
        <w:rPr>
          <w:rFonts w:ascii="Cambria" w:hAnsi="Cambria"/>
          <w:sz w:val="24"/>
          <w:szCs w:val="24"/>
        </w:rPr>
        <w:t>Hydrocarbons, Particulate Matter, and Methane are the primary differences in the 3 Alternative Scenarios</w:t>
      </w:r>
    </w:p>
    <w:p w:rsidR="000F3874" w:rsidRPr="000F3874" w:rsidRDefault="000F3874" w:rsidP="000F3874">
      <w:pPr>
        <w:numPr>
          <w:ilvl w:val="0"/>
          <w:numId w:val="30"/>
        </w:numPr>
        <w:spacing w:line="256" w:lineRule="auto"/>
        <w:contextualSpacing/>
        <w:rPr>
          <w:rFonts w:ascii="Cambria" w:hAnsi="Cambria"/>
          <w:sz w:val="24"/>
          <w:szCs w:val="24"/>
        </w:rPr>
      </w:pPr>
      <w:r w:rsidRPr="000F3874">
        <w:rPr>
          <w:rFonts w:ascii="Cambria" w:hAnsi="Cambria"/>
          <w:sz w:val="24"/>
          <w:szCs w:val="24"/>
        </w:rPr>
        <w:t>Methane is 25 times more potent</w:t>
      </w:r>
      <w:r w:rsidR="00175925">
        <w:rPr>
          <w:rFonts w:ascii="Cambria" w:hAnsi="Cambria"/>
          <w:sz w:val="24"/>
          <w:szCs w:val="24"/>
        </w:rPr>
        <w:t xml:space="preserve"> as a Greenhouse Gas compared to Carbon Dioxide</w:t>
      </w:r>
    </w:p>
    <w:p w:rsidR="000F3874" w:rsidRPr="000F3874" w:rsidRDefault="000F3874" w:rsidP="000F3874">
      <w:pPr>
        <w:numPr>
          <w:ilvl w:val="0"/>
          <w:numId w:val="30"/>
        </w:numPr>
        <w:spacing w:line="256" w:lineRule="auto"/>
        <w:contextualSpacing/>
        <w:rPr>
          <w:rFonts w:ascii="Cambria" w:hAnsi="Cambria"/>
          <w:sz w:val="24"/>
          <w:szCs w:val="24"/>
        </w:rPr>
      </w:pPr>
      <w:r w:rsidRPr="000F3874">
        <w:rPr>
          <w:rFonts w:ascii="Cambria" w:hAnsi="Cambria"/>
          <w:sz w:val="24"/>
          <w:szCs w:val="24"/>
        </w:rPr>
        <w:t>Current 600 MW operating capacity in the industry consumes 4.8 million bone dry tons of wood residue annually</w:t>
      </w:r>
    </w:p>
    <w:p w:rsidR="000F3874" w:rsidRPr="000F3874" w:rsidRDefault="000F3874" w:rsidP="000F3874">
      <w:pPr>
        <w:numPr>
          <w:ilvl w:val="0"/>
          <w:numId w:val="30"/>
        </w:numPr>
        <w:spacing w:line="256" w:lineRule="auto"/>
        <w:contextualSpacing/>
        <w:rPr>
          <w:rFonts w:ascii="Cambria" w:hAnsi="Cambria"/>
          <w:sz w:val="24"/>
          <w:szCs w:val="24"/>
        </w:rPr>
      </w:pPr>
      <w:r w:rsidRPr="000F3874">
        <w:rPr>
          <w:rFonts w:ascii="Cambria" w:hAnsi="Cambria"/>
          <w:sz w:val="24"/>
          <w:szCs w:val="24"/>
        </w:rPr>
        <w:t>A 1,200 MW operating capacity would consume 9.6 million bone dry tons of wood residue annually</w:t>
      </w:r>
    </w:p>
    <w:p w:rsidR="000F3874" w:rsidRPr="000F3874" w:rsidRDefault="000F3874" w:rsidP="000F3874">
      <w:pPr>
        <w:numPr>
          <w:ilvl w:val="0"/>
          <w:numId w:val="30"/>
        </w:numPr>
        <w:spacing w:line="256" w:lineRule="auto"/>
        <w:contextualSpacing/>
        <w:rPr>
          <w:rFonts w:ascii="Cambria" w:hAnsi="Cambria"/>
          <w:sz w:val="24"/>
          <w:szCs w:val="24"/>
        </w:rPr>
      </w:pPr>
      <w:r w:rsidRPr="000F3874">
        <w:rPr>
          <w:rFonts w:ascii="Cambria" w:hAnsi="Cambria"/>
          <w:sz w:val="24"/>
          <w:szCs w:val="24"/>
        </w:rPr>
        <w:t>Current market value for CO2e on ARB Cap-and-Trade Offsets Program is $11/ton</w:t>
      </w:r>
    </w:p>
    <w:p w:rsidR="000F3874" w:rsidRPr="000F3874" w:rsidRDefault="000F3874" w:rsidP="000F3874">
      <w:pPr>
        <w:numPr>
          <w:ilvl w:val="0"/>
          <w:numId w:val="30"/>
        </w:numPr>
        <w:spacing w:line="256" w:lineRule="auto"/>
        <w:contextualSpacing/>
        <w:rPr>
          <w:rFonts w:ascii="Cambria" w:hAnsi="Cambria"/>
          <w:sz w:val="24"/>
          <w:szCs w:val="24"/>
        </w:rPr>
      </w:pPr>
      <w:r w:rsidRPr="000F3874">
        <w:rPr>
          <w:rFonts w:ascii="Cambria" w:hAnsi="Cambria"/>
          <w:sz w:val="24"/>
          <w:szCs w:val="24"/>
        </w:rPr>
        <w:t>Estimate for value of Particulate Matter</w:t>
      </w:r>
      <w:r w:rsidR="00175925">
        <w:rPr>
          <w:rFonts w:ascii="Cambria" w:hAnsi="Cambria"/>
          <w:sz w:val="24"/>
          <w:szCs w:val="24"/>
        </w:rPr>
        <w:t xml:space="preserve"> (PM)</w:t>
      </w:r>
      <w:r w:rsidRPr="000F3874">
        <w:rPr>
          <w:rFonts w:ascii="Cambria" w:hAnsi="Cambria"/>
          <w:sz w:val="24"/>
          <w:szCs w:val="24"/>
        </w:rPr>
        <w:t xml:space="preserve"> from Morris (1999, p.21) is $2,500/ton</w:t>
      </w:r>
      <w:r w:rsidR="00175925">
        <w:rPr>
          <w:rFonts w:ascii="Cambria" w:hAnsi="Cambria"/>
          <w:sz w:val="24"/>
          <w:szCs w:val="24"/>
        </w:rPr>
        <w:t xml:space="preserve"> although, based on the incentives in the Carl Moyer Program, the State has put a much higher value than this on PM</w:t>
      </w:r>
    </w:p>
    <w:p w:rsidR="000F3874" w:rsidRPr="000F3874" w:rsidRDefault="000F3874" w:rsidP="000F3874">
      <w:pPr>
        <w:spacing w:line="256" w:lineRule="auto"/>
        <w:ind w:left="720"/>
        <w:contextualSpacing/>
        <w:rPr>
          <w:rFonts w:ascii="Cambria" w:hAnsi="Cambria"/>
          <w:sz w:val="24"/>
          <w:szCs w:val="24"/>
        </w:rPr>
      </w:pPr>
    </w:p>
    <w:p w:rsidR="000F3874" w:rsidRPr="000F3874" w:rsidRDefault="000F3874" w:rsidP="000F3874">
      <w:pPr>
        <w:rPr>
          <w:rFonts w:ascii="Cambria" w:hAnsi="Cambria"/>
          <w:b/>
          <w:sz w:val="24"/>
          <w:szCs w:val="24"/>
        </w:rPr>
      </w:pPr>
      <w:r w:rsidRPr="000F3874">
        <w:rPr>
          <w:rFonts w:ascii="Cambria" w:hAnsi="Cambria"/>
          <w:b/>
          <w:sz w:val="24"/>
          <w:szCs w:val="24"/>
        </w:rPr>
        <w:t>Synthesis of the above Table:</w:t>
      </w:r>
    </w:p>
    <w:p w:rsidR="000F3874" w:rsidRPr="000F3874" w:rsidRDefault="000F3874" w:rsidP="000F3874">
      <w:pPr>
        <w:rPr>
          <w:rFonts w:ascii="Cambria" w:hAnsi="Cambria"/>
          <w:sz w:val="24"/>
          <w:szCs w:val="24"/>
        </w:rPr>
      </w:pPr>
      <w:r w:rsidRPr="000F3874">
        <w:rPr>
          <w:rFonts w:ascii="Cambria" w:hAnsi="Cambria"/>
          <w:sz w:val="24"/>
          <w:szCs w:val="24"/>
        </w:rPr>
        <w:t xml:space="preserve">For the current 600 MW Operating Capacity, Biomass Powerplants, versus Open Burning or “left in the forest to decompose” scenarios, the Powerplant Industry annually reduces Carbon Dioxide equivalent by about </w:t>
      </w:r>
      <w:r w:rsidR="00D25D21">
        <w:rPr>
          <w:rFonts w:ascii="Cambria" w:hAnsi="Cambria"/>
          <w:sz w:val="24"/>
          <w:szCs w:val="24"/>
        </w:rPr>
        <w:t xml:space="preserve">0.4 million </w:t>
      </w:r>
      <w:r w:rsidRPr="000F3874">
        <w:rPr>
          <w:rFonts w:ascii="Cambria" w:hAnsi="Cambria"/>
          <w:sz w:val="24"/>
          <w:szCs w:val="24"/>
        </w:rPr>
        <w:t>tons (Methane) and reduce</w:t>
      </w:r>
      <w:r w:rsidR="00D25D21">
        <w:rPr>
          <w:rFonts w:ascii="Cambria" w:hAnsi="Cambria"/>
          <w:sz w:val="24"/>
          <w:szCs w:val="24"/>
        </w:rPr>
        <w:t>s</w:t>
      </w:r>
      <w:r w:rsidRPr="000F3874">
        <w:rPr>
          <w:rFonts w:ascii="Cambria" w:hAnsi="Cambria"/>
          <w:sz w:val="24"/>
          <w:szCs w:val="24"/>
        </w:rPr>
        <w:t xml:space="preserve"> Particulate Matter by over 35,000 tons.</w:t>
      </w:r>
    </w:p>
    <w:p w:rsidR="000F3874" w:rsidRPr="000F3874" w:rsidRDefault="000F3874" w:rsidP="000F3874">
      <w:pPr>
        <w:rPr>
          <w:rFonts w:ascii="Cambria" w:hAnsi="Cambria"/>
          <w:sz w:val="24"/>
          <w:szCs w:val="24"/>
        </w:rPr>
      </w:pPr>
      <w:r w:rsidRPr="000F3874">
        <w:rPr>
          <w:rFonts w:ascii="Cambria" w:hAnsi="Cambria"/>
          <w:sz w:val="24"/>
          <w:szCs w:val="24"/>
        </w:rPr>
        <w:t>These reductions would be about double if the 2012 Bioenergy Action Plan was fully implemented with a Biomass Powerplant 1,200 MW operating capacity.</w:t>
      </w:r>
    </w:p>
    <w:p w:rsidR="00175925" w:rsidRDefault="006D1E39" w:rsidP="006D1E39">
      <w:pPr>
        <w:rPr>
          <w:rFonts w:ascii="Cambria" w:hAnsi="Cambria"/>
          <w:b/>
          <w:sz w:val="24"/>
          <w:szCs w:val="24"/>
        </w:rPr>
      </w:pPr>
      <w:r w:rsidRPr="000F3874">
        <w:rPr>
          <w:rFonts w:ascii="Cambria" w:hAnsi="Cambria"/>
          <w:b/>
          <w:sz w:val="24"/>
          <w:szCs w:val="24"/>
        </w:rPr>
        <w:t>Note with the current ARB Cap-And-Trade Offset Mark</w:t>
      </w:r>
      <w:r w:rsidR="00D25D21">
        <w:rPr>
          <w:rFonts w:ascii="Cambria" w:hAnsi="Cambria"/>
          <w:b/>
          <w:sz w:val="24"/>
          <w:szCs w:val="24"/>
        </w:rPr>
        <w:t>et at about $11/ton, 0.4 million tons of CO2e is worth about $4.4</w:t>
      </w:r>
      <w:r w:rsidRPr="000F3874">
        <w:rPr>
          <w:rFonts w:ascii="Cambria" w:hAnsi="Cambria"/>
          <w:b/>
          <w:sz w:val="24"/>
          <w:szCs w:val="24"/>
        </w:rPr>
        <w:t xml:space="preserve"> million; at $2,500/ton the Particulate Matter reduction is worth about $88 million.  </w:t>
      </w:r>
    </w:p>
    <w:p w:rsidR="006D1E39" w:rsidRPr="000F3874" w:rsidRDefault="006D1E39" w:rsidP="006D1E39">
      <w:pPr>
        <w:rPr>
          <w:rFonts w:ascii="Cambria" w:hAnsi="Cambria"/>
          <w:b/>
          <w:sz w:val="24"/>
          <w:szCs w:val="24"/>
        </w:rPr>
      </w:pPr>
      <w:r w:rsidRPr="000F3874">
        <w:rPr>
          <w:rFonts w:ascii="Cambria" w:hAnsi="Cambria"/>
          <w:b/>
          <w:sz w:val="24"/>
          <w:szCs w:val="24"/>
        </w:rPr>
        <w:t>If the Biomass Power Industry doubled to about 1,200 MW of operating capacity, as called for in the 2012 Bioenergy Actio</w:t>
      </w:r>
      <w:r w:rsidR="00D25D21">
        <w:rPr>
          <w:rFonts w:ascii="Cambria" w:hAnsi="Cambria"/>
          <w:b/>
          <w:sz w:val="24"/>
          <w:szCs w:val="24"/>
        </w:rPr>
        <w:t xml:space="preserve">n Plan, there would be annually </w:t>
      </w:r>
      <w:r>
        <w:rPr>
          <w:rFonts w:ascii="Cambria" w:hAnsi="Cambria"/>
          <w:b/>
          <w:sz w:val="24"/>
          <w:szCs w:val="24"/>
        </w:rPr>
        <w:t xml:space="preserve">about </w:t>
      </w:r>
      <w:r w:rsidR="00D25D21">
        <w:rPr>
          <w:rFonts w:ascii="Cambria" w:hAnsi="Cambria"/>
          <w:b/>
          <w:sz w:val="24"/>
          <w:szCs w:val="24"/>
        </w:rPr>
        <w:t xml:space="preserve">0.8 million </w:t>
      </w:r>
      <w:r w:rsidRPr="000F3874">
        <w:rPr>
          <w:rFonts w:ascii="Cambria" w:hAnsi="Cambria"/>
          <w:b/>
          <w:sz w:val="24"/>
          <w:szCs w:val="24"/>
        </w:rPr>
        <w:t xml:space="preserve">tons of </w:t>
      </w:r>
      <w:r w:rsidR="00D25D21">
        <w:rPr>
          <w:rFonts w:ascii="Cambria" w:hAnsi="Cambria"/>
          <w:b/>
          <w:sz w:val="24"/>
          <w:szCs w:val="24"/>
        </w:rPr>
        <w:t xml:space="preserve">methane </w:t>
      </w:r>
      <w:r w:rsidRPr="000F3874">
        <w:rPr>
          <w:rFonts w:ascii="Cambria" w:hAnsi="Cambria"/>
          <w:b/>
          <w:sz w:val="24"/>
          <w:szCs w:val="24"/>
        </w:rPr>
        <w:t>reductio</w:t>
      </w:r>
      <w:r>
        <w:rPr>
          <w:rFonts w:ascii="Cambria" w:hAnsi="Cambria"/>
          <w:b/>
          <w:sz w:val="24"/>
          <w:szCs w:val="24"/>
        </w:rPr>
        <w:t>n</w:t>
      </w:r>
      <w:r w:rsidR="00D25D21">
        <w:rPr>
          <w:rFonts w:ascii="Cambria" w:hAnsi="Cambria"/>
          <w:b/>
          <w:sz w:val="24"/>
          <w:szCs w:val="24"/>
        </w:rPr>
        <w:t xml:space="preserve"> in CO2e and be worth about $8.8</w:t>
      </w:r>
      <w:r w:rsidRPr="000F3874">
        <w:rPr>
          <w:rFonts w:ascii="Cambria" w:hAnsi="Cambria"/>
          <w:b/>
          <w:sz w:val="24"/>
          <w:szCs w:val="24"/>
        </w:rPr>
        <w:t xml:space="preserve"> million; Particulate Matter reduction </w:t>
      </w:r>
      <w:r w:rsidR="00D25D21">
        <w:rPr>
          <w:rFonts w:ascii="Cambria" w:hAnsi="Cambria"/>
          <w:b/>
          <w:sz w:val="24"/>
          <w:szCs w:val="24"/>
        </w:rPr>
        <w:t xml:space="preserve">annually </w:t>
      </w:r>
      <w:r w:rsidRPr="000F3874">
        <w:rPr>
          <w:rFonts w:ascii="Cambria" w:hAnsi="Cambria"/>
          <w:b/>
          <w:sz w:val="24"/>
          <w:szCs w:val="24"/>
        </w:rPr>
        <w:t xml:space="preserve">would be about 70,000 tons and worth about $175 million.  </w:t>
      </w:r>
    </w:p>
    <w:p w:rsidR="006D1E39" w:rsidRDefault="006D1E39" w:rsidP="006D1E39">
      <w:pPr>
        <w:rPr>
          <w:rFonts w:ascii="Cambria" w:hAnsi="Cambria"/>
          <w:sz w:val="24"/>
          <w:szCs w:val="24"/>
        </w:rPr>
      </w:pPr>
      <w:r>
        <w:rPr>
          <w:rFonts w:ascii="Cambria" w:hAnsi="Cambria"/>
          <w:sz w:val="24"/>
          <w:szCs w:val="24"/>
        </w:rPr>
        <w:lastRenderedPageBreak/>
        <w:t>For comparison, Placer County has also done a comparative evaluation of emissions from a biomass boiler versus open pile burning (May 14, 2010, Bruce Springsteen etal. “Emission Reductions from Woody Biomass for Energy as an Alternative to Open Pile Burning.  Tables 4 and 5 of that publication (pp. 13-14) shows the following:</w:t>
      </w:r>
    </w:p>
    <w:p w:rsidR="006D1E39" w:rsidRDefault="006D1E39" w:rsidP="006D1E39">
      <w:pPr>
        <w:rPr>
          <w:rFonts w:ascii="Cambria" w:hAnsi="Cambria"/>
          <w:sz w:val="24"/>
          <w:szCs w:val="24"/>
        </w:rPr>
      </w:pPr>
      <w:r w:rsidRPr="00203C50">
        <w:rPr>
          <w:rFonts w:ascii="Cambria" w:hAnsi="Cambria"/>
          <w:b/>
          <w:sz w:val="24"/>
          <w:szCs w:val="24"/>
        </w:rPr>
        <w:t>Table 5, Emissions Comparison</w:t>
      </w:r>
    </w:p>
    <w:tbl>
      <w:tblPr>
        <w:tblStyle w:val="TableGrid"/>
        <w:tblW w:w="0" w:type="auto"/>
        <w:tblLook w:val="04A0" w:firstRow="1" w:lastRow="0" w:firstColumn="1" w:lastColumn="0" w:noHBand="0" w:noVBand="1"/>
      </w:tblPr>
      <w:tblGrid>
        <w:gridCol w:w="1346"/>
        <w:gridCol w:w="1041"/>
        <w:gridCol w:w="1037"/>
        <w:gridCol w:w="1071"/>
        <w:gridCol w:w="1258"/>
        <w:gridCol w:w="1471"/>
        <w:gridCol w:w="894"/>
        <w:gridCol w:w="1232"/>
      </w:tblGrid>
      <w:tr w:rsidR="006D1E39" w:rsidTr="00A8350C">
        <w:tc>
          <w:tcPr>
            <w:tcW w:w="1263" w:type="dxa"/>
          </w:tcPr>
          <w:p w:rsidR="006D1E39" w:rsidRDefault="006D1E39" w:rsidP="00A8350C">
            <w:pPr>
              <w:rPr>
                <w:rFonts w:ascii="Cambria" w:hAnsi="Cambria"/>
                <w:sz w:val="24"/>
                <w:szCs w:val="24"/>
              </w:rPr>
            </w:pPr>
            <w:r>
              <w:rPr>
                <w:rFonts w:ascii="Cambria" w:hAnsi="Cambria"/>
                <w:sz w:val="24"/>
                <w:szCs w:val="24"/>
              </w:rPr>
              <w:t>Operation</w:t>
            </w:r>
          </w:p>
        </w:tc>
        <w:tc>
          <w:tcPr>
            <w:tcW w:w="1059" w:type="dxa"/>
          </w:tcPr>
          <w:p w:rsidR="006D1E39" w:rsidRDefault="006D1E39" w:rsidP="00A8350C">
            <w:pPr>
              <w:rPr>
                <w:rFonts w:ascii="Cambria" w:hAnsi="Cambria"/>
                <w:sz w:val="24"/>
                <w:szCs w:val="24"/>
              </w:rPr>
            </w:pPr>
          </w:p>
        </w:tc>
        <w:tc>
          <w:tcPr>
            <w:tcW w:w="1055" w:type="dxa"/>
          </w:tcPr>
          <w:p w:rsidR="006D1E39" w:rsidRDefault="006D1E39" w:rsidP="00A8350C">
            <w:pPr>
              <w:rPr>
                <w:rFonts w:ascii="Cambria" w:hAnsi="Cambria"/>
                <w:sz w:val="24"/>
                <w:szCs w:val="24"/>
              </w:rPr>
            </w:pPr>
          </w:p>
        </w:tc>
        <w:tc>
          <w:tcPr>
            <w:tcW w:w="1087" w:type="dxa"/>
          </w:tcPr>
          <w:p w:rsidR="006D1E39" w:rsidRDefault="006D1E39" w:rsidP="00A8350C">
            <w:pPr>
              <w:rPr>
                <w:rFonts w:ascii="Cambria" w:hAnsi="Cambria"/>
                <w:sz w:val="24"/>
                <w:szCs w:val="24"/>
              </w:rPr>
            </w:pPr>
            <w:r>
              <w:rPr>
                <w:rFonts w:ascii="Cambria" w:hAnsi="Cambria"/>
                <w:sz w:val="24"/>
                <w:szCs w:val="24"/>
              </w:rPr>
              <w:t>Air</w:t>
            </w:r>
          </w:p>
        </w:tc>
        <w:tc>
          <w:tcPr>
            <w:tcW w:w="1258" w:type="dxa"/>
          </w:tcPr>
          <w:p w:rsidR="006D1E39" w:rsidRDefault="006D1E39" w:rsidP="00A8350C">
            <w:pPr>
              <w:rPr>
                <w:rFonts w:ascii="Cambria" w:hAnsi="Cambria"/>
                <w:sz w:val="24"/>
                <w:szCs w:val="24"/>
              </w:rPr>
            </w:pPr>
            <w:r>
              <w:rPr>
                <w:rFonts w:ascii="Cambria" w:hAnsi="Cambria"/>
                <w:sz w:val="24"/>
                <w:szCs w:val="24"/>
              </w:rPr>
              <w:t>Emissions</w:t>
            </w:r>
          </w:p>
        </w:tc>
        <w:tc>
          <w:tcPr>
            <w:tcW w:w="1472" w:type="dxa"/>
          </w:tcPr>
          <w:p w:rsidR="006D1E39" w:rsidRDefault="006D1E39" w:rsidP="00A8350C">
            <w:pPr>
              <w:rPr>
                <w:rFonts w:ascii="Cambria" w:hAnsi="Cambria"/>
                <w:sz w:val="24"/>
                <w:szCs w:val="24"/>
              </w:rPr>
            </w:pPr>
            <w:r>
              <w:rPr>
                <w:rFonts w:ascii="Cambria" w:hAnsi="Cambria"/>
                <w:sz w:val="24"/>
                <w:szCs w:val="24"/>
              </w:rPr>
              <w:t>(Tons/6096 BDT)</w:t>
            </w:r>
          </w:p>
        </w:tc>
        <w:tc>
          <w:tcPr>
            <w:tcW w:w="901" w:type="dxa"/>
          </w:tcPr>
          <w:p w:rsidR="006D1E39" w:rsidRDefault="006D1E39" w:rsidP="00A8350C">
            <w:pPr>
              <w:rPr>
                <w:rFonts w:ascii="Cambria" w:hAnsi="Cambria"/>
                <w:sz w:val="24"/>
                <w:szCs w:val="24"/>
              </w:rPr>
            </w:pPr>
          </w:p>
        </w:tc>
        <w:tc>
          <w:tcPr>
            <w:tcW w:w="1255" w:type="dxa"/>
          </w:tcPr>
          <w:p w:rsidR="006D1E39" w:rsidRDefault="006D1E39" w:rsidP="00A8350C">
            <w:pPr>
              <w:rPr>
                <w:rFonts w:ascii="Cambria" w:hAnsi="Cambria"/>
                <w:sz w:val="24"/>
                <w:szCs w:val="24"/>
              </w:rPr>
            </w:pPr>
          </w:p>
        </w:tc>
      </w:tr>
      <w:tr w:rsidR="006D1E39" w:rsidTr="00A8350C">
        <w:tc>
          <w:tcPr>
            <w:tcW w:w="1263" w:type="dxa"/>
          </w:tcPr>
          <w:p w:rsidR="006D1E39" w:rsidRDefault="006D1E39" w:rsidP="00A8350C">
            <w:pPr>
              <w:rPr>
                <w:rFonts w:ascii="Cambria" w:hAnsi="Cambria"/>
                <w:sz w:val="24"/>
                <w:szCs w:val="24"/>
              </w:rPr>
            </w:pPr>
          </w:p>
        </w:tc>
        <w:tc>
          <w:tcPr>
            <w:tcW w:w="1059" w:type="dxa"/>
          </w:tcPr>
          <w:p w:rsidR="006D1E39" w:rsidRDefault="006D1E39" w:rsidP="00A8350C">
            <w:pPr>
              <w:rPr>
                <w:rFonts w:ascii="Cambria" w:hAnsi="Cambria"/>
                <w:sz w:val="24"/>
                <w:szCs w:val="24"/>
              </w:rPr>
            </w:pPr>
            <w:r>
              <w:rPr>
                <w:rFonts w:ascii="Cambria" w:hAnsi="Cambria"/>
                <w:sz w:val="24"/>
                <w:szCs w:val="24"/>
              </w:rPr>
              <w:t>NOx</w:t>
            </w:r>
          </w:p>
        </w:tc>
        <w:tc>
          <w:tcPr>
            <w:tcW w:w="1055" w:type="dxa"/>
          </w:tcPr>
          <w:p w:rsidR="006D1E39" w:rsidRPr="00F83118" w:rsidRDefault="006D1E39" w:rsidP="00A8350C">
            <w:pPr>
              <w:rPr>
                <w:rFonts w:ascii="Cambria" w:hAnsi="Cambria"/>
                <w:b/>
                <w:sz w:val="24"/>
                <w:szCs w:val="24"/>
              </w:rPr>
            </w:pPr>
            <w:r w:rsidRPr="00F83118">
              <w:rPr>
                <w:rFonts w:ascii="Cambria" w:hAnsi="Cambria"/>
                <w:b/>
                <w:sz w:val="24"/>
                <w:szCs w:val="24"/>
              </w:rPr>
              <w:t>PM</w:t>
            </w:r>
          </w:p>
        </w:tc>
        <w:tc>
          <w:tcPr>
            <w:tcW w:w="1087" w:type="dxa"/>
          </w:tcPr>
          <w:p w:rsidR="006D1E39" w:rsidRDefault="006D1E39" w:rsidP="00A8350C">
            <w:pPr>
              <w:rPr>
                <w:rFonts w:ascii="Cambria" w:hAnsi="Cambria"/>
                <w:sz w:val="24"/>
                <w:szCs w:val="24"/>
              </w:rPr>
            </w:pPr>
            <w:r>
              <w:rPr>
                <w:rFonts w:ascii="Cambria" w:hAnsi="Cambria"/>
                <w:sz w:val="24"/>
                <w:szCs w:val="24"/>
              </w:rPr>
              <w:t>NMOC</w:t>
            </w:r>
          </w:p>
        </w:tc>
        <w:tc>
          <w:tcPr>
            <w:tcW w:w="1258" w:type="dxa"/>
          </w:tcPr>
          <w:p w:rsidR="006D1E39" w:rsidRDefault="006D1E39" w:rsidP="00A8350C">
            <w:pPr>
              <w:rPr>
                <w:rFonts w:ascii="Cambria" w:hAnsi="Cambria"/>
                <w:sz w:val="24"/>
                <w:szCs w:val="24"/>
              </w:rPr>
            </w:pPr>
            <w:r>
              <w:rPr>
                <w:rFonts w:ascii="Cambria" w:hAnsi="Cambria"/>
                <w:sz w:val="24"/>
                <w:szCs w:val="24"/>
              </w:rPr>
              <w:t>CO</w:t>
            </w:r>
          </w:p>
        </w:tc>
        <w:tc>
          <w:tcPr>
            <w:tcW w:w="1472" w:type="dxa"/>
          </w:tcPr>
          <w:p w:rsidR="006D1E39" w:rsidRDefault="006D1E39" w:rsidP="00A8350C">
            <w:pPr>
              <w:rPr>
                <w:rFonts w:ascii="Cambria" w:hAnsi="Cambria"/>
                <w:sz w:val="24"/>
                <w:szCs w:val="24"/>
              </w:rPr>
            </w:pPr>
            <w:r>
              <w:rPr>
                <w:rFonts w:ascii="Cambria" w:hAnsi="Cambria"/>
                <w:sz w:val="24"/>
                <w:szCs w:val="24"/>
              </w:rPr>
              <w:t>CO2</w:t>
            </w:r>
          </w:p>
        </w:tc>
        <w:tc>
          <w:tcPr>
            <w:tcW w:w="901" w:type="dxa"/>
          </w:tcPr>
          <w:p w:rsidR="006D1E39" w:rsidRPr="00F83118" w:rsidRDefault="006D1E39" w:rsidP="00A8350C">
            <w:pPr>
              <w:rPr>
                <w:rFonts w:ascii="Cambria" w:hAnsi="Cambria"/>
                <w:b/>
                <w:sz w:val="24"/>
                <w:szCs w:val="24"/>
              </w:rPr>
            </w:pPr>
            <w:r w:rsidRPr="00F83118">
              <w:rPr>
                <w:rFonts w:ascii="Cambria" w:hAnsi="Cambria"/>
                <w:b/>
                <w:sz w:val="24"/>
                <w:szCs w:val="24"/>
              </w:rPr>
              <w:t>CH4</w:t>
            </w:r>
          </w:p>
        </w:tc>
        <w:tc>
          <w:tcPr>
            <w:tcW w:w="1255" w:type="dxa"/>
          </w:tcPr>
          <w:p w:rsidR="006D1E39" w:rsidRPr="00F83118" w:rsidRDefault="006D1E39" w:rsidP="00A8350C">
            <w:pPr>
              <w:rPr>
                <w:rFonts w:ascii="Cambria" w:hAnsi="Cambria"/>
                <w:b/>
                <w:sz w:val="24"/>
                <w:szCs w:val="24"/>
              </w:rPr>
            </w:pPr>
            <w:r w:rsidRPr="00F83118">
              <w:rPr>
                <w:rFonts w:ascii="Cambria" w:hAnsi="Cambria"/>
                <w:b/>
                <w:sz w:val="24"/>
                <w:szCs w:val="24"/>
              </w:rPr>
              <w:t>CO2e</w:t>
            </w:r>
          </w:p>
        </w:tc>
      </w:tr>
      <w:tr w:rsidR="006D1E39" w:rsidTr="00A8350C">
        <w:tc>
          <w:tcPr>
            <w:tcW w:w="1263" w:type="dxa"/>
          </w:tcPr>
          <w:p w:rsidR="006D1E39" w:rsidRPr="00A8474C" w:rsidRDefault="006D1E39" w:rsidP="00A8350C">
            <w:pPr>
              <w:rPr>
                <w:rFonts w:ascii="Cambria" w:hAnsi="Cambria"/>
                <w:b/>
                <w:sz w:val="24"/>
                <w:szCs w:val="24"/>
              </w:rPr>
            </w:pPr>
            <w:r w:rsidRPr="00A8474C">
              <w:rPr>
                <w:rFonts w:ascii="Cambria" w:hAnsi="Cambria"/>
                <w:b/>
                <w:sz w:val="24"/>
                <w:szCs w:val="24"/>
              </w:rPr>
              <w:t>Baseline, Open Pile Burning</w:t>
            </w:r>
          </w:p>
        </w:tc>
        <w:tc>
          <w:tcPr>
            <w:tcW w:w="1059" w:type="dxa"/>
          </w:tcPr>
          <w:p w:rsidR="006D1E39" w:rsidRDefault="006D1E39" w:rsidP="00A8350C">
            <w:pPr>
              <w:rPr>
                <w:rFonts w:ascii="Cambria" w:hAnsi="Cambria"/>
                <w:sz w:val="24"/>
                <w:szCs w:val="24"/>
              </w:rPr>
            </w:pPr>
          </w:p>
        </w:tc>
        <w:tc>
          <w:tcPr>
            <w:tcW w:w="1055" w:type="dxa"/>
          </w:tcPr>
          <w:p w:rsidR="006D1E39" w:rsidRDefault="006D1E39" w:rsidP="00A8350C">
            <w:pPr>
              <w:rPr>
                <w:rFonts w:ascii="Cambria" w:hAnsi="Cambria"/>
                <w:sz w:val="24"/>
                <w:szCs w:val="24"/>
              </w:rPr>
            </w:pPr>
          </w:p>
        </w:tc>
        <w:tc>
          <w:tcPr>
            <w:tcW w:w="1087" w:type="dxa"/>
          </w:tcPr>
          <w:p w:rsidR="006D1E39" w:rsidRDefault="006D1E39" w:rsidP="00A8350C">
            <w:pPr>
              <w:rPr>
                <w:rFonts w:ascii="Cambria" w:hAnsi="Cambria"/>
                <w:sz w:val="24"/>
                <w:szCs w:val="24"/>
              </w:rPr>
            </w:pPr>
          </w:p>
        </w:tc>
        <w:tc>
          <w:tcPr>
            <w:tcW w:w="1258" w:type="dxa"/>
          </w:tcPr>
          <w:p w:rsidR="006D1E39" w:rsidRDefault="006D1E39" w:rsidP="00A8350C">
            <w:pPr>
              <w:rPr>
                <w:rFonts w:ascii="Cambria" w:hAnsi="Cambria"/>
                <w:sz w:val="24"/>
                <w:szCs w:val="24"/>
              </w:rPr>
            </w:pPr>
          </w:p>
        </w:tc>
        <w:tc>
          <w:tcPr>
            <w:tcW w:w="1472" w:type="dxa"/>
          </w:tcPr>
          <w:p w:rsidR="006D1E39" w:rsidRDefault="006D1E39" w:rsidP="00A8350C">
            <w:pPr>
              <w:rPr>
                <w:rFonts w:ascii="Cambria" w:hAnsi="Cambria"/>
                <w:sz w:val="24"/>
                <w:szCs w:val="24"/>
              </w:rPr>
            </w:pPr>
          </w:p>
        </w:tc>
        <w:tc>
          <w:tcPr>
            <w:tcW w:w="901" w:type="dxa"/>
          </w:tcPr>
          <w:p w:rsidR="006D1E39" w:rsidRDefault="006D1E39" w:rsidP="00A8350C">
            <w:pPr>
              <w:rPr>
                <w:rFonts w:ascii="Cambria" w:hAnsi="Cambria"/>
                <w:sz w:val="24"/>
                <w:szCs w:val="24"/>
              </w:rPr>
            </w:pPr>
          </w:p>
        </w:tc>
        <w:tc>
          <w:tcPr>
            <w:tcW w:w="1255" w:type="dxa"/>
          </w:tcPr>
          <w:p w:rsidR="006D1E39" w:rsidRDefault="006D1E39" w:rsidP="00A8350C">
            <w:pPr>
              <w:rPr>
                <w:rFonts w:ascii="Cambria" w:hAnsi="Cambria"/>
                <w:sz w:val="24"/>
                <w:szCs w:val="24"/>
              </w:rPr>
            </w:pPr>
          </w:p>
        </w:tc>
      </w:tr>
      <w:tr w:rsidR="006D1E39" w:rsidTr="00A8350C">
        <w:tc>
          <w:tcPr>
            <w:tcW w:w="1263" w:type="dxa"/>
          </w:tcPr>
          <w:p w:rsidR="006D1E39" w:rsidRDefault="006D1E39" w:rsidP="00A8350C">
            <w:pPr>
              <w:rPr>
                <w:rFonts w:ascii="Cambria" w:hAnsi="Cambria"/>
                <w:sz w:val="24"/>
                <w:szCs w:val="24"/>
              </w:rPr>
            </w:pPr>
            <w:r>
              <w:rPr>
                <w:rFonts w:ascii="Cambria" w:hAnsi="Cambria"/>
                <w:sz w:val="24"/>
                <w:szCs w:val="24"/>
              </w:rPr>
              <w:t>Open Pile Burning</w:t>
            </w:r>
          </w:p>
        </w:tc>
        <w:tc>
          <w:tcPr>
            <w:tcW w:w="1059" w:type="dxa"/>
          </w:tcPr>
          <w:p w:rsidR="006D1E39" w:rsidRDefault="006D1E39" w:rsidP="00A8350C">
            <w:pPr>
              <w:jc w:val="right"/>
              <w:rPr>
                <w:rFonts w:ascii="Cambria" w:hAnsi="Cambria"/>
                <w:sz w:val="24"/>
                <w:szCs w:val="24"/>
              </w:rPr>
            </w:pPr>
            <w:r>
              <w:rPr>
                <w:rFonts w:ascii="Cambria" w:hAnsi="Cambria"/>
                <w:sz w:val="24"/>
                <w:szCs w:val="24"/>
              </w:rPr>
              <w:t>17.37</w:t>
            </w:r>
          </w:p>
        </w:tc>
        <w:tc>
          <w:tcPr>
            <w:tcW w:w="1055" w:type="dxa"/>
          </w:tcPr>
          <w:p w:rsidR="006D1E39" w:rsidRDefault="006D1E39" w:rsidP="00A8350C">
            <w:pPr>
              <w:jc w:val="right"/>
              <w:rPr>
                <w:rFonts w:ascii="Cambria" w:hAnsi="Cambria"/>
                <w:sz w:val="24"/>
                <w:szCs w:val="24"/>
              </w:rPr>
            </w:pPr>
            <w:r>
              <w:rPr>
                <w:rFonts w:ascii="Cambria" w:hAnsi="Cambria"/>
                <w:sz w:val="24"/>
                <w:szCs w:val="24"/>
              </w:rPr>
              <w:t>37.65</w:t>
            </w:r>
          </w:p>
        </w:tc>
        <w:tc>
          <w:tcPr>
            <w:tcW w:w="1087" w:type="dxa"/>
          </w:tcPr>
          <w:p w:rsidR="006D1E39" w:rsidRDefault="006D1E39" w:rsidP="00A8350C">
            <w:pPr>
              <w:jc w:val="right"/>
              <w:rPr>
                <w:rFonts w:ascii="Cambria" w:hAnsi="Cambria"/>
                <w:sz w:val="24"/>
                <w:szCs w:val="24"/>
              </w:rPr>
            </w:pPr>
            <w:r>
              <w:rPr>
                <w:rFonts w:ascii="Cambria" w:hAnsi="Cambria"/>
                <w:sz w:val="24"/>
                <w:szCs w:val="24"/>
              </w:rPr>
              <w:t>28.96</w:t>
            </w:r>
          </w:p>
        </w:tc>
        <w:tc>
          <w:tcPr>
            <w:tcW w:w="1258" w:type="dxa"/>
          </w:tcPr>
          <w:p w:rsidR="006D1E39" w:rsidRDefault="006D1E39" w:rsidP="00A8350C">
            <w:pPr>
              <w:jc w:val="right"/>
              <w:rPr>
                <w:rFonts w:ascii="Cambria" w:hAnsi="Cambria"/>
                <w:sz w:val="24"/>
                <w:szCs w:val="24"/>
              </w:rPr>
            </w:pPr>
            <w:r>
              <w:rPr>
                <w:rFonts w:ascii="Cambria" w:hAnsi="Cambria"/>
                <w:sz w:val="24"/>
                <w:szCs w:val="24"/>
              </w:rPr>
              <w:t>362</w:t>
            </w:r>
          </w:p>
        </w:tc>
        <w:tc>
          <w:tcPr>
            <w:tcW w:w="1472" w:type="dxa"/>
          </w:tcPr>
          <w:p w:rsidR="006D1E39" w:rsidRDefault="006D1E39" w:rsidP="00A8350C">
            <w:pPr>
              <w:jc w:val="right"/>
              <w:rPr>
                <w:rFonts w:ascii="Cambria" w:hAnsi="Cambria"/>
                <w:sz w:val="24"/>
                <w:szCs w:val="24"/>
              </w:rPr>
            </w:pPr>
            <w:r>
              <w:rPr>
                <w:rFonts w:ascii="Cambria" w:hAnsi="Cambria"/>
                <w:sz w:val="24"/>
                <w:szCs w:val="24"/>
              </w:rPr>
              <w:t>10,618</w:t>
            </w:r>
          </w:p>
        </w:tc>
        <w:tc>
          <w:tcPr>
            <w:tcW w:w="901" w:type="dxa"/>
          </w:tcPr>
          <w:p w:rsidR="006D1E39" w:rsidRDefault="006D1E39" w:rsidP="00A8350C">
            <w:pPr>
              <w:jc w:val="right"/>
              <w:rPr>
                <w:rFonts w:ascii="Cambria" w:hAnsi="Cambria"/>
                <w:sz w:val="24"/>
                <w:szCs w:val="24"/>
              </w:rPr>
            </w:pPr>
            <w:r>
              <w:rPr>
                <w:rFonts w:ascii="Cambria" w:hAnsi="Cambria"/>
                <w:sz w:val="24"/>
                <w:szCs w:val="24"/>
              </w:rPr>
              <w:t>17.37</w:t>
            </w:r>
          </w:p>
        </w:tc>
        <w:tc>
          <w:tcPr>
            <w:tcW w:w="1255" w:type="dxa"/>
          </w:tcPr>
          <w:p w:rsidR="006D1E39" w:rsidRDefault="006D1E39" w:rsidP="00A8350C">
            <w:pPr>
              <w:jc w:val="right"/>
              <w:rPr>
                <w:rFonts w:ascii="Cambria" w:hAnsi="Cambria"/>
                <w:sz w:val="24"/>
                <w:szCs w:val="24"/>
              </w:rPr>
            </w:pPr>
            <w:r>
              <w:rPr>
                <w:rFonts w:ascii="Cambria" w:hAnsi="Cambria"/>
                <w:sz w:val="24"/>
                <w:szCs w:val="24"/>
              </w:rPr>
              <w:t>10,983</w:t>
            </w:r>
          </w:p>
        </w:tc>
      </w:tr>
      <w:tr w:rsidR="006D1E39" w:rsidTr="00D25D21">
        <w:tc>
          <w:tcPr>
            <w:tcW w:w="1263" w:type="dxa"/>
            <w:tcBorders>
              <w:bottom w:val="single" w:sz="4" w:space="0" w:color="auto"/>
            </w:tcBorders>
          </w:tcPr>
          <w:p w:rsidR="006D1E39" w:rsidRDefault="006D1E39" w:rsidP="00A8350C">
            <w:pPr>
              <w:rPr>
                <w:rFonts w:ascii="Cambria" w:hAnsi="Cambria"/>
                <w:sz w:val="24"/>
                <w:szCs w:val="24"/>
              </w:rPr>
            </w:pPr>
            <w:r>
              <w:rPr>
                <w:rFonts w:ascii="Cambria" w:hAnsi="Cambria"/>
                <w:sz w:val="24"/>
                <w:szCs w:val="24"/>
              </w:rPr>
              <w:t>Displaced Power from Grid</w:t>
            </w:r>
          </w:p>
        </w:tc>
        <w:tc>
          <w:tcPr>
            <w:tcW w:w="1059"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0.47</w:t>
            </w:r>
          </w:p>
        </w:tc>
        <w:tc>
          <w:tcPr>
            <w:tcW w:w="1055"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0.28</w:t>
            </w:r>
          </w:p>
        </w:tc>
        <w:tc>
          <w:tcPr>
            <w:tcW w:w="1087"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0.06</w:t>
            </w:r>
          </w:p>
        </w:tc>
        <w:tc>
          <w:tcPr>
            <w:tcW w:w="1258"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1</w:t>
            </w:r>
          </w:p>
        </w:tc>
        <w:tc>
          <w:tcPr>
            <w:tcW w:w="1472"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2,733</w:t>
            </w:r>
          </w:p>
        </w:tc>
        <w:tc>
          <w:tcPr>
            <w:tcW w:w="901" w:type="dxa"/>
            <w:tcBorders>
              <w:bottom w:val="single" w:sz="4" w:space="0" w:color="auto"/>
            </w:tcBorders>
          </w:tcPr>
          <w:p w:rsidR="006D1E39" w:rsidRDefault="006D1E39" w:rsidP="00A8350C">
            <w:pPr>
              <w:jc w:val="right"/>
              <w:rPr>
                <w:rFonts w:ascii="Cambria" w:hAnsi="Cambria"/>
                <w:sz w:val="24"/>
                <w:szCs w:val="24"/>
              </w:rPr>
            </w:pPr>
          </w:p>
        </w:tc>
        <w:tc>
          <w:tcPr>
            <w:tcW w:w="1255"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2,733</w:t>
            </w:r>
          </w:p>
        </w:tc>
      </w:tr>
      <w:tr w:rsidR="006D1E39" w:rsidTr="00D25D21">
        <w:tc>
          <w:tcPr>
            <w:tcW w:w="1263" w:type="dxa"/>
            <w:tcBorders>
              <w:bottom w:val="single" w:sz="12" w:space="0" w:color="auto"/>
            </w:tcBorders>
          </w:tcPr>
          <w:p w:rsidR="006D1E39" w:rsidRPr="00A8474C" w:rsidRDefault="006D1E39" w:rsidP="00A8350C">
            <w:pPr>
              <w:rPr>
                <w:rFonts w:ascii="Cambria" w:hAnsi="Cambria"/>
                <w:b/>
                <w:sz w:val="24"/>
                <w:szCs w:val="24"/>
              </w:rPr>
            </w:pPr>
            <w:r>
              <w:rPr>
                <w:rFonts w:ascii="Cambria" w:hAnsi="Cambria"/>
                <w:b/>
                <w:sz w:val="24"/>
                <w:szCs w:val="24"/>
              </w:rPr>
              <w:t>Total</w:t>
            </w:r>
          </w:p>
        </w:tc>
        <w:tc>
          <w:tcPr>
            <w:tcW w:w="1059"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17.84</w:t>
            </w:r>
          </w:p>
        </w:tc>
        <w:tc>
          <w:tcPr>
            <w:tcW w:w="1055"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37.93</w:t>
            </w:r>
          </w:p>
        </w:tc>
        <w:tc>
          <w:tcPr>
            <w:tcW w:w="1087"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29.02</w:t>
            </w:r>
          </w:p>
        </w:tc>
        <w:tc>
          <w:tcPr>
            <w:tcW w:w="1258"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363</w:t>
            </w:r>
          </w:p>
        </w:tc>
        <w:tc>
          <w:tcPr>
            <w:tcW w:w="1472"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13,352</w:t>
            </w:r>
          </w:p>
        </w:tc>
        <w:tc>
          <w:tcPr>
            <w:tcW w:w="901"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17.37</w:t>
            </w:r>
          </w:p>
        </w:tc>
        <w:tc>
          <w:tcPr>
            <w:tcW w:w="1255"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13,717</w:t>
            </w:r>
          </w:p>
        </w:tc>
      </w:tr>
      <w:tr w:rsidR="006D1E39" w:rsidTr="00D25D21">
        <w:tc>
          <w:tcPr>
            <w:tcW w:w="1263" w:type="dxa"/>
            <w:tcBorders>
              <w:top w:val="single" w:sz="12" w:space="0" w:color="auto"/>
            </w:tcBorders>
          </w:tcPr>
          <w:p w:rsidR="006D1E39" w:rsidRPr="00A8474C" w:rsidRDefault="006D1E39" w:rsidP="00A8350C">
            <w:pPr>
              <w:rPr>
                <w:rFonts w:ascii="Cambria" w:hAnsi="Cambria"/>
                <w:b/>
                <w:sz w:val="24"/>
                <w:szCs w:val="24"/>
              </w:rPr>
            </w:pPr>
          </w:p>
        </w:tc>
        <w:tc>
          <w:tcPr>
            <w:tcW w:w="1059" w:type="dxa"/>
            <w:tcBorders>
              <w:top w:val="single" w:sz="12" w:space="0" w:color="auto"/>
            </w:tcBorders>
          </w:tcPr>
          <w:p w:rsidR="006D1E39" w:rsidRDefault="006D1E39" w:rsidP="00A8350C">
            <w:pPr>
              <w:jc w:val="right"/>
              <w:rPr>
                <w:rFonts w:ascii="Cambria" w:hAnsi="Cambria"/>
                <w:sz w:val="24"/>
                <w:szCs w:val="24"/>
              </w:rPr>
            </w:pPr>
          </w:p>
        </w:tc>
        <w:tc>
          <w:tcPr>
            <w:tcW w:w="1055" w:type="dxa"/>
            <w:tcBorders>
              <w:top w:val="single" w:sz="12" w:space="0" w:color="auto"/>
            </w:tcBorders>
          </w:tcPr>
          <w:p w:rsidR="006D1E39" w:rsidRDefault="006D1E39" w:rsidP="00A8350C">
            <w:pPr>
              <w:jc w:val="right"/>
              <w:rPr>
                <w:rFonts w:ascii="Cambria" w:hAnsi="Cambria"/>
                <w:sz w:val="24"/>
                <w:szCs w:val="24"/>
              </w:rPr>
            </w:pPr>
          </w:p>
        </w:tc>
        <w:tc>
          <w:tcPr>
            <w:tcW w:w="1087" w:type="dxa"/>
            <w:tcBorders>
              <w:top w:val="single" w:sz="12" w:space="0" w:color="auto"/>
            </w:tcBorders>
          </w:tcPr>
          <w:p w:rsidR="006D1E39" w:rsidRDefault="006D1E39" w:rsidP="00A8350C">
            <w:pPr>
              <w:jc w:val="right"/>
              <w:rPr>
                <w:rFonts w:ascii="Cambria" w:hAnsi="Cambria"/>
                <w:sz w:val="24"/>
                <w:szCs w:val="24"/>
              </w:rPr>
            </w:pPr>
          </w:p>
        </w:tc>
        <w:tc>
          <w:tcPr>
            <w:tcW w:w="1258" w:type="dxa"/>
            <w:tcBorders>
              <w:top w:val="single" w:sz="12" w:space="0" w:color="auto"/>
            </w:tcBorders>
          </w:tcPr>
          <w:p w:rsidR="006D1E39" w:rsidRDefault="006D1E39" w:rsidP="00A8350C">
            <w:pPr>
              <w:jc w:val="right"/>
              <w:rPr>
                <w:rFonts w:ascii="Cambria" w:hAnsi="Cambria"/>
                <w:sz w:val="24"/>
                <w:szCs w:val="24"/>
              </w:rPr>
            </w:pPr>
          </w:p>
        </w:tc>
        <w:tc>
          <w:tcPr>
            <w:tcW w:w="1472" w:type="dxa"/>
            <w:tcBorders>
              <w:top w:val="single" w:sz="12" w:space="0" w:color="auto"/>
            </w:tcBorders>
          </w:tcPr>
          <w:p w:rsidR="006D1E39" w:rsidRDefault="006D1E39" w:rsidP="00A8350C">
            <w:pPr>
              <w:jc w:val="right"/>
              <w:rPr>
                <w:rFonts w:ascii="Cambria" w:hAnsi="Cambria"/>
                <w:sz w:val="24"/>
                <w:szCs w:val="24"/>
              </w:rPr>
            </w:pPr>
          </w:p>
        </w:tc>
        <w:tc>
          <w:tcPr>
            <w:tcW w:w="901" w:type="dxa"/>
            <w:tcBorders>
              <w:top w:val="single" w:sz="12" w:space="0" w:color="auto"/>
            </w:tcBorders>
          </w:tcPr>
          <w:p w:rsidR="006D1E39" w:rsidRDefault="006D1E39" w:rsidP="00A8350C">
            <w:pPr>
              <w:jc w:val="right"/>
              <w:rPr>
                <w:rFonts w:ascii="Cambria" w:hAnsi="Cambria"/>
                <w:sz w:val="24"/>
                <w:szCs w:val="24"/>
              </w:rPr>
            </w:pPr>
          </w:p>
        </w:tc>
        <w:tc>
          <w:tcPr>
            <w:tcW w:w="1255" w:type="dxa"/>
            <w:tcBorders>
              <w:top w:val="single" w:sz="12" w:space="0" w:color="auto"/>
            </w:tcBorders>
          </w:tcPr>
          <w:p w:rsidR="006D1E39" w:rsidRDefault="006D1E39" w:rsidP="00A8350C">
            <w:pPr>
              <w:jc w:val="right"/>
              <w:rPr>
                <w:rFonts w:ascii="Cambria" w:hAnsi="Cambria"/>
                <w:sz w:val="24"/>
                <w:szCs w:val="24"/>
              </w:rPr>
            </w:pPr>
          </w:p>
        </w:tc>
      </w:tr>
      <w:tr w:rsidR="006D1E39" w:rsidTr="00A8350C">
        <w:tc>
          <w:tcPr>
            <w:tcW w:w="1263" w:type="dxa"/>
          </w:tcPr>
          <w:p w:rsidR="006D1E39" w:rsidRPr="00A8474C" w:rsidRDefault="006D1E39" w:rsidP="00A8350C">
            <w:pPr>
              <w:rPr>
                <w:rFonts w:ascii="Cambria" w:hAnsi="Cambria"/>
                <w:b/>
                <w:sz w:val="24"/>
                <w:szCs w:val="24"/>
              </w:rPr>
            </w:pPr>
            <w:r w:rsidRPr="00A8474C">
              <w:rPr>
                <w:rFonts w:ascii="Cambria" w:hAnsi="Cambria"/>
                <w:b/>
                <w:sz w:val="24"/>
                <w:szCs w:val="24"/>
              </w:rPr>
              <w:t>Biomass Boiler</w:t>
            </w:r>
          </w:p>
        </w:tc>
        <w:tc>
          <w:tcPr>
            <w:tcW w:w="1059" w:type="dxa"/>
          </w:tcPr>
          <w:p w:rsidR="006D1E39" w:rsidRDefault="006D1E39" w:rsidP="00A8350C">
            <w:pPr>
              <w:jc w:val="right"/>
              <w:rPr>
                <w:rFonts w:ascii="Cambria" w:hAnsi="Cambria"/>
                <w:sz w:val="24"/>
                <w:szCs w:val="24"/>
              </w:rPr>
            </w:pPr>
          </w:p>
        </w:tc>
        <w:tc>
          <w:tcPr>
            <w:tcW w:w="1055" w:type="dxa"/>
          </w:tcPr>
          <w:p w:rsidR="006D1E39" w:rsidRDefault="006D1E39" w:rsidP="00A8350C">
            <w:pPr>
              <w:jc w:val="right"/>
              <w:rPr>
                <w:rFonts w:ascii="Cambria" w:hAnsi="Cambria"/>
                <w:sz w:val="24"/>
                <w:szCs w:val="24"/>
              </w:rPr>
            </w:pPr>
          </w:p>
        </w:tc>
        <w:tc>
          <w:tcPr>
            <w:tcW w:w="1087" w:type="dxa"/>
          </w:tcPr>
          <w:p w:rsidR="006D1E39" w:rsidRDefault="006D1E39" w:rsidP="00A8350C">
            <w:pPr>
              <w:jc w:val="right"/>
              <w:rPr>
                <w:rFonts w:ascii="Cambria" w:hAnsi="Cambria"/>
                <w:sz w:val="24"/>
                <w:szCs w:val="24"/>
              </w:rPr>
            </w:pPr>
          </w:p>
        </w:tc>
        <w:tc>
          <w:tcPr>
            <w:tcW w:w="1258" w:type="dxa"/>
          </w:tcPr>
          <w:p w:rsidR="006D1E39" w:rsidRDefault="006D1E39" w:rsidP="00A8350C">
            <w:pPr>
              <w:jc w:val="right"/>
              <w:rPr>
                <w:rFonts w:ascii="Cambria" w:hAnsi="Cambria"/>
                <w:sz w:val="24"/>
                <w:szCs w:val="24"/>
              </w:rPr>
            </w:pPr>
          </w:p>
        </w:tc>
        <w:tc>
          <w:tcPr>
            <w:tcW w:w="1472" w:type="dxa"/>
          </w:tcPr>
          <w:p w:rsidR="006D1E39" w:rsidRDefault="006D1E39" w:rsidP="00A8350C">
            <w:pPr>
              <w:jc w:val="right"/>
              <w:rPr>
                <w:rFonts w:ascii="Cambria" w:hAnsi="Cambria"/>
                <w:sz w:val="24"/>
                <w:szCs w:val="24"/>
              </w:rPr>
            </w:pPr>
          </w:p>
        </w:tc>
        <w:tc>
          <w:tcPr>
            <w:tcW w:w="901" w:type="dxa"/>
          </w:tcPr>
          <w:p w:rsidR="006D1E39" w:rsidRDefault="006D1E39" w:rsidP="00A8350C">
            <w:pPr>
              <w:jc w:val="right"/>
              <w:rPr>
                <w:rFonts w:ascii="Cambria" w:hAnsi="Cambria"/>
                <w:sz w:val="24"/>
                <w:szCs w:val="24"/>
              </w:rPr>
            </w:pPr>
          </w:p>
        </w:tc>
        <w:tc>
          <w:tcPr>
            <w:tcW w:w="1255" w:type="dxa"/>
          </w:tcPr>
          <w:p w:rsidR="006D1E39" w:rsidRDefault="006D1E39" w:rsidP="00A8350C">
            <w:pPr>
              <w:jc w:val="right"/>
              <w:rPr>
                <w:rFonts w:ascii="Cambria" w:hAnsi="Cambria"/>
                <w:sz w:val="24"/>
                <w:szCs w:val="24"/>
              </w:rPr>
            </w:pPr>
          </w:p>
        </w:tc>
      </w:tr>
      <w:tr w:rsidR="006D1E39" w:rsidTr="00A8350C">
        <w:tc>
          <w:tcPr>
            <w:tcW w:w="1263" w:type="dxa"/>
          </w:tcPr>
          <w:p w:rsidR="006D1E39" w:rsidRDefault="006D1E39" w:rsidP="00A8350C">
            <w:pPr>
              <w:rPr>
                <w:rFonts w:ascii="Cambria" w:hAnsi="Cambria"/>
                <w:sz w:val="24"/>
                <w:szCs w:val="24"/>
              </w:rPr>
            </w:pPr>
            <w:r>
              <w:rPr>
                <w:rFonts w:ascii="Cambria" w:hAnsi="Cambria"/>
                <w:sz w:val="24"/>
                <w:szCs w:val="24"/>
              </w:rPr>
              <w:t>Boiler</w:t>
            </w:r>
          </w:p>
        </w:tc>
        <w:tc>
          <w:tcPr>
            <w:tcW w:w="1059" w:type="dxa"/>
          </w:tcPr>
          <w:p w:rsidR="006D1E39" w:rsidRDefault="006D1E39" w:rsidP="00A8350C">
            <w:pPr>
              <w:jc w:val="right"/>
              <w:rPr>
                <w:rFonts w:ascii="Cambria" w:hAnsi="Cambria"/>
                <w:sz w:val="24"/>
                <w:szCs w:val="24"/>
              </w:rPr>
            </w:pPr>
            <w:r>
              <w:rPr>
                <w:rFonts w:ascii="Cambria" w:hAnsi="Cambria"/>
                <w:sz w:val="24"/>
                <w:szCs w:val="24"/>
              </w:rPr>
              <w:t>6.58</w:t>
            </w:r>
          </w:p>
        </w:tc>
        <w:tc>
          <w:tcPr>
            <w:tcW w:w="1055" w:type="dxa"/>
          </w:tcPr>
          <w:p w:rsidR="006D1E39" w:rsidRDefault="006D1E39" w:rsidP="00A8350C">
            <w:pPr>
              <w:jc w:val="right"/>
              <w:rPr>
                <w:rFonts w:ascii="Cambria" w:hAnsi="Cambria"/>
                <w:sz w:val="24"/>
                <w:szCs w:val="24"/>
              </w:rPr>
            </w:pPr>
            <w:r>
              <w:rPr>
                <w:rFonts w:ascii="Cambria" w:hAnsi="Cambria"/>
                <w:sz w:val="24"/>
                <w:szCs w:val="24"/>
              </w:rPr>
              <w:t>0.98</w:t>
            </w:r>
          </w:p>
        </w:tc>
        <w:tc>
          <w:tcPr>
            <w:tcW w:w="1087" w:type="dxa"/>
          </w:tcPr>
          <w:p w:rsidR="006D1E39" w:rsidRDefault="006D1E39" w:rsidP="00A8350C">
            <w:pPr>
              <w:jc w:val="right"/>
              <w:rPr>
                <w:rFonts w:ascii="Cambria" w:hAnsi="Cambria"/>
                <w:sz w:val="24"/>
                <w:szCs w:val="24"/>
              </w:rPr>
            </w:pPr>
            <w:r>
              <w:rPr>
                <w:rFonts w:ascii="Cambria" w:hAnsi="Cambria"/>
                <w:sz w:val="24"/>
                <w:szCs w:val="24"/>
              </w:rPr>
              <w:t>0.22</w:t>
            </w:r>
          </w:p>
        </w:tc>
        <w:tc>
          <w:tcPr>
            <w:tcW w:w="1258" w:type="dxa"/>
          </w:tcPr>
          <w:p w:rsidR="006D1E39" w:rsidRDefault="006D1E39" w:rsidP="00A8350C">
            <w:pPr>
              <w:jc w:val="right"/>
              <w:rPr>
                <w:rFonts w:ascii="Cambria" w:hAnsi="Cambria"/>
                <w:sz w:val="24"/>
                <w:szCs w:val="24"/>
              </w:rPr>
            </w:pPr>
            <w:r>
              <w:rPr>
                <w:rFonts w:ascii="Cambria" w:hAnsi="Cambria"/>
                <w:sz w:val="24"/>
                <w:szCs w:val="24"/>
              </w:rPr>
              <w:t>9</w:t>
            </w:r>
          </w:p>
        </w:tc>
        <w:tc>
          <w:tcPr>
            <w:tcW w:w="1472" w:type="dxa"/>
          </w:tcPr>
          <w:p w:rsidR="006D1E39" w:rsidRDefault="006D1E39" w:rsidP="00A8350C">
            <w:pPr>
              <w:jc w:val="right"/>
              <w:rPr>
                <w:rFonts w:ascii="Cambria" w:hAnsi="Cambria"/>
                <w:sz w:val="24"/>
                <w:szCs w:val="24"/>
              </w:rPr>
            </w:pPr>
            <w:r>
              <w:rPr>
                <w:rFonts w:ascii="Cambria" w:hAnsi="Cambria"/>
                <w:sz w:val="24"/>
                <w:szCs w:val="24"/>
              </w:rPr>
              <w:t>11,178</w:t>
            </w:r>
          </w:p>
        </w:tc>
        <w:tc>
          <w:tcPr>
            <w:tcW w:w="901" w:type="dxa"/>
          </w:tcPr>
          <w:p w:rsidR="006D1E39" w:rsidRDefault="006D1E39" w:rsidP="00A8350C">
            <w:pPr>
              <w:jc w:val="right"/>
              <w:rPr>
                <w:rFonts w:ascii="Cambria" w:hAnsi="Cambria"/>
                <w:sz w:val="24"/>
                <w:szCs w:val="24"/>
              </w:rPr>
            </w:pPr>
            <w:r>
              <w:rPr>
                <w:rFonts w:ascii="Cambria" w:hAnsi="Cambria"/>
                <w:sz w:val="24"/>
                <w:szCs w:val="24"/>
              </w:rPr>
              <w:t>0.55</w:t>
            </w:r>
          </w:p>
        </w:tc>
        <w:tc>
          <w:tcPr>
            <w:tcW w:w="1255" w:type="dxa"/>
          </w:tcPr>
          <w:p w:rsidR="006D1E39" w:rsidRDefault="006D1E39" w:rsidP="00A8350C">
            <w:pPr>
              <w:jc w:val="right"/>
              <w:rPr>
                <w:rFonts w:ascii="Cambria" w:hAnsi="Cambria"/>
                <w:sz w:val="24"/>
                <w:szCs w:val="24"/>
              </w:rPr>
            </w:pPr>
            <w:r>
              <w:rPr>
                <w:rFonts w:ascii="Cambria" w:hAnsi="Cambria"/>
                <w:sz w:val="24"/>
                <w:szCs w:val="24"/>
              </w:rPr>
              <w:t>11,189</w:t>
            </w:r>
          </w:p>
        </w:tc>
      </w:tr>
      <w:tr w:rsidR="006D1E39" w:rsidTr="00A8350C">
        <w:tc>
          <w:tcPr>
            <w:tcW w:w="1263" w:type="dxa"/>
          </w:tcPr>
          <w:p w:rsidR="006D1E39" w:rsidRDefault="006D1E39" w:rsidP="00A8350C">
            <w:pPr>
              <w:rPr>
                <w:rFonts w:ascii="Cambria" w:hAnsi="Cambria"/>
                <w:sz w:val="24"/>
                <w:szCs w:val="24"/>
              </w:rPr>
            </w:pPr>
            <w:r>
              <w:rPr>
                <w:rFonts w:ascii="Cambria" w:hAnsi="Cambria"/>
                <w:sz w:val="24"/>
                <w:szCs w:val="24"/>
              </w:rPr>
              <w:t>Process &amp; Transport</w:t>
            </w:r>
          </w:p>
        </w:tc>
        <w:tc>
          <w:tcPr>
            <w:tcW w:w="1059" w:type="dxa"/>
          </w:tcPr>
          <w:p w:rsidR="006D1E39" w:rsidRDefault="006D1E39" w:rsidP="00A8350C">
            <w:pPr>
              <w:jc w:val="right"/>
              <w:rPr>
                <w:rFonts w:ascii="Cambria" w:hAnsi="Cambria"/>
                <w:sz w:val="24"/>
                <w:szCs w:val="24"/>
              </w:rPr>
            </w:pPr>
          </w:p>
        </w:tc>
        <w:tc>
          <w:tcPr>
            <w:tcW w:w="1055" w:type="dxa"/>
          </w:tcPr>
          <w:p w:rsidR="006D1E39" w:rsidRDefault="006D1E39" w:rsidP="00A8350C">
            <w:pPr>
              <w:jc w:val="right"/>
              <w:rPr>
                <w:rFonts w:ascii="Cambria" w:hAnsi="Cambria"/>
                <w:sz w:val="24"/>
                <w:szCs w:val="24"/>
              </w:rPr>
            </w:pPr>
          </w:p>
        </w:tc>
        <w:tc>
          <w:tcPr>
            <w:tcW w:w="1087" w:type="dxa"/>
          </w:tcPr>
          <w:p w:rsidR="006D1E39" w:rsidRDefault="006D1E39" w:rsidP="00A8350C">
            <w:pPr>
              <w:jc w:val="right"/>
              <w:rPr>
                <w:rFonts w:ascii="Cambria" w:hAnsi="Cambria"/>
                <w:sz w:val="24"/>
                <w:szCs w:val="24"/>
              </w:rPr>
            </w:pPr>
          </w:p>
        </w:tc>
        <w:tc>
          <w:tcPr>
            <w:tcW w:w="1258" w:type="dxa"/>
          </w:tcPr>
          <w:p w:rsidR="006D1E39" w:rsidRDefault="006D1E39" w:rsidP="00A8350C">
            <w:pPr>
              <w:jc w:val="right"/>
              <w:rPr>
                <w:rFonts w:ascii="Cambria" w:hAnsi="Cambria"/>
                <w:sz w:val="24"/>
                <w:szCs w:val="24"/>
              </w:rPr>
            </w:pPr>
          </w:p>
        </w:tc>
        <w:tc>
          <w:tcPr>
            <w:tcW w:w="1472" w:type="dxa"/>
          </w:tcPr>
          <w:p w:rsidR="006D1E39" w:rsidRDefault="006D1E39" w:rsidP="00A8350C">
            <w:pPr>
              <w:jc w:val="right"/>
              <w:rPr>
                <w:rFonts w:ascii="Cambria" w:hAnsi="Cambria"/>
                <w:sz w:val="24"/>
                <w:szCs w:val="24"/>
              </w:rPr>
            </w:pPr>
          </w:p>
        </w:tc>
        <w:tc>
          <w:tcPr>
            <w:tcW w:w="901" w:type="dxa"/>
          </w:tcPr>
          <w:p w:rsidR="006D1E39" w:rsidRDefault="006D1E39" w:rsidP="00A8350C">
            <w:pPr>
              <w:jc w:val="right"/>
              <w:rPr>
                <w:rFonts w:ascii="Cambria" w:hAnsi="Cambria"/>
                <w:sz w:val="24"/>
                <w:szCs w:val="24"/>
              </w:rPr>
            </w:pPr>
          </w:p>
        </w:tc>
        <w:tc>
          <w:tcPr>
            <w:tcW w:w="1255" w:type="dxa"/>
          </w:tcPr>
          <w:p w:rsidR="006D1E39" w:rsidRDefault="006D1E39" w:rsidP="00A8350C">
            <w:pPr>
              <w:jc w:val="right"/>
              <w:rPr>
                <w:rFonts w:ascii="Cambria" w:hAnsi="Cambria"/>
                <w:sz w:val="24"/>
                <w:szCs w:val="24"/>
              </w:rPr>
            </w:pPr>
          </w:p>
        </w:tc>
      </w:tr>
      <w:tr w:rsidR="006D1E39" w:rsidTr="00A8350C">
        <w:tc>
          <w:tcPr>
            <w:tcW w:w="1263" w:type="dxa"/>
          </w:tcPr>
          <w:p w:rsidR="006D1E39" w:rsidRDefault="006D1E39" w:rsidP="00A8350C">
            <w:pPr>
              <w:rPr>
                <w:rFonts w:ascii="Cambria" w:hAnsi="Cambria"/>
                <w:sz w:val="24"/>
                <w:szCs w:val="24"/>
              </w:rPr>
            </w:pPr>
            <w:r>
              <w:rPr>
                <w:rFonts w:ascii="Cambria" w:hAnsi="Cambria"/>
                <w:sz w:val="24"/>
                <w:szCs w:val="24"/>
              </w:rPr>
              <w:t>Chipping</w:t>
            </w:r>
          </w:p>
        </w:tc>
        <w:tc>
          <w:tcPr>
            <w:tcW w:w="1059" w:type="dxa"/>
          </w:tcPr>
          <w:p w:rsidR="006D1E39" w:rsidRDefault="006D1E39" w:rsidP="00A8350C">
            <w:pPr>
              <w:jc w:val="right"/>
              <w:rPr>
                <w:rFonts w:ascii="Cambria" w:hAnsi="Cambria"/>
                <w:sz w:val="24"/>
                <w:szCs w:val="24"/>
              </w:rPr>
            </w:pPr>
            <w:r>
              <w:rPr>
                <w:rFonts w:ascii="Cambria" w:hAnsi="Cambria"/>
                <w:sz w:val="24"/>
                <w:szCs w:val="24"/>
              </w:rPr>
              <w:t>0.43</w:t>
            </w:r>
          </w:p>
        </w:tc>
        <w:tc>
          <w:tcPr>
            <w:tcW w:w="1055" w:type="dxa"/>
          </w:tcPr>
          <w:p w:rsidR="006D1E39" w:rsidRDefault="006D1E39" w:rsidP="00A8350C">
            <w:pPr>
              <w:jc w:val="right"/>
              <w:rPr>
                <w:rFonts w:ascii="Cambria" w:hAnsi="Cambria"/>
                <w:sz w:val="24"/>
                <w:szCs w:val="24"/>
              </w:rPr>
            </w:pPr>
            <w:r>
              <w:rPr>
                <w:rFonts w:ascii="Cambria" w:hAnsi="Cambria"/>
                <w:sz w:val="24"/>
                <w:szCs w:val="24"/>
              </w:rPr>
              <w:t>0.52</w:t>
            </w:r>
          </w:p>
        </w:tc>
        <w:tc>
          <w:tcPr>
            <w:tcW w:w="1087" w:type="dxa"/>
          </w:tcPr>
          <w:p w:rsidR="006D1E39" w:rsidRDefault="006D1E39" w:rsidP="00A8350C">
            <w:pPr>
              <w:jc w:val="right"/>
              <w:rPr>
                <w:rFonts w:ascii="Cambria" w:hAnsi="Cambria"/>
                <w:sz w:val="24"/>
                <w:szCs w:val="24"/>
              </w:rPr>
            </w:pPr>
            <w:r>
              <w:rPr>
                <w:rFonts w:ascii="Cambria" w:hAnsi="Cambria"/>
                <w:sz w:val="24"/>
                <w:szCs w:val="24"/>
              </w:rPr>
              <w:t>0.02</w:t>
            </w:r>
          </w:p>
        </w:tc>
        <w:tc>
          <w:tcPr>
            <w:tcW w:w="1258" w:type="dxa"/>
          </w:tcPr>
          <w:p w:rsidR="006D1E39" w:rsidRDefault="006D1E39" w:rsidP="00A8350C">
            <w:pPr>
              <w:jc w:val="right"/>
              <w:rPr>
                <w:rFonts w:ascii="Cambria" w:hAnsi="Cambria"/>
                <w:sz w:val="24"/>
                <w:szCs w:val="24"/>
              </w:rPr>
            </w:pPr>
            <w:r>
              <w:rPr>
                <w:rFonts w:ascii="Cambria" w:hAnsi="Cambria"/>
                <w:sz w:val="24"/>
                <w:szCs w:val="24"/>
              </w:rPr>
              <w:t>1</w:t>
            </w:r>
          </w:p>
        </w:tc>
        <w:tc>
          <w:tcPr>
            <w:tcW w:w="1472" w:type="dxa"/>
          </w:tcPr>
          <w:p w:rsidR="006D1E39" w:rsidRDefault="006D1E39" w:rsidP="00A8350C">
            <w:pPr>
              <w:jc w:val="right"/>
              <w:rPr>
                <w:rFonts w:ascii="Cambria" w:hAnsi="Cambria"/>
                <w:sz w:val="24"/>
                <w:szCs w:val="24"/>
              </w:rPr>
            </w:pPr>
            <w:r>
              <w:rPr>
                <w:rFonts w:ascii="Cambria" w:hAnsi="Cambria"/>
                <w:sz w:val="24"/>
                <w:szCs w:val="24"/>
              </w:rPr>
              <w:t>73</w:t>
            </w:r>
          </w:p>
        </w:tc>
        <w:tc>
          <w:tcPr>
            <w:tcW w:w="901" w:type="dxa"/>
          </w:tcPr>
          <w:p w:rsidR="006D1E39" w:rsidRDefault="006D1E39" w:rsidP="00A8350C">
            <w:pPr>
              <w:jc w:val="right"/>
              <w:rPr>
                <w:rFonts w:ascii="Cambria" w:hAnsi="Cambria"/>
                <w:sz w:val="24"/>
                <w:szCs w:val="24"/>
              </w:rPr>
            </w:pPr>
            <w:r>
              <w:rPr>
                <w:rFonts w:ascii="Cambria" w:hAnsi="Cambria"/>
                <w:sz w:val="24"/>
                <w:szCs w:val="24"/>
              </w:rPr>
              <w:t>0.04</w:t>
            </w:r>
          </w:p>
        </w:tc>
        <w:tc>
          <w:tcPr>
            <w:tcW w:w="1255" w:type="dxa"/>
          </w:tcPr>
          <w:p w:rsidR="006D1E39" w:rsidRDefault="006D1E39" w:rsidP="00A8350C">
            <w:pPr>
              <w:jc w:val="right"/>
              <w:rPr>
                <w:rFonts w:ascii="Cambria" w:hAnsi="Cambria"/>
                <w:sz w:val="24"/>
                <w:szCs w:val="24"/>
              </w:rPr>
            </w:pPr>
            <w:r>
              <w:rPr>
                <w:rFonts w:ascii="Cambria" w:hAnsi="Cambria"/>
                <w:sz w:val="24"/>
                <w:szCs w:val="24"/>
              </w:rPr>
              <w:t>74</w:t>
            </w:r>
          </w:p>
        </w:tc>
      </w:tr>
      <w:tr w:rsidR="006D1E39" w:rsidTr="00A8350C">
        <w:tc>
          <w:tcPr>
            <w:tcW w:w="1263" w:type="dxa"/>
          </w:tcPr>
          <w:p w:rsidR="006D1E39" w:rsidRDefault="006D1E39" w:rsidP="00A8350C">
            <w:pPr>
              <w:rPr>
                <w:rFonts w:ascii="Cambria" w:hAnsi="Cambria"/>
                <w:sz w:val="24"/>
                <w:szCs w:val="24"/>
              </w:rPr>
            </w:pPr>
            <w:r>
              <w:rPr>
                <w:rFonts w:ascii="Cambria" w:hAnsi="Cambria"/>
                <w:sz w:val="24"/>
                <w:szCs w:val="24"/>
              </w:rPr>
              <w:t>Loading</w:t>
            </w:r>
          </w:p>
        </w:tc>
        <w:tc>
          <w:tcPr>
            <w:tcW w:w="1059" w:type="dxa"/>
          </w:tcPr>
          <w:p w:rsidR="006D1E39" w:rsidRDefault="006D1E39" w:rsidP="00A8350C">
            <w:pPr>
              <w:jc w:val="right"/>
              <w:rPr>
                <w:rFonts w:ascii="Cambria" w:hAnsi="Cambria"/>
                <w:sz w:val="24"/>
                <w:szCs w:val="24"/>
              </w:rPr>
            </w:pPr>
            <w:r>
              <w:rPr>
                <w:rFonts w:ascii="Cambria" w:hAnsi="Cambria"/>
                <w:sz w:val="24"/>
                <w:szCs w:val="24"/>
              </w:rPr>
              <w:t>0.31</w:t>
            </w:r>
          </w:p>
        </w:tc>
        <w:tc>
          <w:tcPr>
            <w:tcW w:w="1055" w:type="dxa"/>
          </w:tcPr>
          <w:p w:rsidR="006D1E39" w:rsidRDefault="006D1E39" w:rsidP="00A8350C">
            <w:pPr>
              <w:jc w:val="right"/>
              <w:rPr>
                <w:rFonts w:ascii="Cambria" w:hAnsi="Cambria"/>
                <w:sz w:val="24"/>
                <w:szCs w:val="24"/>
              </w:rPr>
            </w:pPr>
            <w:r>
              <w:rPr>
                <w:rFonts w:ascii="Cambria" w:hAnsi="Cambria"/>
                <w:sz w:val="24"/>
                <w:szCs w:val="24"/>
              </w:rPr>
              <w:t>0.01</w:t>
            </w:r>
          </w:p>
        </w:tc>
        <w:tc>
          <w:tcPr>
            <w:tcW w:w="1087" w:type="dxa"/>
          </w:tcPr>
          <w:p w:rsidR="006D1E39" w:rsidRDefault="006D1E39" w:rsidP="00A8350C">
            <w:pPr>
              <w:jc w:val="right"/>
              <w:rPr>
                <w:rFonts w:ascii="Cambria" w:hAnsi="Cambria"/>
                <w:sz w:val="24"/>
                <w:szCs w:val="24"/>
              </w:rPr>
            </w:pPr>
            <w:r>
              <w:rPr>
                <w:rFonts w:ascii="Cambria" w:hAnsi="Cambria"/>
                <w:sz w:val="24"/>
                <w:szCs w:val="24"/>
              </w:rPr>
              <w:t>0.01</w:t>
            </w:r>
          </w:p>
        </w:tc>
        <w:tc>
          <w:tcPr>
            <w:tcW w:w="1258" w:type="dxa"/>
          </w:tcPr>
          <w:p w:rsidR="006D1E39" w:rsidRDefault="006D1E39" w:rsidP="00A8350C">
            <w:pPr>
              <w:jc w:val="right"/>
              <w:rPr>
                <w:rFonts w:ascii="Cambria" w:hAnsi="Cambria"/>
                <w:sz w:val="24"/>
                <w:szCs w:val="24"/>
              </w:rPr>
            </w:pPr>
            <w:r>
              <w:rPr>
                <w:rFonts w:ascii="Cambria" w:hAnsi="Cambria"/>
                <w:sz w:val="24"/>
                <w:szCs w:val="24"/>
              </w:rPr>
              <w:t>0</w:t>
            </w:r>
          </w:p>
        </w:tc>
        <w:tc>
          <w:tcPr>
            <w:tcW w:w="1472" w:type="dxa"/>
          </w:tcPr>
          <w:p w:rsidR="006D1E39" w:rsidRDefault="006D1E39" w:rsidP="00A8350C">
            <w:pPr>
              <w:jc w:val="right"/>
              <w:rPr>
                <w:rFonts w:ascii="Cambria" w:hAnsi="Cambria"/>
                <w:sz w:val="24"/>
                <w:szCs w:val="24"/>
              </w:rPr>
            </w:pPr>
            <w:r>
              <w:rPr>
                <w:rFonts w:ascii="Cambria" w:hAnsi="Cambria"/>
                <w:sz w:val="24"/>
                <w:szCs w:val="24"/>
              </w:rPr>
              <w:t>19</w:t>
            </w:r>
          </w:p>
        </w:tc>
        <w:tc>
          <w:tcPr>
            <w:tcW w:w="901" w:type="dxa"/>
          </w:tcPr>
          <w:p w:rsidR="006D1E39" w:rsidRDefault="006D1E39" w:rsidP="00A8350C">
            <w:pPr>
              <w:jc w:val="right"/>
              <w:rPr>
                <w:rFonts w:ascii="Cambria" w:hAnsi="Cambria"/>
                <w:sz w:val="24"/>
                <w:szCs w:val="24"/>
              </w:rPr>
            </w:pPr>
            <w:r>
              <w:rPr>
                <w:rFonts w:ascii="Cambria" w:hAnsi="Cambria"/>
                <w:sz w:val="24"/>
                <w:szCs w:val="24"/>
              </w:rPr>
              <w:t>0.03</w:t>
            </w:r>
          </w:p>
        </w:tc>
        <w:tc>
          <w:tcPr>
            <w:tcW w:w="1255" w:type="dxa"/>
          </w:tcPr>
          <w:p w:rsidR="006D1E39" w:rsidRDefault="006D1E39" w:rsidP="00A8350C">
            <w:pPr>
              <w:jc w:val="right"/>
              <w:rPr>
                <w:rFonts w:ascii="Cambria" w:hAnsi="Cambria"/>
                <w:sz w:val="24"/>
                <w:szCs w:val="24"/>
              </w:rPr>
            </w:pPr>
            <w:r>
              <w:rPr>
                <w:rFonts w:ascii="Cambria" w:hAnsi="Cambria"/>
                <w:sz w:val="24"/>
                <w:szCs w:val="24"/>
              </w:rPr>
              <w:t>19</w:t>
            </w:r>
          </w:p>
        </w:tc>
      </w:tr>
      <w:tr w:rsidR="006D1E39" w:rsidTr="00D25D21">
        <w:tc>
          <w:tcPr>
            <w:tcW w:w="1263" w:type="dxa"/>
            <w:tcBorders>
              <w:bottom w:val="single" w:sz="4" w:space="0" w:color="auto"/>
            </w:tcBorders>
          </w:tcPr>
          <w:p w:rsidR="006D1E39" w:rsidRDefault="006D1E39" w:rsidP="00A8350C">
            <w:pPr>
              <w:rPr>
                <w:rFonts w:ascii="Cambria" w:hAnsi="Cambria"/>
                <w:sz w:val="24"/>
                <w:szCs w:val="24"/>
              </w:rPr>
            </w:pPr>
            <w:r>
              <w:rPr>
                <w:rFonts w:ascii="Cambria" w:hAnsi="Cambria"/>
                <w:sz w:val="24"/>
                <w:szCs w:val="24"/>
              </w:rPr>
              <w:t>Chip Van Transport</w:t>
            </w:r>
          </w:p>
        </w:tc>
        <w:tc>
          <w:tcPr>
            <w:tcW w:w="1059"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0.91</w:t>
            </w:r>
          </w:p>
        </w:tc>
        <w:tc>
          <w:tcPr>
            <w:tcW w:w="1055"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0.02</w:t>
            </w:r>
          </w:p>
        </w:tc>
        <w:tc>
          <w:tcPr>
            <w:tcW w:w="1087"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0.03</w:t>
            </w:r>
          </w:p>
        </w:tc>
        <w:tc>
          <w:tcPr>
            <w:tcW w:w="1258"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2</w:t>
            </w:r>
          </w:p>
        </w:tc>
        <w:tc>
          <w:tcPr>
            <w:tcW w:w="1472"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118</w:t>
            </w:r>
          </w:p>
        </w:tc>
        <w:tc>
          <w:tcPr>
            <w:tcW w:w="901"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0.05</w:t>
            </w:r>
          </w:p>
        </w:tc>
        <w:tc>
          <w:tcPr>
            <w:tcW w:w="1255"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119</w:t>
            </w:r>
          </w:p>
        </w:tc>
      </w:tr>
      <w:tr w:rsidR="006D1E39" w:rsidTr="00D25D21">
        <w:tc>
          <w:tcPr>
            <w:tcW w:w="1263" w:type="dxa"/>
            <w:tcBorders>
              <w:bottom w:val="single" w:sz="12" w:space="0" w:color="auto"/>
            </w:tcBorders>
          </w:tcPr>
          <w:p w:rsidR="006D1E39" w:rsidRPr="00A8474C" w:rsidRDefault="006D1E39" w:rsidP="00A8350C">
            <w:pPr>
              <w:rPr>
                <w:rFonts w:ascii="Cambria" w:hAnsi="Cambria"/>
                <w:b/>
                <w:sz w:val="24"/>
                <w:szCs w:val="24"/>
              </w:rPr>
            </w:pPr>
            <w:r>
              <w:rPr>
                <w:rFonts w:ascii="Cambria" w:hAnsi="Cambria"/>
                <w:b/>
                <w:sz w:val="24"/>
                <w:szCs w:val="24"/>
              </w:rPr>
              <w:t>Total</w:t>
            </w:r>
          </w:p>
        </w:tc>
        <w:tc>
          <w:tcPr>
            <w:tcW w:w="1059"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8.23</w:t>
            </w:r>
          </w:p>
        </w:tc>
        <w:tc>
          <w:tcPr>
            <w:tcW w:w="1055"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1.53</w:t>
            </w:r>
          </w:p>
        </w:tc>
        <w:tc>
          <w:tcPr>
            <w:tcW w:w="1087"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0.28</w:t>
            </w:r>
          </w:p>
        </w:tc>
        <w:tc>
          <w:tcPr>
            <w:tcW w:w="1258"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12</w:t>
            </w:r>
          </w:p>
        </w:tc>
        <w:tc>
          <w:tcPr>
            <w:tcW w:w="1472"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11,388</w:t>
            </w:r>
          </w:p>
        </w:tc>
        <w:tc>
          <w:tcPr>
            <w:tcW w:w="901"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0.70</w:t>
            </w:r>
          </w:p>
        </w:tc>
        <w:tc>
          <w:tcPr>
            <w:tcW w:w="1255"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11,402</w:t>
            </w:r>
          </w:p>
        </w:tc>
      </w:tr>
      <w:tr w:rsidR="006D1E39" w:rsidTr="00E43AD8">
        <w:tc>
          <w:tcPr>
            <w:tcW w:w="1263" w:type="dxa"/>
            <w:tcBorders>
              <w:top w:val="single" w:sz="12" w:space="0" w:color="auto"/>
              <w:bottom w:val="single" w:sz="4" w:space="0" w:color="auto"/>
            </w:tcBorders>
          </w:tcPr>
          <w:p w:rsidR="006D1E39" w:rsidRDefault="006D1E39" w:rsidP="00A8350C">
            <w:pPr>
              <w:rPr>
                <w:rFonts w:ascii="Cambria" w:hAnsi="Cambria"/>
                <w:sz w:val="24"/>
                <w:szCs w:val="24"/>
              </w:rPr>
            </w:pPr>
          </w:p>
        </w:tc>
        <w:tc>
          <w:tcPr>
            <w:tcW w:w="1059" w:type="dxa"/>
            <w:tcBorders>
              <w:top w:val="single" w:sz="12" w:space="0" w:color="auto"/>
              <w:bottom w:val="single" w:sz="4" w:space="0" w:color="auto"/>
            </w:tcBorders>
          </w:tcPr>
          <w:p w:rsidR="006D1E39" w:rsidRDefault="006D1E39" w:rsidP="00A8350C">
            <w:pPr>
              <w:jc w:val="right"/>
              <w:rPr>
                <w:rFonts w:ascii="Cambria" w:hAnsi="Cambria"/>
                <w:sz w:val="24"/>
                <w:szCs w:val="24"/>
              </w:rPr>
            </w:pPr>
          </w:p>
        </w:tc>
        <w:tc>
          <w:tcPr>
            <w:tcW w:w="1055" w:type="dxa"/>
            <w:tcBorders>
              <w:top w:val="single" w:sz="12" w:space="0" w:color="auto"/>
              <w:bottom w:val="single" w:sz="4" w:space="0" w:color="auto"/>
            </w:tcBorders>
          </w:tcPr>
          <w:p w:rsidR="006D1E39" w:rsidRDefault="006D1E39" w:rsidP="00A8350C">
            <w:pPr>
              <w:jc w:val="right"/>
              <w:rPr>
                <w:rFonts w:ascii="Cambria" w:hAnsi="Cambria"/>
                <w:sz w:val="24"/>
                <w:szCs w:val="24"/>
              </w:rPr>
            </w:pPr>
          </w:p>
        </w:tc>
        <w:tc>
          <w:tcPr>
            <w:tcW w:w="1087" w:type="dxa"/>
            <w:tcBorders>
              <w:top w:val="single" w:sz="12" w:space="0" w:color="auto"/>
              <w:bottom w:val="single" w:sz="4" w:space="0" w:color="auto"/>
            </w:tcBorders>
          </w:tcPr>
          <w:p w:rsidR="006D1E39" w:rsidRDefault="006D1E39" w:rsidP="00A8350C">
            <w:pPr>
              <w:jc w:val="right"/>
              <w:rPr>
                <w:rFonts w:ascii="Cambria" w:hAnsi="Cambria"/>
                <w:sz w:val="24"/>
                <w:szCs w:val="24"/>
              </w:rPr>
            </w:pPr>
          </w:p>
        </w:tc>
        <w:tc>
          <w:tcPr>
            <w:tcW w:w="1258" w:type="dxa"/>
            <w:tcBorders>
              <w:top w:val="single" w:sz="12" w:space="0" w:color="auto"/>
              <w:bottom w:val="single" w:sz="4" w:space="0" w:color="auto"/>
            </w:tcBorders>
          </w:tcPr>
          <w:p w:rsidR="006D1E39" w:rsidRDefault="006D1E39" w:rsidP="00A8350C">
            <w:pPr>
              <w:jc w:val="right"/>
              <w:rPr>
                <w:rFonts w:ascii="Cambria" w:hAnsi="Cambria"/>
                <w:sz w:val="24"/>
                <w:szCs w:val="24"/>
              </w:rPr>
            </w:pPr>
          </w:p>
        </w:tc>
        <w:tc>
          <w:tcPr>
            <w:tcW w:w="1472" w:type="dxa"/>
            <w:tcBorders>
              <w:top w:val="single" w:sz="12" w:space="0" w:color="auto"/>
              <w:bottom w:val="single" w:sz="4" w:space="0" w:color="auto"/>
            </w:tcBorders>
          </w:tcPr>
          <w:p w:rsidR="006D1E39" w:rsidRDefault="006D1E39" w:rsidP="00A8350C">
            <w:pPr>
              <w:jc w:val="right"/>
              <w:rPr>
                <w:rFonts w:ascii="Cambria" w:hAnsi="Cambria"/>
                <w:sz w:val="24"/>
                <w:szCs w:val="24"/>
              </w:rPr>
            </w:pPr>
          </w:p>
        </w:tc>
        <w:tc>
          <w:tcPr>
            <w:tcW w:w="901" w:type="dxa"/>
            <w:tcBorders>
              <w:top w:val="single" w:sz="12" w:space="0" w:color="auto"/>
              <w:bottom w:val="single" w:sz="4" w:space="0" w:color="auto"/>
            </w:tcBorders>
          </w:tcPr>
          <w:p w:rsidR="006D1E39" w:rsidRDefault="006D1E39" w:rsidP="00A8350C">
            <w:pPr>
              <w:jc w:val="right"/>
              <w:rPr>
                <w:rFonts w:ascii="Cambria" w:hAnsi="Cambria"/>
                <w:sz w:val="24"/>
                <w:szCs w:val="24"/>
              </w:rPr>
            </w:pPr>
          </w:p>
        </w:tc>
        <w:tc>
          <w:tcPr>
            <w:tcW w:w="1255" w:type="dxa"/>
            <w:tcBorders>
              <w:top w:val="single" w:sz="12" w:space="0" w:color="auto"/>
              <w:bottom w:val="single" w:sz="4" w:space="0" w:color="auto"/>
            </w:tcBorders>
          </w:tcPr>
          <w:p w:rsidR="006D1E39" w:rsidRDefault="006D1E39" w:rsidP="00A8350C">
            <w:pPr>
              <w:jc w:val="right"/>
              <w:rPr>
                <w:rFonts w:ascii="Cambria" w:hAnsi="Cambria"/>
                <w:sz w:val="24"/>
                <w:szCs w:val="24"/>
              </w:rPr>
            </w:pPr>
          </w:p>
        </w:tc>
      </w:tr>
      <w:tr w:rsidR="006D1E39" w:rsidTr="00E43AD8">
        <w:tc>
          <w:tcPr>
            <w:tcW w:w="1263" w:type="dxa"/>
            <w:tcBorders>
              <w:bottom w:val="single" w:sz="12" w:space="0" w:color="auto"/>
            </w:tcBorders>
          </w:tcPr>
          <w:p w:rsidR="006D1E39" w:rsidRPr="00D25D21" w:rsidRDefault="006D1E39" w:rsidP="00A8350C">
            <w:pPr>
              <w:rPr>
                <w:rFonts w:ascii="Cambria" w:hAnsi="Cambria"/>
                <w:b/>
                <w:sz w:val="24"/>
                <w:szCs w:val="24"/>
              </w:rPr>
            </w:pPr>
            <w:r w:rsidRPr="00D25D21">
              <w:rPr>
                <w:rFonts w:ascii="Cambria" w:hAnsi="Cambria"/>
                <w:b/>
                <w:sz w:val="24"/>
                <w:szCs w:val="24"/>
              </w:rPr>
              <w:t>Emissions Reduction</w:t>
            </w:r>
          </w:p>
        </w:tc>
        <w:tc>
          <w:tcPr>
            <w:tcW w:w="1059"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9.62</w:t>
            </w:r>
          </w:p>
        </w:tc>
        <w:tc>
          <w:tcPr>
            <w:tcW w:w="1055"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36.39</w:t>
            </w:r>
          </w:p>
        </w:tc>
        <w:tc>
          <w:tcPr>
            <w:tcW w:w="1087"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28.74</w:t>
            </w:r>
          </w:p>
        </w:tc>
        <w:tc>
          <w:tcPr>
            <w:tcW w:w="1258"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350</w:t>
            </w:r>
          </w:p>
        </w:tc>
        <w:tc>
          <w:tcPr>
            <w:tcW w:w="1472"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1,965</w:t>
            </w:r>
          </w:p>
        </w:tc>
        <w:tc>
          <w:tcPr>
            <w:tcW w:w="901"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16.7</w:t>
            </w:r>
          </w:p>
        </w:tc>
        <w:tc>
          <w:tcPr>
            <w:tcW w:w="1255"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2,315</w:t>
            </w:r>
          </w:p>
        </w:tc>
      </w:tr>
      <w:tr w:rsidR="006D1E39" w:rsidTr="00E43AD8">
        <w:tc>
          <w:tcPr>
            <w:tcW w:w="1263" w:type="dxa"/>
            <w:tcBorders>
              <w:top w:val="single" w:sz="12" w:space="0" w:color="auto"/>
              <w:bottom w:val="single" w:sz="12" w:space="0" w:color="auto"/>
            </w:tcBorders>
          </w:tcPr>
          <w:p w:rsidR="006D1E39" w:rsidRPr="00D25D21" w:rsidRDefault="006D1E39" w:rsidP="00A8350C">
            <w:pPr>
              <w:rPr>
                <w:rFonts w:ascii="Cambria" w:hAnsi="Cambria"/>
                <w:b/>
                <w:sz w:val="24"/>
                <w:szCs w:val="24"/>
              </w:rPr>
            </w:pPr>
            <w:r w:rsidRPr="00D25D21">
              <w:rPr>
                <w:rFonts w:ascii="Cambria" w:hAnsi="Cambria"/>
                <w:b/>
                <w:sz w:val="24"/>
                <w:szCs w:val="24"/>
              </w:rPr>
              <w:t>% Reduction</w:t>
            </w:r>
          </w:p>
        </w:tc>
        <w:tc>
          <w:tcPr>
            <w:tcW w:w="1059" w:type="dxa"/>
            <w:tcBorders>
              <w:top w:val="single" w:sz="12" w:space="0" w:color="auto"/>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54%</w:t>
            </w:r>
          </w:p>
        </w:tc>
        <w:tc>
          <w:tcPr>
            <w:tcW w:w="1055" w:type="dxa"/>
            <w:tcBorders>
              <w:top w:val="single" w:sz="12" w:space="0" w:color="auto"/>
              <w:bottom w:val="single" w:sz="12" w:space="0" w:color="auto"/>
            </w:tcBorders>
          </w:tcPr>
          <w:p w:rsidR="006D1E39" w:rsidRPr="00D25D21" w:rsidRDefault="006D1E39" w:rsidP="00A8350C">
            <w:pPr>
              <w:jc w:val="right"/>
              <w:rPr>
                <w:rFonts w:ascii="Cambria" w:hAnsi="Cambria"/>
                <w:b/>
                <w:sz w:val="24"/>
                <w:szCs w:val="24"/>
              </w:rPr>
            </w:pPr>
            <w:r w:rsidRPr="00D25D21">
              <w:rPr>
                <w:rFonts w:ascii="Cambria" w:hAnsi="Cambria"/>
                <w:b/>
                <w:sz w:val="24"/>
                <w:szCs w:val="24"/>
              </w:rPr>
              <w:t>96%</w:t>
            </w:r>
          </w:p>
        </w:tc>
        <w:tc>
          <w:tcPr>
            <w:tcW w:w="1087" w:type="dxa"/>
            <w:tcBorders>
              <w:top w:val="single" w:sz="12" w:space="0" w:color="auto"/>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99%</w:t>
            </w:r>
          </w:p>
        </w:tc>
        <w:tc>
          <w:tcPr>
            <w:tcW w:w="1258" w:type="dxa"/>
            <w:tcBorders>
              <w:top w:val="single" w:sz="12" w:space="0" w:color="auto"/>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97%</w:t>
            </w:r>
          </w:p>
        </w:tc>
        <w:tc>
          <w:tcPr>
            <w:tcW w:w="1472" w:type="dxa"/>
            <w:tcBorders>
              <w:top w:val="single" w:sz="12" w:space="0" w:color="auto"/>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15%</w:t>
            </w:r>
          </w:p>
        </w:tc>
        <w:tc>
          <w:tcPr>
            <w:tcW w:w="901" w:type="dxa"/>
            <w:tcBorders>
              <w:top w:val="single" w:sz="12" w:space="0" w:color="auto"/>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96%</w:t>
            </w:r>
          </w:p>
        </w:tc>
        <w:tc>
          <w:tcPr>
            <w:tcW w:w="1255" w:type="dxa"/>
            <w:tcBorders>
              <w:top w:val="single" w:sz="12" w:space="0" w:color="auto"/>
              <w:bottom w:val="single" w:sz="12" w:space="0" w:color="auto"/>
            </w:tcBorders>
          </w:tcPr>
          <w:p w:rsidR="006D1E39" w:rsidRPr="00D25D21" w:rsidRDefault="006D1E39" w:rsidP="00A8350C">
            <w:pPr>
              <w:jc w:val="right"/>
              <w:rPr>
                <w:rFonts w:ascii="Cambria" w:hAnsi="Cambria"/>
                <w:b/>
                <w:sz w:val="24"/>
                <w:szCs w:val="24"/>
              </w:rPr>
            </w:pPr>
            <w:r w:rsidRPr="00D25D21">
              <w:rPr>
                <w:rFonts w:ascii="Cambria" w:hAnsi="Cambria"/>
                <w:b/>
                <w:sz w:val="24"/>
                <w:szCs w:val="24"/>
              </w:rPr>
              <w:t>17%</w:t>
            </w:r>
          </w:p>
        </w:tc>
      </w:tr>
    </w:tbl>
    <w:p w:rsidR="006D1E39" w:rsidRDefault="006D1E39" w:rsidP="006D1E39">
      <w:pPr>
        <w:rPr>
          <w:rFonts w:ascii="Cambria" w:hAnsi="Cambria"/>
          <w:sz w:val="24"/>
          <w:szCs w:val="24"/>
        </w:rPr>
      </w:pPr>
    </w:p>
    <w:p w:rsidR="006D1E39" w:rsidRDefault="006D1E39" w:rsidP="006D1E39">
      <w:pPr>
        <w:rPr>
          <w:rFonts w:ascii="Cambria" w:hAnsi="Cambria"/>
          <w:sz w:val="24"/>
          <w:szCs w:val="24"/>
        </w:rPr>
      </w:pPr>
      <w:r>
        <w:rPr>
          <w:rFonts w:ascii="Cambria" w:hAnsi="Cambria"/>
          <w:sz w:val="24"/>
          <w:szCs w:val="24"/>
        </w:rPr>
        <w:t>The Springsteen publication used a factor of 21 for how potent Methane (CH4) is compared to CO2.  The transport distance in a chip van was 60 miles one-way.</w:t>
      </w:r>
    </w:p>
    <w:p w:rsidR="006D1E39" w:rsidRDefault="006D1E39" w:rsidP="006D1E39">
      <w:pPr>
        <w:rPr>
          <w:rFonts w:ascii="Cambria" w:hAnsi="Cambria"/>
          <w:sz w:val="24"/>
          <w:szCs w:val="24"/>
        </w:rPr>
      </w:pPr>
      <w:r>
        <w:rPr>
          <w:rFonts w:ascii="Cambria" w:hAnsi="Cambria"/>
          <w:sz w:val="24"/>
          <w:szCs w:val="24"/>
        </w:rPr>
        <w:t>NOx = Nitrous Oxide; PM = Particulate Matter; NMOC = Non-Methane Volatile Organic Compounds; CO= Carbon Monoxide; CO2 = Carbon Dioxide; CO2e = Carbon Dioxide Equivalent</w:t>
      </w:r>
    </w:p>
    <w:p w:rsidR="006D1E39" w:rsidRDefault="006D1E39" w:rsidP="006D1E39">
      <w:pPr>
        <w:rPr>
          <w:rFonts w:ascii="Cambria" w:hAnsi="Cambria"/>
          <w:sz w:val="24"/>
          <w:szCs w:val="24"/>
        </w:rPr>
      </w:pPr>
      <w:r>
        <w:rPr>
          <w:rFonts w:ascii="Cambria" w:hAnsi="Cambria"/>
          <w:sz w:val="24"/>
          <w:szCs w:val="24"/>
        </w:rPr>
        <w:t>For the existing 600 MW operating powerplant industry, consuming 4.8 million bone dry tons (BDT)/year:</w:t>
      </w:r>
    </w:p>
    <w:p w:rsidR="006D1E39" w:rsidRDefault="00316B87" w:rsidP="006D1E39">
      <w:pPr>
        <w:rPr>
          <w:rFonts w:ascii="Cambria" w:hAnsi="Cambria"/>
          <w:sz w:val="24"/>
          <w:szCs w:val="24"/>
        </w:rPr>
      </w:pPr>
      <w:r>
        <w:rPr>
          <w:rFonts w:ascii="Cambria" w:hAnsi="Cambria"/>
          <w:sz w:val="24"/>
          <w:szCs w:val="24"/>
        </w:rPr>
        <w:lastRenderedPageBreak/>
        <w:t>16.7</w:t>
      </w:r>
      <w:r w:rsidR="00F11090">
        <w:rPr>
          <w:rFonts w:ascii="Cambria" w:hAnsi="Cambria"/>
          <w:sz w:val="24"/>
          <w:szCs w:val="24"/>
        </w:rPr>
        <w:t xml:space="preserve"> tons CO2e</w:t>
      </w:r>
      <w:r>
        <w:rPr>
          <w:rFonts w:ascii="Cambria" w:hAnsi="Cambria"/>
          <w:sz w:val="24"/>
          <w:szCs w:val="24"/>
        </w:rPr>
        <w:t>/6,096 BDT</w:t>
      </w:r>
      <w:r w:rsidR="006D1E39">
        <w:rPr>
          <w:rFonts w:ascii="Cambria" w:hAnsi="Cambria"/>
          <w:sz w:val="24"/>
          <w:szCs w:val="24"/>
        </w:rPr>
        <w:t xml:space="preserve"> X 4.8 million BDT = 1.8 million tons </w:t>
      </w:r>
      <w:r w:rsidR="00F11090">
        <w:rPr>
          <w:rFonts w:ascii="Cambria" w:hAnsi="Cambria"/>
          <w:sz w:val="24"/>
          <w:szCs w:val="24"/>
        </w:rPr>
        <w:t xml:space="preserve">CO2e </w:t>
      </w:r>
      <w:r w:rsidR="006D1E39">
        <w:rPr>
          <w:rFonts w:ascii="Cambria" w:hAnsi="Cambria"/>
          <w:sz w:val="24"/>
          <w:szCs w:val="24"/>
        </w:rPr>
        <w:t>reduction X $11/ton on offset cap-and-trade market = $19.8 million</w:t>
      </w:r>
    </w:p>
    <w:p w:rsidR="006D1E39" w:rsidRDefault="006D1E39" w:rsidP="006D1E39">
      <w:pPr>
        <w:rPr>
          <w:rFonts w:ascii="Cambria" w:hAnsi="Cambria"/>
          <w:sz w:val="24"/>
          <w:szCs w:val="24"/>
        </w:rPr>
      </w:pPr>
      <w:r>
        <w:rPr>
          <w:rFonts w:ascii="Cambria" w:hAnsi="Cambria"/>
          <w:sz w:val="24"/>
          <w:szCs w:val="24"/>
        </w:rPr>
        <w:t>36.39 tons of particulate matter reduction/6,096 BDT X 4.8 million BDT = 28,654 tons reduction X $2,500/ton =$71.6 million</w:t>
      </w:r>
      <w:r w:rsidR="00A8350C">
        <w:rPr>
          <w:rFonts w:ascii="Cambria" w:hAnsi="Cambria"/>
          <w:sz w:val="24"/>
          <w:szCs w:val="24"/>
        </w:rPr>
        <w:t>.  Note the $2,500/ton figure comes from Morris, 1999.  The Carl Moyer Program today values PM2.5 at up to $16,000/ton.</w:t>
      </w:r>
    </w:p>
    <w:p w:rsidR="006D1E39" w:rsidRDefault="006D1E39" w:rsidP="006D1E39">
      <w:pPr>
        <w:rPr>
          <w:rFonts w:ascii="Cambria" w:hAnsi="Cambria"/>
          <w:sz w:val="24"/>
          <w:szCs w:val="24"/>
        </w:rPr>
      </w:pPr>
    </w:p>
    <w:p w:rsidR="00F61BDB" w:rsidRPr="006D1E39" w:rsidRDefault="00F61BDB" w:rsidP="006D1E39">
      <w:pPr>
        <w:rPr>
          <w:rFonts w:ascii="Cambria" w:hAnsi="Cambria"/>
          <w:sz w:val="24"/>
          <w:szCs w:val="24"/>
        </w:rPr>
      </w:pPr>
      <w:r w:rsidRPr="00C218CF">
        <w:rPr>
          <w:rFonts w:ascii="Cambria" w:hAnsi="Cambria"/>
          <w:b/>
          <w:sz w:val="24"/>
          <w:szCs w:val="24"/>
        </w:rPr>
        <w:t>Summary:</w:t>
      </w:r>
    </w:p>
    <w:p w:rsidR="00C218CF" w:rsidRPr="00C218CF" w:rsidRDefault="00C218CF" w:rsidP="00C218CF">
      <w:pPr>
        <w:autoSpaceDE w:val="0"/>
        <w:autoSpaceDN w:val="0"/>
        <w:adjustRightInd w:val="0"/>
        <w:spacing w:after="0" w:line="240" w:lineRule="auto"/>
        <w:rPr>
          <w:rFonts w:ascii="Cambria" w:hAnsi="Cambria"/>
          <w:sz w:val="24"/>
          <w:szCs w:val="24"/>
        </w:rPr>
      </w:pPr>
    </w:p>
    <w:p w:rsidR="00F61BDB" w:rsidRDefault="00F61BDB" w:rsidP="00F61BDB">
      <w:pPr>
        <w:pStyle w:val="ListParagraph"/>
        <w:numPr>
          <w:ilvl w:val="0"/>
          <w:numId w:val="23"/>
        </w:numPr>
        <w:autoSpaceDE w:val="0"/>
        <w:autoSpaceDN w:val="0"/>
        <w:adjustRightInd w:val="0"/>
        <w:spacing w:after="0" w:line="240" w:lineRule="auto"/>
        <w:rPr>
          <w:rFonts w:ascii="Cambria" w:hAnsi="Cambria"/>
          <w:sz w:val="24"/>
          <w:szCs w:val="24"/>
        </w:rPr>
      </w:pPr>
      <w:r>
        <w:rPr>
          <w:rFonts w:ascii="Cambria" w:hAnsi="Cambria"/>
          <w:sz w:val="24"/>
          <w:szCs w:val="24"/>
        </w:rPr>
        <w:t xml:space="preserve">Utilizing woody residues (agriculture, forest, and urban) to generate heat and power </w:t>
      </w:r>
      <w:r w:rsidR="00C218CF">
        <w:rPr>
          <w:rFonts w:ascii="Cambria" w:hAnsi="Cambria"/>
          <w:sz w:val="24"/>
          <w:szCs w:val="24"/>
        </w:rPr>
        <w:t xml:space="preserve">compared to open burning or above ground decomposition </w:t>
      </w:r>
      <w:r>
        <w:rPr>
          <w:rFonts w:ascii="Cambria" w:hAnsi="Cambria"/>
          <w:sz w:val="24"/>
          <w:szCs w:val="24"/>
        </w:rPr>
        <w:t>has over 11 cents/kW of uncompensated ancillary benefits.</w:t>
      </w:r>
    </w:p>
    <w:p w:rsidR="00F61BDB" w:rsidRDefault="00F61BDB" w:rsidP="00F61BDB">
      <w:pPr>
        <w:pStyle w:val="ListParagraph"/>
        <w:numPr>
          <w:ilvl w:val="0"/>
          <w:numId w:val="23"/>
        </w:numPr>
        <w:autoSpaceDE w:val="0"/>
        <w:autoSpaceDN w:val="0"/>
        <w:adjustRightInd w:val="0"/>
        <w:spacing w:after="0" w:line="240" w:lineRule="auto"/>
        <w:rPr>
          <w:rFonts w:ascii="Cambria" w:hAnsi="Cambria"/>
          <w:sz w:val="24"/>
          <w:szCs w:val="24"/>
        </w:rPr>
      </w:pPr>
      <w:r>
        <w:rPr>
          <w:rFonts w:ascii="Cambria" w:hAnsi="Cambria"/>
          <w:sz w:val="24"/>
          <w:szCs w:val="24"/>
        </w:rPr>
        <w:t>Considering biogenic boiler emissions no different than fossil emissions  will lead to increasing rather than decreasing emissions</w:t>
      </w:r>
    </w:p>
    <w:p w:rsidR="00F61BDB" w:rsidRDefault="00F61BDB" w:rsidP="00F61BDB">
      <w:pPr>
        <w:pStyle w:val="ListParagraph"/>
        <w:numPr>
          <w:ilvl w:val="0"/>
          <w:numId w:val="23"/>
        </w:numPr>
        <w:autoSpaceDE w:val="0"/>
        <w:autoSpaceDN w:val="0"/>
        <w:adjustRightInd w:val="0"/>
        <w:spacing w:after="0" w:line="240" w:lineRule="auto"/>
        <w:rPr>
          <w:rFonts w:ascii="Cambria" w:hAnsi="Cambria"/>
          <w:sz w:val="24"/>
          <w:szCs w:val="24"/>
        </w:rPr>
      </w:pPr>
      <w:r>
        <w:rPr>
          <w:rFonts w:ascii="Cambria" w:hAnsi="Cambria"/>
          <w:sz w:val="24"/>
          <w:szCs w:val="24"/>
        </w:rPr>
        <w:t>Incentivizing reduced forest harvest levels will lead to greater use of fossil fuels and increased emissions than can be offset by forest carbon stores</w:t>
      </w:r>
    </w:p>
    <w:p w:rsidR="00031E30" w:rsidRDefault="00031E30" w:rsidP="00F61BDB">
      <w:pPr>
        <w:pStyle w:val="ListParagraph"/>
        <w:numPr>
          <w:ilvl w:val="0"/>
          <w:numId w:val="23"/>
        </w:numPr>
        <w:autoSpaceDE w:val="0"/>
        <w:autoSpaceDN w:val="0"/>
        <w:adjustRightInd w:val="0"/>
        <w:spacing w:after="0" w:line="240" w:lineRule="auto"/>
        <w:rPr>
          <w:rFonts w:ascii="Cambria" w:hAnsi="Cambria"/>
          <w:sz w:val="24"/>
          <w:szCs w:val="24"/>
        </w:rPr>
      </w:pPr>
      <w:r>
        <w:rPr>
          <w:rFonts w:ascii="Cambria" w:hAnsi="Cambria"/>
          <w:sz w:val="24"/>
          <w:szCs w:val="24"/>
        </w:rPr>
        <w:t>National Forests that were thinned and maintained closer to historic tree densities could produce as much as a 16% increase in water yield or over 2 million acre-feet annually from the Sierra Nevada Mountains</w:t>
      </w:r>
    </w:p>
    <w:p w:rsidR="00C218CF" w:rsidRDefault="00EC32EA" w:rsidP="00F61BDB">
      <w:pPr>
        <w:pStyle w:val="ListParagraph"/>
        <w:numPr>
          <w:ilvl w:val="0"/>
          <w:numId w:val="23"/>
        </w:numPr>
        <w:autoSpaceDE w:val="0"/>
        <w:autoSpaceDN w:val="0"/>
        <w:adjustRightInd w:val="0"/>
        <w:spacing w:after="0" w:line="240" w:lineRule="auto"/>
        <w:rPr>
          <w:rFonts w:ascii="Cambria" w:hAnsi="Cambria"/>
          <w:sz w:val="24"/>
          <w:szCs w:val="24"/>
        </w:rPr>
      </w:pPr>
      <w:r>
        <w:rPr>
          <w:rFonts w:ascii="Cambria" w:hAnsi="Cambria"/>
          <w:sz w:val="24"/>
          <w:szCs w:val="24"/>
        </w:rPr>
        <w:t>The</w:t>
      </w:r>
      <w:r w:rsidR="00C218CF">
        <w:rPr>
          <w:rFonts w:ascii="Cambria" w:hAnsi="Cambria"/>
          <w:sz w:val="24"/>
          <w:szCs w:val="24"/>
        </w:rPr>
        <w:t xml:space="preserve"> reduced criteria</w:t>
      </w:r>
      <w:r w:rsidR="006D1E39">
        <w:rPr>
          <w:rFonts w:ascii="Cambria" w:hAnsi="Cambria"/>
          <w:sz w:val="24"/>
          <w:szCs w:val="24"/>
        </w:rPr>
        <w:t xml:space="preserve"> pollutants with the current 600</w:t>
      </w:r>
      <w:r w:rsidR="00C218CF">
        <w:rPr>
          <w:rFonts w:ascii="Cambria" w:hAnsi="Cambria"/>
          <w:sz w:val="24"/>
          <w:szCs w:val="24"/>
        </w:rPr>
        <w:t xml:space="preserve"> MW operating capacity of the Biomass P</w:t>
      </w:r>
      <w:r>
        <w:rPr>
          <w:rFonts w:ascii="Cambria" w:hAnsi="Cambria"/>
          <w:sz w:val="24"/>
          <w:szCs w:val="24"/>
        </w:rPr>
        <w:t xml:space="preserve">owerplant industry </w:t>
      </w:r>
      <w:r w:rsidR="00D25D21">
        <w:rPr>
          <w:rFonts w:ascii="Cambria" w:hAnsi="Cambria"/>
          <w:sz w:val="24"/>
          <w:szCs w:val="24"/>
        </w:rPr>
        <w:t xml:space="preserve">compared to open pile burning </w:t>
      </w:r>
      <w:r>
        <w:rPr>
          <w:rFonts w:ascii="Cambria" w:hAnsi="Cambria"/>
          <w:sz w:val="24"/>
          <w:szCs w:val="24"/>
        </w:rPr>
        <w:t xml:space="preserve">is about </w:t>
      </w:r>
      <w:r w:rsidR="00F83118">
        <w:rPr>
          <w:rFonts w:ascii="Cambria" w:hAnsi="Cambria"/>
          <w:sz w:val="24"/>
          <w:szCs w:val="24"/>
        </w:rPr>
        <w:t>17% (</w:t>
      </w:r>
      <w:r>
        <w:rPr>
          <w:rFonts w:ascii="Cambria" w:hAnsi="Cambria"/>
          <w:sz w:val="24"/>
          <w:szCs w:val="24"/>
        </w:rPr>
        <w:t>1.8</w:t>
      </w:r>
      <w:r w:rsidR="00C218CF">
        <w:rPr>
          <w:rFonts w:ascii="Cambria" w:hAnsi="Cambria"/>
          <w:sz w:val="24"/>
          <w:szCs w:val="24"/>
        </w:rPr>
        <w:t xml:space="preserve"> million</w:t>
      </w:r>
      <w:r>
        <w:rPr>
          <w:rFonts w:ascii="Cambria" w:hAnsi="Cambria"/>
          <w:sz w:val="24"/>
          <w:szCs w:val="24"/>
        </w:rPr>
        <w:t xml:space="preserve"> tons of CO2e</w:t>
      </w:r>
      <w:r w:rsidR="00F83118">
        <w:rPr>
          <w:rFonts w:ascii="Cambria" w:hAnsi="Cambria"/>
          <w:sz w:val="24"/>
          <w:szCs w:val="24"/>
        </w:rPr>
        <w:t>)</w:t>
      </w:r>
      <w:r>
        <w:rPr>
          <w:rFonts w:ascii="Cambria" w:hAnsi="Cambria"/>
          <w:sz w:val="24"/>
          <w:szCs w:val="24"/>
        </w:rPr>
        <w:t xml:space="preserve"> and </w:t>
      </w:r>
      <w:r w:rsidR="00D25D21">
        <w:rPr>
          <w:rFonts w:ascii="Cambria" w:hAnsi="Cambria"/>
          <w:sz w:val="24"/>
          <w:szCs w:val="24"/>
        </w:rPr>
        <w:t>96</w:t>
      </w:r>
      <w:r w:rsidR="00F83118">
        <w:rPr>
          <w:rFonts w:ascii="Cambria" w:hAnsi="Cambria"/>
          <w:sz w:val="24"/>
          <w:szCs w:val="24"/>
        </w:rPr>
        <w:t>% (28,000 tons) for</w:t>
      </w:r>
      <w:r>
        <w:rPr>
          <w:rFonts w:ascii="Cambria" w:hAnsi="Cambria"/>
          <w:sz w:val="24"/>
          <w:szCs w:val="24"/>
        </w:rPr>
        <w:t xml:space="preserve"> particulate matter.  I</w:t>
      </w:r>
      <w:r w:rsidR="00C218CF">
        <w:rPr>
          <w:rFonts w:ascii="Cambria" w:hAnsi="Cambria"/>
          <w:sz w:val="24"/>
          <w:szCs w:val="24"/>
        </w:rPr>
        <w:t>f the 2012 Bioenergy Action Plan were fully implemented increasing the operating capacity to 1,200 MW, the value</w:t>
      </w:r>
      <w:r>
        <w:rPr>
          <w:rFonts w:ascii="Cambria" w:hAnsi="Cambria"/>
          <w:sz w:val="24"/>
          <w:szCs w:val="24"/>
        </w:rPr>
        <w:t>s</w:t>
      </w:r>
      <w:r w:rsidR="00C218CF">
        <w:rPr>
          <w:rFonts w:ascii="Cambria" w:hAnsi="Cambria"/>
          <w:sz w:val="24"/>
          <w:szCs w:val="24"/>
        </w:rPr>
        <w:t xml:space="preserve"> of reduced criteria pollutants </w:t>
      </w:r>
      <w:r>
        <w:rPr>
          <w:rFonts w:ascii="Cambria" w:hAnsi="Cambria"/>
          <w:sz w:val="24"/>
          <w:szCs w:val="24"/>
        </w:rPr>
        <w:t>would double.</w:t>
      </w:r>
    </w:p>
    <w:p w:rsidR="00AA3DA5" w:rsidRPr="00F61BDB" w:rsidRDefault="00AA3DA5" w:rsidP="00F61BDB">
      <w:pPr>
        <w:pStyle w:val="ListParagraph"/>
        <w:numPr>
          <w:ilvl w:val="0"/>
          <w:numId w:val="23"/>
        </w:numPr>
        <w:autoSpaceDE w:val="0"/>
        <w:autoSpaceDN w:val="0"/>
        <w:adjustRightInd w:val="0"/>
        <w:spacing w:after="0" w:line="240" w:lineRule="auto"/>
        <w:rPr>
          <w:rFonts w:ascii="AGaramond-Regular" w:hAnsi="AGaramond-Regular" w:cs="AGaramond-Regular"/>
          <w:sz w:val="20"/>
          <w:szCs w:val="20"/>
        </w:rPr>
      </w:pPr>
      <w:r w:rsidRPr="00F61BDB">
        <w:rPr>
          <w:rFonts w:ascii="Cambria" w:hAnsi="Cambria"/>
          <w:sz w:val="24"/>
          <w:szCs w:val="24"/>
        </w:rPr>
        <w:br w:type="page"/>
      </w:r>
    </w:p>
    <w:p w:rsidR="00AA3DA5" w:rsidRPr="007F5AA2" w:rsidRDefault="00AA3DA5" w:rsidP="00AA3DA5">
      <w:pPr>
        <w:pStyle w:val="ListParagraph"/>
        <w:rPr>
          <w:rFonts w:ascii="Cambria" w:hAnsi="Cambria"/>
          <w:b/>
          <w:sz w:val="24"/>
          <w:szCs w:val="24"/>
        </w:rPr>
      </w:pPr>
    </w:p>
    <w:p w:rsidR="00AA3DA5" w:rsidRPr="007F5AA2" w:rsidRDefault="00AA3DA5" w:rsidP="00086540">
      <w:pPr>
        <w:pStyle w:val="ListParagraph"/>
        <w:numPr>
          <w:ilvl w:val="0"/>
          <w:numId w:val="25"/>
        </w:numPr>
        <w:rPr>
          <w:rFonts w:ascii="Cambria" w:hAnsi="Cambria"/>
          <w:b/>
          <w:sz w:val="24"/>
          <w:szCs w:val="24"/>
        </w:rPr>
      </w:pPr>
      <w:r w:rsidRPr="007F5AA2">
        <w:rPr>
          <w:rFonts w:ascii="Cambria" w:hAnsi="Cambria"/>
          <w:b/>
          <w:sz w:val="24"/>
          <w:szCs w:val="24"/>
        </w:rPr>
        <w:t>CO2 emissions and black carbon reduction  benefits from Active Forest Management and the Wood Residues it produces</w:t>
      </w:r>
    </w:p>
    <w:p w:rsidR="002813F2" w:rsidRPr="002813F2" w:rsidRDefault="002813F2" w:rsidP="008E6B78">
      <w:pPr>
        <w:ind w:left="360"/>
        <w:rPr>
          <w:rFonts w:ascii="Cambria" w:hAnsi="Cambria"/>
          <w:b/>
          <w:sz w:val="24"/>
          <w:szCs w:val="24"/>
        </w:rPr>
      </w:pPr>
      <w:r>
        <w:rPr>
          <w:rFonts w:ascii="Cambria" w:hAnsi="Cambria"/>
          <w:b/>
          <w:sz w:val="24"/>
          <w:szCs w:val="24"/>
        </w:rPr>
        <w:t>Sequestration of CO2 from California’s National Forests</w:t>
      </w:r>
    </w:p>
    <w:p w:rsidR="008E6B78" w:rsidRPr="008E6B78" w:rsidRDefault="008E6B78" w:rsidP="008E6B78">
      <w:pPr>
        <w:ind w:left="360"/>
        <w:rPr>
          <w:rFonts w:ascii="Cambria" w:hAnsi="Cambria"/>
          <w:sz w:val="24"/>
          <w:szCs w:val="24"/>
        </w:rPr>
      </w:pPr>
      <w:r w:rsidRPr="008E6B78">
        <w:rPr>
          <w:rFonts w:ascii="Cambria" w:hAnsi="Cambria"/>
          <w:sz w:val="24"/>
          <w:szCs w:val="24"/>
        </w:rPr>
        <w:t>In the past 20 years, 1.3 million acres of the forestland on the national forests of the Sierra Nevada’s has burned; the Forest Service predicts another 1.2 million acres will burn in the next 20 years; a total of about ¼ of the entire public forest land in the Sierra’s.</w:t>
      </w:r>
      <w:r w:rsidR="007F5AA2">
        <w:rPr>
          <w:rFonts w:ascii="Cambria" w:hAnsi="Cambria"/>
          <w:sz w:val="24"/>
          <w:szCs w:val="24"/>
        </w:rPr>
        <w:t xml:space="preserve">  The trend in acres burned due to wildfire is such that in about 50 years, all of the productive forest land </w:t>
      </w:r>
      <w:r w:rsidR="00D140C4">
        <w:rPr>
          <w:rFonts w:ascii="Cambria" w:hAnsi="Cambria"/>
          <w:sz w:val="24"/>
          <w:szCs w:val="24"/>
        </w:rPr>
        <w:t xml:space="preserve">on California’s National Forests </w:t>
      </w:r>
      <w:r w:rsidR="007F5AA2">
        <w:rPr>
          <w:rFonts w:ascii="Cambria" w:hAnsi="Cambria"/>
          <w:sz w:val="24"/>
          <w:szCs w:val="24"/>
        </w:rPr>
        <w:t>will have been subjected to a wildfire.</w:t>
      </w:r>
    </w:p>
    <w:p w:rsidR="008E6B78" w:rsidRDefault="007F5AA2" w:rsidP="008E6B78">
      <w:pPr>
        <w:ind w:left="360"/>
        <w:rPr>
          <w:rFonts w:ascii="Cambria" w:hAnsi="Cambria"/>
          <w:bCs/>
          <w:sz w:val="24"/>
          <w:szCs w:val="24"/>
        </w:rPr>
      </w:pPr>
      <w:r>
        <w:rPr>
          <w:rFonts w:ascii="Cambria" w:hAnsi="Cambria"/>
          <w:bCs/>
          <w:sz w:val="24"/>
          <w:szCs w:val="24"/>
        </w:rPr>
        <w:t>The California Energy Commission (CEC)</w:t>
      </w:r>
      <w:r w:rsidR="008E6B78" w:rsidRPr="008E6B78">
        <w:rPr>
          <w:rFonts w:ascii="Cambria" w:hAnsi="Cambria"/>
          <w:bCs/>
          <w:sz w:val="24"/>
          <w:szCs w:val="24"/>
        </w:rPr>
        <w:t xml:space="preserve"> greenhouse gas emissions inventory for California shows that forestry is the only “net carbon sink” in the entire inventory, </w:t>
      </w:r>
      <w:r w:rsidR="00366E15" w:rsidRPr="008E6B78">
        <w:rPr>
          <w:rFonts w:ascii="Cambria" w:hAnsi="Cambria"/>
          <w:bCs/>
          <w:sz w:val="24"/>
          <w:szCs w:val="24"/>
        </w:rPr>
        <w:t>i.e.</w:t>
      </w:r>
      <w:r w:rsidR="008E6B78" w:rsidRPr="008E6B78">
        <w:rPr>
          <w:rFonts w:ascii="Cambria" w:hAnsi="Cambria"/>
          <w:bCs/>
          <w:sz w:val="24"/>
          <w:szCs w:val="24"/>
        </w:rPr>
        <w:t xml:space="preserve">, holds tremendous opportunity to assist the State </w:t>
      </w:r>
      <w:r w:rsidR="00282C16">
        <w:rPr>
          <w:rFonts w:ascii="Cambria" w:hAnsi="Cambria"/>
          <w:bCs/>
          <w:sz w:val="24"/>
          <w:szCs w:val="24"/>
        </w:rPr>
        <w:t>in CO2e emission level reductions</w:t>
      </w:r>
      <w:r w:rsidR="008E6B78" w:rsidRPr="008E6B78">
        <w:rPr>
          <w:rFonts w:ascii="Cambria" w:hAnsi="Cambria"/>
          <w:bCs/>
          <w:sz w:val="24"/>
          <w:szCs w:val="24"/>
        </w:rPr>
        <w:t>.</w:t>
      </w:r>
    </w:p>
    <w:p w:rsidR="008E6B78" w:rsidRDefault="008E6B78" w:rsidP="008E6B78">
      <w:pPr>
        <w:ind w:left="360"/>
        <w:rPr>
          <w:rFonts w:ascii="Cambria" w:hAnsi="Cambria"/>
          <w:sz w:val="24"/>
          <w:szCs w:val="24"/>
        </w:rPr>
      </w:pPr>
      <w:r w:rsidRPr="008E6B78">
        <w:rPr>
          <w:rFonts w:ascii="Cambria" w:hAnsi="Cambria"/>
          <w:sz w:val="24"/>
          <w:szCs w:val="24"/>
        </w:rPr>
        <w:t>Based on a 10-year average, Wildfires in California emit 1.2 million tons of GHG emissions annually (CARB, 2005 Almanac, Wildfire Emissions, Appendix E).  In 2005, Winrock International estimated emissions from wildfires in California at 1.5 million tons.</w:t>
      </w:r>
    </w:p>
    <w:p w:rsidR="00E92E89" w:rsidRDefault="007F5AA2" w:rsidP="00E92E89">
      <w:pPr>
        <w:ind w:left="360"/>
        <w:rPr>
          <w:rFonts w:ascii="Cambria" w:hAnsi="Cambria"/>
          <w:sz w:val="24"/>
          <w:szCs w:val="24"/>
        </w:rPr>
      </w:pPr>
      <w:r>
        <w:rPr>
          <w:rFonts w:ascii="Cambria" w:hAnsi="Cambria"/>
          <w:sz w:val="24"/>
          <w:szCs w:val="24"/>
        </w:rPr>
        <w:t>Since then, we’ve had megafires including but not limited to the Rim Fire (Stanislaus National Forest</w:t>
      </w:r>
      <w:r w:rsidR="002813F2">
        <w:rPr>
          <w:rFonts w:ascii="Cambria" w:hAnsi="Cambria"/>
          <w:sz w:val="24"/>
          <w:szCs w:val="24"/>
        </w:rPr>
        <w:t xml:space="preserve"> and Yosemite National Park</w:t>
      </w:r>
      <w:r>
        <w:rPr>
          <w:rFonts w:ascii="Cambria" w:hAnsi="Cambria"/>
          <w:sz w:val="24"/>
          <w:szCs w:val="24"/>
        </w:rPr>
        <w:t>, 2013)</w:t>
      </w:r>
      <w:r w:rsidR="00E92E89">
        <w:rPr>
          <w:rFonts w:ascii="Cambria" w:hAnsi="Cambria"/>
          <w:sz w:val="24"/>
          <w:szCs w:val="24"/>
        </w:rPr>
        <w:t>, which</w:t>
      </w:r>
      <w:r>
        <w:rPr>
          <w:rFonts w:ascii="Cambria" w:hAnsi="Cambria"/>
          <w:sz w:val="24"/>
          <w:szCs w:val="24"/>
        </w:rPr>
        <w:t xml:space="preserve"> </w:t>
      </w:r>
      <w:r w:rsidR="002813F2">
        <w:rPr>
          <w:rFonts w:ascii="Cambria" w:hAnsi="Cambria"/>
          <w:sz w:val="24"/>
          <w:szCs w:val="24"/>
        </w:rPr>
        <w:t>burned 257,000 acres and is estimated by the Sierra Nevada Conservancy that the wildfire caused an emission of 11.3 million GHG tons (</w:t>
      </w:r>
      <w:hyperlink r:id="rId20" w:history="1">
        <w:r w:rsidR="002813F2" w:rsidRPr="00143841">
          <w:rPr>
            <w:rStyle w:val="Hyperlink"/>
            <w:rFonts w:ascii="Cambria" w:hAnsi="Cambria"/>
            <w:sz w:val="24"/>
            <w:szCs w:val="24"/>
          </w:rPr>
          <w:t>http://www.sierranevada.ca.gov/our-region/rim-fire/rimairqualityfacts.pdf</w:t>
        </w:r>
      </w:hyperlink>
      <w:r w:rsidR="002813F2">
        <w:rPr>
          <w:rFonts w:ascii="Cambria" w:hAnsi="Cambria"/>
          <w:sz w:val="24"/>
          <w:szCs w:val="24"/>
        </w:rPr>
        <w:t xml:space="preserve">).  </w:t>
      </w:r>
      <w:r w:rsidR="00DD5740">
        <w:rPr>
          <w:rFonts w:ascii="Cambria" w:hAnsi="Cambria"/>
          <w:sz w:val="24"/>
          <w:szCs w:val="24"/>
        </w:rPr>
        <w:t>In 2014, t</w:t>
      </w:r>
      <w:r w:rsidR="00E92E89">
        <w:rPr>
          <w:rFonts w:ascii="Cambria" w:hAnsi="Cambria"/>
          <w:sz w:val="24"/>
          <w:szCs w:val="24"/>
        </w:rPr>
        <w:t>he King Fire</w:t>
      </w:r>
      <w:r w:rsidR="00DD5740">
        <w:rPr>
          <w:rFonts w:ascii="Cambria" w:hAnsi="Cambria"/>
          <w:sz w:val="24"/>
          <w:szCs w:val="24"/>
        </w:rPr>
        <w:t xml:space="preserve"> on the Eldorado National Forest</w:t>
      </w:r>
      <w:r w:rsidR="00093DB4">
        <w:rPr>
          <w:rFonts w:ascii="Cambria" w:hAnsi="Cambria"/>
          <w:sz w:val="24"/>
          <w:szCs w:val="24"/>
        </w:rPr>
        <w:t xml:space="preserve"> burned 97,000 acres</w:t>
      </w:r>
      <w:r w:rsidR="00DD5740">
        <w:rPr>
          <w:rFonts w:ascii="Cambria" w:hAnsi="Cambria"/>
          <w:sz w:val="24"/>
          <w:szCs w:val="24"/>
        </w:rPr>
        <w:t xml:space="preserve"> and </w:t>
      </w:r>
      <w:r w:rsidR="00B66988">
        <w:rPr>
          <w:rFonts w:ascii="Cambria" w:hAnsi="Cambria"/>
          <w:sz w:val="24"/>
          <w:szCs w:val="24"/>
        </w:rPr>
        <w:t xml:space="preserve">cumulatively about </w:t>
      </w:r>
      <w:r w:rsidR="00DD5740">
        <w:rPr>
          <w:rFonts w:ascii="Cambria" w:hAnsi="Cambria"/>
          <w:sz w:val="24"/>
          <w:szCs w:val="24"/>
        </w:rPr>
        <w:t>200,000 acres burned in wildfires on the Happy Camp Complex</w:t>
      </w:r>
      <w:r w:rsidR="00B66988">
        <w:rPr>
          <w:rFonts w:ascii="Cambria" w:hAnsi="Cambria"/>
          <w:sz w:val="24"/>
          <w:szCs w:val="24"/>
        </w:rPr>
        <w:t xml:space="preserve"> (Klamath Natl. Forest), Bald and Eiler Fires (Lassen Natl. Forest), French Fire (Sierra Natl. Forest and Coffee Fire (Shasta-Trinity Natl. Forest)</w:t>
      </w:r>
      <w:r w:rsidR="00093DB4">
        <w:rPr>
          <w:rFonts w:ascii="Cambria" w:hAnsi="Cambria"/>
          <w:sz w:val="24"/>
          <w:szCs w:val="24"/>
        </w:rPr>
        <w:t>.</w:t>
      </w:r>
      <w:r w:rsidR="009247FC">
        <w:rPr>
          <w:rFonts w:ascii="Cambria" w:hAnsi="Cambria"/>
          <w:sz w:val="24"/>
          <w:szCs w:val="24"/>
        </w:rPr>
        <w:t xml:space="preserve">  So far in 2015, over 188</w:t>
      </w:r>
      <w:r w:rsidR="00E92E89">
        <w:rPr>
          <w:rFonts w:ascii="Cambria" w:hAnsi="Cambria"/>
          <w:sz w:val="24"/>
          <w:szCs w:val="24"/>
        </w:rPr>
        <w:t>,000 acres on t</w:t>
      </w:r>
      <w:r w:rsidR="009247FC">
        <w:rPr>
          <w:rFonts w:ascii="Cambria" w:hAnsi="Cambria"/>
          <w:sz w:val="24"/>
          <w:szCs w:val="24"/>
        </w:rPr>
        <w:t>he Six Rivers National Forest, 10</w:t>
      </w:r>
      <w:r w:rsidR="00E92E89">
        <w:rPr>
          <w:rFonts w:ascii="Cambria" w:hAnsi="Cambria"/>
          <w:sz w:val="24"/>
          <w:szCs w:val="24"/>
        </w:rPr>
        <w:t>0,000 acres on the Shasta-Trinity National Forest</w:t>
      </w:r>
      <w:r w:rsidR="009247FC">
        <w:rPr>
          <w:rFonts w:ascii="Cambria" w:hAnsi="Cambria"/>
          <w:sz w:val="24"/>
          <w:szCs w:val="24"/>
        </w:rPr>
        <w:t>, and 150</w:t>
      </w:r>
      <w:r w:rsidR="00E92E89">
        <w:rPr>
          <w:rFonts w:ascii="Cambria" w:hAnsi="Cambria"/>
          <w:sz w:val="24"/>
          <w:szCs w:val="24"/>
        </w:rPr>
        <w:t>,000 acres on the Sierra/Sequoia National Forests have burned.  On average 2001-2014, wildfires have burned 305,000 acres/year of California’s National Forests.</w:t>
      </w:r>
      <w:r w:rsidR="00B168B3">
        <w:rPr>
          <w:rFonts w:ascii="Cambria" w:hAnsi="Cambria"/>
          <w:sz w:val="24"/>
          <w:szCs w:val="24"/>
        </w:rPr>
        <w:t xml:space="preserve">  The number will be higher in 2015 thus raising the 15 year average.</w:t>
      </w:r>
    </w:p>
    <w:p w:rsidR="00A225F7" w:rsidRPr="008E6B78" w:rsidRDefault="00A225F7" w:rsidP="00A225F7">
      <w:pPr>
        <w:pStyle w:val="BodyText"/>
        <w:ind w:left="360"/>
        <w:rPr>
          <w:rFonts w:ascii="Cambria" w:hAnsi="Cambria"/>
          <w:b w:val="0"/>
          <w:bCs w:val="0"/>
          <w:szCs w:val="24"/>
        </w:rPr>
      </w:pPr>
      <w:r>
        <w:rPr>
          <w:rFonts w:ascii="Cambria" w:hAnsi="Cambria"/>
          <w:b w:val="0"/>
          <w:bCs w:val="0"/>
          <w:szCs w:val="24"/>
        </w:rPr>
        <w:t>Carbon sequestration is about 12</w:t>
      </w:r>
      <w:r w:rsidRPr="008E6B78">
        <w:rPr>
          <w:rFonts w:ascii="Cambria" w:hAnsi="Cambria"/>
          <w:b w:val="0"/>
          <w:bCs w:val="0"/>
          <w:szCs w:val="24"/>
        </w:rPr>
        <w:t xml:space="preserve"> tons/acre higher for an</w:t>
      </w:r>
      <w:r>
        <w:rPr>
          <w:rFonts w:ascii="Cambria" w:hAnsi="Cambria"/>
          <w:b w:val="0"/>
          <w:bCs w:val="0"/>
          <w:szCs w:val="24"/>
        </w:rPr>
        <w:t xml:space="preserve"> actively managed forest versus the current situation on California’s National Forests of 8.3 million acres of suitable and available productive forest land, where only about 7% of annual growth is being removed.  So the National Forests continue to get denser and denser and denser and the number, size and severity of wildfires gets higher and higher as well as the occurrence of insect and disease damage.  There’s some indication that some of California’s National Forests are now net emitters rather than net sinks.  </w:t>
      </w:r>
      <w:r w:rsidRPr="008E6B78">
        <w:rPr>
          <w:rFonts w:ascii="Cambria" w:hAnsi="Cambria"/>
          <w:b w:val="0"/>
          <w:bCs w:val="0"/>
          <w:szCs w:val="24"/>
        </w:rPr>
        <w:t>California</w:t>
      </w:r>
      <w:r>
        <w:rPr>
          <w:rFonts w:ascii="Cambria" w:hAnsi="Cambria"/>
          <w:b w:val="0"/>
          <w:bCs w:val="0"/>
          <w:szCs w:val="24"/>
        </w:rPr>
        <w:t xml:space="preserve">’s National Forests if actively managed, on the 8.3 million acres, have </w:t>
      </w:r>
      <w:r w:rsidRPr="008E6B78">
        <w:rPr>
          <w:rFonts w:ascii="Cambria" w:hAnsi="Cambria"/>
          <w:b w:val="0"/>
          <w:bCs w:val="0"/>
          <w:szCs w:val="24"/>
        </w:rPr>
        <w:t>the po</w:t>
      </w:r>
      <w:r>
        <w:rPr>
          <w:rFonts w:ascii="Cambria" w:hAnsi="Cambria"/>
          <w:b w:val="0"/>
          <w:bCs w:val="0"/>
          <w:szCs w:val="24"/>
        </w:rPr>
        <w:t>tential opportunity of annual net sequestration of about 13</w:t>
      </w:r>
      <w:r w:rsidRPr="008E6B78">
        <w:rPr>
          <w:rFonts w:ascii="Cambria" w:hAnsi="Cambria"/>
          <w:b w:val="0"/>
          <w:bCs w:val="0"/>
          <w:szCs w:val="24"/>
        </w:rPr>
        <w:t xml:space="preserve"> million tons</w:t>
      </w:r>
      <w:r>
        <w:rPr>
          <w:rFonts w:ascii="Cambria" w:hAnsi="Cambria"/>
          <w:b w:val="0"/>
          <w:bCs w:val="0"/>
          <w:szCs w:val="24"/>
        </w:rPr>
        <w:t xml:space="preserve"> of CO2equivalent; a substantial contribution to California’s net emission reduction.</w:t>
      </w:r>
    </w:p>
    <w:p w:rsidR="00A225F7" w:rsidRDefault="00A225F7" w:rsidP="00E92E89">
      <w:pPr>
        <w:ind w:left="360"/>
        <w:rPr>
          <w:rFonts w:ascii="Cambria" w:hAnsi="Cambria"/>
          <w:sz w:val="24"/>
          <w:szCs w:val="24"/>
        </w:rPr>
      </w:pPr>
    </w:p>
    <w:p w:rsidR="00A225F7" w:rsidRPr="00A225F7" w:rsidRDefault="00A225F7" w:rsidP="00E92E89">
      <w:pPr>
        <w:ind w:left="360"/>
        <w:rPr>
          <w:rFonts w:ascii="Cambria" w:hAnsi="Cambria"/>
          <w:b/>
          <w:sz w:val="24"/>
          <w:szCs w:val="24"/>
        </w:rPr>
      </w:pPr>
      <w:r>
        <w:rPr>
          <w:rFonts w:ascii="Cambria" w:hAnsi="Cambria"/>
          <w:b/>
          <w:sz w:val="24"/>
          <w:szCs w:val="24"/>
        </w:rPr>
        <w:t>Black Carbon</w:t>
      </w:r>
    </w:p>
    <w:p w:rsidR="00532DD6" w:rsidRDefault="00093DB4" w:rsidP="00E92E89">
      <w:pPr>
        <w:ind w:left="360"/>
        <w:rPr>
          <w:rFonts w:ascii="Cambria" w:hAnsi="Cambria"/>
          <w:sz w:val="24"/>
          <w:szCs w:val="24"/>
        </w:rPr>
      </w:pPr>
      <w:r>
        <w:rPr>
          <w:rFonts w:ascii="Cambria" w:hAnsi="Cambria"/>
          <w:sz w:val="24"/>
          <w:szCs w:val="24"/>
        </w:rPr>
        <w:t>ARB estimated that in 2010</w:t>
      </w:r>
      <w:r w:rsidR="00532DD6">
        <w:rPr>
          <w:rFonts w:ascii="Cambria" w:hAnsi="Cambria"/>
          <w:sz w:val="24"/>
          <w:szCs w:val="24"/>
        </w:rPr>
        <w:t xml:space="preserve"> (2010 Update to the Climate Change Scoping Plan, p. 21</w:t>
      </w:r>
      <w:r>
        <w:rPr>
          <w:rFonts w:ascii="Cambria" w:hAnsi="Cambria"/>
          <w:sz w:val="24"/>
          <w:szCs w:val="24"/>
        </w:rPr>
        <w:t xml:space="preserve">) </w:t>
      </w:r>
      <w:r w:rsidR="00532DD6">
        <w:rPr>
          <w:rFonts w:ascii="Cambria" w:hAnsi="Cambria"/>
          <w:sz w:val="24"/>
          <w:szCs w:val="24"/>
        </w:rPr>
        <w:t>52% of annual black carbon emissions from California come from wildfires</w:t>
      </w:r>
      <w:r>
        <w:rPr>
          <w:rFonts w:ascii="Cambria" w:hAnsi="Cambria"/>
          <w:sz w:val="24"/>
          <w:szCs w:val="24"/>
        </w:rPr>
        <w:t xml:space="preserve">.  The percentage is likely higher now.  </w:t>
      </w:r>
      <w:r w:rsidR="00532DD6">
        <w:rPr>
          <w:rFonts w:ascii="Cambria" w:hAnsi="Cambria"/>
          <w:sz w:val="24"/>
          <w:szCs w:val="24"/>
        </w:rPr>
        <w:t>ARB estimated in its 2009 ARB Almanac</w:t>
      </w:r>
      <w:r w:rsidR="009541D1">
        <w:rPr>
          <w:rFonts w:ascii="Cambria" w:hAnsi="Cambria"/>
          <w:sz w:val="24"/>
          <w:szCs w:val="24"/>
        </w:rPr>
        <w:t xml:space="preserve"> </w:t>
      </w:r>
      <w:r w:rsidR="00532DD6">
        <w:rPr>
          <w:rFonts w:ascii="Cambria" w:hAnsi="Cambria"/>
          <w:sz w:val="24"/>
          <w:szCs w:val="24"/>
        </w:rPr>
        <w:t>that on average wildfires emitted 215 tons/day of black carbon).  In comparison, all the black carbon from diesel exhaust in California is estimated to product less than 50 tons/day.</w:t>
      </w:r>
    </w:p>
    <w:p w:rsidR="002813F2" w:rsidRDefault="002813F2" w:rsidP="008E6B78">
      <w:pPr>
        <w:ind w:left="360"/>
        <w:rPr>
          <w:rFonts w:ascii="Cambria" w:hAnsi="Cambria"/>
          <w:sz w:val="24"/>
          <w:szCs w:val="24"/>
        </w:rPr>
      </w:pPr>
      <w:r>
        <w:rPr>
          <w:rFonts w:ascii="Cambria" w:hAnsi="Cambria"/>
          <w:sz w:val="24"/>
          <w:szCs w:val="24"/>
        </w:rPr>
        <w:t xml:space="preserve">Only about 20% of the carbon in the high severity burned acres is actually consumed by the fire and emitted to the atmosphere.  The remaining 80% of carbon is in dead material still on the landscape.  It remains to be seen how much of the dead material </w:t>
      </w:r>
      <w:r w:rsidR="00E92E89">
        <w:rPr>
          <w:rFonts w:ascii="Cambria" w:hAnsi="Cambria"/>
          <w:sz w:val="24"/>
          <w:szCs w:val="24"/>
        </w:rPr>
        <w:t xml:space="preserve">from these large wildfires </w:t>
      </w:r>
      <w:r>
        <w:rPr>
          <w:rFonts w:ascii="Cambria" w:hAnsi="Cambria"/>
          <w:sz w:val="24"/>
          <w:szCs w:val="24"/>
        </w:rPr>
        <w:t>will be removed and how many acres will be restored to a forested condition or will be left to type convert to brushfields.   The acres of dead material that is not removed will decay over the next 20 years and will release the remaining carbon in the form of CO2 and methane.</w:t>
      </w:r>
    </w:p>
    <w:p w:rsidR="00C21989" w:rsidRPr="00C21989" w:rsidRDefault="00C21989" w:rsidP="00532DD6">
      <w:pPr>
        <w:autoSpaceDE w:val="0"/>
        <w:autoSpaceDN w:val="0"/>
        <w:adjustRightInd w:val="0"/>
        <w:spacing w:after="0" w:line="240" w:lineRule="auto"/>
        <w:ind w:left="360"/>
        <w:rPr>
          <w:rFonts w:ascii="Cambria" w:hAnsi="Cambria" w:cs="AdvGulliv-R"/>
          <w:color w:val="000000"/>
          <w:sz w:val="24"/>
          <w:szCs w:val="24"/>
        </w:rPr>
      </w:pPr>
      <w:r>
        <w:rPr>
          <w:rFonts w:ascii="Cambria" w:hAnsi="Cambria"/>
          <w:sz w:val="24"/>
          <w:szCs w:val="24"/>
        </w:rPr>
        <w:t>Unfortunately on wildfire-burned landscapes on California’s National Forests,</w:t>
      </w:r>
      <w:r w:rsidRPr="00C21989">
        <w:rPr>
          <w:rFonts w:ascii="Cambria" w:hAnsi="Cambria"/>
          <w:sz w:val="24"/>
          <w:szCs w:val="24"/>
        </w:rPr>
        <w:t xml:space="preserve"> </w:t>
      </w:r>
      <w:r>
        <w:rPr>
          <w:rFonts w:ascii="Cambria" w:hAnsi="Cambria" w:cs="AdvGulliv-R"/>
          <w:color w:val="000000"/>
          <w:sz w:val="24"/>
          <w:szCs w:val="24"/>
        </w:rPr>
        <w:t xml:space="preserve">Areas </w:t>
      </w:r>
      <w:r w:rsidRPr="00C21989">
        <w:rPr>
          <w:rFonts w:ascii="Cambria" w:hAnsi="Cambria" w:cs="AdvGulliv-R"/>
          <w:color w:val="000000"/>
          <w:sz w:val="24"/>
          <w:szCs w:val="24"/>
        </w:rPr>
        <w:t>burning at h</w:t>
      </w:r>
      <w:r>
        <w:rPr>
          <w:rFonts w:ascii="Cambria" w:hAnsi="Cambria" w:cs="AdvGulliv-R"/>
          <w:color w:val="000000"/>
          <w:sz w:val="24"/>
          <w:szCs w:val="24"/>
        </w:rPr>
        <w:t xml:space="preserve">igh severity often grow back as </w:t>
      </w:r>
      <w:r w:rsidRPr="00C21989">
        <w:rPr>
          <w:rFonts w:ascii="Cambria" w:hAnsi="Cambria" w:cs="AdvGulliv-R"/>
          <w:color w:val="000000"/>
          <w:sz w:val="24"/>
          <w:szCs w:val="24"/>
        </w:rPr>
        <w:t>montane chapa</w:t>
      </w:r>
      <w:r>
        <w:rPr>
          <w:rFonts w:ascii="Cambria" w:hAnsi="Cambria" w:cs="AdvGulliv-R"/>
          <w:color w:val="000000"/>
          <w:sz w:val="24"/>
          <w:szCs w:val="24"/>
        </w:rPr>
        <w:t xml:space="preserve">rral rather than forest and are likely to reburn with </w:t>
      </w:r>
      <w:r w:rsidRPr="00C21989">
        <w:rPr>
          <w:rFonts w:ascii="Cambria" w:hAnsi="Cambria" w:cs="AdvGulliv-R"/>
          <w:color w:val="000000"/>
          <w:sz w:val="24"/>
          <w:szCs w:val="24"/>
        </w:rPr>
        <w:t>high severity in future fires (</w:t>
      </w:r>
      <w:r w:rsidRPr="00C21989">
        <w:rPr>
          <w:rFonts w:ascii="Cambria" w:hAnsi="Cambria" w:cs="AdvGulliv-R"/>
          <w:color w:val="0080AE"/>
          <w:sz w:val="24"/>
          <w:szCs w:val="24"/>
        </w:rPr>
        <w:t>Thompson and Spies, 2010; Van</w:t>
      </w:r>
    </w:p>
    <w:p w:rsidR="00C21989" w:rsidRPr="00C21989" w:rsidRDefault="00C21989" w:rsidP="00C21989">
      <w:pPr>
        <w:ind w:left="360"/>
        <w:rPr>
          <w:rFonts w:ascii="Cambria" w:hAnsi="Cambria"/>
          <w:sz w:val="24"/>
          <w:szCs w:val="24"/>
        </w:rPr>
      </w:pPr>
      <w:r w:rsidRPr="00C21989">
        <w:rPr>
          <w:rFonts w:ascii="Cambria" w:hAnsi="Cambria" w:cs="AdvGulliv-R"/>
          <w:color w:val="0080AE"/>
          <w:sz w:val="24"/>
          <w:szCs w:val="24"/>
        </w:rPr>
        <w:t>Wagtendonk et al., 2012; Parks et al., 2013</w:t>
      </w:r>
      <w:r w:rsidRPr="00C21989">
        <w:rPr>
          <w:rFonts w:ascii="Cambria" w:hAnsi="Cambria" w:cs="AdvGulliv-R"/>
          <w:color w:val="000000"/>
          <w:sz w:val="24"/>
          <w:szCs w:val="24"/>
        </w:rPr>
        <w:t>).</w:t>
      </w:r>
    </w:p>
    <w:p w:rsidR="007F5AA2" w:rsidRPr="00A225F7" w:rsidRDefault="00A225F7" w:rsidP="008E6B78">
      <w:pPr>
        <w:ind w:left="360"/>
        <w:rPr>
          <w:rFonts w:ascii="Cambria" w:hAnsi="Cambria"/>
          <w:b/>
          <w:sz w:val="24"/>
          <w:szCs w:val="24"/>
        </w:rPr>
      </w:pPr>
      <w:r>
        <w:rPr>
          <w:rFonts w:ascii="Cambria" w:hAnsi="Cambria"/>
          <w:b/>
          <w:sz w:val="24"/>
          <w:szCs w:val="24"/>
        </w:rPr>
        <w:t>Benefits</w:t>
      </w:r>
    </w:p>
    <w:p w:rsidR="00E92E89" w:rsidRDefault="00E92E89" w:rsidP="008E6B78">
      <w:pPr>
        <w:ind w:left="360"/>
        <w:rPr>
          <w:rFonts w:ascii="Cambria" w:hAnsi="Cambria"/>
          <w:b/>
          <w:sz w:val="24"/>
          <w:szCs w:val="24"/>
        </w:rPr>
      </w:pPr>
      <w:r>
        <w:rPr>
          <w:rFonts w:ascii="Cambria" w:hAnsi="Cambria"/>
          <w:b/>
          <w:sz w:val="24"/>
          <w:szCs w:val="24"/>
        </w:rPr>
        <w:t>What Would Be The Outcome, on California’s National Forests, of Active Forest Management On 8.3 Million Acres Of Available Productive Forest Land Not Reserved</w:t>
      </w:r>
      <w:r w:rsidR="00AC4F8C">
        <w:rPr>
          <w:rFonts w:ascii="Cambria" w:hAnsi="Cambria"/>
          <w:b/>
          <w:sz w:val="24"/>
          <w:szCs w:val="24"/>
        </w:rPr>
        <w:t xml:space="preserve"> and the 4.6 million acres of non-industrial private land</w:t>
      </w:r>
      <w:r>
        <w:rPr>
          <w:rFonts w:ascii="Cambria" w:hAnsi="Cambria"/>
          <w:b/>
          <w:sz w:val="24"/>
          <w:szCs w:val="24"/>
        </w:rPr>
        <w:t>?</w:t>
      </w:r>
    </w:p>
    <w:p w:rsidR="00D67196" w:rsidRDefault="008903EC" w:rsidP="00D67196">
      <w:pPr>
        <w:ind w:left="360"/>
        <w:rPr>
          <w:rFonts w:ascii="Cambria" w:hAnsi="Cambria"/>
          <w:sz w:val="24"/>
          <w:szCs w:val="24"/>
        </w:rPr>
      </w:pPr>
      <w:r>
        <w:rPr>
          <w:rFonts w:ascii="Cambria" w:hAnsi="Cambria"/>
          <w:sz w:val="24"/>
          <w:szCs w:val="24"/>
        </w:rPr>
        <w:t>This</w:t>
      </w:r>
      <w:r w:rsidR="00E92E89">
        <w:rPr>
          <w:rFonts w:ascii="Cambria" w:hAnsi="Cambria"/>
          <w:sz w:val="24"/>
          <w:szCs w:val="24"/>
        </w:rPr>
        <w:t xml:space="preserve"> research question</w:t>
      </w:r>
      <w:r>
        <w:rPr>
          <w:rFonts w:ascii="Cambria" w:hAnsi="Cambria"/>
          <w:sz w:val="24"/>
          <w:szCs w:val="24"/>
        </w:rPr>
        <w:t xml:space="preserve"> was, in part,</w:t>
      </w:r>
      <w:r w:rsidR="00E92E89">
        <w:rPr>
          <w:rFonts w:ascii="Cambria" w:hAnsi="Cambria"/>
          <w:sz w:val="24"/>
          <w:szCs w:val="24"/>
        </w:rPr>
        <w:t xml:space="preserve"> addressed by Mark Nechodom in a CEC sponsored study in Northern California</w:t>
      </w:r>
      <w:r w:rsidR="00EB6083">
        <w:rPr>
          <w:rFonts w:ascii="Cambria" w:hAnsi="Cambria"/>
          <w:sz w:val="24"/>
          <w:szCs w:val="24"/>
        </w:rPr>
        <w:t xml:space="preserve"> (</w:t>
      </w:r>
      <w:r w:rsidR="00EB6083">
        <w:rPr>
          <w:rFonts w:ascii="Cambria" w:hAnsi="Cambria" w:cs="AdvP40319B"/>
          <w:sz w:val="24"/>
          <w:szCs w:val="24"/>
        </w:rPr>
        <w:t>California Energy Commission Study (CEC-500-2009-080), January 2010; “Biomass to Energy: Forest Management for Wildfire Reduction, Energy Production, and Other Benefits”.</w:t>
      </w:r>
      <w:r w:rsidR="00EB6083">
        <w:rPr>
          <w:rFonts w:ascii="Cambria" w:hAnsi="Cambria"/>
          <w:sz w:val="24"/>
          <w:szCs w:val="24"/>
        </w:rPr>
        <w:t xml:space="preserve">  It can be found at: </w:t>
      </w:r>
      <w:hyperlink r:id="rId21" w:history="1">
        <w:r w:rsidR="0084409D" w:rsidRPr="00B8225B">
          <w:rPr>
            <w:rStyle w:val="Hyperlink"/>
            <w:rFonts w:ascii="Cambria" w:hAnsi="Cambria"/>
            <w:sz w:val="24"/>
            <w:szCs w:val="24"/>
          </w:rPr>
          <w:t>http://passthrough.fw-notify.net/download/762289/http://www.energy.ca.gov/2009publications/CEC-500-2009-080/CEC-500-2009-080.PDF</w:t>
        </w:r>
      </w:hyperlink>
      <w:r w:rsidR="0084409D">
        <w:rPr>
          <w:rFonts w:ascii="Cambria" w:hAnsi="Cambria"/>
          <w:sz w:val="24"/>
          <w:szCs w:val="24"/>
        </w:rPr>
        <w:t xml:space="preserve"> </w:t>
      </w:r>
    </w:p>
    <w:p w:rsidR="00D67196" w:rsidRDefault="00D67196" w:rsidP="00D67196">
      <w:pPr>
        <w:ind w:left="360"/>
        <w:rPr>
          <w:rFonts w:ascii="Cambria" w:hAnsi="Cambria"/>
          <w:sz w:val="24"/>
          <w:szCs w:val="24"/>
        </w:rPr>
      </w:pPr>
      <w:r>
        <w:rPr>
          <w:rFonts w:ascii="Cambria" w:hAnsi="Cambria"/>
          <w:sz w:val="24"/>
          <w:szCs w:val="24"/>
        </w:rPr>
        <w:t xml:space="preserve">The </w:t>
      </w:r>
      <w:r w:rsidR="008903EC">
        <w:rPr>
          <w:rFonts w:ascii="Cambria" w:hAnsi="Cambria"/>
          <w:sz w:val="24"/>
          <w:szCs w:val="24"/>
        </w:rPr>
        <w:t xml:space="preserve">Explicit </w:t>
      </w:r>
      <w:r>
        <w:rPr>
          <w:rFonts w:ascii="Cambria" w:hAnsi="Cambria"/>
          <w:sz w:val="24"/>
          <w:szCs w:val="24"/>
        </w:rPr>
        <w:t>Purpose of the Research was to:</w:t>
      </w:r>
    </w:p>
    <w:p w:rsidR="00D67196" w:rsidRPr="008903EC" w:rsidRDefault="002D36E2" w:rsidP="008903EC">
      <w:pPr>
        <w:pStyle w:val="ListParagraph"/>
        <w:numPr>
          <w:ilvl w:val="0"/>
          <w:numId w:val="15"/>
        </w:numPr>
        <w:autoSpaceDE w:val="0"/>
        <w:autoSpaceDN w:val="0"/>
        <w:adjustRightInd w:val="0"/>
        <w:spacing w:after="0" w:line="240" w:lineRule="auto"/>
        <w:ind w:left="1080"/>
        <w:rPr>
          <w:rFonts w:ascii="Cambria" w:hAnsi="Cambria" w:cs="TTE149BA98t00"/>
          <w:sz w:val="24"/>
          <w:szCs w:val="24"/>
        </w:rPr>
      </w:pPr>
      <w:r>
        <w:rPr>
          <w:rFonts w:ascii="Cambria" w:hAnsi="Cambria" w:cs="TTE149BA98t00"/>
          <w:sz w:val="24"/>
          <w:szCs w:val="24"/>
        </w:rPr>
        <w:t>Model life cycle</w:t>
      </w:r>
      <w:r w:rsidR="00D67196" w:rsidRPr="00D67196">
        <w:rPr>
          <w:rFonts w:ascii="Cambria" w:hAnsi="Cambria" w:cs="TTE149BA98t00"/>
          <w:sz w:val="24"/>
          <w:szCs w:val="24"/>
        </w:rPr>
        <w:t xml:space="preserve"> environmental &amp;</w:t>
      </w:r>
      <w:r w:rsidR="008903EC">
        <w:rPr>
          <w:rFonts w:ascii="Cambria" w:hAnsi="Cambria" w:cs="TTE149BA98t00"/>
          <w:sz w:val="24"/>
          <w:szCs w:val="24"/>
        </w:rPr>
        <w:t xml:space="preserve"> </w:t>
      </w:r>
      <w:r w:rsidR="00D67196" w:rsidRPr="008903EC">
        <w:rPr>
          <w:rFonts w:ascii="Cambria" w:hAnsi="Cambria" w:cs="TTE149BA98t00"/>
          <w:sz w:val="24"/>
          <w:szCs w:val="24"/>
        </w:rPr>
        <w:t>economic values of using forest</w:t>
      </w:r>
      <w:r w:rsidR="008903EC" w:rsidRPr="008903EC">
        <w:rPr>
          <w:rFonts w:ascii="Cambria" w:hAnsi="Cambria" w:cs="TTE149BA98t00"/>
          <w:sz w:val="24"/>
          <w:szCs w:val="24"/>
        </w:rPr>
        <w:t xml:space="preserve"> </w:t>
      </w:r>
      <w:r w:rsidR="00D67196" w:rsidRPr="008903EC">
        <w:rPr>
          <w:rFonts w:ascii="Cambria" w:hAnsi="Cambria" w:cs="TTE149BA98t00"/>
          <w:sz w:val="24"/>
          <w:szCs w:val="24"/>
        </w:rPr>
        <w:t>biomass for energy production</w:t>
      </w:r>
    </w:p>
    <w:p w:rsidR="00D67196" w:rsidRPr="008903EC" w:rsidRDefault="00D67196" w:rsidP="008903EC">
      <w:pPr>
        <w:pStyle w:val="ListParagraph"/>
        <w:numPr>
          <w:ilvl w:val="0"/>
          <w:numId w:val="15"/>
        </w:numPr>
        <w:autoSpaceDE w:val="0"/>
        <w:autoSpaceDN w:val="0"/>
        <w:adjustRightInd w:val="0"/>
        <w:spacing w:after="0" w:line="240" w:lineRule="auto"/>
        <w:ind w:left="1080"/>
        <w:rPr>
          <w:rFonts w:ascii="Cambria" w:hAnsi="Cambria" w:cs="TTE149BA98t00"/>
          <w:sz w:val="24"/>
          <w:szCs w:val="24"/>
        </w:rPr>
      </w:pPr>
      <w:r w:rsidRPr="00D67196">
        <w:rPr>
          <w:rFonts w:ascii="Cambria" w:hAnsi="Cambria" w:cs="TTE149BA98t00"/>
          <w:sz w:val="24"/>
          <w:szCs w:val="24"/>
        </w:rPr>
        <w:t>Test effects of different forest</w:t>
      </w:r>
      <w:r w:rsidR="008903EC">
        <w:rPr>
          <w:rFonts w:ascii="Cambria" w:hAnsi="Cambria" w:cs="TTE149BA98t00"/>
          <w:sz w:val="24"/>
          <w:szCs w:val="24"/>
        </w:rPr>
        <w:t xml:space="preserve"> </w:t>
      </w:r>
      <w:r w:rsidRPr="008903EC">
        <w:rPr>
          <w:rFonts w:ascii="Cambria" w:hAnsi="Cambria" w:cs="TTE149BA98t00"/>
          <w:sz w:val="24"/>
          <w:szCs w:val="24"/>
        </w:rPr>
        <w:t>management scenarios on wildfire</w:t>
      </w:r>
      <w:r w:rsidR="008903EC" w:rsidRPr="008903EC">
        <w:rPr>
          <w:rFonts w:ascii="Cambria" w:hAnsi="Cambria" w:cs="TTE149BA98t00"/>
          <w:sz w:val="24"/>
          <w:szCs w:val="24"/>
        </w:rPr>
        <w:t xml:space="preserve"> </w:t>
      </w:r>
      <w:r w:rsidRPr="008903EC">
        <w:rPr>
          <w:rFonts w:ascii="Cambria" w:hAnsi="Cambria" w:cs="TTE149BA98t00"/>
          <w:sz w:val="24"/>
          <w:szCs w:val="24"/>
        </w:rPr>
        <w:t>behavior, total emissions and other</w:t>
      </w:r>
      <w:r w:rsidR="008903EC" w:rsidRPr="008903EC">
        <w:rPr>
          <w:rFonts w:ascii="Cambria" w:hAnsi="Cambria" w:cs="TTE149BA98t00"/>
          <w:sz w:val="24"/>
          <w:szCs w:val="24"/>
        </w:rPr>
        <w:t xml:space="preserve"> </w:t>
      </w:r>
      <w:r w:rsidRPr="008903EC">
        <w:rPr>
          <w:rFonts w:ascii="Cambria" w:hAnsi="Cambria" w:cs="TTE149BA98t00"/>
          <w:sz w:val="24"/>
          <w:szCs w:val="24"/>
        </w:rPr>
        <w:t>environmental factors</w:t>
      </w:r>
    </w:p>
    <w:p w:rsidR="00D67196" w:rsidRDefault="00D67196" w:rsidP="008903EC">
      <w:pPr>
        <w:pStyle w:val="ListParagraph"/>
        <w:numPr>
          <w:ilvl w:val="0"/>
          <w:numId w:val="15"/>
        </w:numPr>
        <w:autoSpaceDE w:val="0"/>
        <w:autoSpaceDN w:val="0"/>
        <w:adjustRightInd w:val="0"/>
        <w:spacing w:after="0" w:line="240" w:lineRule="auto"/>
        <w:ind w:left="1080"/>
        <w:rPr>
          <w:rFonts w:ascii="Cambria" w:hAnsi="Cambria" w:cs="TTE149BA98t00"/>
          <w:sz w:val="24"/>
          <w:szCs w:val="24"/>
        </w:rPr>
      </w:pPr>
      <w:r w:rsidRPr="00D67196">
        <w:rPr>
          <w:rFonts w:ascii="Cambria" w:hAnsi="Cambria" w:cs="TTE149BA98t00"/>
          <w:sz w:val="24"/>
          <w:szCs w:val="24"/>
        </w:rPr>
        <w:t>Develop a decision-support framework</w:t>
      </w:r>
      <w:r w:rsidR="008903EC">
        <w:rPr>
          <w:rFonts w:ascii="Cambria" w:hAnsi="Cambria" w:cs="TTE149BA98t00"/>
          <w:sz w:val="24"/>
          <w:szCs w:val="24"/>
        </w:rPr>
        <w:t xml:space="preserve"> </w:t>
      </w:r>
      <w:r w:rsidRPr="008903EC">
        <w:rPr>
          <w:rFonts w:ascii="Cambria" w:hAnsi="Cambria" w:cs="TTE149BA98t00"/>
          <w:sz w:val="24"/>
          <w:szCs w:val="24"/>
        </w:rPr>
        <w:t>to test policy scenarios</w:t>
      </w:r>
    </w:p>
    <w:p w:rsidR="008903EC" w:rsidRPr="008903EC" w:rsidRDefault="008903EC" w:rsidP="008903EC">
      <w:pPr>
        <w:pStyle w:val="ListParagraph"/>
        <w:autoSpaceDE w:val="0"/>
        <w:autoSpaceDN w:val="0"/>
        <w:adjustRightInd w:val="0"/>
        <w:spacing w:after="0" w:line="240" w:lineRule="auto"/>
        <w:ind w:left="1080"/>
        <w:rPr>
          <w:rFonts w:ascii="Cambria" w:hAnsi="Cambria" w:cs="TTE149BA98t00"/>
          <w:sz w:val="24"/>
          <w:szCs w:val="24"/>
        </w:rPr>
      </w:pPr>
    </w:p>
    <w:p w:rsidR="00D67196" w:rsidRDefault="00D67196" w:rsidP="008E6B78">
      <w:pPr>
        <w:ind w:left="360"/>
        <w:rPr>
          <w:rFonts w:ascii="Cambria" w:hAnsi="Cambria"/>
          <w:sz w:val="24"/>
          <w:szCs w:val="24"/>
        </w:rPr>
      </w:pPr>
      <w:r>
        <w:rPr>
          <w:rFonts w:ascii="Cambria" w:hAnsi="Cambria"/>
          <w:sz w:val="24"/>
          <w:szCs w:val="24"/>
        </w:rPr>
        <w:t>Some of the features of the Study were:</w:t>
      </w:r>
    </w:p>
    <w:p w:rsidR="00D67196" w:rsidRPr="00D67196" w:rsidRDefault="00D67196" w:rsidP="00D67196">
      <w:pPr>
        <w:pStyle w:val="ListParagraph"/>
        <w:numPr>
          <w:ilvl w:val="0"/>
          <w:numId w:val="13"/>
        </w:numPr>
        <w:autoSpaceDE w:val="0"/>
        <w:autoSpaceDN w:val="0"/>
        <w:adjustRightInd w:val="0"/>
        <w:spacing w:after="0" w:line="240" w:lineRule="auto"/>
        <w:ind w:left="1080"/>
        <w:rPr>
          <w:rFonts w:ascii="Cambria" w:hAnsi="Cambria" w:cs="TTE149BA98t00"/>
          <w:sz w:val="24"/>
          <w:szCs w:val="24"/>
        </w:rPr>
      </w:pPr>
      <w:r w:rsidRPr="00D67196">
        <w:rPr>
          <w:rFonts w:ascii="Cambria" w:hAnsi="Cambria" w:cs="TTE149BA98t00"/>
          <w:sz w:val="24"/>
          <w:szCs w:val="24"/>
        </w:rPr>
        <w:t xml:space="preserve">Used </w:t>
      </w:r>
      <w:r w:rsidRPr="00D67196">
        <w:rPr>
          <w:rFonts w:ascii="Cambria" w:hAnsi="Cambria" w:cs="TTE1613ED0t00"/>
          <w:sz w:val="24"/>
          <w:szCs w:val="24"/>
        </w:rPr>
        <w:t xml:space="preserve">actual </w:t>
      </w:r>
      <w:r w:rsidRPr="00D67196">
        <w:rPr>
          <w:rFonts w:ascii="Cambria" w:hAnsi="Cambria" w:cs="TTE149BA98t00"/>
          <w:sz w:val="24"/>
          <w:szCs w:val="24"/>
        </w:rPr>
        <w:t>landscapes and land uses,</w:t>
      </w:r>
      <w:r>
        <w:rPr>
          <w:rFonts w:ascii="Cambria" w:hAnsi="Cambria" w:cs="TTE149BA98t00"/>
          <w:sz w:val="24"/>
          <w:szCs w:val="24"/>
        </w:rPr>
        <w:t xml:space="preserve"> </w:t>
      </w:r>
      <w:r w:rsidRPr="00D67196">
        <w:rPr>
          <w:rFonts w:ascii="Cambria" w:hAnsi="Cambria" w:cs="TTE149BA98t00"/>
          <w:sz w:val="24"/>
          <w:szCs w:val="24"/>
        </w:rPr>
        <w:t>mapped to a real region</w:t>
      </w:r>
    </w:p>
    <w:p w:rsidR="00D67196" w:rsidRPr="00D67196" w:rsidRDefault="00D67196" w:rsidP="00D67196">
      <w:pPr>
        <w:pStyle w:val="ListParagraph"/>
        <w:numPr>
          <w:ilvl w:val="0"/>
          <w:numId w:val="14"/>
        </w:numPr>
        <w:autoSpaceDE w:val="0"/>
        <w:autoSpaceDN w:val="0"/>
        <w:adjustRightInd w:val="0"/>
        <w:spacing w:after="0" w:line="240" w:lineRule="auto"/>
        <w:ind w:left="1080"/>
        <w:rPr>
          <w:rFonts w:ascii="Cambria" w:hAnsi="Cambria" w:cs="TTE149BA98t00"/>
          <w:sz w:val="24"/>
          <w:szCs w:val="24"/>
        </w:rPr>
      </w:pPr>
      <w:r w:rsidRPr="00D67196">
        <w:rPr>
          <w:rFonts w:ascii="Cambria" w:hAnsi="Cambria" w:cs="TTE149BA98t00"/>
          <w:sz w:val="24"/>
          <w:szCs w:val="24"/>
        </w:rPr>
        <w:lastRenderedPageBreak/>
        <w:t xml:space="preserve">Used </w:t>
      </w:r>
      <w:r w:rsidRPr="00D67196">
        <w:rPr>
          <w:rFonts w:ascii="Cambria" w:hAnsi="Cambria" w:cs="TTE1613ED0t00"/>
          <w:sz w:val="24"/>
          <w:szCs w:val="24"/>
        </w:rPr>
        <w:t xml:space="preserve">actual </w:t>
      </w:r>
      <w:r w:rsidRPr="00D67196">
        <w:rPr>
          <w:rFonts w:ascii="Cambria" w:hAnsi="Cambria" w:cs="TTE149BA98t00"/>
          <w:sz w:val="24"/>
          <w:szCs w:val="24"/>
        </w:rPr>
        <w:t>data from biomass powerplants, operations and professional</w:t>
      </w:r>
      <w:r>
        <w:rPr>
          <w:rFonts w:ascii="Cambria" w:hAnsi="Cambria" w:cs="TTE149BA98t00"/>
          <w:sz w:val="24"/>
          <w:szCs w:val="24"/>
        </w:rPr>
        <w:t xml:space="preserve"> </w:t>
      </w:r>
      <w:r w:rsidRPr="00D67196">
        <w:rPr>
          <w:rFonts w:ascii="Cambria" w:hAnsi="Cambria" w:cs="TTE149BA98t00"/>
          <w:sz w:val="24"/>
          <w:szCs w:val="24"/>
        </w:rPr>
        <w:t>experience</w:t>
      </w:r>
    </w:p>
    <w:p w:rsidR="00D67196" w:rsidRPr="00D67196" w:rsidRDefault="002D36E2" w:rsidP="00D67196">
      <w:pPr>
        <w:pStyle w:val="ListParagraph"/>
        <w:numPr>
          <w:ilvl w:val="0"/>
          <w:numId w:val="14"/>
        </w:numPr>
        <w:autoSpaceDE w:val="0"/>
        <w:autoSpaceDN w:val="0"/>
        <w:adjustRightInd w:val="0"/>
        <w:spacing w:after="0" w:line="240" w:lineRule="auto"/>
        <w:ind w:left="1080"/>
        <w:rPr>
          <w:rFonts w:ascii="Cambria" w:hAnsi="Cambria" w:cs="TTE149BA98t00"/>
          <w:sz w:val="24"/>
          <w:szCs w:val="24"/>
        </w:rPr>
      </w:pPr>
      <w:r>
        <w:rPr>
          <w:rFonts w:ascii="Cambria" w:hAnsi="Cambria" w:cs="TTE149BA98t00"/>
          <w:sz w:val="24"/>
          <w:szCs w:val="24"/>
        </w:rPr>
        <w:t>Built a reference case</w:t>
      </w:r>
      <w:r w:rsidR="00D67196" w:rsidRPr="00D67196">
        <w:rPr>
          <w:rFonts w:ascii="Cambria" w:hAnsi="Cambria" w:cs="TTE149BA98t00"/>
          <w:sz w:val="24"/>
          <w:szCs w:val="24"/>
        </w:rPr>
        <w:t xml:space="preserve"> and a </w:t>
      </w:r>
      <w:r>
        <w:rPr>
          <w:rFonts w:ascii="Cambria" w:hAnsi="Cambria" w:cs="TTE149BA98t00"/>
          <w:sz w:val="24"/>
          <w:szCs w:val="24"/>
        </w:rPr>
        <w:t xml:space="preserve">test scenario </w:t>
      </w:r>
      <w:r w:rsidR="00D67196" w:rsidRPr="00D67196">
        <w:rPr>
          <w:rFonts w:ascii="Cambria" w:hAnsi="Cambria" w:cs="TTE149BA98t00"/>
          <w:sz w:val="24"/>
          <w:szCs w:val="24"/>
        </w:rPr>
        <w:t>based on real-time</w:t>
      </w:r>
      <w:r w:rsidR="00D67196">
        <w:rPr>
          <w:rFonts w:ascii="Cambria" w:hAnsi="Cambria" w:cs="TTE149BA98t00"/>
          <w:sz w:val="24"/>
          <w:szCs w:val="24"/>
        </w:rPr>
        <w:t xml:space="preserve"> </w:t>
      </w:r>
      <w:r w:rsidR="00D67196" w:rsidRPr="00D67196">
        <w:rPr>
          <w:rFonts w:ascii="Cambria" w:hAnsi="Cambria" w:cs="TTE149BA98t00"/>
          <w:sz w:val="24"/>
          <w:szCs w:val="24"/>
        </w:rPr>
        <w:t>practices</w:t>
      </w:r>
    </w:p>
    <w:p w:rsidR="00D67196" w:rsidRDefault="00D67196" w:rsidP="00D67196">
      <w:pPr>
        <w:pStyle w:val="ListParagraph"/>
        <w:numPr>
          <w:ilvl w:val="0"/>
          <w:numId w:val="14"/>
        </w:numPr>
        <w:autoSpaceDE w:val="0"/>
        <w:autoSpaceDN w:val="0"/>
        <w:adjustRightInd w:val="0"/>
        <w:spacing w:after="0" w:line="240" w:lineRule="auto"/>
        <w:ind w:left="1080"/>
        <w:rPr>
          <w:rFonts w:ascii="Cambria" w:hAnsi="Cambria" w:cs="TTE149BA98t00"/>
          <w:sz w:val="24"/>
          <w:szCs w:val="24"/>
        </w:rPr>
      </w:pPr>
      <w:r w:rsidRPr="00D67196">
        <w:rPr>
          <w:rFonts w:ascii="Cambria" w:hAnsi="Cambria" w:cs="TTE149BA98t00"/>
          <w:sz w:val="24"/>
          <w:szCs w:val="24"/>
        </w:rPr>
        <w:t>Delivered a modeling framework for</w:t>
      </w:r>
      <w:r>
        <w:rPr>
          <w:rFonts w:ascii="Cambria" w:hAnsi="Cambria" w:cs="TTE149BA98t00"/>
          <w:sz w:val="24"/>
          <w:szCs w:val="24"/>
        </w:rPr>
        <w:t xml:space="preserve"> </w:t>
      </w:r>
      <w:r w:rsidRPr="00D67196">
        <w:rPr>
          <w:rFonts w:ascii="Cambria" w:hAnsi="Cambria" w:cs="TTE149BA98t00"/>
          <w:sz w:val="24"/>
          <w:szCs w:val="24"/>
        </w:rPr>
        <w:t>further scenario development</w:t>
      </w:r>
    </w:p>
    <w:p w:rsidR="00D67196" w:rsidRPr="00D67196" w:rsidRDefault="00D67196" w:rsidP="00D67196">
      <w:pPr>
        <w:pStyle w:val="ListParagraph"/>
        <w:autoSpaceDE w:val="0"/>
        <w:autoSpaceDN w:val="0"/>
        <w:adjustRightInd w:val="0"/>
        <w:spacing w:after="0" w:line="240" w:lineRule="auto"/>
        <w:ind w:left="1080"/>
        <w:rPr>
          <w:rFonts w:ascii="Cambria" w:hAnsi="Cambria" w:cs="TTE149BA98t00"/>
          <w:sz w:val="24"/>
          <w:szCs w:val="24"/>
        </w:rPr>
      </w:pPr>
    </w:p>
    <w:p w:rsidR="00D67196" w:rsidRDefault="00D67196" w:rsidP="008E6B78">
      <w:pPr>
        <w:ind w:left="360"/>
        <w:rPr>
          <w:rFonts w:ascii="Cambria" w:hAnsi="Cambria"/>
          <w:sz w:val="24"/>
          <w:szCs w:val="24"/>
        </w:rPr>
      </w:pPr>
      <w:r>
        <w:rPr>
          <w:rFonts w:ascii="Cambria" w:hAnsi="Cambria"/>
          <w:sz w:val="24"/>
          <w:szCs w:val="24"/>
        </w:rPr>
        <w:t>The outcomes of the research shows:</w:t>
      </w:r>
    </w:p>
    <w:p w:rsidR="00D67196" w:rsidRPr="00D67196" w:rsidRDefault="00D67196" w:rsidP="00D67196">
      <w:pPr>
        <w:pStyle w:val="ListParagraph"/>
        <w:numPr>
          <w:ilvl w:val="0"/>
          <w:numId w:val="12"/>
        </w:numPr>
        <w:autoSpaceDE w:val="0"/>
        <w:autoSpaceDN w:val="0"/>
        <w:adjustRightInd w:val="0"/>
        <w:spacing w:after="0" w:line="240" w:lineRule="auto"/>
        <w:ind w:left="1080"/>
        <w:rPr>
          <w:rFonts w:ascii="Cambria" w:hAnsi="Cambria" w:cs="TTE148F848t00"/>
          <w:color w:val="000000" w:themeColor="text1"/>
          <w:sz w:val="24"/>
          <w:szCs w:val="24"/>
        </w:rPr>
      </w:pPr>
      <w:r w:rsidRPr="00D67196">
        <w:rPr>
          <w:rFonts w:ascii="Cambria" w:hAnsi="Cambria" w:cs="TTE148F848t00"/>
          <w:color w:val="000000" w:themeColor="text1"/>
          <w:sz w:val="24"/>
          <w:szCs w:val="24"/>
        </w:rPr>
        <w:t>22% reduction in the extent of wildfire and significant reductions in fire severity</w:t>
      </w:r>
    </w:p>
    <w:p w:rsidR="00D67196" w:rsidRPr="00D67196" w:rsidRDefault="00D67196" w:rsidP="00D67196">
      <w:pPr>
        <w:autoSpaceDE w:val="0"/>
        <w:autoSpaceDN w:val="0"/>
        <w:adjustRightInd w:val="0"/>
        <w:spacing w:after="0" w:line="240" w:lineRule="auto"/>
        <w:ind w:left="1080"/>
        <w:rPr>
          <w:rFonts w:ascii="Cambria" w:hAnsi="Cambria" w:cs="TTE10E3338t00"/>
          <w:color w:val="000000" w:themeColor="text1"/>
          <w:sz w:val="24"/>
          <w:szCs w:val="24"/>
        </w:rPr>
      </w:pPr>
    </w:p>
    <w:p w:rsidR="008167BC" w:rsidRPr="002D36E2" w:rsidRDefault="00D67196" w:rsidP="002D36E2">
      <w:pPr>
        <w:pStyle w:val="ListParagraph"/>
        <w:numPr>
          <w:ilvl w:val="0"/>
          <w:numId w:val="12"/>
        </w:numPr>
        <w:autoSpaceDE w:val="0"/>
        <w:autoSpaceDN w:val="0"/>
        <w:adjustRightInd w:val="0"/>
        <w:spacing w:after="0" w:line="240" w:lineRule="auto"/>
        <w:ind w:left="1080"/>
        <w:rPr>
          <w:rFonts w:ascii="Cambria" w:hAnsi="Cambria" w:cs="TTE148F848t00"/>
          <w:color w:val="000000" w:themeColor="text1"/>
          <w:sz w:val="24"/>
          <w:szCs w:val="24"/>
        </w:rPr>
      </w:pPr>
      <w:r w:rsidRPr="00D67196">
        <w:rPr>
          <w:rFonts w:ascii="Cambria" w:hAnsi="Cambria" w:cs="TTE148F848t00"/>
          <w:color w:val="000000" w:themeColor="text1"/>
          <w:sz w:val="24"/>
          <w:szCs w:val="24"/>
        </w:rPr>
        <w:t xml:space="preserve">65% reduction in greenhouse gases (from 17 to </w:t>
      </w:r>
      <w:r w:rsidR="0084409D">
        <w:rPr>
          <w:rFonts w:ascii="Cambria" w:hAnsi="Cambria" w:cs="TTE148F848t00"/>
          <w:color w:val="000000" w:themeColor="text1"/>
          <w:sz w:val="24"/>
          <w:szCs w:val="24"/>
        </w:rPr>
        <w:t>5.9 million tons CO2 equivalent on a 2.7 million acre landscape that modeled vegetation treatment on 1.97 million acres)</w:t>
      </w:r>
    </w:p>
    <w:p w:rsidR="00D67196" w:rsidRPr="00D67196" w:rsidRDefault="00D67196" w:rsidP="00D67196">
      <w:pPr>
        <w:autoSpaceDE w:val="0"/>
        <w:autoSpaceDN w:val="0"/>
        <w:adjustRightInd w:val="0"/>
        <w:spacing w:after="0" w:line="240" w:lineRule="auto"/>
        <w:ind w:left="1080"/>
        <w:rPr>
          <w:rFonts w:ascii="Cambria" w:hAnsi="Cambria" w:cs="TTE148F848t00"/>
          <w:color w:val="000000" w:themeColor="text1"/>
          <w:sz w:val="24"/>
          <w:szCs w:val="24"/>
        </w:rPr>
      </w:pPr>
    </w:p>
    <w:p w:rsidR="008167BC" w:rsidRPr="002D36E2" w:rsidRDefault="00D67196" w:rsidP="002D36E2">
      <w:pPr>
        <w:pStyle w:val="ListParagraph"/>
        <w:numPr>
          <w:ilvl w:val="0"/>
          <w:numId w:val="12"/>
        </w:numPr>
        <w:autoSpaceDE w:val="0"/>
        <w:autoSpaceDN w:val="0"/>
        <w:adjustRightInd w:val="0"/>
        <w:spacing w:after="0" w:line="240" w:lineRule="auto"/>
        <w:ind w:left="1080"/>
        <w:rPr>
          <w:rFonts w:ascii="Cambria" w:hAnsi="Cambria" w:cs="TTE148F848t00"/>
          <w:color w:val="000000" w:themeColor="text1"/>
          <w:sz w:val="24"/>
          <w:szCs w:val="24"/>
        </w:rPr>
      </w:pPr>
      <w:r w:rsidRPr="00D67196">
        <w:rPr>
          <w:rFonts w:ascii="Cambria" w:hAnsi="Cambria" w:cs="TTE148F848t00"/>
          <w:color w:val="000000" w:themeColor="text1"/>
          <w:sz w:val="24"/>
          <w:szCs w:val="24"/>
        </w:rPr>
        <w:t>$246 million savings in wildfire damage</w:t>
      </w:r>
    </w:p>
    <w:p w:rsidR="00D67196" w:rsidRPr="00D67196" w:rsidRDefault="00D67196" w:rsidP="00D67196">
      <w:pPr>
        <w:autoSpaceDE w:val="0"/>
        <w:autoSpaceDN w:val="0"/>
        <w:adjustRightInd w:val="0"/>
        <w:spacing w:after="0" w:line="240" w:lineRule="auto"/>
        <w:ind w:left="1080"/>
        <w:rPr>
          <w:rFonts w:ascii="Cambria" w:hAnsi="Cambria" w:cs="TTE10E3338t00"/>
          <w:color w:val="000000" w:themeColor="text1"/>
          <w:sz w:val="24"/>
          <w:szCs w:val="24"/>
        </w:rPr>
      </w:pPr>
    </w:p>
    <w:p w:rsidR="00D67196" w:rsidRPr="00D67196" w:rsidRDefault="00D67196" w:rsidP="00D67196">
      <w:pPr>
        <w:pStyle w:val="ListParagraph"/>
        <w:numPr>
          <w:ilvl w:val="0"/>
          <w:numId w:val="12"/>
        </w:numPr>
        <w:autoSpaceDE w:val="0"/>
        <w:autoSpaceDN w:val="0"/>
        <w:adjustRightInd w:val="0"/>
        <w:spacing w:after="0" w:line="240" w:lineRule="auto"/>
        <w:ind w:left="1080"/>
        <w:rPr>
          <w:rFonts w:ascii="Cambria" w:hAnsi="Cambria" w:cs="TTE148F848t00"/>
          <w:color w:val="000000" w:themeColor="text1"/>
          <w:sz w:val="24"/>
          <w:szCs w:val="24"/>
        </w:rPr>
      </w:pPr>
      <w:r w:rsidRPr="00D67196">
        <w:rPr>
          <w:rFonts w:ascii="Cambria" w:hAnsi="Cambria" w:cs="TTE148F848t00"/>
          <w:color w:val="000000" w:themeColor="text1"/>
          <w:sz w:val="24"/>
          <w:szCs w:val="24"/>
        </w:rPr>
        <w:t>$4.6 million reduction in firefighting costs</w:t>
      </w:r>
    </w:p>
    <w:p w:rsidR="008167BC" w:rsidRPr="008167BC" w:rsidRDefault="008167BC" w:rsidP="008167BC">
      <w:pPr>
        <w:pStyle w:val="ListParagraph"/>
        <w:rPr>
          <w:rFonts w:ascii="Cambria" w:hAnsi="Cambria" w:cs="TTE148F848t00"/>
          <w:color w:val="000000" w:themeColor="text1"/>
          <w:sz w:val="24"/>
          <w:szCs w:val="24"/>
        </w:rPr>
      </w:pPr>
    </w:p>
    <w:p w:rsidR="00D67196" w:rsidRPr="00D67196" w:rsidRDefault="00D67196" w:rsidP="00D67196">
      <w:pPr>
        <w:pStyle w:val="ListParagraph"/>
        <w:numPr>
          <w:ilvl w:val="0"/>
          <w:numId w:val="12"/>
        </w:numPr>
        <w:autoSpaceDE w:val="0"/>
        <w:autoSpaceDN w:val="0"/>
        <w:adjustRightInd w:val="0"/>
        <w:spacing w:after="0" w:line="240" w:lineRule="auto"/>
        <w:ind w:left="1080"/>
        <w:rPr>
          <w:rFonts w:ascii="Cambria" w:hAnsi="Cambria" w:cs="TTE148F848t00"/>
          <w:color w:val="000000" w:themeColor="text1"/>
          <w:sz w:val="24"/>
          <w:szCs w:val="24"/>
        </w:rPr>
      </w:pPr>
      <w:r w:rsidRPr="00D67196">
        <w:rPr>
          <w:rFonts w:ascii="Cambria" w:hAnsi="Cambria" w:cs="TTE148F848t00"/>
          <w:color w:val="000000" w:themeColor="text1"/>
          <w:sz w:val="24"/>
          <w:szCs w:val="24"/>
        </w:rPr>
        <w:t>Significant differences in watershed impacts</w:t>
      </w:r>
    </w:p>
    <w:p w:rsidR="00D67196" w:rsidRPr="00D67196" w:rsidRDefault="00D67196" w:rsidP="00D67196">
      <w:pPr>
        <w:autoSpaceDE w:val="0"/>
        <w:autoSpaceDN w:val="0"/>
        <w:adjustRightInd w:val="0"/>
        <w:spacing w:after="0" w:line="240" w:lineRule="auto"/>
        <w:ind w:left="1080"/>
        <w:rPr>
          <w:rFonts w:ascii="Cambria" w:hAnsi="Cambria" w:cs="TTE10E3338t00"/>
          <w:color w:val="000000" w:themeColor="text1"/>
          <w:sz w:val="24"/>
          <w:szCs w:val="24"/>
        </w:rPr>
      </w:pPr>
    </w:p>
    <w:p w:rsidR="008167BC" w:rsidRPr="002D36E2" w:rsidRDefault="00D67196" w:rsidP="002D36E2">
      <w:pPr>
        <w:pStyle w:val="ListParagraph"/>
        <w:numPr>
          <w:ilvl w:val="0"/>
          <w:numId w:val="12"/>
        </w:numPr>
        <w:autoSpaceDE w:val="0"/>
        <w:autoSpaceDN w:val="0"/>
        <w:adjustRightInd w:val="0"/>
        <w:spacing w:after="0" w:line="240" w:lineRule="auto"/>
        <w:ind w:left="1080"/>
        <w:rPr>
          <w:rFonts w:ascii="Cambria" w:hAnsi="Cambria" w:cs="TTE148F848t00"/>
          <w:color w:val="000000" w:themeColor="text1"/>
          <w:sz w:val="24"/>
          <w:szCs w:val="24"/>
        </w:rPr>
      </w:pPr>
      <w:r w:rsidRPr="00D67196">
        <w:rPr>
          <w:rFonts w:ascii="Cambria" w:hAnsi="Cambria" w:cs="TTE148F848t00"/>
          <w:color w:val="000000" w:themeColor="text1"/>
          <w:sz w:val="24"/>
          <w:szCs w:val="24"/>
        </w:rPr>
        <w:t>No significant change in habitat quality from treatments</w:t>
      </w:r>
    </w:p>
    <w:p w:rsidR="00D67196" w:rsidRDefault="00D67196" w:rsidP="00D67196">
      <w:pPr>
        <w:autoSpaceDE w:val="0"/>
        <w:autoSpaceDN w:val="0"/>
        <w:adjustRightInd w:val="0"/>
        <w:spacing w:after="0" w:line="240" w:lineRule="auto"/>
        <w:ind w:left="1080"/>
        <w:rPr>
          <w:rFonts w:ascii="Cambria" w:hAnsi="Cambria" w:cs="TTE148F848t00"/>
          <w:sz w:val="24"/>
          <w:szCs w:val="24"/>
        </w:rPr>
      </w:pPr>
    </w:p>
    <w:p w:rsidR="008167BC" w:rsidRPr="002D36E2" w:rsidRDefault="00D67196" w:rsidP="002D36E2">
      <w:pPr>
        <w:pStyle w:val="ListParagraph"/>
        <w:numPr>
          <w:ilvl w:val="0"/>
          <w:numId w:val="12"/>
        </w:numPr>
        <w:autoSpaceDE w:val="0"/>
        <w:autoSpaceDN w:val="0"/>
        <w:adjustRightInd w:val="0"/>
        <w:spacing w:after="0" w:line="240" w:lineRule="auto"/>
        <w:ind w:left="1080"/>
        <w:rPr>
          <w:rFonts w:ascii="Cambria" w:hAnsi="Cambria" w:cs="TTE148F848t00"/>
          <w:sz w:val="24"/>
          <w:szCs w:val="24"/>
        </w:rPr>
      </w:pPr>
      <w:r w:rsidRPr="00D67196">
        <w:rPr>
          <w:rFonts w:ascii="Cambria" w:hAnsi="Cambria" w:cs="TTE148F848t00"/>
          <w:sz w:val="24"/>
          <w:szCs w:val="24"/>
        </w:rPr>
        <w:t>Life-cycle “savings” of 120 Terawatt-hours in fossil fuel generation by using biomass for power</w:t>
      </w:r>
    </w:p>
    <w:p w:rsidR="00D67196" w:rsidRPr="00D67196" w:rsidRDefault="00D67196" w:rsidP="00D67196">
      <w:pPr>
        <w:autoSpaceDE w:val="0"/>
        <w:autoSpaceDN w:val="0"/>
        <w:adjustRightInd w:val="0"/>
        <w:spacing w:after="0" w:line="240" w:lineRule="auto"/>
        <w:ind w:left="1080"/>
        <w:rPr>
          <w:rFonts w:ascii="Cambria" w:hAnsi="Cambria" w:cs="TTE148F848t00"/>
          <w:sz w:val="24"/>
          <w:szCs w:val="24"/>
        </w:rPr>
      </w:pPr>
    </w:p>
    <w:p w:rsidR="00D67196" w:rsidRDefault="00D67196" w:rsidP="00D67196">
      <w:pPr>
        <w:pStyle w:val="ListParagraph"/>
        <w:numPr>
          <w:ilvl w:val="0"/>
          <w:numId w:val="12"/>
        </w:numPr>
        <w:autoSpaceDE w:val="0"/>
        <w:autoSpaceDN w:val="0"/>
        <w:adjustRightInd w:val="0"/>
        <w:spacing w:after="0" w:line="240" w:lineRule="auto"/>
        <w:ind w:left="1080"/>
        <w:rPr>
          <w:rFonts w:ascii="Cambria" w:hAnsi="Cambria" w:cs="TTE148F848t00"/>
          <w:sz w:val="24"/>
          <w:szCs w:val="24"/>
        </w:rPr>
      </w:pPr>
      <w:r w:rsidRPr="00D67196">
        <w:rPr>
          <w:rFonts w:ascii="Cambria" w:hAnsi="Cambria" w:cs="TTE148F848t00"/>
          <w:sz w:val="24"/>
          <w:szCs w:val="24"/>
        </w:rPr>
        <w:t>$1.58 billion in power generation revenues</w:t>
      </w:r>
    </w:p>
    <w:p w:rsidR="0084409D" w:rsidRPr="0084409D" w:rsidRDefault="0084409D" w:rsidP="0084409D">
      <w:pPr>
        <w:pStyle w:val="ListParagraph"/>
        <w:rPr>
          <w:rFonts w:ascii="Cambria" w:hAnsi="Cambria" w:cs="TTE148F848t00"/>
          <w:sz w:val="24"/>
          <w:szCs w:val="24"/>
        </w:rPr>
      </w:pPr>
    </w:p>
    <w:p w:rsidR="0084409D" w:rsidRPr="0084409D" w:rsidRDefault="0084409D" w:rsidP="0084409D">
      <w:pPr>
        <w:autoSpaceDE w:val="0"/>
        <w:autoSpaceDN w:val="0"/>
        <w:adjustRightInd w:val="0"/>
        <w:spacing w:after="0" w:line="240" w:lineRule="auto"/>
        <w:ind w:left="360"/>
        <w:rPr>
          <w:rFonts w:ascii="Cambria" w:hAnsi="Cambria" w:cs="TTE148F848t00"/>
          <w:sz w:val="24"/>
          <w:szCs w:val="24"/>
        </w:rPr>
      </w:pPr>
      <w:r>
        <w:rPr>
          <w:rFonts w:ascii="Cambria" w:hAnsi="Cambria" w:cs="TTE148F848t00"/>
          <w:sz w:val="24"/>
          <w:szCs w:val="24"/>
        </w:rPr>
        <w:t xml:space="preserve">Extrapolating these outcomes to the 8.3 million acres of suitable productive forest land for active management on California’s National Forests, the 4.4 million acres of industrial productive forest land, and the 4.6 million acres of productive forest land on non-industrial private forest lands is difficult.  Arguably the industrial forest lands are being actively managed.  It’s the Forest Service and non-industrial private that is where most of the benefits would come from.  The Nechodom 1.97 million acres of treatment in his study area was about 15% of the Forest Service and non-industrial private productive forest lands.  A rough calculation would be to extrapolate a 6.7 times increase in benefits.  That calculation yields about a 1.9 million ton per year net reduction in CO2e. </w:t>
      </w:r>
    </w:p>
    <w:p w:rsidR="00086540" w:rsidRPr="002D36E2" w:rsidRDefault="00086540" w:rsidP="002D36E2">
      <w:pPr>
        <w:rPr>
          <w:rFonts w:ascii="Cambria" w:hAnsi="Cambria" w:cs="TTE148F848t00"/>
          <w:sz w:val="24"/>
          <w:szCs w:val="24"/>
        </w:rPr>
      </w:pPr>
    </w:p>
    <w:p w:rsidR="00086540" w:rsidRPr="00086540" w:rsidRDefault="00086540" w:rsidP="00086540">
      <w:pPr>
        <w:ind w:left="360"/>
        <w:rPr>
          <w:rFonts w:ascii="Cambria" w:hAnsi="Cambria"/>
          <w:sz w:val="24"/>
          <w:szCs w:val="24"/>
        </w:rPr>
      </w:pPr>
      <w:r>
        <w:rPr>
          <w:rFonts w:ascii="Cambria" w:hAnsi="Cambria" w:cs="TTE148F848t00"/>
          <w:sz w:val="24"/>
          <w:szCs w:val="24"/>
        </w:rPr>
        <w:t>In addition, U.S. Fish and Wildlife Service</w:t>
      </w:r>
      <w:r w:rsidRPr="00086540">
        <w:rPr>
          <w:rFonts w:ascii="Cambria" w:hAnsi="Cambria"/>
          <w:sz w:val="24"/>
          <w:szCs w:val="24"/>
        </w:rPr>
        <w:t xml:space="preserve"> </w:t>
      </w:r>
      <w:r>
        <w:rPr>
          <w:rFonts w:ascii="Cambria" w:hAnsi="Cambria"/>
          <w:sz w:val="24"/>
          <w:szCs w:val="24"/>
        </w:rPr>
        <w:t>has pointed out that t</w:t>
      </w:r>
      <w:r w:rsidRPr="002F5F6F">
        <w:rPr>
          <w:rFonts w:ascii="Cambria" w:hAnsi="Cambria"/>
          <w:sz w:val="24"/>
          <w:szCs w:val="24"/>
        </w:rPr>
        <w:t>he biggest risk to wildlife in California is catastrophic wildfire (Steve Thompson, USFWS, June 9, 2006 editori</w:t>
      </w:r>
      <w:r>
        <w:rPr>
          <w:rFonts w:ascii="Cambria" w:hAnsi="Cambria"/>
          <w:sz w:val="24"/>
          <w:szCs w:val="24"/>
        </w:rPr>
        <w:t xml:space="preserve">al in the Redding Searchlight).  CA Dept. of Fish and Wildlife </w:t>
      </w:r>
      <w:r w:rsidRPr="002F5F6F">
        <w:rPr>
          <w:rFonts w:ascii="Cambria" w:hAnsi="Cambria"/>
          <w:sz w:val="24"/>
          <w:szCs w:val="24"/>
        </w:rPr>
        <w:t xml:space="preserve">has </w:t>
      </w:r>
      <w:r>
        <w:rPr>
          <w:rFonts w:ascii="Cambria" w:hAnsi="Cambria"/>
          <w:sz w:val="24"/>
          <w:szCs w:val="24"/>
        </w:rPr>
        <w:t xml:space="preserve">also </w:t>
      </w:r>
      <w:r w:rsidRPr="002F5F6F">
        <w:rPr>
          <w:rFonts w:ascii="Cambria" w:hAnsi="Cambria"/>
          <w:sz w:val="24"/>
          <w:szCs w:val="24"/>
        </w:rPr>
        <w:t xml:space="preserve">identified 12 bird species as having significant negative population trends </w:t>
      </w:r>
      <w:r w:rsidRPr="00086540">
        <w:rPr>
          <w:rFonts w:ascii="Cambria" w:hAnsi="Cambria"/>
          <w:sz w:val="24"/>
          <w:szCs w:val="24"/>
        </w:rPr>
        <w:t>because of Sierra Nevada forests becoming denser</w:t>
      </w:r>
      <w:r w:rsidRPr="0011772D">
        <w:rPr>
          <w:rFonts w:ascii="Cambria" w:hAnsi="Cambria"/>
          <w:b/>
          <w:sz w:val="24"/>
          <w:szCs w:val="24"/>
        </w:rPr>
        <w:t>.</w:t>
      </w:r>
    </w:p>
    <w:p w:rsidR="00086540" w:rsidRPr="00086540" w:rsidRDefault="00086540" w:rsidP="00086540">
      <w:pPr>
        <w:autoSpaceDE w:val="0"/>
        <w:autoSpaceDN w:val="0"/>
        <w:adjustRightInd w:val="0"/>
        <w:spacing w:after="0" w:line="240" w:lineRule="auto"/>
        <w:rPr>
          <w:rFonts w:ascii="Cambria" w:hAnsi="Cambria" w:cs="TTE148F848t00"/>
          <w:sz w:val="24"/>
          <w:szCs w:val="24"/>
        </w:rPr>
      </w:pPr>
    </w:p>
    <w:p w:rsidR="00D67196" w:rsidRPr="00D67196" w:rsidRDefault="00D67196" w:rsidP="00D67196">
      <w:pPr>
        <w:autoSpaceDE w:val="0"/>
        <w:autoSpaceDN w:val="0"/>
        <w:adjustRightInd w:val="0"/>
        <w:spacing w:after="0" w:line="240" w:lineRule="auto"/>
        <w:rPr>
          <w:rFonts w:ascii="Cambria" w:hAnsi="Cambria" w:cs="TTE148F848t00"/>
          <w:color w:val="33339A"/>
          <w:sz w:val="24"/>
          <w:szCs w:val="24"/>
        </w:rPr>
      </w:pPr>
    </w:p>
    <w:p w:rsidR="007F5AA2" w:rsidRPr="001A1985" w:rsidRDefault="007F5AA2" w:rsidP="007F5AA2">
      <w:pPr>
        <w:ind w:left="360"/>
        <w:rPr>
          <w:rFonts w:ascii="Cambria" w:hAnsi="Cambria"/>
          <w:b/>
          <w:sz w:val="24"/>
          <w:szCs w:val="24"/>
        </w:rPr>
      </w:pPr>
      <w:r w:rsidRPr="001A1985">
        <w:rPr>
          <w:rFonts w:ascii="Cambria" w:hAnsi="Cambria"/>
          <w:b/>
          <w:sz w:val="24"/>
          <w:szCs w:val="24"/>
        </w:rPr>
        <w:t>The issue of biomass and carbon neutrality</w:t>
      </w:r>
    </w:p>
    <w:p w:rsidR="007F5AA2" w:rsidRDefault="007F5AA2" w:rsidP="007F5AA2">
      <w:pPr>
        <w:ind w:left="360"/>
        <w:rPr>
          <w:rFonts w:ascii="Cambria" w:hAnsi="Cambria"/>
          <w:sz w:val="24"/>
          <w:szCs w:val="24"/>
        </w:rPr>
      </w:pPr>
      <w:r>
        <w:rPr>
          <w:rFonts w:ascii="Cambria" w:hAnsi="Cambria"/>
          <w:sz w:val="24"/>
          <w:szCs w:val="24"/>
        </w:rPr>
        <w:t>Often there is no differentiation between biogenic carbon (carbon that can be replaced by planting a tree) and anthropogeni</w:t>
      </w:r>
      <w:r w:rsidR="00900552">
        <w:rPr>
          <w:rFonts w:ascii="Cambria" w:hAnsi="Cambria"/>
          <w:sz w:val="24"/>
          <w:szCs w:val="24"/>
        </w:rPr>
        <w:t>c carbon (e.g. fossil fuels).  Yet w</w:t>
      </w:r>
      <w:r>
        <w:rPr>
          <w:rFonts w:ascii="Cambria" w:hAnsi="Cambria"/>
          <w:sz w:val="24"/>
          <w:szCs w:val="24"/>
        </w:rPr>
        <w:t xml:space="preserve">henever </w:t>
      </w:r>
      <w:r w:rsidR="00E92E89">
        <w:rPr>
          <w:rFonts w:ascii="Cambria" w:hAnsi="Cambria"/>
          <w:sz w:val="24"/>
          <w:szCs w:val="24"/>
        </w:rPr>
        <w:t xml:space="preserve">one bone dry ton of </w:t>
      </w:r>
      <w:r>
        <w:rPr>
          <w:rFonts w:ascii="Cambria" w:hAnsi="Cambria"/>
          <w:sz w:val="24"/>
          <w:szCs w:val="24"/>
        </w:rPr>
        <w:t>wood residue is used to generate heat and power,</w:t>
      </w:r>
      <w:r w:rsidR="00900552">
        <w:rPr>
          <w:rFonts w:ascii="Cambria" w:hAnsi="Cambria"/>
          <w:sz w:val="24"/>
          <w:szCs w:val="24"/>
        </w:rPr>
        <w:t xml:space="preserve"> it is known that it provides a </w:t>
      </w:r>
      <w:r w:rsidR="00E92E89">
        <w:rPr>
          <w:rFonts w:ascii="Cambria" w:hAnsi="Cambria"/>
          <w:sz w:val="24"/>
          <w:szCs w:val="24"/>
        </w:rPr>
        <w:t>0.4 tons of natural gas</w:t>
      </w:r>
      <w:r>
        <w:rPr>
          <w:rFonts w:ascii="Cambria" w:hAnsi="Cambria"/>
          <w:sz w:val="24"/>
          <w:szCs w:val="24"/>
        </w:rPr>
        <w:t xml:space="preserve"> offset.</w:t>
      </w:r>
    </w:p>
    <w:p w:rsidR="007F5AA2" w:rsidRDefault="007F5AA2" w:rsidP="007F5AA2">
      <w:pPr>
        <w:ind w:left="360"/>
        <w:rPr>
          <w:rFonts w:ascii="Cambria" w:hAnsi="Cambria"/>
          <w:sz w:val="24"/>
          <w:szCs w:val="24"/>
        </w:rPr>
      </w:pPr>
      <w:r>
        <w:rPr>
          <w:rFonts w:ascii="Cambria" w:hAnsi="Cambria"/>
          <w:sz w:val="24"/>
          <w:szCs w:val="24"/>
        </w:rPr>
        <w:t>The net impact of the forest carbon cycle is that CO2 flows in and out of forests.  The carbon in biomass will return to the atmosphere whether it</w:t>
      </w:r>
      <w:r w:rsidR="00E92E89">
        <w:rPr>
          <w:rFonts w:ascii="Cambria" w:hAnsi="Cambria"/>
          <w:sz w:val="24"/>
          <w:szCs w:val="24"/>
        </w:rPr>
        <w:t xml:space="preserve"> is combusted in a boiler, open-</w:t>
      </w:r>
      <w:r>
        <w:rPr>
          <w:rFonts w:ascii="Cambria" w:hAnsi="Cambria"/>
          <w:sz w:val="24"/>
          <w:szCs w:val="24"/>
        </w:rPr>
        <w:t xml:space="preserve">burned, left to decompose on the forest floor, or burned in a wildfire.  Overall, the flow is carbon-positive when forests are sustainably managed.  Nationwide, over the past 50 years, there has been a net increase in forest carbon stocks.  And even though overall forests are carbon sinks, </w:t>
      </w:r>
      <w:r w:rsidR="00E92E89">
        <w:rPr>
          <w:rFonts w:ascii="Cambria" w:hAnsi="Cambria"/>
          <w:sz w:val="24"/>
          <w:szCs w:val="24"/>
        </w:rPr>
        <w:t xml:space="preserve">even </w:t>
      </w:r>
      <w:r>
        <w:rPr>
          <w:rFonts w:ascii="Cambria" w:hAnsi="Cambria"/>
          <w:sz w:val="24"/>
          <w:szCs w:val="24"/>
        </w:rPr>
        <w:t>if some were carbon emitters, they still should be treated as carbon neutral because if they are left to decay, they will release substantial amounts of methane, which is far more potent as a greenhouse gas than CO2 (AF&amp;PA CEO, Donna Harman).</w:t>
      </w:r>
    </w:p>
    <w:p w:rsidR="002813F2" w:rsidRDefault="002813F2" w:rsidP="007F5AA2">
      <w:pPr>
        <w:ind w:left="360"/>
        <w:rPr>
          <w:rFonts w:ascii="Cambria" w:hAnsi="Cambria"/>
          <w:sz w:val="24"/>
          <w:szCs w:val="24"/>
        </w:rPr>
      </w:pPr>
    </w:p>
    <w:p w:rsidR="002813F2" w:rsidRDefault="002813F2" w:rsidP="008E6B78">
      <w:pPr>
        <w:ind w:left="360"/>
        <w:rPr>
          <w:rFonts w:ascii="Cambria" w:hAnsi="Cambria"/>
          <w:b/>
          <w:sz w:val="24"/>
          <w:szCs w:val="24"/>
        </w:rPr>
      </w:pPr>
      <w:r>
        <w:rPr>
          <w:rFonts w:ascii="Cambria" w:hAnsi="Cambria"/>
          <w:b/>
          <w:sz w:val="24"/>
          <w:szCs w:val="24"/>
        </w:rPr>
        <w:t>Net Emissions from California’s Biom</w:t>
      </w:r>
      <w:r w:rsidR="00900552">
        <w:rPr>
          <w:rFonts w:ascii="Cambria" w:hAnsi="Cambria"/>
          <w:b/>
          <w:sz w:val="24"/>
          <w:szCs w:val="24"/>
        </w:rPr>
        <w:t>ass Powerplants versus The Alternatives</w:t>
      </w:r>
      <w:r>
        <w:rPr>
          <w:rFonts w:ascii="Cambria" w:hAnsi="Cambria"/>
          <w:b/>
          <w:sz w:val="24"/>
          <w:szCs w:val="24"/>
        </w:rPr>
        <w:t xml:space="preserve"> </w:t>
      </w:r>
    </w:p>
    <w:p w:rsidR="005558F5" w:rsidRDefault="002813F2" w:rsidP="002D36E2">
      <w:pPr>
        <w:ind w:left="360"/>
        <w:rPr>
          <w:rFonts w:ascii="Cambria" w:hAnsi="Cambria"/>
          <w:sz w:val="24"/>
          <w:szCs w:val="24"/>
        </w:rPr>
      </w:pPr>
      <w:r w:rsidRPr="002F5F6F">
        <w:rPr>
          <w:rFonts w:ascii="Cambria" w:hAnsi="Cambria"/>
          <w:sz w:val="24"/>
          <w:szCs w:val="24"/>
        </w:rPr>
        <w:t>Net emissions of conventional air pollutants associated with the disposal of biomas</w:t>
      </w:r>
      <w:r w:rsidR="008167BC">
        <w:rPr>
          <w:rFonts w:ascii="Cambria" w:hAnsi="Cambria"/>
          <w:sz w:val="24"/>
          <w:szCs w:val="24"/>
        </w:rPr>
        <w:t>s are typically reduced by 85-100</w:t>
      </w:r>
      <w:r w:rsidRPr="002F5F6F">
        <w:rPr>
          <w:rFonts w:ascii="Cambria" w:hAnsi="Cambria"/>
          <w:sz w:val="24"/>
          <w:szCs w:val="24"/>
        </w:rPr>
        <w:t xml:space="preserve"> </w:t>
      </w:r>
      <w:r w:rsidR="00900552">
        <w:rPr>
          <w:rFonts w:ascii="Cambria" w:hAnsi="Cambria"/>
          <w:sz w:val="24"/>
          <w:szCs w:val="24"/>
        </w:rPr>
        <w:t>percent compared to other alternatives</w:t>
      </w:r>
      <w:r w:rsidRPr="002F5F6F">
        <w:rPr>
          <w:rFonts w:ascii="Cambria" w:hAnsi="Cambria"/>
          <w:sz w:val="24"/>
          <w:szCs w:val="24"/>
        </w:rPr>
        <w:t>.</w:t>
      </w:r>
      <w:r w:rsidR="00A225F7">
        <w:rPr>
          <w:rFonts w:ascii="Cambria" w:hAnsi="Cambria"/>
          <w:sz w:val="24"/>
          <w:szCs w:val="24"/>
        </w:rPr>
        <w:t xml:space="preserve">  Biomass to Energy projects reduce GHG emissions through: 1) avoiding criteria pollutants such as methane and nitrous oxide, which occur during disposal of biomass through open burning and/or decay and decomposition, and 2) producing renewable energy that displaces GHG emissions from fossil fuel combustion needed for an equivalent energy supply.</w:t>
      </w:r>
    </w:p>
    <w:p w:rsidR="005558F5" w:rsidRPr="00900552" w:rsidRDefault="005558F5" w:rsidP="00086540">
      <w:pPr>
        <w:pStyle w:val="NormalWeb"/>
        <w:ind w:left="360"/>
        <w:rPr>
          <w:rFonts w:ascii="Cambria" w:hAnsi="Cambria"/>
          <w:lang w:val="en"/>
        </w:rPr>
      </w:pPr>
      <w:r w:rsidRPr="00900552">
        <w:rPr>
          <w:rFonts w:ascii="Cambria" w:hAnsi="Cambria"/>
          <w:lang w:val="en"/>
        </w:rPr>
        <w:t>“During the past five years, over 4.5 million acres of California forests have been impacted by wildfire. Costs to suppress these wildfires have averaged approximately $1.2 billion per year. Many predict increasing size and severity of fires unless increased forest restoration treatments are implemented. These treatments will involve</w:t>
      </w:r>
      <w:r w:rsidR="00CD68DB" w:rsidRPr="00900552">
        <w:rPr>
          <w:rFonts w:ascii="Cambria" w:hAnsi="Cambria"/>
          <w:lang w:val="en"/>
        </w:rPr>
        <w:t>, in part,</w:t>
      </w:r>
      <w:r w:rsidRPr="00900552">
        <w:rPr>
          <w:rFonts w:ascii="Cambria" w:hAnsi="Cambria"/>
          <w:lang w:val="en"/>
        </w:rPr>
        <w:t xml:space="preserve"> removing the excess biomass ‘fuel’ built up in the forests, which reduces the severity and scale of wildfires.</w:t>
      </w:r>
    </w:p>
    <w:p w:rsidR="00D67AFC" w:rsidRPr="00900552" w:rsidRDefault="005558F5" w:rsidP="00086540">
      <w:pPr>
        <w:pStyle w:val="NormalWeb"/>
        <w:ind w:left="360"/>
        <w:rPr>
          <w:rFonts w:ascii="Cambria" w:hAnsi="Cambria"/>
          <w:lang w:val="en"/>
        </w:rPr>
      </w:pPr>
      <w:r w:rsidRPr="00900552">
        <w:rPr>
          <w:rFonts w:ascii="Cambria" w:hAnsi="Cambria"/>
          <w:lang w:val="en"/>
        </w:rPr>
        <w:t>In this context, forest biomass consists o</w:t>
      </w:r>
      <w:r w:rsidR="0053763F">
        <w:rPr>
          <w:rFonts w:ascii="Cambria" w:hAnsi="Cambria"/>
          <w:lang w:val="en"/>
        </w:rPr>
        <w:t>f small-diameter woody material</w:t>
      </w:r>
      <w:r w:rsidRPr="00900552">
        <w:rPr>
          <w:rFonts w:ascii="Cambria" w:hAnsi="Cambria"/>
          <w:lang w:val="en"/>
        </w:rPr>
        <w:t xml:space="preserve"> damaged or low-valued trees, the branches (slash) and diseased or insect infested wood, not suitable for other commercial use. This material represents a huge untapped resource for the generation of heat and power and its removal will improve forest health and reduce the risk of catastrophic wildfire. Additionally, use of biomass materials to generate energy is another way to maximize the greenhouse gas reduction benefits the forest sector can provide. Burning the biomass in a controlled biomass facility instead of open burning can reduce emissions of</w:t>
      </w:r>
      <w:r w:rsidR="00640DD8">
        <w:rPr>
          <w:rFonts w:ascii="Cambria" w:hAnsi="Cambria"/>
          <w:lang w:val="en"/>
        </w:rPr>
        <w:t xml:space="preserve"> criteria pollutants by 85-100%</w:t>
      </w:r>
      <w:r w:rsidRPr="00900552">
        <w:rPr>
          <w:rFonts w:ascii="Cambria" w:hAnsi="Cambria"/>
          <w:lang w:val="en"/>
        </w:rPr>
        <w:t>.</w:t>
      </w:r>
      <w:r w:rsidR="00640DD8">
        <w:rPr>
          <w:rFonts w:ascii="Cambria" w:hAnsi="Cambria"/>
          <w:lang w:val="en"/>
        </w:rPr>
        <w:t xml:space="preserve">  </w:t>
      </w:r>
    </w:p>
    <w:p w:rsidR="00D67AFC" w:rsidRDefault="00D67AFC" w:rsidP="00D67AFC">
      <w:pPr>
        <w:pStyle w:val="NormalWeb"/>
        <w:ind w:left="720"/>
        <w:rPr>
          <w:lang w:val="en"/>
        </w:rPr>
      </w:pPr>
      <w:r w:rsidRPr="005558F5">
        <w:rPr>
          <w:noProof/>
        </w:rPr>
        <w:lastRenderedPageBreak/>
        <w:drawing>
          <wp:inline distT="0" distB="0" distL="0" distR="0" wp14:anchorId="311EC0A7" wp14:editId="03D1A5E8">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p>
    <w:p w:rsidR="00D67AFC" w:rsidRPr="00900552" w:rsidRDefault="00D67AFC" w:rsidP="00D67AFC">
      <w:pPr>
        <w:ind w:left="720"/>
        <w:rPr>
          <w:rFonts w:ascii="Cambria" w:hAnsi="Cambria"/>
          <w:sz w:val="24"/>
          <w:szCs w:val="24"/>
        </w:rPr>
      </w:pPr>
      <w:r w:rsidRPr="00900552">
        <w:rPr>
          <w:rFonts w:ascii="Cambria" w:hAnsi="Cambria"/>
          <w:sz w:val="24"/>
          <w:szCs w:val="24"/>
        </w:rPr>
        <w:t>Emission factors from “Hydrocarbon Characterization of Agricultural Waste Burning”, CAL/ARB Project A7-068-30, University of California, Riverside, E.F. Darley, April 1979.</w:t>
      </w:r>
    </w:p>
    <w:p w:rsidR="005558F5" w:rsidRPr="00900552" w:rsidRDefault="00D67AFC" w:rsidP="00D67AFC">
      <w:pPr>
        <w:pStyle w:val="NormalWeb"/>
        <w:ind w:left="360"/>
        <w:rPr>
          <w:rFonts w:ascii="Cambria" w:hAnsi="Cambria"/>
          <w:lang w:val="en"/>
        </w:rPr>
      </w:pPr>
      <w:r w:rsidRPr="00900552">
        <w:rPr>
          <w:rFonts w:ascii="Cambria" w:hAnsi="Cambria"/>
          <w:lang w:val="en"/>
        </w:rPr>
        <w:t>E</w:t>
      </w:r>
      <w:r w:rsidR="005558F5" w:rsidRPr="00900552">
        <w:rPr>
          <w:rFonts w:ascii="Cambria" w:hAnsi="Cambria"/>
          <w:lang w:val="en"/>
        </w:rPr>
        <w:t>ven when accounting for the emissions created by the transport and processing of biomass to create energy</w:t>
      </w:r>
      <w:r w:rsidRPr="00900552">
        <w:rPr>
          <w:rFonts w:ascii="Cambria" w:hAnsi="Cambria"/>
          <w:lang w:val="en"/>
        </w:rPr>
        <w:t>, the numbers only change slightly:</w:t>
      </w:r>
      <w:r w:rsidR="005558F5" w:rsidRPr="00900552">
        <w:rPr>
          <w:rFonts w:ascii="Cambria" w:hAnsi="Cambria"/>
          <w:lang w:val="en"/>
        </w:rPr>
        <w:t xml:space="preserve"> </w:t>
      </w:r>
    </w:p>
    <w:p w:rsidR="00D67AFC" w:rsidRDefault="00D67AFC" w:rsidP="00D67AFC">
      <w:pPr>
        <w:pStyle w:val="NormalWeb"/>
        <w:ind w:left="360"/>
        <w:rPr>
          <w:lang w:val="en"/>
        </w:rPr>
      </w:pPr>
    </w:p>
    <w:p w:rsidR="00CD68DB" w:rsidRDefault="00CD68DB" w:rsidP="00CD68DB">
      <w:pPr>
        <w:pStyle w:val="NormalWeb"/>
        <w:ind w:left="360"/>
        <w:rPr>
          <w:lang w:val="en"/>
        </w:rPr>
      </w:pPr>
      <w:r>
        <w:rPr>
          <w:noProof/>
        </w:rPr>
        <w:lastRenderedPageBreak/>
        <w:drawing>
          <wp:inline distT="0" distB="0" distL="0" distR="0" wp14:anchorId="7F17B73B" wp14:editId="4BDD50FD">
            <wp:extent cx="5994154" cy="4433977"/>
            <wp:effectExtent l="0" t="0" r="6985" b="5080"/>
            <wp:docPr id="3" name="Picture 3" descr="AirQualityBenef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QualityBenefit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5001" cy="4442001"/>
                    </a:xfrm>
                    <a:prstGeom prst="rect">
                      <a:avLst/>
                    </a:prstGeom>
                    <a:noFill/>
                    <a:ln>
                      <a:noFill/>
                    </a:ln>
                  </pic:spPr>
                </pic:pic>
              </a:graphicData>
            </a:graphic>
          </wp:inline>
        </w:drawing>
      </w:r>
    </w:p>
    <w:p w:rsidR="00CD68DB" w:rsidRDefault="00CD68DB" w:rsidP="00CD68DB">
      <w:pPr>
        <w:pStyle w:val="NormalWeb"/>
        <w:ind w:left="720"/>
        <w:rPr>
          <w:lang w:val="en"/>
        </w:rPr>
      </w:pPr>
      <w:r>
        <w:rPr>
          <w:lang w:val="en"/>
        </w:rPr>
        <w:t>(Graph Below Provided by: Placer County Air Pollution Control District)</w:t>
      </w:r>
      <w:r w:rsidR="00D67AFC">
        <w:rPr>
          <w:lang w:val="en"/>
        </w:rPr>
        <w:t>”</w:t>
      </w:r>
    </w:p>
    <w:p w:rsidR="00CD68DB" w:rsidRDefault="00D67AFC" w:rsidP="00CD68DB">
      <w:pPr>
        <w:pStyle w:val="NormalWeb"/>
        <w:ind w:left="360"/>
        <w:rPr>
          <w:lang w:val="en"/>
        </w:rPr>
      </w:pPr>
      <w:r>
        <w:rPr>
          <w:lang w:val="en"/>
        </w:rPr>
        <w:t>(</w:t>
      </w:r>
      <w:r w:rsidR="00366E15">
        <w:rPr>
          <w:lang w:val="en"/>
        </w:rPr>
        <w:t>Excerpt</w:t>
      </w:r>
      <w:r>
        <w:rPr>
          <w:lang w:val="en"/>
        </w:rPr>
        <w:t xml:space="preserve"> from Sierra Nevada Conservancy website at: </w:t>
      </w:r>
      <w:hyperlink r:id="rId24" w:history="1">
        <w:r w:rsidRPr="00143841">
          <w:rPr>
            <w:rStyle w:val="Hyperlink"/>
            <w:lang w:val="en"/>
          </w:rPr>
          <w:t>http://www.sierranevada.ca.gov/our-region/bioenergy</w:t>
        </w:r>
      </w:hyperlink>
      <w:r>
        <w:rPr>
          <w:lang w:val="en"/>
        </w:rPr>
        <w:t>.</w:t>
      </w:r>
    </w:p>
    <w:p w:rsidR="008167BC" w:rsidRDefault="008167BC" w:rsidP="008167BC">
      <w:pPr>
        <w:pStyle w:val="ListParagraph"/>
        <w:rPr>
          <w:rFonts w:ascii="Cambria" w:hAnsi="Cambria" w:cs="TTE148F848t00"/>
          <w:color w:val="000000" w:themeColor="text1"/>
          <w:sz w:val="24"/>
          <w:szCs w:val="24"/>
        </w:rPr>
      </w:pPr>
    </w:p>
    <w:p w:rsidR="00103A28" w:rsidRPr="00103A28" w:rsidRDefault="00103A28" w:rsidP="00AC4F8C">
      <w:pPr>
        <w:pStyle w:val="ListParagraph"/>
        <w:ind w:left="0"/>
        <w:rPr>
          <w:rFonts w:ascii="Cambria" w:hAnsi="Cambria" w:cs="TTE148F848t00"/>
          <w:color w:val="000000" w:themeColor="text1"/>
          <w:sz w:val="24"/>
          <w:szCs w:val="24"/>
        </w:rPr>
      </w:pPr>
    </w:p>
    <w:p w:rsidR="00103A28" w:rsidRPr="00D67196" w:rsidRDefault="00103A28" w:rsidP="00103A28">
      <w:pPr>
        <w:pStyle w:val="ListParagraph"/>
        <w:autoSpaceDE w:val="0"/>
        <w:autoSpaceDN w:val="0"/>
        <w:adjustRightInd w:val="0"/>
        <w:spacing w:after="0" w:line="240" w:lineRule="auto"/>
        <w:ind w:left="1080"/>
        <w:rPr>
          <w:rFonts w:ascii="Cambria" w:hAnsi="Cambria" w:cs="TTE148F848t00"/>
          <w:color w:val="000000" w:themeColor="text1"/>
          <w:sz w:val="24"/>
          <w:szCs w:val="24"/>
        </w:rPr>
      </w:pPr>
    </w:p>
    <w:p w:rsidR="00847659" w:rsidRDefault="00847659" w:rsidP="00847659">
      <w:pPr>
        <w:ind w:right="-1080"/>
        <w:jc w:val="center"/>
        <w:rPr>
          <w:rFonts w:ascii="Cambria" w:hAnsi="Cambria"/>
          <w:b/>
          <w:sz w:val="24"/>
          <w:szCs w:val="24"/>
        </w:rPr>
      </w:pPr>
      <w:r w:rsidRPr="000F3874">
        <w:rPr>
          <w:rFonts w:ascii="Cambria" w:hAnsi="Cambria"/>
          <w:b/>
          <w:sz w:val="24"/>
          <w:szCs w:val="24"/>
        </w:rPr>
        <w:t>Comparison of Emissions from Biomass Powerplants, Open Burning, and Forest Accumulation</w:t>
      </w:r>
    </w:p>
    <w:p w:rsidR="00AC4F8C" w:rsidRPr="00AC4F8C" w:rsidRDefault="009953FD" w:rsidP="00AC4F8C">
      <w:pPr>
        <w:ind w:right="-1080"/>
        <w:rPr>
          <w:rFonts w:ascii="Cambria" w:hAnsi="Cambria"/>
          <w:sz w:val="24"/>
          <w:szCs w:val="24"/>
        </w:rPr>
      </w:pPr>
      <w:r>
        <w:rPr>
          <w:rFonts w:ascii="Cambria" w:hAnsi="Cambria"/>
          <w:sz w:val="24"/>
          <w:szCs w:val="24"/>
        </w:rPr>
        <w:t>Five s</w:t>
      </w:r>
      <w:r w:rsidR="00AC4F8C">
        <w:rPr>
          <w:rFonts w:ascii="Cambria" w:hAnsi="Cambria"/>
          <w:sz w:val="24"/>
          <w:szCs w:val="24"/>
        </w:rPr>
        <w:t>tudies</w:t>
      </w:r>
      <w:r>
        <w:rPr>
          <w:rFonts w:ascii="Cambria" w:hAnsi="Cambria"/>
          <w:sz w:val="24"/>
          <w:szCs w:val="24"/>
        </w:rPr>
        <w:t xml:space="preserve">, 1979, E.F. Farley, 1999 Dr. Gregg Morris, 2006, Western Governors Association Biomass Taskforce Report, and the 2010 and 2015 Bruce Springsteen etal studies </w:t>
      </w:r>
      <w:r w:rsidR="00AC4F8C">
        <w:rPr>
          <w:rFonts w:ascii="Cambria" w:hAnsi="Cambria"/>
          <w:sz w:val="24"/>
          <w:szCs w:val="24"/>
        </w:rPr>
        <w:t>have addressed the question of criteria pollutant reductions and particulate matter reductions comparing biomass powerplant boilers, open pile bur</w:t>
      </w:r>
      <w:r>
        <w:rPr>
          <w:rFonts w:ascii="Cambria" w:hAnsi="Cambria"/>
          <w:sz w:val="24"/>
          <w:szCs w:val="24"/>
        </w:rPr>
        <w:t>n</w:t>
      </w:r>
      <w:r w:rsidR="00AC4F8C">
        <w:rPr>
          <w:rFonts w:ascii="Cambria" w:hAnsi="Cambria"/>
          <w:sz w:val="24"/>
          <w:szCs w:val="24"/>
        </w:rPr>
        <w:t>ing, and wood residues left to decompose.</w:t>
      </w:r>
      <w:r>
        <w:rPr>
          <w:rFonts w:ascii="Cambria" w:hAnsi="Cambria"/>
          <w:sz w:val="24"/>
          <w:szCs w:val="24"/>
        </w:rPr>
        <w:t xml:space="preserve">  Further, the Gregg Morris Study and the Western Governors Association publications concluded the value of the environmental services associated with biomass energy production in the U.S. is 11.4 cents/kWh.   The following tables show the results of Morris and Springsteen and estimate the CO2e and particulate matter reductions.</w:t>
      </w:r>
    </w:p>
    <w:p w:rsidR="00847659" w:rsidRPr="000F3874" w:rsidRDefault="00847659" w:rsidP="00847659">
      <w:pPr>
        <w:rPr>
          <w:rFonts w:ascii="Cambria" w:hAnsi="Cambria"/>
          <w:sz w:val="24"/>
          <w:szCs w:val="24"/>
        </w:rPr>
      </w:pPr>
    </w:p>
    <w:tbl>
      <w:tblPr>
        <w:tblStyle w:val="TableGrid2"/>
        <w:tblW w:w="11557" w:type="dxa"/>
        <w:tblInd w:w="-1100" w:type="dxa"/>
        <w:tblLayout w:type="fixed"/>
        <w:tblLook w:val="04A0" w:firstRow="1" w:lastRow="0" w:firstColumn="1" w:lastColumn="0" w:noHBand="0" w:noVBand="1"/>
      </w:tblPr>
      <w:tblGrid>
        <w:gridCol w:w="1260"/>
        <w:gridCol w:w="1260"/>
        <w:gridCol w:w="1350"/>
        <w:gridCol w:w="1080"/>
        <w:gridCol w:w="1170"/>
        <w:gridCol w:w="1350"/>
        <w:gridCol w:w="1530"/>
        <w:gridCol w:w="2557"/>
      </w:tblGrid>
      <w:tr w:rsidR="00847659" w:rsidRPr="000F3874" w:rsidTr="009953FD">
        <w:trPr>
          <w:trHeight w:val="1092"/>
        </w:trPr>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lastRenderedPageBreak/>
              <w:t xml:space="preserve">Emission </w:t>
            </w:r>
          </w:p>
        </w:tc>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Carbon Dioxide Equivalent (CO2e)</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Biomass Powerplant Emission</w:t>
            </w:r>
          </w:p>
        </w:tc>
        <w:tc>
          <w:tcPr>
            <w:tcW w:w="108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CO2e   (tons) for 600 MW</w:t>
            </w:r>
          </w:p>
        </w:tc>
        <w:tc>
          <w:tcPr>
            <w:tcW w:w="117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Open Burning Emission</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CO2e (tons) for 4.8 million BDT</w:t>
            </w:r>
          </w:p>
        </w:tc>
        <w:tc>
          <w:tcPr>
            <w:tcW w:w="153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Forest Accumulation Emission</w:t>
            </w:r>
          </w:p>
        </w:tc>
        <w:tc>
          <w:tcPr>
            <w:tcW w:w="2557"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CO2e (tons)</w:t>
            </w:r>
          </w:p>
          <w:p w:rsidR="00847659" w:rsidRPr="000F3874" w:rsidRDefault="00847659" w:rsidP="00175925">
            <w:pPr>
              <w:spacing w:after="160" w:line="259" w:lineRule="auto"/>
              <w:ind w:right="739"/>
              <w:rPr>
                <w:rFonts w:ascii="Cambria" w:hAnsi="Cambria"/>
              </w:rPr>
            </w:pPr>
            <w:r w:rsidRPr="000F3874">
              <w:rPr>
                <w:rFonts w:ascii="Cambria" w:hAnsi="Cambria"/>
              </w:rPr>
              <w:t xml:space="preserve"> for 4.8 million</w:t>
            </w:r>
          </w:p>
          <w:p w:rsidR="00847659" w:rsidRPr="000F3874" w:rsidRDefault="00847659" w:rsidP="00175925">
            <w:pPr>
              <w:spacing w:after="160" w:line="259" w:lineRule="auto"/>
              <w:rPr>
                <w:rFonts w:ascii="Cambria" w:hAnsi="Cambria"/>
              </w:rPr>
            </w:pPr>
            <w:r w:rsidRPr="000F3874">
              <w:rPr>
                <w:rFonts w:ascii="Cambria" w:hAnsi="Cambria"/>
              </w:rPr>
              <w:t xml:space="preserve"> BDT</w:t>
            </w:r>
          </w:p>
        </w:tc>
      </w:tr>
      <w:tr w:rsidR="00847659" w:rsidRPr="000F3874" w:rsidTr="009953FD">
        <w:trPr>
          <w:trHeight w:val="539"/>
        </w:trPr>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53763F" w:rsidP="00175925">
            <w:pPr>
              <w:spacing w:after="160" w:line="259" w:lineRule="auto"/>
              <w:rPr>
                <w:rFonts w:ascii="Cambria" w:hAnsi="Cambria"/>
              </w:rPr>
            </w:pPr>
            <w:r>
              <w:rPr>
                <w:rFonts w:ascii="Cambria" w:hAnsi="Cambria"/>
              </w:rPr>
              <w:t>Nitrous Oxide (NOx</w:t>
            </w:r>
            <w:r w:rsidR="00847659" w:rsidRPr="000F3874">
              <w:rPr>
                <w:rFonts w:ascii="Cambria" w:hAnsi="Cambria"/>
              </w:rPr>
              <w:t>)</w:t>
            </w:r>
          </w:p>
        </w:tc>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53763F" w:rsidP="00175925">
            <w:pPr>
              <w:spacing w:after="160" w:line="259" w:lineRule="auto"/>
              <w:rPr>
                <w:rFonts w:ascii="Cambria" w:hAnsi="Cambria"/>
              </w:rPr>
            </w:pPr>
            <w:r>
              <w:rPr>
                <w:rFonts w:ascii="Cambria" w:hAnsi="Cambria"/>
              </w:rPr>
              <w:t>1</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2.5 lb/BDT</w:t>
            </w:r>
          </w:p>
        </w:tc>
        <w:tc>
          <w:tcPr>
            <w:tcW w:w="108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1.8 million</w:t>
            </w:r>
          </w:p>
        </w:tc>
        <w:tc>
          <w:tcPr>
            <w:tcW w:w="117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7.0 lb/BDT</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5.0 million</w:t>
            </w:r>
          </w:p>
        </w:tc>
        <w:tc>
          <w:tcPr>
            <w:tcW w:w="153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7.0 lb/BDT</w:t>
            </w:r>
          </w:p>
        </w:tc>
        <w:tc>
          <w:tcPr>
            <w:tcW w:w="2557"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5.0 million</w:t>
            </w:r>
          </w:p>
        </w:tc>
      </w:tr>
      <w:tr w:rsidR="00847659" w:rsidRPr="000F3874" w:rsidTr="009953FD">
        <w:trPr>
          <w:trHeight w:val="539"/>
        </w:trPr>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Sulfur Dioxide (S02)</w:t>
            </w:r>
          </w:p>
        </w:tc>
        <w:tc>
          <w:tcPr>
            <w:tcW w:w="1260" w:type="dxa"/>
            <w:tcBorders>
              <w:top w:val="single" w:sz="4" w:space="0" w:color="auto"/>
              <w:left w:val="single" w:sz="4" w:space="0" w:color="auto"/>
              <w:bottom w:val="single" w:sz="4" w:space="0" w:color="auto"/>
              <w:right w:val="single" w:sz="4" w:space="0" w:color="auto"/>
            </w:tcBorders>
          </w:tcPr>
          <w:p w:rsidR="00847659" w:rsidRPr="000F3874" w:rsidRDefault="00847659" w:rsidP="00175925">
            <w:pPr>
              <w:spacing w:after="160" w:line="259" w:lineRule="auto"/>
              <w:rPr>
                <w:rFonts w:ascii="Cambria" w:hAnsi="Cambria"/>
              </w:rPr>
            </w:pP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0.15 lb/BDT</w:t>
            </w:r>
          </w:p>
        </w:tc>
        <w:tc>
          <w:tcPr>
            <w:tcW w:w="108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360</w:t>
            </w:r>
          </w:p>
        </w:tc>
        <w:tc>
          <w:tcPr>
            <w:tcW w:w="117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0.15 lb/BDT</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360</w:t>
            </w:r>
          </w:p>
        </w:tc>
        <w:tc>
          <w:tcPr>
            <w:tcW w:w="153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0.15 lb/BDT</w:t>
            </w:r>
          </w:p>
        </w:tc>
        <w:tc>
          <w:tcPr>
            <w:tcW w:w="2557"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360</w:t>
            </w:r>
          </w:p>
        </w:tc>
      </w:tr>
      <w:tr w:rsidR="00847659" w:rsidRPr="000F3874" w:rsidTr="009953FD">
        <w:trPr>
          <w:trHeight w:val="552"/>
        </w:trPr>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Carbon Monoxide (CO)</w:t>
            </w:r>
          </w:p>
        </w:tc>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7.5 lb/BDT</w:t>
            </w:r>
          </w:p>
        </w:tc>
        <w:tc>
          <w:tcPr>
            <w:tcW w:w="108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18,000</w:t>
            </w:r>
          </w:p>
        </w:tc>
        <w:tc>
          <w:tcPr>
            <w:tcW w:w="117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150</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360,000</w:t>
            </w:r>
          </w:p>
        </w:tc>
        <w:tc>
          <w:tcPr>
            <w:tcW w:w="153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280</w:t>
            </w:r>
          </w:p>
        </w:tc>
        <w:tc>
          <w:tcPr>
            <w:tcW w:w="2557"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672,000</w:t>
            </w:r>
          </w:p>
        </w:tc>
      </w:tr>
      <w:tr w:rsidR="00847659" w:rsidRPr="000F3874" w:rsidTr="009953FD">
        <w:trPr>
          <w:trHeight w:val="262"/>
        </w:trPr>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Hydro-carbons</w:t>
            </w:r>
          </w:p>
        </w:tc>
        <w:tc>
          <w:tcPr>
            <w:tcW w:w="1260" w:type="dxa"/>
            <w:tcBorders>
              <w:top w:val="single" w:sz="4" w:space="0" w:color="auto"/>
              <w:left w:val="single" w:sz="4" w:space="0" w:color="auto"/>
              <w:bottom w:val="single" w:sz="4" w:space="0" w:color="auto"/>
              <w:right w:val="single" w:sz="4" w:space="0" w:color="auto"/>
            </w:tcBorders>
          </w:tcPr>
          <w:p w:rsidR="00847659" w:rsidRPr="000F3874" w:rsidRDefault="00847659" w:rsidP="00175925">
            <w:pPr>
              <w:spacing w:after="160" w:line="259" w:lineRule="auto"/>
              <w:rPr>
                <w:rFonts w:ascii="Cambria" w:hAnsi="Cambria"/>
              </w:rPr>
            </w:pP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0.025 lb/BDT</w:t>
            </w:r>
          </w:p>
        </w:tc>
        <w:tc>
          <w:tcPr>
            <w:tcW w:w="108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60.0</w:t>
            </w:r>
          </w:p>
        </w:tc>
        <w:tc>
          <w:tcPr>
            <w:tcW w:w="117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24 lb/BDT</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57,600</w:t>
            </w:r>
          </w:p>
        </w:tc>
        <w:tc>
          <w:tcPr>
            <w:tcW w:w="153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23 lb/BDT</w:t>
            </w:r>
          </w:p>
        </w:tc>
        <w:tc>
          <w:tcPr>
            <w:tcW w:w="2557"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55,200</w:t>
            </w:r>
          </w:p>
        </w:tc>
      </w:tr>
      <w:tr w:rsidR="00847659" w:rsidRPr="000F3874" w:rsidTr="009953FD">
        <w:trPr>
          <w:trHeight w:val="276"/>
        </w:trPr>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Particulate</w:t>
            </w:r>
          </w:p>
        </w:tc>
        <w:tc>
          <w:tcPr>
            <w:tcW w:w="1260" w:type="dxa"/>
            <w:tcBorders>
              <w:top w:val="single" w:sz="4" w:space="0" w:color="auto"/>
              <w:left w:val="single" w:sz="4" w:space="0" w:color="auto"/>
              <w:bottom w:val="single" w:sz="4" w:space="0" w:color="auto"/>
              <w:right w:val="single" w:sz="4" w:space="0" w:color="auto"/>
            </w:tcBorders>
          </w:tcPr>
          <w:p w:rsidR="00847659" w:rsidRPr="000F3874" w:rsidRDefault="00847659" w:rsidP="00175925">
            <w:pPr>
              <w:spacing w:after="160" w:line="259" w:lineRule="auto"/>
              <w:rPr>
                <w:rFonts w:ascii="Cambria" w:hAnsi="Cambria"/>
              </w:rPr>
            </w:pP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0.45 lb/BDT</w:t>
            </w:r>
          </w:p>
        </w:tc>
        <w:tc>
          <w:tcPr>
            <w:tcW w:w="108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1,080</w:t>
            </w:r>
          </w:p>
        </w:tc>
        <w:tc>
          <w:tcPr>
            <w:tcW w:w="117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15 lb/BDT</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36,000</w:t>
            </w:r>
          </w:p>
        </w:tc>
        <w:tc>
          <w:tcPr>
            <w:tcW w:w="153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21 lb/BDT</w:t>
            </w:r>
          </w:p>
        </w:tc>
        <w:tc>
          <w:tcPr>
            <w:tcW w:w="2557"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50,400</w:t>
            </w:r>
          </w:p>
        </w:tc>
      </w:tr>
      <w:tr w:rsidR="00847659" w:rsidRPr="000F3874" w:rsidTr="009953FD">
        <w:trPr>
          <w:trHeight w:val="262"/>
        </w:trPr>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Methane (CH4)</w:t>
            </w:r>
          </w:p>
        </w:tc>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25</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0.25 lb/BDT</w:t>
            </w:r>
          </w:p>
        </w:tc>
        <w:tc>
          <w:tcPr>
            <w:tcW w:w="108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15,000</w:t>
            </w:r>
          </w:p>
        </w:tc>
        <w:tc>
          <w:tcPr>
            <w:tcW w:w="117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8 lb/BDT</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480,000</w:t>
            </w:r>
          </w:p>
        </w:tc>
        <w:tc>
          <w:tcPr>
            <w:tcW w:w="153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7 lb/BDT</w:t>
            </w:r>
          </w:p>
        </w:tc>
        <w:tc>
          <w:tcPr>
            <w:tcW w:w="2557"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420,000</w:t>
            </w:r>
          </w:p>
        </w:tc>
      </w:tr>
      <w:tr w:rsidR="00847659" w:rsidRPr="000F3874" w:rsidTr="009953FD">
        <w:trPr>
          <w:trHeight w:val="539"/>
        </w:trPr>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Carbon Dioxide (CO2)</w:t>
            </w:r>
          </w:p>
        </w:tc>
        <w:tc>
          <w:tcPr>
            <w:tcW w:w="1260" w:type="dxa"/>
            <w:tcBorders>
              <w:top w:val="single" w:sz="4" w:space="0" w:color="auto"/>
              <w:left w:val="single" w:sz="4" w:space="0" w:color="auto"/>
              <w:bottom w:val="single" w:sz="4" w:space="0" w:color="auto"/>
              <w:right w:val="single" w:sz="4" w:space="0" w:color="auto"/>
            </w:tcBorders>
          </w:tcPr>
          <w:p w:rsidR="00847659" w:rsidRPr="000F3874" w:rsidRDefault="00847659" w:rsidP="00175925">
            <w:pPr>
              <w:spacing w:after="160" w:line="259" w:lineRule="auto"/>
              <w:rPr>
                <w:rFonts w:ascii="Cambria" w:hAnsi="Cambria"/>
              </w:rPr>
            </w:pP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1.78 Tons/BDT</w:t>
            </w:r>
          </w:p>
        </w:tc>
        <w:tc>
          <w:tcPr>
            <w:tcW w:w="108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4,272</w:t>
            </w:r>
          </w:p>
        </w:tc>
        <w:tc>
          <w:tcPr>
            <w:tcW w:w="117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1.69 Tons/BDT</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4,056</w:t>
            </w:r>
          </w:p>
        </w:tc>
        <w:tc>
          <w:tcPr>
            <w:tcW w:w="153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1.69 Tons/BDT</w:t>
            </w:r>
          </w:p>
        </w:tc>
        <w:tc>
          <w:tcPr>
            <w:tcW w:w="2557"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4,056</w:t>
            </w:r>
          </w:p>
        </w:tc>
      </w:tr>
    </w:tbl>
    <w:p w:rsidR="00847659" w:rsidRPr="000F3874" w:rsidRDefault="00847659" w:rsidP="00847659">
      <w:pPr>
        <w:rPr>
          <w:rFonts w:ascii="Cambria" w:hAnsi="Cambria"/>
          <w:sz w:val="24"/>
          <w:szCs w:val="24"/>
        </w:rPr>
      </w:pPr>
    </w:p>
    <w:p w:rsidR="00847659" w:rsidRPr="000F3874" w:rsidRDefault="00847659" w:rsidP="00847659">
      <w:pPr>
        <w:rPr>
          <w:rFonts w:ascii="Cambria" w:hAnsi="Cambria"/>
          <w:sz w:val="24"/>
          <w:szCs w:val="24"/>
        </w:rPr>
      </w:pPr>
      <w:r w:rsidRPr="000F3874">
        <w:rPr>
          <w:rFonts w:ascii="Cambria" w:hAnsi="Cambria"/>
          <w:sz w:val="24"/>
          <w:szCs w:val="24"/>
        </w:rPr>
        <w:t xml:space="preserve">(Table </w:t>
      </w:r>
      <w:r>
        <w:rPr>
          <w:rFonts w:ascii="Cambria" w:hAnsi="Cambria"/>
          <w:sz w:val="24"/>
          <w:szCs w:val="24"/>
        </w:rPr>
        <w:t xml:space="preserve">above </w:t>
      </w:r>
      <w:r w:rsidRPr="000F3874">
        <w:rPr>
          <w:rFonts w:ascii="Cambria" w:hAnsi="Cambria"/>
          <w:sz w:val="24"/>
          <w:szCs w:val="24"/>
        </w:rPr>
        <w:t>derived from 1999, Dr. Gregg Morris, “Value of Biomass Power” and f</w:t>
      </w:r>
      <w:r w:rsidR="005B02BD">
        <w:rPr>
          <w:rFonts w:ascii="Cambria" w:hAnsi="Cambria"/>
          <w:sz w:val="24"/>
          <w:szCs w:val="24"/>
        </w:rPr>
        <w:t>rom CO2e conversion for</w:t>
      </w:r>
      <w:r w:rsidR="009245E8">
        <w:rPr>
          <w:rFonts w:ascii="Cambria" w:hAnsi="Cambria"/>
          <w:sz w:val="24"/>
          <w:szCs w:val="24"/>
        </w:rPr>
        <w:t xml:space="preserve"> Methane)</w:t>
      </w:r>
    </w:p>
    <w:p w:rsidR="00847659" w:rsidRPr="000F3874" w:rsidRDefault="00847659" w:rsidP="00847659">
      <w:pPr>
        <w:rPr>
          <w:rFonts w:ascii="Cambria" w:hAnsi="Cambria"/>
          <w:sz w:val="24"/>
          <w:szCs w:val="24"/>
        </w:rPr>
      </w:pPr>
      <w:r w:rsidRPr="000F3874">
        <w:rPr>
          <w:rFonts w:ascii="Cambria" w:hAnsi="Cambria"/>
          <w:sz w:val="24"/>
          <w:szCs w:val="24"/>
        </w:rPr>
        <w:t xml:space="preserve">Notes: </w:t>
      </w:r>
    </w:p>
    <w:p w:rsidR="00847659" w:rsidRDefault="00847659" w:rsidP="009245E8">
      <w:pPr>
        <w:pStyle w:val="ListParagraph"/>
        <w:numPr>
          <w:ilvl w:val="0"/>
          <w:numId w:val="34"/>
        </w:numPr>
        <w:spacing w:line="256" w:lineRule="auto"/>
        <w:rPr>
          <w:rFonts w:ascii="Cambria" w:hAnsi="Cambria"/>
          <w:sz w:val="24"/>
          <w:szCs w:val="24"/>
        </w:rPr>
      </w:pPr>
      <w:r w:rsidRPr="009245E8">
        <w:rPr>
          <w:rFonts w:ascii="Cambria" w:hAnsi="Cambria"/>
          <w:sz w:val="24"/>
          <w:szCs w:val="24"/>
        </w:rPr>
        <w:t>8,000 bone dry tons of wood residue produces 1 megawatt of electricity (MW)</w:t>
      </w:r>
    </w:p>
    <w:p w:rsidR="009245E8" w:rsidRPr="009245E8" w:rsidRDefault="009245E8" w:rsidP="009245E8">
      <w:pPr>
        <w:pStyle w:val="ListParagraph"/>
        <w:spacing w:line="256" w:lineRule="auto"/>
        <w:rPr>
          <w:rFonts w:ascii="Cambria" w:hAnsi="Cambria"/>
          <w:sz w:val="24"/>
          <w:szCs w:val="24"/>
        </w:rPr>
      </w:pPr>
    </w:p>
    <w:p w:rsidR="00847659" w:rsidRPr="009245E8" w:rsidRDefault="00847659" w:rsidP="009245E8">
      <w:pPr>
        <w:pStyle w:val="ListParagraph"/>
        <w:numPr>
          <w:ilvl w:val="0"/>
          <w:numId w:val="34"/>
        </w:numPr>
        <w:spacing w:line="256" w:lineRule="auto"/>
        <w:rPr>
          <w:rFonts w:ascii="Cambria" w:hAnsi="Cambria"/>
          <w:sz w:val="24"/>
          <w:szCs w:val="24"/>
        </w:rPr>
      </w:pPr>
      <w:r w:rsidRPr="009245E8">
        <w:rPr>
          <w:rFonts w:ascii="Cambria" w:hAnsi="Cambria"/>
          <w:sz w:val="24"/>
          <w:szCs w:val="24"/>
        </w:rPr>
        <w:t>Hydrocarbons, Particulate Matter, and Methane are the primary differences in the 3 Alternative Scenarios</w:t>
      </w:r>
    </w:p>
    <w:p w:rsidR="00847659" w:rsidRPr="000F3874" w:rsidRDefault="005B02BD" w:rsidP="009245E8">
      <w:pPr>
        <w:numPr>
          <w:ilvl w:val="0"/>
          <w:numId w:val="34"/>
        </w:numPr>
        <w:spacing w:line="256" w:lineRule="auto"/>
        <w:contextualSpacing/>
        <w:rPr>
          <w:rFonts w:ascii="Cambria" w:hAnsi="Cambria"/>
          <w:sz w:val="24"/>
          <w:szCs w:val="24"/>
        </w:rPr>
      </w:pPr>
      <w:r>
        <w:rPr>
          <w:rFonts w:ascii="Cambria" w:hAnsi="Cambria"/>
          <w:sz w:val="24"/>
          <w:szCs w:val="24"/>
        </w:rPr>
        <w:t xml:space="preserve"> </w:t>
      </w:r>
      <w:r w:rsidR="00847659" w:rsidRPr="000F3874">
        <w:rPr>
          <w:rFonts w:ascii="Cambria" w:hAnsi="Cambria"/>
          <w:sz w:val="24"/>
          <w:szCs w:val="24"/>
        </w:rPr>
        <w:t>Methane is 25 times more potent</w:t>
      </w:r>
      <w:r>
        <w:rPr>
          <w:rFonts w:ascii="Cambria" w:hAnsi="Cambria"/>
          <w:sz w:val="24"/>
          <w:szCs w:val="24"/>
        </w:rPr>
        <w:t xml:space="preserve"> as a greenhouse gas compared to Carbon Dioxide</w:t>
      </w:r>
    </w:p>
    <w:p w:rsidR="00847659" w:rsidRPr="000F3874" w:rsidRDefault="00847659" w:rsidP="009245E8">
      <w:pPr>
        <w:numPr>
          <w:ilvl w:val="0"/>
          <w:numId w:val="34"/>
        </w:numPr>
        <w:spacing w:line="256" w:lineRule="auto"/>
        <w:contextualSpacing/>
        <w:rPr>
          <w:rFonts w:ascii="Cambria" w:hAnsi="Cambria"/>
          <w:sz w:val="24"/>
          <w:szCs w:val="24"/>
        </w:rPr>
      </w:pPr>
      <w:r w:rsidRPr="000F3874">
        <w:rPr>
          <w:rFonts w:ascii="Cambria" w:hAnsi="Cambria"/>
          <w:sz w:val="24"/>
          <w:szCs w:val="24"/>
        </w:rPr>
        <w:t>Current 600 MW operating capacity in the industry consumes 4.8 million bone dry tons of wood residue annually</w:t>
      </w:r>
    </w:p>
    <w:p w:rsidR="00847659" w:rsidRPr="000F3874" w:rsidRDefault="00847659" w:rsidP="009245E8">
      <w:pPr>
        <w:numPr>
          <w:ilvl w:val="0"/>
          <w:numId w:val="34"/>
        </w:numPr>
        <w:spacing w:line="256" w:lineRule="auto"/>
        <w:contextualSpacing/>
        <w:rPr>
          <w:rFonts w:ascii="Cambria" w:hAnsi="Cambria"/>
          <w:sz w:val="24"/>
          <w:szCs w:val="24"/>
        </w:rPr>
      </w:pPr>
      <w:r w:rsidRPr="000F3874">
        <w:rPr>
          <w:rFonts w:ascii="Cambria" w:hAnsi="Cambria"/>
          <w:sz w:val="24"/>
          <w:szCs w:val="24"/>
        </w:rPr>
        <w:t>A 1,200 MW operating capacity would consume 9.6 million bone dry tons of wood residue annually</w:t>
      </w:r>
    </w:p>
    <w:p w:rsidR="00847659" w:rsidRPr="000F3874" w:rsidRDefault="00847659" w:rsidP="009245E8">
      <w:pPr>
        <w:numPr>
          <w:ilvl w:val="0"/>
          <w:numId w:val="34"/>
        </w:numPr>
        <w:spacing w:line="256" w:lineRule="auto"/>
        <w:contextualSpacing/>
        <w:rPr>
          <w:rFonts w:ascii="Cambria" w:hAnsi="Cambria"/>
          <w:sz w:val="24"/>
          <w:szCs w:val="24"/>
        </w:rPr>
      </w:pPr>
      <w:r w:rsidRPr="000F3874">
        <w:rPr>
          <w:rFonts w:ascii="Cambria" w:hAnsi="Cambria"/>
          <w:sz w:val="24"/>
          <w:szCs w:val="24"/>
        </w:rPr>
        <w:t>Current market value for CO2e on ARB Cap-and-Trade Offsets Program is $11/ton</w:t>
      </w:r>
    </w:p>
    <w:p w:rsidR="00847659" w:rsidRPr="009245E8" w:rsidRDefault="00847659" w:rsidP="009245E8">
      <w:pPr>
        <w:pStyle w:val="ListParagraph"/>
        <w:numPr>
          <w:ilvl w:val="0"/>
          <w:numId w:val="34"/>
        </w:numPr>
        <w:spacing w:line="256" w:lineRule="auto"/>
        <w:rPr>
          <w:rFonts w:ascii="Cambria" w:hAnsi="Cambria"/>
          <w:sz w:val="24"/>
          <w:szCs w:val="24"/>
        </w:rPr>
      </w:pPr>
      <w:r w:rsidRPr="009245E8">
        <w:rPr>
          <w:rFonts w:ascii="Cambria" w:hAnsi="Cambria"/>
          <w:sz w:val="24"/>
          <w:szCs w:val="24"/>
        </w:rPr>
        <w:t>Estimate for value of Particulate Matter from Morris (1999, p.21) is $2,500/ton</w:t>
      </w:r>
    </w:p>
    <w:p w:rsidR="00847659" w:rsidRPr="000F3874" w:rsidRDefault="00847659" w:rsidP="00847659">
      <w:pPr>
        <w:spacing w:line="256" w:lineRule="auto"/>
        <w:ind w:left="720"/>
        <w:contextualSpacing/>
        <w:rPr>
          <w:rFonts w:ascii="Cambria" w:hAnsi="Cambria"/>
          <w:sz w:val="24"/>
          <w:szCs w:val="24"/>
        </w:rPr>
      </w:pPr>
    </w:p>
    <w:p w:rsidR="00847659" w:rsidRPr="000F3874" w:rsidRDefault="00847659" w:rsidP="00847659">
      <w:pPr>
        <w:rPr>
          <w:rFonts w:ascii="Cambria" w:hAnsi="Cambria"/>
          <w:b/>
          <w:sz w:val="24"/>
          <w:szCs w:val="24"/>
        </w:rPr>
      </w:pPr>
      <w:r w:rsidRPr="000F3874">
        <w:rPr>
          <w:rFonts w:ascii="Cambria" w:hAnsi="Cambria"/>
          <w:b/>
          <w:sz w:val="24"/>
          <w:szCs w:val="24"/>
        </w:rPr>
        <w:t>Synthesis of the above Table:</w:t>
      </w:r>
    </w:p>
    <w:p w:rsidR="00847659" w:rsidRPr="000F3874" w:rsidRDefault="00847659" w:rsidP="00847659">
      <w:pPr>
        <w:rPr>
          <w:rFonts w:ascii="Cambria" w:hAnsi="Cambria"/>
          <w:sz w:val="24"/>
          <w:szCs w:val="24"/>
        </w:rPr>
      </w:pPr>
      <w:r w:rsidRPr="000F3874">
        <w:rPr>
          <w:rFonts w:ascii="Cambria" w:hAnsi="Cambria"/>
          <w:sz w:val="24"/>
          <w:szCs w:val="24"/>
        </w:rPr>
        <w:t>For the current 600 MW Operating Capacity, Biomass Powerplants, versus Open Burning or “left in the forest to decompose” scenarios, the Powerplant Industry annually reduces Carbon</w:t>
      </w:r>
      <w:r w:rsidR="005B02BD">
        <w:rPr>
          <w:rFonts w:ascii="Cambria" w:hAnsi="Cambria"/>
          <w:sz w:val="24"/>
          <w:szCs w:val="24"/>
        </w:rPr>
        <w:t xml:space="preserve"> Dioxide equivalent by about 0.435</w:t>
      </w:r>
      <w:r w:rsidRPr="000F3874">
        <w:rPr>
          <w:rFonts w:ascii="Cambria" w:hAnsi="Cambria"/>
          <w:sz w:val="24"/>
          <w:szCs w:val="24"/>
        </w:rPr>
        <w:t xml:space="preserve"> million tons (Methane) and reduce</w:t>
      </w:r>
      <w:r w:rsidR="005B02BD">
        <w:rPr>
          <w:rFonts w:ascii="Cambria" w:hAnsi="Cambria"/>
          <w:sz w:val="24"/>
          <w:szCs w:val="24"/>
        </w:rPr>
        <w:t>s</w:t>
      </w:r>
      <w:r w:rsidRPr="000F3874">
        <w:rPr>
          <w:rFonts w:ascii="Cambria" w:hAnsi="Cambria"/>
          <w:sz w:val="24"/>
          <w:szCs w:val="24"/>
        </w:rPr>
        <w:t xml:space="preserve"> Particulate Matter by over 35,000 tons.</w:t>
      </w:r>
    </w:p>
    <w:p w:rsidR="00847659" w:rsidRPr="000F3874" w:rsidRDefault="00847659" w:rsidP="00847659">
      <w:pPr>
        <w:rPr>
          <w:rFonts w:ascii="Cambria" w:hAnsi="Cambria"/>
          <w:sz w:val="24"/>
          <w:szCs w:val="24"/>
        </w:rPr>
      </w:pPr>
      <w:r w:rsidRPr="000F3874">
        <w:rPr>
          <w:rFonts w:ascii="Cambria" w:hAnsi="Cambria"/>
          <w:sz w:val="24"/>
          <w:szCs w:val="24"/>
        </w:rPr>
        <w:t>These reductions would be about double if the 2012 Bioenergy Action Plan was fully implemented with a Biomass Powerplant 1,200 MW operating capacity.</w:t>
      </w:r>
    </w:p>
    <w:p w:rsidR="005B02BD" w:rsidRPr="009953FD" w:rsidRDefault="00847659" w:rsidP="00847659">
      <w:pPr>
        <w:rPr>
          <w:rFonts w:ascii="Cambria" w:hAnsi="Cambria"/>
          <w:sz w:val="24"/>
          <w:szCs w:val="24"/>
        </w:rPr>
      </w:pPr>
      <w:r w:rsidRPr="009953FD">
        <w:rPr>
          <w:rFonts w:ascii="Cambria" w:hAnsi="Cambria"/>
          <w:sz w:val="24"/>
          <w:szCs w:val="24"/>
        </w:rPr>
        <w:t xml:space="preserve">Note with the current ARB Cap-And-Trade Offset Market at about $11/ton, 435,000 tons of CO2e is worth about $4.8 million; at $2,500/ton the Particulate Matter reduction is worth about $88 million.  </w:t>
      </w:r>
    </w:p>
    <w:p w:rsidR="00847659" w:rsidRPr="009953FD" w:rsidRDefault="00847659" w:rsidP="00847659">
      <w:pPr>
        <w:rPr>
          <w:rFonts w:ascii="Cambria" w:hAnsi="Cambria"/>
          <w:sz w:val="24"/>
          <w:szCs w:val="24"/>
        </w:rPr>
      </w:pPr>
      <w:r w:rsidRPr="009953FD">
        <w:rPr>
          <w:rFonts w:ascii="Cambria" w:hAnsi="Cambria"/>
          <w:sz w:val="24"/>
          <w:szCs w:val="24"/>
        </w:rPr>
        <w:t xml:space="preserve">If the Biomass Power Industry doubled to about 1,200 MW of operating capacity, as called for in the 2012 Bioenergy Action Plan, there would be about 870,000 tons of reduction in CO2e and be worth about $9.6 million; Particulate Matter reduction would be about 70,000 tons and worth about $175 million.  </w:t>
      </w:r>
    </w:p>
    <w:p w:rsidR="00847659" w:rsidRDefault="00847659" w:rsidP="00847659">
      <w:pPr>
        <w:rPr>
          <w:rFonts w:ascii="Cambria" w:hAnsi="Cambria"/>
          <w:sz w:val="24"/>
          <w:szCs w:val="24"/>
        </w:rPr>
      </w:pPr>
      <w:r>
        <w:rPr>
          <w:rFonts w:ascii="Cambria" w:hAnsi="Cambria"/>
          <w:sz w:val="24"/>
          <w:szCs w:val="24"/>
        </w:rPr>
        <w:t>For comparison, Placer County has also done a comparative evaluation of emissions from a biomass boiler versus open pile burning (May 14, 2010, Bruce Springsteen etal. “Emission Reductions from Woody Biomass for Energy as an Alternative to Open Pile Burning.  Tables 4 and 5 of that publication (pp. 13-14) shows the following:</w:t>
      </w:r>
    </w:p>
    <w:p w:rsidR="00847659" w:rsidRDefault="00847659" w:rsidP="00847659">
      <w:pPr>
        <w:rPr>
          <w:rFonts w:ascii="Cambria" w:hAnsi="Cambria"/>
          <w:sz w:val="24"/>
          <w:szCs w:val="24"/>
        </w:rPr>
      </w:pPr>
    </w:p>
    <w:p w:rsidR="00847659" w:rsidRDefault="00847659" w:rsidP="00847659">
      <w:pPr>
        <w:rPr>
          <w:rFonts w:ascii="Cambria" w:hAnsi="Cambria"/>
          <w:sz w:val="24"/>
          <w:szCs w:val="24"/>
        </w:rPr>
      </w:pPr>
      <w:r w:rsidRPr="00203C50">
        <w:rPr>
          <w:rFonts w:ascii="Cambria" w:hAnsi="Cambria"/>
          <w:b/>
          <w:sz w:val="24"/>
          <w:szCs w:val="24"/>
        </w:rPr>
        <w:t>Table 5, Emissions Comparison</w:t>
      </w:r>
    </w:p>
    <w:tbl>
      <w:tblPr>
        <w:tblStyle w:val="TableGrid"/>
        <w:tblW w:w="0" w:type="auto"/>
        <w:tblLook w:val="04A0" w:firstRow="1" w:lastRow="0" w:firstColumn="1" w:lastColumn="0" w:noHBand="0" w:noVBand="1"/>
      </w:tblPr>
      <w:tblGrid>
        <w:gridCol w:w="1263"/>
        <w:gridCol w:w="1059"/>
        <w:gridCol w:w="1055"/>
        <w:gridCol w:w="1087"/>
        <w:gridCol w:w="1258"/>
        <w:gridCol w:w="1472"/>
        <w:gridCol w:w="901"/>
        <w:gridCol w:w="1255"/>
      </w:tblGrid>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Operation</w:t>
            </w:r>
          </w:p>
        </w:tc>
        <w:tc>
          <w:tcPr>
            <w:tcW w:w="1059" w:type="dxa"/>
          </w:tcPr>
          <w:p w:rsidR="00847659" w:rsidRDefault="00847659" w:rsidP="00175925">
            <w:pPr>
              <w:rPr>
                <w:rFonts w:ascii="Cambria" w:hAnsi="Cambria"/>
                <w:sz w:val="24"/>
                <w:szCs w:val="24"/>
              </w:rPr>
            </w:pPr>
          </w:p>
        </w:tc>
        <w:tc>
          <w:tcPr>
            <w:tcW w:w="1055" w:type="dxa"/>
          </w:tcPr>
          <w:p w:rsidR="00847659" w:rsidRDefault="00847659" w:rsidP="00175925">
            <w:pPr>
              <w:rPr>
                <w:rFonts w:ascii="Cambria" w:hAnsi="Cambria"/>
                <w:sz w:val="24"/>
                <w:szCs w:val="24"/>
              </w:rPr>
            </w:pPr>
          </w:p>
        </w:tc>
        <w:tc>
          <w:tcPr>
            <w:tcW w:w="1087" w:type="dxa"/>
          </w:tcPr>
          <w:p w:rsidR="00847659" w:rsidRDefault="00847659" w:rsidP="00175925">
            <w:pPr>
              <w:rPr>
                <w:rFonts w:ascii="Cambria" w:hAnsi="Cambria"/>
                <w:sz w:val="24"/>
                <w:szCs w:val="24"/>
              </w:rPr>
            </w:pPr>
            <w:r>
              <w:rPr>
                <w:rFonts w:ascii="Cambria" w:hAnsi="Cambria"/>
                <w:sz w:val="24"/>
                <w:szCs w:val="24"/>
              </w:rPr>
              <w:t>Air</w:t>
            </w:r>
          </w:p>
        </w:tc>
        <w:tc>
          <w:tcPr>
            <w:tcW w:w="1258" w:type="dxa"/>
          </w:tcPr>
          <w:p w:rsidR="00847659" w:rsidRDefault="00847659" w:rsidP="00175925">
            <w:pPr>
              <w:rPr>
                <w:rFonts w:ascii="Cambria" w:hAnsi="Cambria"/>
                <w:sz w:val="24"/>
                <w:szCs w:val="24"/>
              </w:rPr>
            </w:pPr>
            <w:r>
              <w:rPr>
                <w:rFonts w:ascii="Cambria" w:hAnsi="Cambria"/>
                <w:sz w:val="24"/>
                <w:szCs w:val="24"/>
              </w:rPr>
              <w:t>Emissions</w:t>
            </w:r>
          </w:p>
        </w:tc>
        <w:tc>
          <w:tcPr>
            <w:tcW w:w="1472" w:type="dxa"/>
          </w:tcPr>
          <w:p w:rsidR="00847659" w:rsidRDefault="00847659" w:rsidP="00175925">
            <w:pPr>
              <w:rPr>
                <w:rFonts w:ascii="Cambria" w:hAnsi="Cambria"/>
                <w:sz w:val="24"/>
                <w:szCs w:val="24"/>
              </w:rPr>
            </w:pPr>
            <w:r>
              <w:rPr>
                <w:rFonts w:ascii="Cambria" w:hAnsi="Cambria"/>
                <w:sz w:val="24"/>
                <w:szCs w:val="24"/>
              </w:rPr>
              <w:t>(Tons/6096 BDT)</w:t>
            </w:r>
          </w:p>
        </w:tc>
        <w:tc>
          <w:tcPr>
            <w:tcW w:w="901" w:type="dxa"/>
          </w:tcPr>
          <w:p w:rsidR="00847659" w:rsidRDefault="00847659" w:rsidP="00175925">
            <w:pPr>
              <w:rPr>
                <w:rFonts w:ascii="Cambria" w:hAnsi="Cambria"/>
                <w:sz w:val="24"/>
                <w:szCs w:val="24"/>
              </w:rPr>
            </w:pPr>
          </w:p>
        </w:tc>
        <w:tc>
          <w:tcPr>
            <w:tcW w:w="1255" w:type="dxa"/>
          </w:tcPr>
          <w:p w:rsidR="00847659" w:rsidRDefault="00847659" w:rsidP="00175925">
            <w:pPr>
              <w:rPr>
                <w:rFonts w:ascii="Cambria" w:hAnsi="Cambria"/>
                <w:sz w:val="24"/>
                <w:szCs w:val="24"/>
              </w:rPr>
            </w:pPr>
          </w:p>
        </w:tc>
      </w:tr>
      <w:tr w:rsidR="00847659" w:rsidTr="00175925">
        <w:tc>
          <w:tcPr>
            <w:tcW w:w="1263" w:type="dxa"/>
          </w:tcPr>
          <w:p w:rsidR="00847659" w:rsidRDefault="00847659" w:rsidP="00175925">
            <w:pPr>
              <w:rPr>
                <w:rFonts w:ascii="Cambria" w:hAnsi="Cambria"/>
                <w:sz w:val="24"/>
                <w:szCs w:val="24"/>
              </w:rPr>
            </w:pPr>
          </w:p>
        </w:tc>
        <w:tc>
          <w:tcPr>
            <w:tcW w:w="1059" w:type="dxa"/>
          </w:tcPr>
          <w:p w:rsidR="00847659" w:rsidRDefault="00847659" w:rsidP="00175925">
            <w:pPr>
              <w:rPr>
                <w:rFonts w:ascii="Cambria" w:hAnsi="Cambria"/>
                <w:sz w:val="24"/>
                <w:szCs w:val="24"/>
              </w:rPr>
            </w:pPr>
            <w:r>
              <w:rPr>
                <w:rFonts w:ascii="Cambria" w:hAnsi="Cambria"/>
                <w:sz w:val="24"/>
                <w:szCs w:val="24"/>
              </w:rPr>
              <w:t>NOx</w:t>
            </w:r>
          </w:p>
        </w:tc>
        <w:tc>
          <w:tcPr>
            <w:tcW w:w="1055" w:type="dxa"/>
          </w:tcPr>
          <w:p w:rsidR="00847659" w:rsidRPr="00F83118" w:rsidRDefault="00847659" w:rsidP="00175925">
            <w:pPr>
              <w:rPr>
                <w:rFonts w:ascii="Cambria" w:hAnsi="Cambria"/>
                <w:b/>
                <w:sz w:val="24"/>
                <w:szCs w:val="24"/>
              </w:rPr>
            </w:pPr>
            <w:r w:rsidRPr="00F83118">
              <w:rPr>
                <w:rFonts w:ascii="Cambria" w:hAnsi="Cambria"/>
                <w:b/>
                <w:sz w:val="24"/>
                <w:szCs w:val="24"/>
              </w:rPr>
              <w:t>PM</w:t>
            </w:r>
          </w:p>
        </w:tc>
        <w:tc>
          <w:tcPr>
            <w:tcW w:w="1087" w:type="dxa"/>
          </w:tcPr>
          <w:p w:rsidR="00847659" w:rsidRDefault="00847659" w:rsidP="00175925">
            <w:pPr>
              <w:rPr>
                <w:rFonts w:ascii="Cambria" w:hAnsi="Cambria"/>
                <w:sz w:val="24"/>
                <w:szCs w:val="24"/>
              </w:rPr>
            </w:pPr>
            <w:r>
              <w:rPr>
                <w:rFonts w:ascii="Cambria" w:hAnsi="Cambria"/>
                <w:sz w:val="24"/>
                <w:szCs w:val="24"/>
              </w:rPr>
              <w:t>NMOC</w:t>
            </w:r>
          </w:p>
        </w:tc>
        <w:tc>
          <w:tcPr>
            <w:tcW w:w="1258" w:type="dxa"/>
          </w:tcPr>
          <w:p w:rsidR="00847659" w:rsidRDefault="00847659" w:rsidP="00175925">
            <w:pPr>
              <w:rPr>
                <w:rFonts w:ascii="Cambria" w:hAnsi="Cambria"/>
                <w:sz w:val="24"/>
                <w:szCs w:val="24"/>
              </w:rPr>
            </w:pPr>
            <w:r>
              <w:rPr>
                <w:rFonts w:ascii="Cambria" w:hAnsi="Cambria"/>
                <w:sz w:val="24"/>
                <w:szCs w:val="24"/>
              </w:rPr>
              <w:t>CO</w:t>
            </w:r>
          </w:p>
        </w:tc>
        <w:tc>
          <w:tcPr>
            <w:tcW w:w="1472" w:type="dxa"/>
          </w:tcPr>
          <w:p w:rsidR="00847659" w:rsidRDefault="00847659" w:rsidP="00175925">
            <w:pPr>
              <w:rPr>
                <w:rFonts w:ascii="Cambria" w:hAnsi="Cambria"/>
                <w:sz w:val="24"/>
                <w:szCs w:val="24"/>
              </w:rPr>
            </w:pPr>
            <w:r>
              <w:rPr>
                <w:rFonts w:ascii="Cambria" w:hAnsi="Cambria"/>
                <w:sz w:val="24"/>
                <w:szCs w:val="24"/>
              </w:rPr>
              <w:t>CO2</w:t>
            </w:r>
          </w:p>
        </w:tc>
        <w:tc>
          <w:tcPr>
            <w:tcW w:w="901" w:type="dxa"/>
          </w:tcPr>
          <w:p w:rsidR="00847659" w:rsidRPr="00F83118" w:rsidRDefault="00847659" w:rsidP="00175925">
            <w:pPr>
              <w:rPr>
                <w:rFonts w:ascii="Cambria" w:hAnsi="Cambria"/>
                <w:b/>
                <w:sz w:val="24"/>
                <w:szCs w:val="24"/>
              </w:rPr>
            </w:pPr>
            <w:r w:rsidRPr="00F83118">
              <w:rPr>
                <w:rFonts w:ascii="Cambria" w:hAnsi="Cambria"/>
                <w:b/>
                <w:sz w:val="24"/>
                <w:szCs w:val="24"/>
              </w:rPr>
              <w:t>CH4</w:t>
            </w:r>
          </w:p>
        </w:tc>
        <w:tc>
          <w:tcPr>
            <w:tcW w:w="1255" w:type="dxa"/>
          </w:tcPr>
          <w:p w:rsidR="00847659" w:rsidRPr="00F83118" w:rsidRDefault="00847659" w:rsidP="00175925">
            <w:pPr>
              <w:rPr>
                <w:rFonts w:ascii="Cambria" w:hAnsi="Cambria"/>
                <w:b/>
                <w:sz w:val="24"/>
                <w:szCs w:val="24"/>
              </w:rPr>
            </w:pPr>
            <w:r w:rsidRPr="00F83118">
              <w:rPr>
                <w:rFonts w:ascii="Cambria" w:hAnsi="Cambria"/>
                <w:b/>
                <w:sz w:val="24"/>
                <w:szCs w:val="24"/>
              </w:rPr>
              <w:t>CO2e</w:t>
            </w:r>
          </w:p>
        </w:tc>
      </w:tr>
      <w:tr w:rsidR="00847659" w:rsidTr="00175925">
        <w:tc>
          <w:tcPr>
            <w:tcW w:w="1263" w:type="dxa"/>
          </w:tcPr>
          <w:p w:rsidR="00847659" w:rsidRPr="00A8474C" w:rsidRDefault="00847659" w:rsidP="00175925">
            <w:pPr>
              <w:rPr>
                <w:rFonts w:ascii="Cambria" w:hAnsi="Cambria"/>
                <w:b/>
                <w:sz w:val="24"/>
                <w:szCs w:val="24"/>
              </w:rPr>
            </w:pPr>
            <w:r w:rsidRPr="00A8474C">
              <w:rPr>
                <w:rFonts w:ascii="Cambria" w:hAnsi="Cambria"/>
                <w:b/>
                <w:sz w:val="24"/>
                <w:szCs w:val="24"/>
              </w:rPr>
              <w:t>Baseline, Open Pile Burning</w:t>
            </w:r>
          </w:p>
        </w:tc>
        <w:tc>
          <w:tcPr>
            <w:tcW w:w="1059" w:type="dxa"/>
          </w:tcPr>
          <w:p w:rsidR="00847659" w:rsidRDefault="00847659" w:rsidP="00175925">
            <w:pPr>
              <w:rPr>
                <w:rFonts w:ascii="Cambria" w:hAnsi="Cambria"/>
                <w:sz w:val="24"/>
                <w:szCs w:val="24"/>
              </w:rPr>
            </w:pPr>
          </w:p>
        </w:tc>
        <w:tc>
          <w:tcPr>
            <w:tcW w:w="1055" w:type="dxa"/>
          </w:tcPr>
          <w:p w:rsidR="00847659" w:rsidRDefault="00847659" w:rsidP="00175925">
            <w:pPr>
              <w:rPr>
                <w:rFonts w:ascii="Cambria" w:hAnsi="Cambria"/>
                <w:sz w:val="24"/>
                <w:szCs w:val="24"/>
              </w:rPr>
            </w:pPr>
          </w:p>
        </w:tc>
        <w:tc>
          <w:tcPr>
            <w:tcW w:w="1087" w:type="dxa"/>
          </w:tcPr>
          <w:p w:rsidR="00847659" w:rsidRDefault="00847659" w:rsidP="00175925">
            <w:pPr>
              <w:rPr>
                <w:rFonts w:ascii="Cambria" w:hAnsi="Cambria"/>
                <w:sz w:val="24"/>
                <w:szCs w:val="24"/>
              </w:rPr>
            </w:pPr>
          </w:p>
        </w:tc>
        <w:tc>
          <w:tcPr>
            <w:tcW w:w="1258" w:type="dxa"/>
          </w:tcPr>
          <w:p w:rsidR="00847659" w:rsidRDefault="00847659" w:rsidP="00175925">
            <w:pPr>
              <w:rPr>
                <w:rFonts w:ascii="Cambria" w:hAnsi="Cambria"/>
                <w:sz w:val="24"/>
                <w:szCs w:val="24"/>
              </w:rPr>
            </w:pPr>
          </w:p>
        </w:tc>
        <w:tc>
          <w:tcPr>
            <w:tcW w:w="1472" w:type="dxa"/>
          </w:tcPr>
          <w:p w:rsidR="00847659" w:rsidRDefault="00847659" w:rsidP="00175925">
            <w:pPr>
              <w:rPr>
                <w:rFonts w:ascii="Cambria" w:hAnsi="Cambria"/>
                <w:sz w:val="24"/>
                <w:szCs w:val="24"/>
              </w:rPr>
            </w:pPr>
          </w:p>
        </w:tc>
        <w:tc>
          <w:tcPr>
            <w:tcW w:w="901" w:type="dxa"/>
          </w:tcPr>
          <w:p w:rsidR="00847659" w:rsidRDefault="00847659" w:rsidP="00175925">
            <w:pPr>
              <w:rPr>
                <w:rFonts w:ascii="Cambria" w:hAnsi="Cambria"/>
                <w:sz w:val="24"/>
                <w:szCs w:val="24"/>
              </w:rPr>
            </w:pPr>
          </w:p>
        </w:tc>
        <w:tc>
          <w:tcPr>
            <w:tcW w:w="1255" w:type="dxa"/>
          </w:tcPr>
          <w:p w:rsidR="00847659" w:rsidRDefault="00847659" w:rsidP="00175925">
            <w:pPr>
              <w:rPr>
                <w:rFonts w:ascii="Cambria" w:hAnsi="Cambria"/>
                <w:sz w:val="24"/>
                <w:szCs w:val="24"/>
              </w:rPr>
            </w:pP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Open Pile Burning</w:t>
            </w:r>
          </w:p>
        </w:tc>
        <w:tc>
          <w:tcPr>
            <w:tcW w:w="1059" w:type="dxa"/>
          </w:tcPr>
          <w:p w:rsidR="00847659" w:rsidRDefault="00847659" w:rsidP="00175925">
            <w:pPr>
              <w:jc w:val="right"/>
              <w:rPr>
                <w:rFonts w:ascii="Cambria" w:hAnsi="Cambria"/>
                <w:sz w:val="24"/>
                <w:szCs w:val="24"/>
              </w:rPr>
            </w:pPr>
            <w:r>
              <w:rPr>
                <w:rFonts w:ascii="Cambria" w:hAnsi="Cambria"/>
                <w:sz w:val="24"/>
                <w:szCs w:val="24"/>
              </w:rPr>
              <w:t>17.37</w:t>
            </w:r>
          </w:p>
        </w:tc>
        <w:tc>
          <w:tcPr>
            <w:tcW w:w="1055" w:type="dxa"/>
          </w:tcPr>
          <w:p w:rsidR="00847659" w:rsidRDefault="00847659" w:rsidP="00175925">
            <w:pPr>
              <w:jc w:val="right"/>
              <w:rPr>
                <w:rFonts w:ascii="Cambria" w:hAnsi="Cambria"/>
                <w:sz w:val="24"/>
                <w:szCs w:val="24"/>
              </w:rPr>
            </w:pPr>
            <w:r>
              <w:rPr>
                <w:rFonts w:ascii="Cambria" w:hAnsi="Cambria"/>
                <w:sz w:val="24"/>
                <w:szCs w:val="24"/>
              </w:rPr>
              <w:t>37.65</w:t>
            </w:r>
          </w:p>
        </w:tc>
        <w:tc>
          <w:tcPr>
            <w:tcW w:w="1087" w:type="dxa"/>
          </w:tcPr>
          <w:p w:rsidR="00847659" w:rsidRDefault="00847659" w:rsidP="00175925">
            <w:pPr>
              <w:jc w:val="right"/>
              <w:rPr>
                <w:rFonts w:ascii="Cambria" w:hAnsi="Cambria"/>
                <w:sz w:val="24"/>
                <w:szCs w:val="24"/>
              </w:rPr>
            </w:pPr>
            <w:r>
              <w:rPr>
                <w:rFonts w:ascii="Cambria" w:hAnsi="Cambria"/>
                <w:sz w:val="24"/>
                <w:szCs w:val="24"/>
              </w:rPr>
              <w:t>28.96</w:t>
            </w:r>
          </w:p>
        </w:tc>
        <w:tc>
          <w:tcPr>
            <w:tcW w:w="1258" w:type="dxa"/>
          </w:tcPr>
          <w:p w:rsidR="00847659" w:rsidRDefault="00847659" w:rsidP="00175925">
            <w:pPr>
              <w:jc w:val="right"/>
              <w:rPr>
                <w:rFonts w:ascii="Cambria" w:hAnsi="Cambria"/>
                <w:sz w:val="24"/>
                <w:szCs w:val="24"/>
              </w:rPr>
            </w:pPr>
            <w:r>
              <w:rPr>
                <w:rFonts w:ascii="Cambria" w:hAnsi="Cambria"/>
                <w:sz w:val="24"/>
                <w:szCs w:val="24"/>
              </w:rPr>
              <w:t>362</w:t>
            </w:r>
          </w:p>
        </w:tc>
        <w:tc>
          <w:tcPr>
            <w:tcW w:w="1472" w:type="dxa"/>
          </w:tcPr>
          <w:p w:rsidR="00847659" w:rsidRDefault="00847659" w:rsidP="00175925">
            <w:pPr>
              <w:jc w:val="right"/>
              <w:rPr>
                <w:rFonts w:ascii="Cambria" w:hAnsi="Cambria"/>
                <w:sz w:val="24"/>
                <w:szCs w:val="24"/>
              </w:rPr>
            </w:pPr>
            <w:r>
              <w:rPr>
                <w:rFonts w:ascii="Cambria" w:hAnsi="Cambria"/>
                <w:sz w:val="24"/>
                <w:szCs w:val="24"/>
              </w:rPr>
              <w:t>10,618</w:t>
            </w:r>
          </w:p>
        </w:tc>
        <w:tc>
          <w:tcPr>
            <w:tcW w:w="901" w:type="dxa"/>
          </w:tcPr>
          <w:p w:rsidR="00847659" w:rsidRDefault="00847659" w:rsidP="00175925">
            <w:pPr>
              <w:jc w:val="right"/>
              <w:rPr>
                <w:rFonts w:ascii="Cambria" w:hAnsi="Cambria"/>
                <w:sz w:val="24"/>
                <w:szCs w:val="24"/>
              </w:rPr>
            </w:pPr>
            <w:r>
              <w:rPr>
                <w:rFonts w:ascii="Cambria" w:hAnsi="Cambria"/>
                <w:sz w:val="24"/>
                <w:szCs w:val="24"/>
              </w:rPr>
              <w:t>17.37</w:t>
            </w:r>
          </w:p>
        </w:tc>
        <w:tc>
          <w:tcPr>
            <w:tcW w:w="1255" w:type="dxa"/>
          </w:tcPr>
          <w:p w:rsidR="00847659" w:rsidRDefault="00847659" w:rsidP="00175925">
            <w:pPr>
              <w:jc w:val="right"/>
              <w:rPr>
                <w:rFonts w:ascii="Cambria" w:hAnsi="Cambria"/>
                <w:sz w:val="24"/>
                <w:szCs w:val="24"/>
              </w:rPr>
            </w:pPr>
            <w:r>
              <w:rPr>
                <w:rFonts w:ascii="Cambria" w:hAnsi="Cambria"/>
                <w:sz w:val="24"/>
                <w:szCs w:val="24"/>
              </w:rPr>
              <w:t>10,983</w:t>
            </w: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Displaced Power from Grid</w:t>
            </w:r>
          </w:p>
        </w:tc>
        <w:tc>
          <w:tcPr>
            <w:tcW w:w="1059" w:type="dxa"/>
          </w:tcPr>
          <w:p w:rsidR="00847659" w:rsidRDefault="00847659" w:rsidP="00175925">
            <w:pPr>
              <w:jc w:val="right"/>
              <w:rPr>
                <w:rFonts w:ascii="Cambria" w:hAnsi="Cambria"/>
                <w:sz w:val="24"/>
                <w:szCs w:val="24"/>
              </w:rPr>
            </w:pPr>
            <w:r>
              <w:rPr>
                <w:rFonts w:ascii="Cambria" w:hAnsi="Cambria"/>
                <w:sz w:val="24"/>
                <w:szCs w:val="24"/>
              </w:rPr>
              <w:t>0.47</w:t>
            </w:r>
          </w:p>
        </w:tc>
        <w:tc>
          <w:tcPr>
            <w:tcW w:w="1055" w:type="dxa"/>
          </w:tcPr>
          <w:p w:rsidR="00847659" w:rsidRDefault="00847659" w:rsidP="00175925">
            <w:pPr>
              <w:jc w:val="right"/>
              <w:rPr>
                <w:rFonts w:ascii="Cambria" w:hAnsi="Cambria"/>
                <w:sz w:val="24"/>
                <w:szCs w:val="24"/>
              </w:rPr>
            </w:pPr>
            <w:r>
              <w:rPr>
                <w:rFonts w:ascii="Cambria" w:hAnsi="Cambria"/>
                <w:sz w:val="24"/>
                <w:szCs w:val="24"/>
              </w:rPr>
              <w:t>0.28</w:t>
            </w:r>
          </w:p>
        </w:tc>
        <w:tc>
          <w:tcPr>
            <w:tcW w:w="1087" w:type="dxa"/>
          </w:tcPr>
          <w:p w:rsidR="00847659" w:rsidRDefault="00847659" w:rsidP="00175925">
            <w:pPr>
              <w:jc w:val="right"/>
              <w:rPr>
                <w:rFonts w:ascii="Cambria" w:hAnsi="Cambria"/>
                <w:sz w:val="24"/>
                <w:szCs w:val="24"/>
              </w:rPr>
            </w:pPr>
            <w:r>
              <w:rPr>
                <w:rFonts w:ascii="Cambria" w:hAnsi="Cambria"/>
                <w:sz w:val="24"/>
                <w:szCs w:val="24"/>
              </w:rPr>
              <w:t>0.06</w:t>
            </w:r>
          </w:p>
        </w:tc>
        <w:tc>
          <w:tcPr>
            <w:tcW w:w="1258" w:type="dxa"/>
          </w:tcPr>
          <w:p w:rsidR="00847659" w:rsidRDefault="00847659" w:rsidP="00175925">
            <w:pPr>
              <w:jc w:val="right"/>
              <w:rPr>
                <w:rFonts w:ascii="Cambria" w:hAnsi="Cambria"/>
                <w:sz w:val="24"/>
                <w:szCs w:val="24"/>
              </w:rPr>
            </w:pPr>
            <w:r>
              <w:rPr>
                <w:rFonts w:ascii="Cambria" w:hAnsi="Cambria"/>
                <w:sz w:val="24"/>
                <w:szCs w:val="24"/>
              </w:rPr>
              <w:t>1</w:t>
            </w:r>
          </w:p>
        </w:tc>
        <w:tc>
          <w:tcPr>
            <w:tcW w:w="1472" w:type="dxa"/>
          </w:tcPr>
          <w:p w:rsidR="00847659" w:rsidRDefault="00847659" w:rsidP="00175925">
            <w:pPr>
              <w:jc w:val="right"/>
              <w:rPr>
                <w:rFonts w:ascii="Cambria" w:hAnsi="Cambria"/>
                <w:sz w:val="24"/>
                <w:szCs w:val="24"/>
              </w:rPr>
            </w:pPr>
            <w:r>
              <w:rPr>
                <w:rFonts w:ascii="Cambria" w:hAnsi="Cambria"/>
                <w:sz w:val="24"/>
                <w:szCs w:val="24"/>
              </w:rPr>
              <w:t>2,733</w:t>
            </w:r>
          </w:p>
        </w:tc>
        <w:tc>
          <w:tcPr>
            <w:tcW w:w="901" w:type="dxa"/>
          </w:tcPr>
          <w:p w:rsidR="00847659" w:rsidRDefault="00847659" w:rsidP="00175925">
            <w:pPr>
              <w:jc w:val="right"/>
              <w:rPr>
                <w:rFonts w:ascii="Cambria" w:hAnsi="Cambria"/>
                <w:sz w:val="24"/>
                <w:szCs w:val="24"/>
              </w:rPr>
            </w:pPr>
          </w:p>
        </w:tc>
        <w:tc>
          <w:tcPr>
            <w:tcW w:w="1255" w:type="dxa"/>
          </w:tcPr>
          <w:p w:rsidR="00847659" w:rsidRDefault="00847659" w:rsidP="00175925">
            <w:pPr>
              <w:jc w:val="right"/>
              <w:rPr>
                <w:rFonts w:ascii="Cambria" w:hAnsi="Cambria"/>
                <w:sz w:val="24"/>
                <w:szCs w:val="24"/>
              </w:rPr>
            </w:pPr>
            <w:r>
              <w:rPr>
                <w:rFonts w:ascii="Cambria" w:hAnsi="Cambria"/>
                <w:sz w:val="24"/>
                <w:szCs w:val="24"/>
              </w:rPr>
              <w:t>2,733</w:t>
            </w:r>
          </w:p>
        </w:tc>
      </w:tr>
      <w:tr w:rsidR="00847659" w:rsidTr="00175925">
        <w:tc>
          <w:tcPr>
            <w:tcW w:w="1263" w:type="dxa"/>
          </w:tcPr>
          <w:p w:rsidR="00847659" w:rsidRPr="00A8474C" w:rsidRDefault="00847659" w:rsidP="00175925">
            <w:pPr>
              <w:rPr>
                <w:rFonts w:ascii="Cambria" w:hAnsi="Cambria"/>
                <w:b/>
                <w:sz w:val="24"/>
                <w:szCs w:val="24"/>
              </w:rPr>
            </w:pPr>
            <w:r>
              <w:rPr>
                <w:rFonts w:ascii="Cambria" w:hAnsi="Cambria"/>
                <w:b/>
                <w:sz w:val="24"/>
                <w:szCs w:val="24"/>
              </w:rPr>
              <w:t>Total</w:t>
            </w:r>
          </w:p>
        </w:tc>
        <w:tc>
          <w:tcPr>
            <w:tcW w:w="1059" w:type="dxa"/>
          </w:tcPr>
          <w:p w:rsidR="00847659" w:rsidRDefault="00847659" w:rsidP="00175925">
            <w:pPr>
              <w:jc w:val="right"/>
              <w:rPr>
                <w:rFonts w:ascii="Cambria" w:hAnsi="Cambria"/>
                <w:sz w:val="24"/>
                <w:szCs w:val="24"/>
              </w:rPr>
            </w:pPr>
            <w:r>
              <w:rPr>
                <w:rFonts w:ascii="Cambria" w:hAnsi="Cambria"/>
                <w:sz w:val="24"/>
                <w:szCs w:val="24"/>
              </w:rPr>
              <w:t>17.84</w:t>
            </w:r>
          </w:p>
        </w:tc>
        <w:tc>
          <w:tcPr>
            <w:tcW w:w="1055" w:type="dxa"/>
          </w:tcPr>
          <w:p w:rsidR="00847659" w:rsidRDefault="00847659" w:rsidP="00175925">
            <w:pPr>
              <w:jc w:val="right"/>
              <w:rPr>
                <w:rFonts w:ascii="Cambria" w:hAnsi="Cambria"/>
                <w:sz w:val="24"/>
                <w:szCs w:val="24"/>
              </w:rPr>
            </w:pPr>
            <w:r>
              <w:rPr>
                <w:rFonts w:ascii="Cambria" w:hAnsi="Cambria"/>
                <w:sz w:val="24"/>
                <w:szCs w:val="24"/>
              </w:rPr>
              <w:t>37.93</w:t>
            </w:r>
          </w:p>
        </w:tc>
        <w:tc>
          <w:tcPr>
            <w:tcW w:w="1087" w:type="dxa"/>
          </w:tcPr>
          <w:p w:rsidR="00847659" w:rsidRDefault="00847659" w:rsidP="00175925">
            <w:pPr>
              <w:jc w:val="right"/>
              <w:rPr>
                <w:rFonts w:ascii="Cambria" w:hAnsi="Cambria"/>
                <w:sz w:val="24"/>
                <w:szCs w:val="24"/>
              </w:rPr>
            </w:pPr>
            <w:r>
              <w:rPr>
                <w:rFonts w:ascii="Cambria" w:hAnsi="Cambria"/>
                <w:sz w:val="24"/>
                <w:szCs w:val="24"/>
              </w:rPr>
              <w:t>29.02</w:t>
            </w:r>
          </w:p>
        </w:tc>
        <w:tc>
          <w:tcPr>
            <w:tcW w:w="1258" w:type="dxa"/>
          </w:tcPr>
          <w:p w:rsidR="00847659" w:rsidRDefault="00847659" w:rsidP="00175925">
            <w:pPr>
              <w:jc w:val="right"/>
              <w:rPr>
                <w:rFonts w:ascii="Cambria" w:hAnsi="Cambria"/>
                <w:sz w:val="24"/>
                <w:szCs w:val="24"/>
              </w:rPr>
            </w:pPr>
            <w:r>
              <w:rPr>
                <w:rFonts w:ascii="Cambria" w:hAnsi="Cambria"/>
                <w:sz w:val="24"/>
                <w:szCs w:val="24"/>
              </w:rPr>
              <w:t>363</w:t>
            </w:r>
          </w:p>
        </w:tc>
        <w:tc>
          <w:tcPr>
            <w:tcW w:w="1472" w:type="dxa"/>
          </w:tcPr>
          <w:p w:rsidR="00847659" w:rsidRDefault="00847659" w:rsidP="00175925">
            <w:pPr>
              <w:jc w:val="right"/>
              <w:rPr>
                <w:rFonts w:ascii="Cambria" w:hAnsi="Cambria"/>
                <w:sz w:val="24"/>
                <w:szCs w:val="24"/>
              </w:rPr>
            </w:pPr>
            <w:r>
              <w:rPr>
                <w:rFonts w:ascii="Cambria" w:hAnsi="Cambria"/>
                <w:sz w:val="24"/>
                <w:szCs w:val="24"/>
              </w:rPr>
              <w:t>13,352</w:t>
            </w:r>
          </w:p>
        </w:tc>
        <w:tc>
          <w:tcPr>
            <w:tcW w:w="901" w:type="dxa"/>
          </w:tcPr>
          <w:p w:rsidR="00847659" w:rsidRDefault="00847659" w:rsidP="00175925">
            <w:pPr>
              <w:jc w:val="right"/>
              <w:rPr>
                <w:rFonts w:ascii="Cambria" w:hAnsi="Cambria"/>
                <w:sz w:val="24"/>
                <w:szCs w:val="24"/>
              </w:rPr>
            </w:pPr>
            <w:r>
              <w:rPr>
                <w:rFonts w:ascii="Cambria" w:hAnsi="Cambria"/>
                <w:sz w:val="24"/>
                <w:szCs w:val="24"/>
              </w:rPr>
              <w:t>17.37</w:t>
            </w:r>
          </w:p>
        </w:tc>
        <w:tc>
          <w:tcPr>
            <w:tcW w:w="1255" w:type="dxa"/>
          </w:tcPr>
          <w:p w:rsidR="00847659" w:rsidRDefault="00847659" w:rsidP="00175925">
            <w:pPr>
              <w:jc w:val="right"/>
              <w:rPr>
                <w:rFonts w:ascii="Cambria" w:hAnsi="Cambria"/>
                <w:sz w:val="24"/>
                <w:szCs w:val="24"/>
              </w:rPr>
            </w:pPr>
            <w:r>
              <w:rPr>
                <w:rFonts w:ascii="Cambria" w:hAnsi="Cambria"/>
                <w:sz w:val="24"/>
                <w:szCs w:val="24"/>
              </w:rPr>
              <w:t>13,717</w:t>
            </w:r>
          </w:p>
        </w:tc>
      </w:tr>
      <w:tr w:rsidR="00847659" w:rsidTr="00175925">
        <w:tc>
          <w:tcPr>
            <w:tcW w:w="1263" w:type="dxa"/>
          </w:tcPr>
          <w:p w:rsidR="00847659" w:rsidRPr="00A8474C" w:rsidRDefault="00847659" w:rsidP="00175925">
            <w:pPr>
              <w:rPr>
                <w:rFonts w:ascii="Cambria" w:hAnsi="Cambria"/>
                <w:b/>
                <w:sz w:val="24"/>
                <w:szCs w:val="24"/>
              </w:rPr>
            </w:pPr>
          </w:p>
        </w:tc>
        <w:tc>
          <w:tcPr>
            <w:tcW w:w="1059" w:type="dxa"/>
          </w:tcPr>
          <w:p w:rsidR="00847659" w:rsidRDefault="00847659" w:rsidP="00175925">
            <w:pPr>
              <w:jc w:val="right"/>
              <w:rPr>
                <w:rFonts w:ascii="Cambria" w:hAnsi="Cambria"/>
                <w:sz w:val="24"/>
                <w:szCs w:val="24"/>
              </w:rPr>
            </w:pPr>
          </w:p>
        </w:tc>
        <w:tc>
          <w:tcPr>
            <w:tcW w:w="1055" w:type="dxa"/>
          </w:tcPr>
          <w:p w:rsidR="00847659" w:rsidRDefault="00847659" w:rsidP="00175925">
            <w:pPr>
              <w:jc w:val="right"/>
              <w:rPr>
                <w:rFonts w:ascii="Cambria" w:hAnsi="Cambria"/>
                <w:sz w:val="24"/>
                <w:szCs w:val="24"/>
              </w:rPr>
            </w:pPr>
          </w:p>
        </w:tc>
        <w:tc>
          <w:tcPr>
            <w:tcW w:w="1087" w:type="dxa"/>
          </w:tcPr>
          <w:p w:rsidR="00847659" w:rsidRDefault="00847659" w:rsidP="00175925">
            <w:pPr>
              <w:jc w:val="right"/>
              <w:rPr>
                <w:rFonts w:ascii="Cambria" w:hAnsi="Cambria"/>
                <w:sz w:val="24"/>
                <w:szCs w:val="24"/>
              </w:rPr>
            </w:pPr>
          </w:p>
        </w:tc>
        <w:tc>
          <w:tcPr>
            <w:tcW w:w="1258" w:type="dxa"/>
          </w:tcPr>
          <w:p w:rsidR="00847659" w:rsidRDefault="00847659" w:rsidP="00175925">
            <w:pPr>
              <w:jc w:val="right"/>
              <w:rPr>
                <w:rFonts w:ascii="Cambria" w:hAnsi="Cambria"/>
                <w:sz w:val="24"/>
                <w:szCs w:val="24"/>
              </w:rPr>
            </w:pPr>
          </w:p>
        </w:tc>
        <w:tc>
          <w:tcPr>
            <w:tcW w:w="1472" w:type="dxa"/>
          </w:tcPr>
          <w:p w:rsidR="00847659" w:rsidRDefault="00847659" w:rsidP="00175925">
            <w:pPr>
              <w:jc w:val="right"/>
              <w:rPr>
                <w:rFonts w:ascii="Cambria" w:hAnsi="Cambria"/>
                <w:sz w:val="24"/>
                <w:szCs w:val="24"/>
              </w:rPr>
            </w:pPr>
          </w:p>
        </w:tc>
        <w:tc>
          <w:tcPr>
            <w:tcW w:w="901" w:type="dxa"/>
          </w:tcPr>
          <w:p w:rsidR="00847659" w:rsidRDefault="00847659" w:rsidP="00175925">
            <w:pPr>
              <w:jc w:val="right"/>
              <w:rPr>
                <w:rFonts w:ascii="Cambria" w:hAnsi="Cambria"/>
                <w:sz w:val="24"/>
                <w:szCs w:val="24"/>
              </w:rPr>
            </w:pPr>
          </w:p>
        </w:tc>
        <w:tc>
          <w:tcPr>
            <w:tcW w:w="1255" w:type="dxa"/>
          </w:tcPr>
          <w:p w:rsidR="00847659" w:rsidRDefault="00847659" w:rsidP="00175925">
            <w:pPr>
              <w:jc w:val="right"/>
              <w:rPr>
                <w:rFonts w:ascii="Cambria" w:hAnsi="Cambria"/>
                <w:sz w:val="24"/>
                <w:szCs w:val="24"/>
              </w:rPr>
            </w:pPr>
          </w:p>
        </w:tc>
      </w:tr>
      <w:tr w:rsidR="00847659" w:rsidTr="00175925">
        <w:tc>
          <w:tcPr>
            <w:tcW w:w="1263" w:type="dxa"/>
          </w:tcPr>
          <w:p w:rsidR="00847659" w:rsidRPr="00A8474C" w:rsidRDefault="00847659" w:rsidP="00175925">
            <w:pPr>
              <w:rPr>
                <w:rFonts w:ascii="Cambria" w:hAnsi="Cambria"/>
                <w:b/>
                <w:sz w:val="24"/>
                <w:szCs w:val="24"/>
              </w:rPr>
            </w:pPr>
            <w:r w:rsidRPr="00A8474C">
              <w:rPr>
                <w:rFonts w:ascii="Cambria" w:hAnsi="Cambria"/>
                <w:b/>
                <w:sz w:val="24"/>
                <w:szCs w:val="24"/>
              </w:rPr>
              <w:t>Biomass Boiler</w:t>
            </w:r>
          </w:p>
        </w:tc>
        <w:tc>
          <w:tcPr>
            <w:tcW w:w="1059" w:type="dxa"/>
          </w:tcPr>
          <w:p w:rsidR="00847659" w:rsidRDefault="00847659" w:rsidP="00175925">
            <w:pPr>
              <w:jc w:val="right"/>
              <w:rPr>
                <w:rFonts w:ascii="Cambria" w:hAnsi="Cambria"/>
                <w:sz w:val="24"/>
                <w:szCs w:val="24"/>
              </w:rPr>
            </w:pPr>
          </w:p>
        </w:tc>
        <w:tc>
          <w:tcPr>
            <w:tcW w:w="1055" w:type="dxa"/>
          </w:tcPr>
          <w:p w:rsidR="00847659" w:rsidRDefault="00847659" w:rsidP="00175925">
            <w:pPr>
              <w:jc w:val="right"/>
              <w:rPr>
                <w:rFonts w:ascii="Cambria" w:hAnsi="Cambria"/>
                <w:sz w:val="24"/>
                <w:szCs w:val="24"/>
              </w:rPr>
            </w:pPr>
          </w:p>
        </w:tc>
        <w:tc>
          <w:tcPr>
            <w:tcW w:w="1087" w:type="dxa"/>
          </w:tcPr>
          <w:p w:rsidR="00847659" w:rsidRDefault="00847659" w:rsidP="00175925">
            <w:pPr>
              <w:jc w:val="right"/>
              <w:rPr>
                <w:rFonts w:ascii="Cambria" w:hAnsi="Cambria"/>
                <w:sz w:val="24"/>
                <w:szCs w:val="24"/>
              </w:rPr>
            </w:pPr>
          </w:p>
        </w:tc>
        <w:tc>
          <w:tcPr>
            <w:tcW w:w="1258" w:type="dxa"/>
          </w:tcPr>
          <w:p w:rsidR="00847659" w:rsidRDefault="00847659" w:rsidP="00175925">
            <w:pPr>
              <w:jc w:val="right"/>
              <w:rPr>
                <w:rFonts w:ascii="Cambria" w:hAnsi="Cambria"/>
                <w:sz w:val="24"/>
                <w:szCs w:val="24"/>
              </w:rPr>
            </w:pPr>
          </w:p>
        </w:tc>
        <w:tc>
          <w:tcPr>
            <w:tcW w:w="1472" w:type="dxa"/>
          </w:tcPr>
          <w:p w:rsidR="00847659" w:rsidRDefault="00847659" w:rsidP="00175925">
            <w:pPr>
              <w:jc w:val="right"/>
              <w:rPr>
                <w:rFonts w:ascii="Cambria" w:hAnsi="Cambria"/>
                <w:sz w:val="24"/>
                <w:szCs w:val="24"/>
              </w:rPr>
            </w:pPr>
          </w:p>
        </w:tc>
        <w:tc>
          <w:tcPr>
            <w:tcW w:w="901" w:type="dxa"/>
          </w:tcPr>
          <w:p w:rsidR="00847659" w:rsidRDefault="00847659" w:rsidP="00175925">
            <w:pPr>
              <w:jc w:val="right"/>
              <w:rPr>
                <w:rFonts w:ascii="Cambria" w:hAnsi="Cambria"/>
                <w:sz w:val="24"/>
                <w:szCs w:val="24"/>
              </w:rPr>
            </w:pPr>
          </w:p>
        </w:tc>
        <w:tc>
          <w:tcPr>
            <w:tcW w:w="1255" w:type="dxa"/>
          </w:tcPr>
          <w:p w:rsidR="00847659" w:rsidRDefault="00847659" w:rsidP="00175925">
            <w:pPr>
              <w:jc w:val="right"/>
              <w:rPr>
                <w:rFonts w:ascii="Cambria" w:hAnsi="Cambria"/>
                <w:sz w:val="24"/>
                <w:szCs w:val="24"/>
              </w:rPr>
            </w:pP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Boiler</w:t>
            </w:r>
          </w:p>
        </w:tc>
        <w:tc>
          <w:tcPr>
            <w:tcW w:w="1059" w:type="dxa"/>
          </w:tcPr>
          <w:p w:rsidR="00847659" w:rsidRDefault="00847659" w:rsidP="00175925">
            <w:pPr>
              <w:jc w:val="right"/>
              <w:rPr>
                <w:rFonts w:ascii="Cambria" w:hAnsi="Cambria"/>
                <w:sz w:val="24"/>
                <w:szCs w:val="24"/>
              </w:rPr>
            </w:pPr>
            <w:r>
              <w:rPr>
                <w:rFonts w:ascii="Cambria" w:hAnsi="Cambria"/>
                <w:sz w:val="24"/>
                <w:szCs w:val="24"/>
              </w:rPr>
              <w:t>6.58</w:t>
            </w:r>
          </w:p>
        </w:tc>
        <w:tc>
          <w:tcPr>
            <w:tcW w:w="1055" w:type="dxa"/>
          </w:tcPr>
          <w:p w:rsidR="00847659" w:rsidRDefault="00847659" w:rsidP="00175925">
            <w:pPr>
              <w:jc w:val="right"/>
              <w:rPr>
                <w:rFonts w:ascii="Cambria" w:hAnsi="Cambria"/>
                <w:sz w:val="24"/>
                <w:szCs w:val="24"/>
              </w:rPr>
            </w:pPr>
            <w:r>
              <w:rPr>
                <w:rFonts w:ascii="Cambria" w:hAnsi="Cambria"/>
                <w:sz w:val="24"/>
                <w:szCs w:val="24"/>
              </w:rPr>
              <w:t>0.98</w:t>
            </w:r>
          </w:p>
        </w:tc>
        <w:tc>
          <w:tcPr>
            <w:tcW w:w="1087" w:type="dxa"/>
          </w:tcPr>
          <w:p w:rsidR="00847659" w:rsidRDefault="00847659" w:rsidP="00175925">
            <w:pPr>
              <w:jc w:val="right"/>
              <w:rPr>
                <w:rFonts w:ascii="Cambria" w:hAnsi="Cambria"/>
                <w:sz w:val="24"/>
                <w:szCs w:val="24"/>
              </w:rPr>
            </w:pPr>
            <w:r>
              <w:rPr>
                <w:rFonts w:ascii="Cambria" w:hAnsi="Cambria"/>
                <w:sz w:val="24"/>
                <w:szCs w:val="24"/>
              </w:rPr>
              <w:t>0.22</w:t>
            </w:r>
          </w:p>
        </w:tc>
        <w:tc>
          <w:tcPr>
            <w:tcW w:w="1258" w:type="dxa"/>
          </w:tcPr>
          <w:p w:rsidR="00847659" w:rsidRDefault="00847659" w:rsidP="00175925">
            <w:pPr>
              <w:jc w:val="right"/>
              <w:rPr>
                <w:rFonts w:ascii="Cambria" w:hAnsi="Cambria"/>
                <w:sz w:val="24"/>
                <w:szCs w:val="24"/>
              </w:rPr>
            </w:pPr>
            <w:r>
              <w:rPr>
                <w:rFonts w:ascii="Cambria" w:hAnsi="Cambria"/>
                <w:sz w:val="24"/>
                <w:szCs w:val="24"/>
              </w:rPr>
              <w:t>9</w:t>
            </w:r>
          </w:p>
        </w:tc>
        <w:tc>
          <w:tcPr>
            <w:tcW w:w="1472" w:type="dxa"/>
          </w:tcPr>
          <w:p w:rsidR="00847659" w:rsidRDefault="00847659" w:rsidP="00175925">
            <w:pPr>
              <w:jc w:val="right"/>
              <w:rPr>
                <w:rFonts w:ascii="Cambria" w:hAnsi="Cambria"/>
                <w:sz w:val="24"/>
                <w:szCs w:val="24"/>
              </w:rPr>
            </w:pPr>
            <w:r>
              <w:rPr>
                <w:rFonts w:ascii="Cambria" w:hAnsi="Cambria"/>
                <w:sz w:val="24"/>
                <w:szCs w:val="24"/>
              </w:rPr>
              <w:t>11,178</w:t>
            </w:r>
          </w:p>
        </w:tc>
        <w:tc>
          <w:tcPr>
            <w:tcW w:w="901" w:type="dxa"/>
          </w:tcPr>
          <w:p w:rsidR="00847659" w:rsidRDefault="00847659" w:rsidP="00175925">
            <w:pPr>
              <w:jc w:val="right"/>
              <w:rPr>
                <w:rFonts w:ascii="Cambria" w:hAnsi="Cambria"/>
                <w:sz w:val="24"/>
                <w:szCs w:val="24"/>
              </w:rPr>
            </w:pPr>
            <w:r>
              <w:rPr>
                <w:rFonts w:ascii="Cambria" w:hAnsi="Cambria"/>
                <w:sz w:val="24"/>
                <w:szCs w:val="24"/>
              </w:rPr>
              <w:t>0.55</w:t>
            </w:r>
          </w:p>
        </w:tc>
        <w:tc>
          <w:tcPr>
            <w:tcW w:w="1255" w:type="dxa"/>
          </w:tcPr>
          <w:p w:rsidR="00847659" w:rsidRDefault="00847659" w:rsidP="00175925">
            <w:pPr>
              <w:jc w:val="right"/>
              <w:rPr>
                <w:rFonts w:ascii="Cambria" w:hAnsi="Cambria"/>
                <w:sz w:val="24"/>
                <w:szCs w:val="24"/>
              </w:rPr>
            </w:pPr>
            <w:r>
              <w:rPr>
                <w:rFonts w:ascii="Cambria" w:hAnsi="Cambria"/>
                <w:sz w:val="24"/>
                <w:szCs w:val="24"/>
              </w:rPr>
              <w:t>11,189</w:t>
            </w: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lastRenderedPageBreak/>
              <w:t>Process &amp; Transport</w:t>
            </w:r>
          </w:p>
        </w:tc>
        <w:tc>
          <w:tcPr>
            <w:tcW w:w="1059" w:type="dxa"/>
          </w:tcPr>
          <w:p w:rsidR="00847659" w:rsidRDefault="00847659" w:rsidP="00175925">
            <w:pPr>
              <w:jc w:val="right"/>
              <w:rPr>
                <w:rFonts w:ascii="Cambria" w:hAnsi="Cambria"/>
                <w:sz w:val="24"/>
                <w:szCs w:val="24"/>
              </w:rPr>
            </w:pPr>
          </w:p>
        </w:tc>
        <w:tc>
          <w:tcPr>
            <w:tcW w:w="1055" w:type="dxa"/>
          </w:tcPr>
          <w:p w:rsidR="00847659" w:rsidRDefault="00847659" w:rsidP="00175925">
            <w:pPr>
              <w:jc w:val="right"/>
              <w:rPr>
                <w:rFonts w:ascii="Cambria" w:hAnsi="Cambria"/>
                <w:sz w:val="24"/>
                <w:szCs w:val="24"/>
              </w:rPr>
            </w:pPr>
          </w:p>
        </w:tc>
        <w:tc>
          <w:tcPr>
            <w:tcW w:w="1087" w:type="dxa"/>
          </w:tcPr>
          <w:p w:rsidR="00847659" w:rsidRDefault="00847659" w:rsidP="00175925">
            <w:pPr>
              <w:jc w:val="right"/>
              <w:rPr>
                <w:rFonts w:ascii="Cambria" w:hAnsi="Cambria"/>
                <w:sz w:val="24"/>
                <w:szCs w:val="24"/>
              </w:rPr>
            </w:pPr>
          </w:p>
        </w:tc>
        <w:tc>
          <w:tcPr>
            <w:tcW w:w="1258" w:type="dxa"/>
          </w:tcPr>
          <w:p w:rsidR="00847659" w:rsidRDefault="00847659" w:rsidP="00175925">
            <w:pPr>
              <w:jc w:val="right"/>
              <w:rPr>
                <w:rFonts w:ascii="Cambria" w:hAnsi="Cambria"/>
                <w:sz w:val="24"/>
                <w:szCs w:val="24"/>
              </w:rPr>
            </w:pPr>
          </w:p>
        </w:tc>
        <w:tc>
          <w:tcPr>
            <w:tcW w:w="1472" w:type="dxa"/>
          </w:tcPr>
          <w:p w:rsidR="00847659" w:rsidRDefault="00847659" w:rsidP="00175925">
            <w:pPr>
              <w:jc w:val="right"/>
              <w:rPr>
                <w:rFonts w:ascii="Cambria" w:hAnsi="Cambria"/>
                <w:sz w:val="24"/>
                <w:szCs w:val="24"/>
              </w:rPr>
            </w:pPr>
          </w:p>
        </w:tc>
        <w:tc>
          <w:tcPr>
            <w:tcW w:w="901" w:type="dxa"/>
          </w:tcPr>
          <w:p w:rsidR="00847659" w:rsidRDefault="00847659" w:rsidP="00175925">
            <w:pPr>
              <w:jc w:val="right"/>
              <w:rPr>
                <w:rFonts w:ascii="Cambria" w:hAnsi="Cambria"/>
                <w:sz w:val="24"/>
                <w:szCs w:val="24"/>
              </w:rPr>
            </w:pPr>
          </w:p>
        </w:tc>
        <w:tc>
          <w:tcPr>
            <w:tcW w:w="1255" w:type="dxa"/>
          </w:tcPr>
          <w:p w:rsidR="00847659" w:rsidRDefault="00847659" w:rsidP="00175925">
            <w:pPr>
              <w:jc w:val="right"/>
              <w:rPr>
                <w:rFonts w:ascii="Cambria" w:hAnsi="Cambria"/>
                <w:sz w:val="24"/>
                <w:szCs w:val="24"/>
              </w:rPr>
            </w:pP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Chipping</w:t>
            </w:r>
          </w:p>
        </w:tc>
        <w:tc>
          <w:tcPr>
            <w:tcW w:w="1059" w:type="dxa"/>
          </w:tcPr>
          <w:p w:rsidR="00847659" w:rsidRDefault="00847659" w:rsidP="00175925">
            <w:pPr>
              <w:jc w:val="right"/>
              <w:rPr>
                <w:rFonts w:ascii="Cambria" w:hAnsi="Cambria"/>
                <w:sz w:val="24"/>
                <w:szCs w:val="24"/>
              </w:rPr>
            </w:pPr>
            <w:r>
              <w:rPr>
                <w:rFonts w:ascii="Cambria" w:hAnsi="Cambria"/>
                <w:sz w:val="24"/>
                <w:szCs w:val="24"/>
              </w:rPr>
              <w:t>0.43</w:t>
            </w:r>
          </w:p>
        </w:tc>
        <w:tc>
          <w:tcPr>
            <w:tcW w:w="1055" w:type="dxa"/>
          </w:tcPr>
          <w:p w:rsidR="00847659" w:rsidRDefault="00847659" w:rsidP="00175925">
            <w:pPr>
              <w:jc w:val="right"/>
              <w:rPr>
                <w:rFonts w:ascii="Cambria" w:hAnsi="Cambria"/>
                <w:sz w:val="24"/>
                <w:szCs w:val="24"/>
              </w:rPr>
            </w:pPr>
            <w:r>
              <w:rPr>
                <w:rFonts w:ascii="Cambria" w:hAnsi="Cambria"/>
                <w:sz w:val="24"/>
                <w:szCs w:val="24"/>
              </w:rPr>
              <w:t>0.52</w:t>
            </w:r>
          </w:p>
        </w:tc>
        <w:tc>
          <w:tcPr>
            <w:tcW w:w="1087" w:type="dxa"/>
          </w:tcPr>
          <w:p w:rsidR="00847659" w:rsidRDefault="00847659" w:rsidP="00175925">
            <w:pPr>
              <w:jc w:val="right"/>
              <w:rPr>
                <w:rFonts w:ascii="Cambria" w:hAnsi="Cambria"/>
                <w:sz w:val="24"/>
                <w:szCs w:val="24"/>
              </w:rPr>
            </w:pPr>
            <w:r>
              <w:rPr>
                <w:rFonts w:ascii="Cambria" w:hAnsi="Cambria"/>
                <w:sz w:val="24"/>
                <w:szCs w:val="24"/>
              </w:rPr>
              <w:t>0.02</w:t>
            </w:r>
          </w:p>
        </w:tc>
        <w:tc>
          <w:tcPr>
            <w:tcW w:w="1258" w:type="dxa"/>
          </w:tcPr>
          <w:p w:rsidR="00847659" w:rsidRDefault="00847659" w:rsidP="00175925">
            <w:pPr>
              <w:jc w:val="right"/>
              <w:rPr>
                <w:rFonts w:ascii="Cambria" w:hAnsi="Cambria"/>
                <w:sz w:val="24"/>
                <w:szCs w:val="24"/>
              </w:rPr>
            </w:pPr>
            <w:r>
              <w:rPr>
                <w:rFonts w:ascii="Cambria" w:hAnsi="Cambria"/>
                <w:sz w:val="24"/>
                <w:szCs w:val="24"/>
              </w:rPr>
              <w:t>1</w:t>
            </w:r>
          </w:p>
        </w:tc>
        <w:tc>
          <w:tcPr>
            <w:tcW w:w="1472" w:type="dxa"/>
          </w:tcPr>
          <w:p w:rsidR="00847659" w:rsidRDefault="00847659" w:rsidP="00175925">
            <w:pPr>
              <w:jc w:val="right"/>
              <w:rPr>
                <w:rFonts w:ascii="Cambria" w:hAnsi="Cambria"/>
                <w:sz w:val="24"/>
                <w:szCs w:val="24"/>
              </w:rPr>
            </w:pPr>
            <w:r>
              <w:rPr>
                <w:rFonts w:ascii="Cambria" w:hAnsi="Cambria"/>
                <w:sz w:val="24"/>
                <w:szCs w:val="24"/>
              </w:rPr>
              <w:t>73</w:t>
            </w:r>
          </w:p>
        </w:tc>
        <w:tc>
          <w:tcPr>
            <w:tcW w:w="901" w:type="dxa"/>
          </w:tcPr>
          <w:p w:rsidR="00847659" w:rsidRDefault="00847659" w:rsidP="00175925">
            <w:pPr>
              <w:jc w:val="right"/>
              <w:rPr>
                <w:rFonts w:ascii="Cambria" w:hAnsi="Cambria"/>
                <w:sz w:val="24"/>
                <w:szCs w:val="24"/>
              </w:rPr>
            </w:pPr>
            <w:r>
              <w:rPr>
                <w:rFonts w:ascii="Cambria" w:hAnsi="Cambria"/>
                <w:sz w:val="24"/>
                <w:szCs w:val="24"/>
              </w:rPr>
              <w:t>0.04</w:t>
            </w:r>
          </w:p>
        </w:tc>
        <w:tc>
          <w:tcPr>
            <w:tcW w:w="1255" w:type="dxa"/>
          </w:tcPr>
          <w:p w:rsidR="00847659" w:rsidRDefault="00847659" w:rsidP="00175925">
            <w:pPr>
              <w:jc w:val="right"/>
              <w:rPr>
                <w:rFonts w:ascii="Cambria" w:hAnsi="Cambria"/>
                <w:sz w:val="24"/>
                <w:szCs w:val="24"/>
              </w:rPr>
            </w:pPr>
            <w:r>
              <w:rPr>
                <w:rFonts w:ascii="Cambria" w:hAnsi="Cambria"/>
                <w:sz w:val="24"/>
                <w:szCs w:val="24"/>
              </w:rPr>
              <w:t>74</w:t>
            </w: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Loading</w:t>
            </w:r>
          </w:p>
        </w:tc>
        <w:tc>
          <w:tcPr>
            <w:tcW w:w="1059" w:type="dxa"/>
          </w:tcPr>
          <w:p w:rsidR="00847659" w:rsidRDefault="00847659" w:rsidP="00175925">
            <w:pPr>
              <w:jc w:val="right"/>
              <w:rPr>
                <w:rFonts w:ascii="Cambria" w:hAnsi="Cambria"/>
                <w:sz w:val="24"/>
                <w:szCs w:val="24"/>
              </w:rPr>
            </w:pPr>
            <w:r>
              <w:rPr>
                <w:rFonts w:ascii="Cambria" w:hAnsi="Cambria"/>
                <w:sz w:val="24"/>
                <w:szCs w:val="24"/>
              </w:rPr>
              <w:t>0.31</w:t>
            </w:r>
          </w:p>
        </w:tc>
        <w:tc>
          <w:tcPr>
            <w:tcW w:w="1055" w:type="dxa"/>
          </w:tcPr>
          <w:p w:rsidR="00847659" w:rsidRDefault="00847659" w:rsidP="00175925">
            <w:pPr>
              <w:jc w:val="right"/>
              <w:rPr>
                <w:rFonts w:ascii="Cambria" w:hAnsi="Cambria"/>
                <w:sz w:val="24"/>
                <w:szCs w:val="24"/>
              </w:rPr>
            </w:pPr>
            <w:r>
              <w:rPr>
                <w:rFonts w:ascii="Cambria" w:hAnsi="Cambria"/>
                <w:sz w:val="24"/>
                <w:szCs w:val="24"/>
              </w:rPr>
              <w:t>0.01</w:t>
            </w:r>
          </w:p>
        </w:tc>
        <w:tc>
          <w:tcPr>
            <w:tcW w:w="1087" w:type="dxa"/>
          </w:tcPr>
          <w:p w:rsidR="00847659" w:rsidRDefault="00847659" w:rsidP="00175925">
            <w:pPr>
              <w:jc w:val="right"/>
              <w:rPr>
                <w:rFonts w:ascii="Cambria" w:hAnsi="Cambria"/>
                <w:sz w:val="24"/>
                <w:szCs w:val="24"/>
              </w:rPr>
            </w:pPr>
            <w:r>
              <w:rPr>
                <w:rFonts w:ascii="Cambria" w:hAnsi="Cambria"/>
                <w:sz w:val="24"/>
                <w:szCs w:val="24"/>
              </w:rPr>
              <w:t>0.01</w:t>
            </w:r>
          </w:p>
        </w:tc>
        <w:tc>
          <w:tcPr>
            <w:tcW w:w="1258" w:type="dxa"/>
          </w:tcPr>
          <w:p w:rsidR="00847659" w:rsidRDefault="00847659" w:rsidP="00175925">
            <w:pPr>
              <w:jc w:val="right"/>
              <w:rPr>
                <w:rFonts w:ascii="Cambria" w:hAnsi="Cambria"/>
                <w:sz w:val="24"/>
                <w:szCs w:val="24"/>
              </w:rPr>
            </w:pPr>
            <w:r>
              <w:rPr>
                <w:rFonts w:ascii="Cambria" w:hAnsi="Cambria"/>
                <w:sz w:val="24"/>
                <w:szCs w:val="24"/>
              </w:rPr>
              <w:t>0</w:t>
            </w:r>
          </w:p>
        </w:tc>
        <w:tc>
          <w:tcPr>
            <w:tcW w:w="1472" w:type="dxa"/>
          </w:tcPr>
          <w:p w:rsidR="00847659" w:rsidRDefault="00847659" w:rsidP="00175925">
            <w:pPr>
              <w:jc w:val="right"/>
              <w:rPr>
                <w:rFonts w:ascii="Cambria" w:hAnsi="Cambria"/>
                <w:sz w:val="24"/>
                <w:szCs w:val="24"/>
              </w:rPr>
            </w:pPr>
            <w:r>
              <w:rPr>
                <w:rFonts w:ascii="Cambria" w:hAnsi="Cambria"/>
                <w:sz w:val="24"/>
                <w:szCs w:val="24"/>
              </w:rPr>
              <w:t>19</w:t>
            </w:r>
          </w:p>
        </w:tc>
        <w:tc>
          <w:tcPr>
            <w:tcW w:w="901" w:type="dxa"/>
          </w:tcPr>
          <w:p w:rsidR="00847659" w:rsidRDefault="00847659" w:rsidP="00175925">
            <w:pPr>
              <w:jc w:val="right"/>
              <w:rPr>
                <w:rFonts w:ascii="Cambria" w:hAnsi="Cambria"/>
                <w:sz w:val="24"/>
                <w:szCs w:val="24"/>
              </w:rPr>
            </w:pPr>
            <w:r>
              <w:rPr>
                <w:rFonts w:ascii="Cambria" w:hAnsi="Cambria"/>
                <w:sz w:val="24"/>
                <w:szCs w:val="24"/>
              </w:rPr>
              <w:t>0.03</w:t>
            </w:r>
          </w:p>
        </w:tc>
        <w:tc>
          <w:tcPr>
            <w:tcW w:w="1255" w:type="dxa"/>
          </w:tcPr>
          <w:p w:rsidR="00847659" w:rsidRDefault="00847659" w:rsidP="00175925">
            <w:pPr>
              <w:jc w:val="right"/>
              <w:rPr>
                <w:rFonts w:ascii="Cambria" w:hAnsi="Cambria"/>
                <w:sz w:val="24"/>
                <w:szCs w:val="24"/>
              </w:rPr>
            </w:pPr>
            <w:r>
              <w:rPr>
                <w:rFonts w:ascii="Cambria" w:hAnsi="Cambria"/>
                <w:sz w:val="24"/>
                <w:szCs w:val="24"/>
              </w:rPr>
              <w:t>19</w:t>
            </w: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Chip Van Transport</w:t>
            </w:r>
          </w:p>
        </w:tc>
        <w:tc>
          <w:tcPr>
            <w:tcW w:w="1059" w:type="dxa"/>
          </w:tcPr>
          <w:p w:rsidR="00847659" w:rsidRDefault="00847659" w:rsidP="00175925">
            <w:pPr>
              <w:jc w:val="right"/>
              <w:rPr>
                <w:rFonts w:ascii="Cambria" w:hAnsi="Cambria"/>
                <w:sz w:val="24"/>
                <w:szCs w:val="24"/>
              </w:rPr>
            </w:pPr>
            <w:r>
              <w:rPr>
                <w:rFonts w:ascii="Cambria" w:hAnsi="Cambria"/>
                <w:sz w:val="24"/>
                <w:szCs w:val="24"/>
              </w:rPr>
              <w:t>0.91</w:t>
            </w:r>
          </w:p>
        </w:tc>
        <w:tc>
          <w:tcPr>
            <w:tcW w:w="1055" w:type="dxa"/>
          </w:tcPr>
          <w:p w:rsidR="00847659" w:rsidRDefault="00847659" w:rsidP="00175925">
            <w:pPr>
              <w:jc w:val="right"/>
              <w:rPr>
                <w:rFonts w:ascii="Cambria" w:hAnsi="Cambria"/>
                <w:sz w:val="24"/>
                <w:szCs w:val="24"/>
              </w:rPr>
            </w:pPr>
            <w:r>
              <w:rPr>
                <w:rFonts w:ascii="Cambria" w:hAnsi="Cambria"/>
                <w:sz w:val="24"/>
                <w:szCs w:val="24"/>
              </w:rPr>
              <w:t>0.02</w:t>
            </w:r>
          </w:p>
        </w:tc>
        <w:tc>
          <w:tcPr>
            <w:tcW w:w="1087" w:type="dxa"/>
          </w:tcPr>
          <w:p w:rsidR="00847659" w:rsidRDefault="00847659" w:rsidP="00175925">
            <w:pPr>
              <w:jc w:val="right"/>
              <w:rPr>
                <w:rFonts w:ascii="Cambria" w:hAnsi="Cambria"/>
                <w:sz w:val="24"/>
                <w:szCs w:val="24"/>
              </w:rPr>
            </w:pPr>
            <w:r>
              <w:rPr>
                <w:rFonts w:ascii="Cambria" w:hAnsi="Cambria"/>
                <w:sz w:val="24"/>
                <w:szCs w:val="24"/>
              </w:rPr>
              <w:t>0.03</w:t>
            </w:r>
          </w:p>
        </w:tc>
        <w:tc>
          <w:tcPr>
            <w:tcW w:w="1258" w:type="dxa"/>
          </w:tcPr>
          <w:p w:rsidR="00847659" w:rsidRDefault="00847659" w:rsidP="00175925">
            <w:pPr>
              <w:jc w:val="right"/>
              <w:rPr>
                <w:rFonts w:ascii="Cambria" w:hAnsi="Cambria"/>
                <w:sz w:val="24"/>
                <w:szCs w:val="24"/>
              </w:rPr>
            </w:pPr>
            <w:r>
              <w:rPr>
                <w:rFonts w:ascii="Cambria" w:hAnsi="Cambria"/>
                <w:sz w:val="24"/>
                <w:szCs w:val="24"/>
              </w:rPr>
              <w:t>2</w:t>
            </w:r>
          </w:p>
        </w:tc>
        <w:tc>
          <w:tcPr>
            <w:tcW w:w="1472" w:type="dxa"/>
          </w:tcPr>
          <w:p w:rsidR="00847659" w:rsidRDefault="00847659" w:rsidP="00175925">
            <w:pPr>
              <w:jc w:val="right"/>
              <w:rPr>
                <w:rFonts w:ascii="Cambria" w:hAnsi="Cambria"/>
                <w:sz w:val="24"/>
                <w:szCs w:val="24"/>
              </w:rPr>
            </w:pPr>
            <w:r>
              <w:rPr>
                <w:rFonts w:ascii="Cambria" w:hAnsi="Cambria"/>
                <w:sz w:val="24"/>
                <w:szCs w:val="24"/>
              </w:rPr>
              <w:t>118</w:t>
            </w:r>
          </w:p>
        </w:tc>
        <w:tc>
          <w:tcPr>
            <w:tcW w:w="901" w:type="dxa"/>
          </w:tcPr>
          <w:p w:rsidR="00847659" w:rsidRDefault="00847659" w:rsidP="00175925">
            <w:pPr>
              <w:jc w:val="right"/>
              <w:rPr>
                <w:rFonts w:ascii="Cambria" w:hAnsi="Cambria"/>
                <w:sz w:val="24"/>
                <w:szCs w:val="24"/>
              </w:rPr>
            </w:pPr>
            <w:r>
              <w:rPr>
                <w:rFonts w:ascii="Cambria" w:hAnsi="Cambria"/>
                <w:sz w:val="24"/>
                <w:szCs w:val="24"/>
              </w:rPr>
              <w:t>0.05</w:t>
            </w:r>
          </w:p>
        </w:tc>
        <w:tc>
          <w:tcPr>
            <w:tcW w:w="1255" w:type="dxa"/>
          </w:tcPr>
          <w:p w:rsidR="00847659" w:rsidRDefault="00847659" w:rsidP="00175925">
            <w:pPr>
              <w:jc w:val="right"/>
              <w:rPr>
                <w:rFonts w:ascii="Cambria" w:hAnsi="Cambria"/>
                <w:sz w:val="24"/>
                <w:szCs w:val="24"/>
              </w:rPr>
            </w:pPr>
            <w:r>
              <w:rPr>
                <w:rFonts w:ascii="Cambria" w:hAnsi="Cambria"/>
                <w:sz w:val="24"/>
                <w:szCs w:val="24"/>
              </w:rPr>
              <w:t>119</w:t>
            </w:r>
          </w:p>
        </w:tc>
      </w:tr>
      <w:tr w:rsidR="00847659" w:rsidTr="00175925">
        <w:tc>
          <w:tcPr>
            <w:tcW w:w="1263" w:type="dxa"/>
          </w:tcPr>
          <w:p w:rsidR="00847659" w:rsidRPr="00A8474C" w:rsidRDefault="00847659" w:rsidP="00175925">
            <w:pPr>
              <w:rPr>
                <w:rFonts w:ascii="Cambria" w:hAnsi="Cambria"/>
                <w:b/>
                <w:sz w:val="24"/>
                <w:szCs w:val="24"/>
              </w:rPr>
            </w:pPr>
            <w:r>
              <w:rPr>
                <w:rFonts w:ascii="Cambria" w:hAnsi="Cambria"/>
                <w:b/>
                <w:sz w:val="24"/>
                <w:szCs w:val="24"/>
              </w:rPr>
              <w:t>Total</w:t>
            </w:r>
          </w:p>
        </w:tc>
        <w:tc>
          <w:tcPr>
            <w:tcW w:w="1059" w:type="dxa"/>
          </w:tcPr>
          <w:p w:rsidR="00847659" w:rsidRDefault="00847659" w:rsidP="00175925">
            <w:pPr>
              <w:jc w:val="right"/>
              <w:rPr>
                <w:rFonts w:ascii="Cambria" w:hAnsi="Cambria"/>
                <w:sz w:val="24"/>
                <w:szCs w:val="24"/>
              </w:rPr>
            </w:pPr>
            <w:r>
              <w:rPr>
                <w:rFonts w:ascii="Cambria" w:hAnsi="Cambria"/>
                <w:sz w:val="24"/>
                <w:szCs w:val="24"/>
              </w:rPr>
              <w:t>8.23</w:t>
            </w:r>
          </w:p>
        </w:tc>
        <w:tc>
          <w:tcPr>
            <w:tcW w:w="1055" w:type="dxa"/>
          </w:tcPr>
          <w:p w:rsidR="00847659" w:rsidRDefault="00847659" w:rsidP="00175925">
            <w:pPr>
              <w:jc w:val="right"/>
              <w:rPr>
                <w:rFonts w:ascii="Cambria" w:hAnsi="Cambria"/>
                <w:sz w:val="24"/>
                <w:szCs w:val="24"/>
              </w:rPr>
            </w:pPr>
            <w:r>
              <w:rPr>
                <w:rFonts w:ascii="Cambria" w:hAnsi="Cambria"/>
                <w:sz w:val="24"/>
                <w:szCs w:val="24"/>
              </w:rPr>
              <w:t>1.53</w:t>
            </w:r>
          </w:p>
        </w:tc>
        <w:tc>
          <w:tcPr>
            <w:tcW w:w="1087" w:type="dxa"/>
          </w:tcPr>
          <w:p w:rsidR="00847659" w:rsidRDefault="00847659" w:rsidP="00175925">
            <w:pPr>
              <w:jc w:val="right"/>
              <w:rPr>
                <w:rFonts w:ascii="Cambria" w:hAnsi="Cambria"/>
                <w:sz w:val="24"/>
                <w:szCs w:val="24"/>
              </w:rPr>
            </w:pPr>
            <w:r>
              <w:rPr>
                <w:rFonts w:ascii="Cambria" w:hAnsi="Cambria"/>
                <w:sz w:val="24"/>
                <w:szCs w:val="24"/>
              </w:rPr>
              <w:t>0.28</w:t>
            </w:r>
          </w:p>
        </w:tc>
        <w:tc>
          <w:tcPr>
            <w:tcW w:w="1258" w:type="dxa"/>
          </w:tcPr>
          <w:p w:rsidR="00847659" w:rsidRDefault="00847659" w:rsidP="00175925">
            <w:pPr>
              <w:jc w:val="right"/>
              <w:rPr>
                <w:rFonts w:ascii="Cambria" w:hAnsi="Cambria"/>
                <w:sz w:val="24"/>
                <w:szCs w:val="24"/>
              </w:rPr>
            </w:pPr>
            <w:r>
              <w:rPr>
                <w:rFonts w:ascii="Cambria" w:hAnsi="Cambria"/>
                <w:sz w:val="24"/>
                <w:szCs w:val="24"/>
              </w:rPr>
              <w:t>12</w:t>
            </w:r>
          </w:p>
        </w:tc>
        <w:tc>
          <w:tcPr>
            <w:tcW w:w="1472" w:type="dxa"/>
          </w:tcPr>
          <w:p w:rsidR="00847659" w:rsidRDefault="00847659" w:rsidP="00175925">
            <w:pPr>
              <w:jc w:val="right"/>
              <w:rPr>
                <w:rFonts w:ascii="Cambria" w:hAnsi="Cambria"/>
                <w:sz w:val="24"/>
                <w:szCs w:val="24"/>
              </w:rPr>
            </w:pPr>
            <w:r>
              <w:rPr>
                <w:rFonts w:ascii="Cambria" w:hAnsi="Cambria"/>
                <w:sz w:val="24"/>
                <w:szCs w:val="24"/>
              </w:rPr>
              <w:t>11,388</w:t>
            </w:r>
          </w:p>
        </w:tc>
        <w:tc>
          <w:tcPr>
            <w:tcW w:w="901" w:type="dxa"/>
          </w:tcPr>
          <w:p w:rsidR="00847659" w:rsidRDefault="00847659" w:rsidP="00175925">
            <w:pPr>
              <w:jc w:val="right"/>
              <w:rPr>
                <w:rFonts w:ascii="Cambria" w:hAnsi="Cambria"/>
                <w:sz w:val="24"/>
                <w:szCs w:val="24"/>
              </w:rPr>
            </w:pPr>
            <w:r>
              <w:rPr>
                <w:rFonts w:ascii="Cambria" w:hAnsi="Cambria"/>
                <w:sz w:val="24"/>
                <w:szCs w:val="24"/>
              </w:rPr>
              <w:t>0.70</w:t>
            </w:r>
          </w:p>
        </w:tc>
        <w:tc>
          <w:tcPr>
            <w:tcW w:w="1255" w:type="dxa"/>
          </w:tcPr>
          <w:p w:rsidR="00847659" w:rsidRDefault="00847659" w:rsidP="00175925">
            <w:pPr>
              <w:jc w:val="right"/>
              <w:rPr>
                <w:rFonts w:ascii="Cambria" w:hAnsi="Cambria"/>
                <w:sz w:val="24"/>
                <w:szCs w:val="24"/>
              </w:rPr>
            </w:pPr>
            <w:r>
              <w:rPr>
                <w:rFonts w:ascii="Cambria" w:hAnsi="Cambria"/>
                <w:sz w:val="24"/>
                <w:szCs w:val="24"/>
              </w:rPr>
              <w:t>11,402</w:t>
            </w:r>
          </w:p>
        </w:tc>
      </w:tr>
      <w:tr w:rsidR="00847659" w:rsidTr="00175925">
        <w:tc>
          <w:tcPr>
            <w:tcW w:w="1263" w:type="dxa"/>
          </w:tcPr>
          <w:p w:rsidR="00847659" w:rsidRDefault="00847659" w:rsidP="00175925">
            <w:pPr>
              <w:rPr>
                <w:rFonts w:ascii="Cambria" w:hAnsi="Cambria"/>
                <w:sz w:val="24"/>
                <w:szCs w:val="24"/>
              </w:rPr>
            </w:pPr>
          </w:p>
        </w:tc>
        <w:tc>
          <w:tcPr>
            <w:tcW w:w="1059" w:type="dxa"/>
          </w:tcPr>
          <w:p w:rsidR="00847659" w:rsidRDefault="00847659" w:rsidP="00175925">
            <w:pPr>
              <w:jc w:val="right"/>
              <w:rPr>
                <w:rFonts w:ascii="Cambria" w:hAnsi="Cambria"/>
                <w:sz w:val="24"/>
                <w:szCs w:val="24"/>
              </w:rPr>
            </w:pPr>
          </w:p>
        </w:tc>
        <w:tc>
          <w:tcPr>
            <w:tcW w:w="1055" w:type="dxa"/>
          </w:tcPr>
          <w:p w:rsidR="00847659" w:rsidRDefault="00847659" w:rsidP="00175925">
            <w:pPr>
              <w:jc w:val="right"/>
              <w:rPr>
                <w:rFonts w:ascii="Cambria" w:hAnsi="Cambria"/>
                <w:sz w:val="24"/>
                <w:szCs w:val="24"/>
              </w:rPr>
            </w:pPr>
          </w:p>
        </w:tc>
        <w:tc>
          <w:tcPr>
            <w:tcW w:w="1087" w:type="dxa"/>
          </w:tcPr>
          <w:p w:rsidR="00847659" w:rsidRDefault="00847659" w:rsidP="00175925">
            <w:pPr>
              <w:jc w:val="right"/>
              <w:rPr>
                <w:rFonts w:ascii="Cambria" w:hAnsi="Cambria"/>
                <w:sz w:val="24"/>
                <w:szCs w:val="24"/>
              </w:rPr>
            </w:pPr>
          </w:p>
        </w:tc>
        <w:tc>
          <w:tcPr>
            <w:tcW w:w="1258" w:type="dxa"/>
          </w:tcPr>
          <w:p w:rsidR="00847659" w:rsidRDefault="00847659" w:rsidP="00175925">
            <w:pPr>
              <w:jc w:val="right"/>
              <w:rPr>
                <w:rFonts w:ascii="Cambria" w:hAnsi="Cambria"/>
                <w:sz w:val="24"/>
                <w:szCs w:val="24"/>
              </w:rPr>
            </w:pPr>
          </w:p>
        </w:tc>
        <w:tc>
          <w:tcPr>
            <w:tcW w:w="1472" w:type="dxa"/>
          </w:tcPr>
          <w:p w:rsidR="00847659" w:rsidRDefault="00847659" w:rsidP="00175925">
            <w:pPr>
              <w:jc w:val="right"/>
              <w:rPr>
                <w:rFonts w:ascii="Cambria" w:hAnsi="Cambria"/>
                <w:sz w:val="24"/>
                <w:szCs w:val="24"/>
              </w:rPr>
            </w:pPr>
          </w:p>
        </w:tc>
        <w:tc>
          <w:tcPr>
            <w:tcW w:w="901" w:type="dxa"/>
          </w:tcPr>
          <w:p w:rsidR="00847659" w:rsidRDefault="00847659" w:rsidP="00175925">
            <w:pPr>
              <w:jc w:val="right"/>
              <w:rPr>
                <w:rFonts w:ascii="Cambria" w:hAnsi="Cambria"/>
                <w:sz w:val="24"/>
                <w:szCs w:val="24"/>
              </w:rPr>
            </w:pPr>
          </w:p>
        </w:tc>
        <w:tc>
          <w:tcPr>
            <w:tcW w:w="1255" w:type="dxa"/>
          </w:tcPr>
          <w:p w:rsidR="00847659" w:rsidRDefault="00847659" w:rsidP="00175925">
            <w:pPr>
              <w:jc w:val="right"/>
              <w:rPr>
                <w:rFonts w:ascii="Cambria" w:hAnsi="Cambria"/>
                <w:sz w:val="24"/>
                <w:szCs w:val="24"/>
              </w:rPr>
            </w:pP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Emissions Reduction</w:t>
            </w:r>
          </w:p>
        </w:tc>
        <w:tc>
          <w:tcPr>
            <w:tcW w:w="1059" w:type="dxa"/>
          </w:tcPr>
          <w:p w:rsidR="00847659" w:rsidRDefault="00847659" w:rsidP="00175925">
            <w:pPr>
              <w:jc w:val="right"/>
              <w:rPr>
                <w:rFonts w:ascii="Cambria" w:hAnsi="Cambria"/>
                <w:sz w:val="24"/>
                <w:szCs w:val="24"/>
              </w:rPr>
            </w:pPr>
            <w:r>
              <w:rPr>
                <w:rFonts w:ascii="Cambria" w:hAnsi="Cambria"/>
                <w:sz w:val="24"/>
                <w:szCs w:val="24"/>
              </w:rPr>
              <w:t>9.62</w:t>
            </w:r>
          </w:p>
        </w:tc>
        <w:tc>
          <w:tcPr>
            <w:tcW w:w="1055" w:type="dxa"/>
          </w:tcPr>
          <w:p w:rsidR="00847659" w:rsidRDefault="00847659" w:rsidP="00175925">
            <w:pPr>
              <w:jc w:val="right"/>
              <w:rPr>
                <w:rFonts w:ascii="Cambria" w:hAnsi="Cambria"/>
                <w:sz w:val="24"/>
                <w:szCs w:val="24"/>
              </w:rPr>
            </w:pPr>
            <w:r>
              <w:rPr>
                <w:rFonts w:ascii="Cambria" w:hAnsi="Cambria"/>
                <w:sz w:val="24"/>
                <w:szCs w:val="24"/>
              </w:rPr>
              <w:t>36.39</w:t>
            </w:r>
          </w:p>
        </w:tc>
        <w:tc>
          <w:tcPr>
            <w:tcW w:w="1087" w:type="dxa"/>
          </w:tcPr>
          <w:p w:rsidR="00847659" w:rsidRDefault="00847659" w:rsidP="00175925">
            <w:pPr>
              <w:jc w:val="right"/>
              <w:rPr>
                <w:rFonts w:ascii="Cambria" w:hAnsi="Cambria"/>
                <w:sz w:val="24"/>
                <w:szCs w:val="24"/>
              </w:rPr>
            </w:pPr>
            <w:r>
              <w:rPr>
                <w:rFonts w:ascii="Cambria" w:hAnsi="Cambria"/>
                <w:sz w:val="24"/>
                <w:szCs w:val="24"/>
              </w:rPr>
              <w:t>28.74</w:t>
            </w:r>
          </w:p>
        </w:tc>
        <w:tc>
          <w:tcPr>
            <w:tcW w:w="1258" w:type="dxa"/>
          </w:tcPr>
          <w:p w:rsidR="00847659" w:rsidRDefault="00847659" w:rsidP="00175925">
            <w:pPr>
              <w:jc w:val="right"/>
              <w:rPr>
                <w:rFonts w:ascii="Cambria" w:hAnsi="Cambria"/>
                <w:sz w:val="24"/>
                <w:szCs w:val="24"/>
              </w:rPr>
            </w:pPr>
            <w:r>
              <w:rPr>
                <w:rFonts w:ascii="Cambria" w:hAnsi="Cambria"/>
                <w:sz w:val="24"/>
                <w:szCs w:val="24"/>
              </w:rPr>
              <w:t>350</w:t>
            </w:r>
          </w:p>
        </w:tc>
        <w:tc>
          <w:tcPr>
            <w:tcW w:w="1472" w:type="dxa"/>
          </w:tcPr>
          <w:p w:rsidR="00847659" w:rsidRDefault="00847659" w:rsidP="00175925">
            <w:pPr>
              <w:jc w:val="right"/>
              <w:rPr>
                <w:rFonts w:ascii="Cambria" w:hAnsi="Cambria"/>
                <w:sz w:val="24"/>
                <w:szCs w:val="24"/>
              </w:rPr>
            </w:pPr>
            <w:r>
              <w:rPr>
                <w:rFonts w:ascii="Cambria" w:hAnsi="Cambria"/>
                <w:sz w:val="24"/>
                <w:szCs w:val="24"/>
              </w:rPr>
              <w:t>1,965</w:t>
            </w:r>
          </w:p>
        </w:tc>
        <w:tc>
          <w:tcPr>
            <w:tcW w:w="901" w:type="dxa"/>
          </w:tcPr>
          <w:p w:rsidR="00847659" w:rsidRDefault="00847659" w:rsidP="00175925">
            <w:pPr>
              <w:jc w:val="right"/>
              <w:rPr>
                <w:rFonts w:ascii="Cambria" w:hAnsi="Cambria"/>
                <w:sz w:val="24"/>
                <w:szCs w:val="24"/>
              </w:rPr>
            </w:pPr>
            <w:r>
              <w:rPr>
                <w:rFonts w:ascii="Cambria" w:hAnsi="Cambria"/>
                <w:sz w:val="24"/>
                <w:szCs w:val="24"/>
              </w:rPr>
              <w:t>16.7</w:t>
            </w:r>
          </w:p>
        </w:tc>
        <w:tc>
          <w:tcPr>
            <w:tcW w:w="1255" w:type="dxa"/>
          </w:tcPr>
          <w:p w:rsidR="00847659" w:rsidRDefault="00847659" w:rsidP="00175925">
            <w:pPr>
              <w:jc w:val="right"/>
              <w:rPr>
                <w:rFonts w:ascii="Cambria" w:hAnsi="Cambria"/>
                <w:sz w:val="24"/>
                <w:szCs w:val="24"/>
              </w:rPr>
            </w:pPr>
            <w:r>
              <w:rPr>
                <w:rFonts w:ascii="Cambria" w:hAnsi="Cambria"/>
                <w:sz w:val="24"/>
                <w:szCs w:val="24"/>
              </w:rPr>
              <w:t>2,315</w:t>
            </w: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 Reduction</w:t>
            </w:r>
          </w:p>
        </w:tc>
        <w:tc>
          <w:tcPr>
            <w:tcW w:w="1059" w:type="dxa"/>
          </w:tcPr>
          <w:p w:rsidR="00847659" w:rsidRDefault="00847659" w:rsidP="00175925">
            <w:pPr>
              <w:jc w:val="right"/>
              <w:rPr>
                <w:rFonts w:ascii="Cambria" w:hAnsi="Cambria"/>
                <w:sz w:val="24"/>
                <w:szCs w:val="24"/>
              </w:rPr>
            </w:pPr>
            <w:r>
              <w:rPr>
                <w:rFonts w:ascii="Cambria" w:hAnsi="Cambria"/>
                <w:sz w:val="24"/>
                <w:szCs w:val="24"/>
              </w:rPr>
              <w:t>54%</w:t>
            </w:r>
          </w:p>
        </w:tc>
        <w:tc>
          <w:tcPr>
            <w:tcW w:w="1055" w:type="dxa"/>
          </w:tcPr>
          <w:p w:rsidR="00847659" w:rsidRDefault="00847659" w:rsidP="00175925">
            <w:pPr>
              <w:jc w:val="right"/>
              <w:rPr>
                <w:rFonts w:ascii="Cambria" w:hAnsi="Cambria"/>
                <w:sz w:val="24"/>
                <w:szCs w:val="24"/>
              </w:rPr>
            </w:pPr>
            <w:r>
              <w:rPr>
                <w:rFonts w:ascii="Cambria" w:hAnsi="Cambria"/>
                <w:sz w:val="24"/>
                <w:szCs w:val="24"/>
              </w:rPr>
              <w:t>96%</w:t>
            </w:r>
          </w:p>
        </w:tc>
        <w:tc>
          <w:tcPr>
            <w:tcW w:w="1087" w:type="dxa"/>
          </w:tcPr>
          <w:p w:rsidR="00847659" w:rsidRDefault="00847659" w:rsidP="00175925">
            <w:pPr>
              <w:jc w:val="right"/>
              <w:rPr>
                <w:rFonts w:ascii="Cambria" w:hAnsi="Cambria"/>
                <w:sz w:val="24"/>
                <w:szCs w:val="24"/>
              </w:rPr>
            </w:pPr>
            <w:r>
              <w:rPr>
                <w:rFonts w:ascii="Cambria" w:hAnsi="Cambria"/>
                <w:sz w:val="24"/>
                <w:szCs w:val="24"/>
              </w:rPr>
              <w:t>99%</w:t>
            </w:r>
          </w:p>
        </w:tc>
        <w:tc>
          <w:tcPr>
            <w:tcW w:w="1258" w:type="dxa"/>
          </w:tcPr>
          <w:p w:rsidR="00847659" w:rsidRDefault="00847659" w:rsidP="00175925">
            <w:pPr>
              <w:jc w:val="right"/>
              <w:rPr>
                <w:rFonts w:ascii="Cambria" w:hAnsi="Cambria"/>
                <w:sz w:val="24"/>
                <w:szCs w:val="24"/>
              </w:rPr>
            </w:pPr>
            <w:r>
              <w:rPr>
                <w:rFonts w:ascii="Cambria" w:hAnsi="Cambria"/>
                <w:sz w:val="24"/>
                <w:szCs w:val="24"/>
              </w:rPr>
              <w:t>97%</w:t>
            </w:r>
          </w:p>
        </w:tc>
        <w:tc>
          <w:tcPr>
            <w:tcW w:w="1472" w:type="dxa"/>
          </w:tcPr>
          <w:p w:rsidR="00847659" w:rsidRDefault="00847659" w:rsidP="00175925">
            <w:pPr>
              <w:jc w:val="right"/>
              <w:rPr>
                <w:rFonts w:ascii="Cambria" w:hAnsi="Cambria"/>
                <w:sz w:val="24"/>
                <w:szCs w:val="24"/>
              </w:rPr>
            </w:pPr>
            <w:r>
              <w:rPr>
                <w:rFonts w:ascii="Cambria" w:hAnsi="Cambria"/>
                <w:sz w:val="24"/>
                <w:szCs w:val="24"/>
              </w:rPr>
              <w:t>15%</w:t>
            </w:r>
          </w:p>
        </w:tc>
        <w:tc>
          <w:tcPr>
            <w:tcW w:w="901" w:type="dxa"/>
          </w:tcPr>
          <w:p w:rsidR="00847659" w:rsidRDefault="00847659" w:rsidP="00175925">
            <w:pPr>
              <w:jc w:val="right"/>
              <w:rPr>
                <w:rFonts w:ascii="Cambria" w:hAnsi="Cambria"/>
                <w:sz w:val="24"/>
                <w:szCs w:val="24"/>
              </w:rPr>
            </w:pPr>
            <w:r>
              <w:rPr>
                <w:rFonts w:ascii="Cambria" w:hAnsi="Cambria"/>
                <w:sz w:val="24"/>
                <w:szCs w:val="24"/>
              </w:rPr>
              <w:t>96%</w:t>
            </w:r>
          </w:p>
        </w:tc>
        <w:tc>
          <w:tcPr>
            <w:tcW w:w="1255" w:type="dxa"/>
          </w:tcPr>
          <w:p w:rsidR="00847659" w:rsidRDefault="00847659" w:rsidP="00175925">
            <w:pPr>
              <w:jc w:val="right"/>
              <w:rPr>
                <w:rFonts w:ascii="Cambria" w:hAnsi="Cambria"/>
                <w:sz w:val="24"/>
                <w:szCs w:val="24"/>
              </w:rPr>
            </w:pPr>
            <w:r>
              <w:rPr>
                <w:rFonts w:ascii="Cambria" w:hAnsi="Cambria"/>
                <w:sz w:val="24"/>
                <w:szCs w:val="24"/>
              </w:rPr>
              <w:t>17%</w:t>
            </w:r>
          </w:p>
        </w:tc>
      </w:tr>
    </w:tbl>
    <w:p w:rsidR="00847659" w:rsidRDefault="00847659" w:rsidP="00847659">
      <w:pPr>
        <w:rPr>
          <w:rFonts w:ascii="Cambria" w:hAnsi="Cambria"/>
          <w:sz w:val="24"/>
          <w:szCs w:val="24"/>
        </w:rPr>
      </w:pPr>
    </w:p>
    <w:p w:rsidR="00847659" w:rsidRDefault="00847659" w:rsidP="00847659">
      <w:pPr>
        <w:rPr>
          <w:rFonts w:ascii="Cambria" w:hAnsi="Cambria"/>
          <w:sz w:val="24"/>
          <w:szCs w:val="24"/>
        </w:rPr>
      </w:pPr>
      <w:r>
        <w:rPr>
          <w:rFonts w:ascii="Cambria" w:hAnsi="Cambria"/>
          <w:sz w:val="24"/>
          <w:szCs w:val="24"/>
        </w:rPr>
        <w:t>The Springsteen publication used a factor of 21 for how potent Methane (CH4) is compared to CO2.  The transport distance in a chip van was 60 miles one-way.</w:t>
      </w:r>
    </w:p>
    <w:p w:rsidR="00847659" w:rsidRDefault="00847659" w:rsidP="00847659">
      <w:pPr>
        <w:rPr>
          <w:rFonts w:ascii="Cambria" w:hAnsi="Cambria"/>
          <w:sz w:val="24"/>
          <w:szCs w:val="24"/>
        </w:rPr>
      </w:pPr>
      <w:r>
        <w:rPr>
          <w:rFonts w:ascii="Cambria" w:hAnsi="Cambria"/>
          <w:sz w:val="24"/>
          <w:szCs w:val="24"/>
        </w:rPr>
        <w:t>NOx = Nitrous Oxide; PM = Particulate Matter; NMOC = Non-Methane Volatile Organic Compounds; CO= Carbon Monoxide; CO2 = Carbon Dioxide; CO2e = Carbon Dioxide Equivalent</w:t>
      </w:r>
    </w:p>
    <w:p w:rsidR="00847659" w:rsidRDefault="00847659" w:rsidP="00847659">
      <w:pPr>
        <w:rPr>
          <w:rFonts w:ascii="Cambria" w:hAnsi="Cambria"/>
          <w:sz w:val="24"/>
          <w:szCs w:val="24"/>
        </w:rPr>
      </w:pPr>
      <w:r>
        <w:rPr>
          <w:rFonts w:ascii="Cambria" w:hAnsi="Cambria"/>
          <w:sz w:val="24"/>
          <w:szCs w:val="24"/>
        </w:rPr>
        <w:t>For the existing 600 MW operating powerplant industry, consuming 4.8 million bone dry tons (BDT)/year</w:t>
      </w:r>
      <w:r w:rsidR="009953FD">
        <w:rPr>
          <w:rFonts w:ascii="Cambria" w:hAnsi="Cambria"/>
          <w:sz w:val="24"/>
          <w:szCs w:val="24"/>
        </w:rPr>
        <w:t>, Springsteen’s results were</w:t>
      </w:r>
      <w:r>
        <w:rPr>
          <w:rFonts w:ascii="Cambria" w:hAnsi="Cambria"/>
          <w:sz w:val="24"/>
          <w:szCs w:val="24"/>
        </w:rPr>
        <w:t>:</w:t>
      </w:r>
    </w:p>
    <w:p w:rsidR="00847659" w:rsidRDefault="009247FC" w:rsidP="00847659">
      <w:pPr>
        <w:rPr>
          <w:rFonts w:ascii="Cambria" w:hAnsi="Cambria"/>
          <w:sz w:val="24"/>
          <w:szCs w:val="24"/>
        </w:rPr>
      </w:pPr>
      <w:r>
        <w:rPr>
          <w:rFonts w:ascii="Cambria" w:hAnsi="Cambria"/>
          <w:sz w:val="24"/>
          <w:szCs w:val="24"/>
        </w:rPr>
        <w:t>2,315 tons net CO2e</w:t>
      </w:r>
      <w:r w:rsidR="00847659">
        <w:rPr>
          <w:rFonts w:ascii="Cambria" w:hAnsi="Cambria"/>
          <w:sz w:val="24"/>
          <w:szCs w:val="24"/>
        </w:rPr>
        <w:t xml:space="preserve"> </w:t>
      </w:r>
      <w:r w:rsidR="009953FD">
        <w:rPr>
          <w:rFonts w:ascii="Cambria" w:hAnsi="Cambria"/>
          <w:sz w:val="24"/>
          <w:szCs w:val="24"/>
        </w:rPr>
        <w:t xml:space="preserve">annual </w:t>
      </w:r>
      <w:r w:rsidR="00847659">
        <w:rPr>
          <w:rFonts w:ascii="Cambria" w:hAnsi="Cambria"/>
          <w:sz w:val="24"/>
          <w:szCs w:val="24"/>
        </w:rPr>
        <w:t>reduction/</w:t>
      </w:r>
      <w:r>
        <w:rPr>
          <w:rFonts w:ascii="Cambria" w:hAnsi="Cambria"/>
          <w:sz w:val="24"/>
          <w:szCs w:val="24"/>
        </w:rPr>
        <w:t xml:space="preserve">6,096 </w:t>
      </w:r>
      <w:r w:rsidR="00847659">
        <w:rPr>
          <w:rFonts w:ascii="Cambria" w:hAnsi="Cambria"/>
          <w:sz w:val="24"/>
          <w:szCs w:val="24"/>
        </w:rPr>
        <w:t>BDT X 4.8 million BDT = 1.8 million tons reduction X $11/ton on offset cap-and-trade market = $19.8 million</w:t>
      </w:r>
    </w:p>
    <w:p w:rsidR="00847659" w:rsidRDefault="00847659" w:rsidP="00847659">
      <w:pPr>
        <w:rPr>
          <w:rFonts w:ascii="Cambria" w:hAnsi="Cambria"/>
          <w:sz w:val="24"/>
          <w:szCs w:val="24"/>
        </w:rPr>
      </w:pPr>
      <w:r>
        <w:rPr>
          <w:rFonts w:ascii="Cambria" w:hAnsi="Cambria"/>
          <w:sz w:val="24"/>
          <w:szCs w:val="24"/>
        </w:rPr>
        <w:t xml:space="preserve">36.39 tons of particulate matter </w:t>
      </w:r>
      <w:r w:rsidR="009953FD">
        <w:rPr>
          <w:rFonts w:ascii="Cambria" w:hAnsi="Cambria"/>
          <w:sz w:val="24"/>
          <w:szCs w:val="24"/>
        </w:rPr>
        <w:t xml:space="preserve">annual </w:t>
      </w:r>
      <w:r>
        <w:rPr>
          <w:rFonts w:ascii="Cambria" w:hAnsi="Cambria"/>
          <w:sz w:val="24"/>
          <w:szCs w:val="24"/>
        </w:rPr>
        <w:t>reduction/6,096 BDT X 4.8 million BDT = 28,654 tons reduction X $2,500/ton =$71.6 million.  Note the $2,500/ton figure comes from Morris, 1999.  The Carl Moyer Program today values PM2.5 at up to $16,000/ton.</w:t>
      </w:r>
    </w:p>
    <w:p w:rsidR="00847659" w:rsidRDefault="00847659" w:rsidP="00847659">
      <w:pPr>
        <w:rPr>
          <w:rFonts w:ascii="Cambria" w:hAnsi="Cambria"/>
          <w:sz w:val="24"/>
          <w:szCs w:val="24"/>
        </w:rPr>
      </w:pPr>
    </w:p>
    <w:p w:rsidR="00847659" w:rsidRPr="006D1E39" w:rsidRDefault="00847659" w:rsidP="00847659">
      <w:pPr>
        <w:rPr>
          <w:rFonts w:ascii="Cambria" w:hAnsi="Cambria"/>
          <w:sz w:val="24"/>
          <w:szCs w:val="24"/>
        </w:rPr>
      </w:pPr>
      <w:r w:rsidRPr="00C218CF">
        <w:rPr>
          <w:rFonts w:ascii="Cambria" w:hAnsi="Cambria"/>
          <w:b/>
          <w:sz w:val="24"/>
          <w:szCs w:val="24"/>
        </w:rPr>
        <w:t>Summary:</w:t>
      </w:r>
    </w:p>
    <w:p w:rsidR="00847659" w:rsidRPr="00C218CF" w:rsidRDefault="00847659" w:rsidP="00847659">
      <w:pPr>
        <w:autoSpaceDE w:val="0"/>
        <w:autoSpaceDN w:val="0"/>
        <w:adjustRightInd w:val="0"/>
        <w:spacing w:after="0" w:line="240" w:lineRule="auto"/>
        <w:rPr>
          <w:rFonts w:ascii="Cambria" w:hAnsi="Cambria"/>
          <w:sz w:val="24"/>
          <w:szCs w:val="24"/>
        </w:rPr>
      </w:pPr>
    </w:p>
    <w:p w:rsidR="00847659" w:rsidRPr="009953FD" w:rsidRDefault="00847659" w:rsidP="009953FD">
      <w:pPr>
        <w:pStyle w:val="ListParagraph"/>
        <w:numPr>
          <w:ilvl w:val="0"/>
          <w:numId w:val="33"/>
        </w:numPr>
        <w:autoSpaceDE w:val="0"/>
        <w:autoSpaceDN w:val="0"/>
        <w:adjustRightInd w:val="0"/>
        <w:spacing w:after="0" w:line="240" w:lineRule="auto"/>
        <w:rPr>
          <w:rFonts w:ascii="Cambria" w:hAnsi="Cambria"/>
          <w:sz w:val="24"/>
          <w:szCs w:val="24"/>
        </w:rPr>
      </w:pPr>
      <w:r w:rsidRPr="009953FD">
        <w:rPr>
          <w:rFonts w:ascii="Cambria" w:hAnsi="Cambria"/>
          <w:sz w:val="24"/>
          <w:szCs w:val="24"/>
        </w:rPr>
        <w:t>Utilizing woody residues (agriculture, forest, and urban) to generate heat and power compared to open burning or above ground decomposition has over 11 cents/kW of uncompensated ancillary benefits.</w:t>
      </w:r>
    </w:p>
    <w:p w:rsidR="00847659" w:rsidRPr="009953FD" w:rsidRDefault="00847659" w:rsidP="009953FD">
      <w:pPr>
        <w:pStyle w:val="ListParagraph"/>
        <w:numPr>
          <w:ilvl w:val="0"/>
          <w:numId w:val="33"/>
        </w:numPr>
        <w:autoSpaceDE w:val="0"/>
        <w:autoSpaceDN w:val="0"/>
        <w:adjustRightInd w:val="0"/>
        <w:spacing w:after="0" w:line="240" w:lineRule="auto"/>
        <w:rPr>
          <w:rFonts w:ascii="Cambria" w:hAnsi="Cambria"/>
          <w:sz w:val="24"/>
          <w:szCs w:val="24"/>
        </w:rPr>
      </w:pPr>
      <w:r w:rsidRPr="009953FD">
        <w:rPr>
          <w:rFonts w:ascii="Cambria" w:hAnsi="Cambria"/>
          <w:sz w:val="24"/>
          <w:szCs w:val="24"/>
        </w:rPr>
        <w:t>Considering biogenic boiler emissions no different than fossil emissions  will lead to increasing rather than decreasing emissions</w:t>
      </w:r>
    </w:p>
    <w:p w:rsidR="00847659" w:rsidRDefault="00847659" w:rsidP="009953FD">
      <w:pPr>
        <w:pStyle w:val="ListParagraph"/>
        <w:numPr>
          <w:ilvl w:val="0"/>
          <w:numId w:val="33"/>
        </w:numPr>
        <w:autoSpaceDE w:val="0"/>
        <w:autoSpaceDN w:val="0"/>
        <w:adjustRightInd w:val="0"/>
        <w:spacing w:after="0" w:line="240" w:lineRule="auto"/>
        <w:rPr>
          <w:rFonts w:ascii="Cambria" w:hAnsi="Cambria"/>
          <w:sz w:val="24"/>
          <w:szCs w:val="24"/>
        </w:rPr>
      </w:pPr>
      <w:r>
        <w:rPr>
          <w:rFonts w:ascii="Cambria" w:hAnsi="Cambria"/>
          <w:sz w:val="24"/>
          <w:szCs w:val="24"/>
        </w:rPr>
        <w:t>Incentivizing reduced forest harvest levels will lead to greater use of fossil fuels and increased emissions than can be offset by forest carbon stores</w:t>
      </w:r>
    </w:p>
    <w:p w:rsidR="00847659" w:rsidRDefault="00847659" w:rsidP="009953FD">
      <w:pPr>
        <w:pStyle w:val="ListParagraph"/>
        <w:numPr>
          <w:ilvl w:val="0"/>
          <w:numId w:val="33"/>
        </w:numPr>
        <w:autoSpaceDE w:val="0"/>
        <w:autoSpaceDN w:val="0"/>
        <w:adjustRightInd w:val="0"/>
        <w:spacing w:after="0" w:line="240" w:lineRule="auto"/>
        <w:rPr>
          <w:rFonts w:ascii="Cambria" w:hAnsi="Cambria"/>
          <w:sz w:val="24"/>
          <w:szCs w:val="24"/>
        </w:rPr>
      </w:pPr>
      <w:r>
        <w:rPr>
          <w:rFonts w:ascii="Cambria" w:hAnsi="Cambria"/>
          <w:sz w:val="24"/>
          <w:szCs w:val="24"/>
        </w:rPr>
        <w:t>National Forests that were thinned and maintained closer to historic tree densities could produce as much as a 16% increase in water yield or over 2 million acre-feet annually from the Sierra Nevada Mountains</w:t>
      </w:r>
    </w:p>
    <w:p w:rsidR="00847659" w:rsidRDefault="00847659" w:rsidP="009953FD">
      <w:pPr>
        <w:pStyle w:val="ListParagraph"/>
        <w:numPr>
          <w:ilvl w:val="0"/>
          <w:numId w:val="33"/>
        </w:numPr>
        <w:autoSpaceDE w:val="0"/>
        <w:autoSpaceDN w:val="0"/>
        <w:adjustRightInd w:val="0"/>
        <w:spacing w:after="0" w:line="240" w:lineRule="auto"/>
        <w:rPr>
          <w:rFonts w:ascii="Cambria" w:hAnsi="Cambria"/>
          <w:sz w:val="24"/>
          <w:szCs w:val="24"/>
        </w:rPr>
      </w:pPr>
      <w:r>
        <w:rPr>
          <w:rFonts w:ascii="Cambria" w:hAnsi="Cambria"/>
          <w:sz w:val="24"/>
          <w:szCs w:val="24"/>
        </w:rPr>
        <w:t>The reduced criteria pollutants with the current 600 MW operating capacity of the Biomass Powerplant industry is about 17% (1.8 million tons of CO2e</w:t>
      </w:r>
      <w:r w:rsidR="005B02BD">
        <w:rPr>
          <w:rFonts w:ascii="Cambria" w:hAnsi="Cambria"/>
          <w:sz w:val="24"/>
          <w:szCs w:val="24"/>
        </w:rPr>
        <w:t xml:space="preserve"> (methane)</w:t>
      </w:r>
      <w:r>
        <w:rPr>
          <w:rFonts w:ascii="Cambria" w:hAnsi="Cambria"/>
          <w:sz w:val="24"/>
          <w:szCs w:val="24"/>
        </w:rPr>
        <w:t xml:space="preserve">) </w:t>
      </w:r>
      <w:r>
        <w:rPr>
          <w:rFonts w:ascii="Cambria" w:hAnsi="Cambria"/>
          <w:sz w:val="24"/>
          <w:szCs w:val="24"/>
        </w:rPr>
        <w:lastRenderedPageBreak/>
        <w:t>and 98% (28,000 tons) for particulate matter.  If the 2012 Bioenergy Action Plan were fully implemented increasing the operating capacity to 1,200 MW, the values of reduced criteria pollutants would double.</w:t>
      </w:r>
    </w:p>
    <w:p w:rsidR="00AA3DA5" w:rsidRPr="00A225F7" w:rsidRDefault="00AA3DA5" w:rsidP="00A225F7">
      <w:pPr>
        <w:pStyle w:val="ListParagraph"/>
        <w:numPr>
          <w:ilvl w:val="0"/>
          <w:numId w:val="17"/>
        </w:numPr>
        <w:rPr>
          <w:rFonts w:ascii="Cambria" w:hAnsi="Cambria"/>
          <w:sz w:val="24"/>
          <w:szCs w:val="24"/>
        </w:rPr>
      </w:pPr>
      <w:r w:rsidRPr="00A225F7">
        <w:rPr>
          <w:rFonts w:ascii="Cambria" w:hAnsi="Cambria"/>
          <w:sz w:val="24"/>
          <w:szCs w:val="24"/>
        </w:rPr>
        <w:br w:type="page"/>
      </w:r>
    </w:p>
    <w:p w:rsidR="00AA3DA5" w:rsidRPr="00D140C4" w:rsidRDefault="00AA3DA5" w:rsidP="00AA3DA5">
      <w:pPr>
        <w:pStyle w:val="ListParagraph"/>
        <w:rPr>
          <w:rFonts w:ascii="Cambria" w:hAnsi="Cambria"/>
          <w:b/>
          <w:sz w:val="24"/>
          <w:szCs w:val="24"/>
        </w:rPr>
      </w:pPr>
    </w:p>
    <w:p w:rsidR="00AA3DA5" w:rsidRPr="00D140C4" w:rsidRDefault="00AA3DA5" w:rsidP="00086540">
      <w:pPr>
        <w:pStyle w:val="ListParagraph"/>
        <w:numPr>
          <w:ilvl w:val="0"/>
          <w:numId w:val="25"/>
        </w:numPr>
        <w:ind w:left="360" w:hanging="360"/>
        <w:rPr>
          <w:rFonts w:ascii="Cambria" w:hAnsi="Cambria"/>
          <w:b/>
          <w:sz w:val="24"/>
          <w:szCs w:val="24"/>
        </w:rPr>
      </w:pPr>
      <w:r w:rsidRPr="00D140C4">
        <w:rPr>
          <w:rFonts w:ascii="Cambria" w:hAnsi="Cambria"/>
          <w:b/>
          <w:sz w:val="24"/>
          <w:szCs w:val="24"/>
        </w:rPr>
        <w:t>Current state of the Vegetation Condition on California’s National Forests</w:t>
      </w:r>
    </w:p>
    <w:p w:rsidR="00E80EBF" w:rsidRDefault="00D140C4" w:rsidP="00D140C4">
      <w:pPr>
        <w:ind w:left="360"/>
        <w:rPr>
          <w:rFonts w:ascii="Cambria" w:hAnsi="Cambria"/>
          <w:sz w:val="24"/>
          <w:szCs w:val="24"/>
        </w:rPr>
      </w:pPr>
      <w:r>
        <w:rPr>
          <w:rFonts w:ascii="Cambria" w:hAnsi="Cambria"/>
          <w:sz w:val="24"/>
          <w:szCs w:val="24"/>
        </w:rPr>
        <w:t>Th</w:t>
      </w:r>
      <w:r w:rsidR="004E4AAA">
        <w:rPr>
          <w:rFonts w:ascii="Cambria" w:hAnsi="Cambria"/>
          <w:sz w:val="24"/>
          <w:szCs w:val="24"/>
        </w:rPr>
        <w:t xml:space="preserve">e National Forests in California are over 50% of the productive forest land statewide.  About 9.8 million acres of </w:t>
      </w:r>
      <w:r w:rsidR="00E80EBF">
        <w:rPr>
          <w:rFonts w:ascii="Cambria" w:hAnsi="Cambria"/>
          <w:sz w:val="24"/>
          <w:szCs w:val="24"/>
        </w:rPr>
        <w:t>the productive forest land</w:t>
      </w:r>
      <w:r w:rsidR="004E4AAA">
        <w:rPr>
          <w:rFonts w:ascii="Cambria" w:hAnsi="Cambria"/>
          <w:sz w:val="24"/>
          <w:szCs w:val="24"/>
        </w:rPr>
        <w:t xml:space="preserve"> is available for active management (not reserved)</w:t>
      </w:r>
      <w:r w:rsidR="00A8761C">
        <w:rPr>
          <w:rFonts w:ascii="Cambria" w:hAnsi="Cambria"/>
          <w:sz w:val="24"/>
          <w:szCs w:val="24"/>
        </w:rPr>
        <w:t xml:space="preserve"> (California’s Forest Resources, 20015-2005, Table 2)</w:t>
      </w:r>
      <w:r w:rsidR="004E4AAA">
        <w:rPr>
          <w:rFonts w:ascii="Cambria" w:hAnsi="Cambria"/>
          <w:sz w:val="24"/>
          <w:szCs w:val="24"/>
        </w:rPr>
        <w:t>.</w:t>
      </w:r>
      <w:r w:rsidR="00E80EBF">
        <w:rPr>
          <w:rFonts w:ascii="Cambria" w:hAnsi="Cambria"/>
          <w:sz w:val="24"/>
          <w:szCs w:val="24"/>
        </w:rPr>
        <w:t xml:space="preserve">  The Forest Service Regional Forester, Randy Moore, in a March 2011 publication titled “Region 5 Ecological Restoration, Leadership Intent” stated that 9 million acres needs forest health and/or fuels reduction treatment over the next 15-20 years to return the national forests to a resilient condition (resistant to insect, disease, and wildfire) (</w:t>
      </w:r>
      <w:hyperlink r:id="rId25" w:history="1">
        <w:r w:rsidR="00E80EBF" w:rsidRPr="00983F74">
          <w:rPr>
            <w:rStyle w:val="Hyperlink"/>
            <w:rFonts w:ascii="Cambria" w:hAnsi="Cambria"/>
            <w:sz w:val="24"/>
            <w:szCs w:val="24"/>
          </w:rPr>
          <w:t>http://www.fs.usda.gov/Internet/FSE_DOCUMENTS/stelprdb5351674.pdf</w:t>
        </w:r>
      </w:hyperlink>
      <w:r w:rsidR="00E80EBF">
        <w:rPr>
          <w:rFonts w:ascii="Cambria" w:hAnsi="Cambria"/>
          <w:sz w:val="24"/>
          <w:szCs w:val="24"/>
        </w:rPr>
        <w:t>, page 3).</w:t>
      </w:r>
    </w:p>
    <w:p w:rsidR="00547CC0" w:rsidRDefault="00E80EBF" w:rsidP="00D140C4">
      <w:pPr>
        <w:ind w:left="360"/>
        <w:rPr>
          <w:rFonts w:ascii="Cambria" w:hAnsi="Cambria"/>
          <w:sz w:val="24"/>
          <w:szCs w:val="24"/>
        </w:rPr>
      </w:pPr>
      <w:r>
        <w:rPr>
          <w:rFonts w:ascii="Cambria" w:hAnsi="Cambria"/>
          <w:sz w:val="24"/>
          <w:szCs w:val="24"/>
        </w:rPr>
        <w:t>California’s National Forest productive forest land grows at the rate of 4.5 billion board feet per year and has annual mortality of about 840 million board feet</w:t>
      </w:r>
      <w:r w:rsidR="00547CC0">
        <w:rPr>
          <w:rFonts w:ascii="Cambria" w:hAnsi="Cambria"/>
          <w:sz w:val="24"/>
          <w:szCs w:val="24"/>
        </w:rPr>
        <w:t xml:space="preserve"> (mmbf)</w:t>
      </w:r>
      <w:r>
        <w:rPr>
          <w:rFonts w:ascii="Cambria" w:hAnsi="Cambria"/>
          <w:sz w:val="24"/>
          <w:szCs w:val="24"/>
        </w:rPr>
        <w:t xml:space="preserve"> per year (19% of growth) (Forest Service Forest Inventory and Analysis Data, 2001-2005</w:t>
      </w:r>
      <w:r w:rsidR="002D36E2">
        <w:rPr>
          <w:rFonts w:ascii="Cambria" w:hAnsi="Cambria"/>
          <w:sz w:val="24"/>
          <w:szCs w:val="24"/>
        </w:rPr>
        <w:t xml:space="preserve"> (Enclosure #3</w:t>
      </w:r>
      <w:r>
        <w:rPr>
          <w:rFonts w:ascii="Cambria" w:hAnsi="Cambria"/>
          <w:sz w:val="24"/>
          <w:szCs w:val="24"/>
        </w:rPr>
        <w:t>).  In the late 1980’s</w:t>
      </w:r>
      <w:r w:rsidR="00547CC0">
        <w:rPr>
          <w:rFonts w:ascii="Cambria" w:hAnsi="Cambria"/>
          <w:sz w:val="24"/>
          <w:szCs w:val="24"/>
        </w:rPr>
        <w:t>, the Forest Service was</w:t>
      </w:r>
      <w:r>
        <w:rPr>
          <w:rFonts w:ascii="Cambria" w:hAnsi="Cambria"/>
          <w:sz w:val="24"/>
          <w:szCs w:val="24"/>
        </w:rPr>
        <w:t xml:space="preserve"> removing </w:t>
      </w:r>
      <w:r w:rsidR="00547CC0">
        <w:rPr>
          <w:rFonts w:ascii="Cambria" w:hAnsi="Cambria"/>
          <w:sz w:val="24"/>
          <w:szCs w:val="24"/>
        </w:rPr>
        <w:t>about 1.8 billion board feet per year (40% of annual growth).  Primarily because of the Northern and California Spotted Owl, that harvest level was reduced by 1994 to about 344 mmbf/year (about 7% of annual growth) and has remained at that level for the past 20 years (Board of Equalization Timbe</w:t>
      </w:r>
      <w:r w:rsidR="002D36E2">
        <w:rPr>
          <w:rFonts w:ascii="Cambria" w:hAnsi="Cambria"/>
          <w:sz w:val="24"/>
          <w:szCs w:val="24"/>
        </w:rPr>
        <w:t>r Yield Statistics, Enclosure #4</w:t>
      </w:r>
      <w:r w:rsidR="00547CC0">
        <w:rPr>
          <w:rFonts w:ascii="Cambria" w:hAnsi="Cambria"/>
          <w:sz w:val="24"/>
          <w:szCs w:val="24"/>
        </w:rPr>
        <w:t>).</w:t>
      </w:r>
    </w:p>
    <w:p w:rsidR="00C75C81" w:rsidRDefault="00547CC0" w:rsidP="00D140C4">
      <w:pPr>
        <w:ind w:left="360"/>
        <w:rPr>
          <w:rFonts w:ascii="Cambria" w:hAnsi="Cambria"/>
          <w:sz w:val="24"/>
          <w:szCs w:val="24"/>
        </w:rPr>
      </w:pPr>
      <w:r>
        <w:rPr>
          <w:rFonts w:ascii="Cambria" w:hAnsi="Cambria"/>
          <w:sz w:val="24"/>
          <w:szCs w:val="24"/>
        </w:rPr>
        <w:t>By only removing on average 7% of annual growth over the past 20 years, the new growth has added nearly 2 tons/acre/year to the available productive forest land on the National Forests.  Today the National Forests average about 224 trees/acre; in 1911, the Sierra Nevada’s averaged about 19 trees/acre (Enclosure #</w:t>
      </w:r>
      <w:r w:rsidR="002D36E2">
        <w:rPr>
          <w:rFonts w:ascii="Cambria" w:hAnsi="Cambria"/>
          <w:sz w:val="24"/>
          <w:szCs w:val="24"/>
        </w:rPr>
        <w:t>5</w:t>
      </w:r>
      <w:r>
        <w:rPr>
          <w:rFonts w:ascii="Cambria" w:hAnsi="Cambria"/>
          <w:sz w:val="24"/>
          <w:szCs w:val="24"/>
        </w:rPr>
        <w:t>).</w:t>
      </w:r>
      <w:r w:rsidR="00C75C81">
        <w:rPr>
          <w:rFonts w:ascii="Cambria" w:hAnsi="Cambria"/>
          <w:sz w:val="24"/>
          <w:szCs w:val="24"/>
        </w:rPr>
        <w:t xml:space="preserve">  The National Forests have become homogenized and are gr</w:t>
      </w:r>
      <w:r w:rsidR="00BB3638">
        <w:rPr>
          <w:rFonts w:ascii="Cambria" w:hAnsi="Cambria"/>
          <w:sz w:val="24"/>
          <w:szCs w:val="24"/>
        </w:rPr>
        <w:t>ossly overly dense (Enclo</w:t>
      </w:r>
      <w:r w:rsidR="002D36E2">
        <w:rPr>
          <w:rFonts w:ascii="Cambria" w:hAnsi="Cambria"/>
          <w:sz w:val="24"/>
          <w:szCs w:val="24"/>
        </w:rPr>
        <w:t>sure #6</w:t>
      </w:r>
      <w:r w:rsidR="00C75C81">
        <w:rPr>
          <w:rFonts w:ascii="Cambria" w:hAnsi="Cambria"/>
          <w:sz w:val="24"/>
          <w:szCs w:val="24"/>
        </w:rPr>
        <w:t>).</w:t>
      </w:r>
    </w:p>
    <w:p w:rsidR="00C75C81" w:rsidRDefault="00C75C81" w:rsidP="00D140C4">
      <w:pPr>
        <w:ind w:left="360"/>
        <w:rPr>
          <w:rFonts w:ascii="Cambria" w:hAnsi="Cambria"/>
          <w:sz w:val="24"/>
          <w:szCs w:val="24"/>
        </w:rPr>
      </w:pPr>
      <w:r>
        <w:rPr>
          <w:rFonts w:ascii="Cambria" w:hAnsi="Cambria"/>
          <w:sz w:val="24"/>
          <w:szCs w:val="24"/>
        </w:rPr>
        <w:t xml:space="preserve">The result of negligible management of the National Forest vegetation for </w:t>
      </w:r>
      <w:r w:rsidR="005F1917">
        <w:rPr>
          <w:rFonts w:ascii="Cambria" w:hAnsi="Cambria"/>
          <w:sz w:val="24"/>
          <w:szCs w:val="24"/>
        </w:rPr>
        <w:t xml:space="preserve">the past </w:t>
      </w:r>
      <w:r>
        <w:rPr>
          <w:rFonts w:ascii="Cambria" w:hAnsi="Cambria"/>
          <w:sz w:val="24"/>
          <w:szCs w:val="24"/>
        </w:rPr>
        <w:t>20 years is that, coupled with the 4 years of drought, the forest has now become very susceptible to insect, di</w:t>
      </w:r>
      <w:r w:rsidR="002D36E2">
        <w:rPr>
          <w:rFonts w:ascii="Cambria" w:hAnsi="Cambria"/>
          <w:sz w:val="24"/>
          <w:szCs w:val="24"/>
        </w:rPr>
        <w:t>sease and wildfire (Enclosures 7, 8, and 9</w:t>
      </w:r>
      <w:r>
        <w:rPr>
          <w:rFonts w:ascii="Cambria" w:hAnsi="Cambria"/>
          <w:sz w:val="24"/>
          <w:szCs w:val="24"/>
        </w:rPr>
        <w:t>).</w:t>
      </w:r>
      <w:r w:rsidR="005F1917">
        <w:rPr>
          <w:rFonts w:ascii="Cambria" w:hAnsi="Cambria"/>
          <w:sz w:val="24"/>
          <w:szCs w:val="24"/>
        </w:rPr>
        <w:t xml:space="preserve">  In fact, on average, 2001-2014, the national forests are experiencing 305,000 burned acres/year due to wildfire</w:t>
      </w:r>
      <w:r w:rsidR="002D36E2">
        <w:rPr>
          <w:rFonts w:ascii="Cambria" w:hAnsi="Cambria"/>
          <w:sz w:val="24"/>
          <w:szCs w:val="24"/>
        </w:rPr>
        <w:t xml:space="preserve"> (Enclosure #10</w:t>
      </w:r>
      <w:r w:rsidR="001810AC">
        <w:rPr>
          <w:rFonts w:ascii="Cambria" w:hAnsi="Cambria"/>
          <w:sz w:val="24"/>
          <w:szCs w:val="24"/>
        </w:rPr>
        <w:t>)</w:t>
      </w:r>
      <w:r w:rsidR="005F1917">
        <w:rPr>
          <w:rFonts w:ascii="Cambria" w:hAnsi="Cambria"/>
          <w:sz w:val="24"/>
          <w:szCs w:val="24"/>
        </w:rPr>
        <w:t>.  Further, fire severity has increased dramatically from 21% high severity in 1986 to about 50% in 2014 (King Fire, Eldorado National Forest).</w:t>
      </w:r>
    </w:p>
    <w:p w:rsidR="005F1917" w:rsidRDefault="005F1917" w:rsidP="00D140C4">
      <w:pPr>
        <w:ind w:left="360"/>
        <w:rPr>
          <w:rFonts w:ascii="Cambria" w:hAnsi="Cambria"/>
          <w:sz w:val="24"/>
          <w:szCs w:val="24"/>
        </w:rPr>
      </w:pPr>
      <w:r>
        <w:rPr>
          <w:rFonts w:ascii="Cambria" w:hAnsi="Cambria"/>
          <w:sz w:val="24"/>
          <w:szCs w:val="24"/>
        </w:rPr>
        <w:t>From their own statistics, the Forest Service, California Region, has shown that</w:t>
      </w:r>
      <w:r w:rsidR="00F03AA3">
        <w:rPr>
          <w:rFonts w:ascii="Cambria" w:hAnsi="Cambria"/>
          <w:sz w:val="24"/>
          <w:szCs w:val="24"/>
        </w:rPr>
        <w:t xml:space="preserve"> from 2005-2012</w:t>
      </w:r>
      <w:r>
        <w:rPr>
          <w:rFonts w:ascii="Cambria" w:hAnsi="Cambria"/>
          <w:sz w:val="24"/>
          <w:szCs w:val="24"/>
        </w:rPr>
        <w:t xml:space="preserve"> they are only restoring and reforesting less than 9% of the moderate and high sev</w:t>
      </w:r>
      <w:r w:rsidR="002D36E2">
        <w:rPr>
          <w:rFonts w:ascii="Cambria" w:hAnsi="Cambria"/>
          <w:sz w:val="24"/>
          <w:szCs w:val="24"/>
        </w:rPr>
        <w:t>erity burned acres (Enclosure #11</w:t>
      </w:r>
      <w:r>
        <w:rPr>
          <w:rFonts w:ascii="Cambria" w:hAnsi="Cambria"/>
          <w:sz w:val="24"/>
          <w:szCs w:val="24"/>
        </w:rPr>
        <w:t xml:space="preserve">).  With </w:t>
      </w:r>
      <w:r w:rsidR="00F03AA3">
        <w:rPr>
          <w:rFonts w:ascii="Cambria" w:hAnsi="Cambria"/>
          <w:sz w:val="24"/>
          <w:szCs w:val="24"/>
        </w:rPr>
        <w:t xml:space="preserve">now about </w:t>
      </w:r>
      <w:r>
        <w:rPr>
          <w:rFonts w:ascii="Cambria" w:hAnsi="Cambria"/>
          <w:sz w:val="24"/>
          <w:szCs w:val="24"/>
        </w:rPr>
        <w:t xml:space="preserve">150,000 acres/year of high severity burn </w:t>
      </w:r>
      <w:r w:rsidR="0053763F">
        <w:rPr>
          <w:rFonts w:ascii="Cambria" w:hAnsi="Cambria"/>
          <w:sz w:val="24"/>
          <w:szCs w:val="24"/>
        </w:rPr>
        <w:t xml:space="preserve">of which about 70% is productive forest land, </w:t>
      </w:r>
      <w:r>
        <w:rPr>
          <w:rFonts w:ascii="Cambria" w:hAnsi="Cambria"/>
          <w:sz w:val="24"/>
          <w:szCs w:val="24"/>
        </w:rPr>
        <w:t>and only 9% re</w:t>
      </w:r>
      <w:r w:rsidR="0053763F">
        <w:rPr>
          <w:rFonts w:ascii="Cambria" w:hAnsi="Cambria"/>
          <w:sz w:val="24"/>
          <w:szCs w:val="24"/>
        </w:rPr>
        <w:t>storation, that leaves about 90</w:t>
      </w:r>
      <w:r>
        <w:rPr>
          <w:rFonts w:ascii="Cambria" w:hAnsi="Cambria"/>
          <w:sz w:val="24"/>
          <w:szCs w:val="24"/>
        </w:rPr>
        <w:t>,000 acres per year that are type converting from productive forestland to brushfields.</w:t>
      </w:r>
      <w:r w:rsidR="00F03AA3">
        <w:rPr>
          <w:rFonts w:ascii="Cambria" w:hAnsi="Cambria"/>
          <w:sz w:val="24"/>
          <w:szCs w:val="24"/>
        </w:rPr>
        <w:t xml:space="preserve">  The Forest Service is working toward increasing the percent restoration </w:t>
      </w:r>
      <w:r w:rsidR="00582A15">
        <w:rPr>
          <w:rFonts w:ascii="Cambria" w:hAnsi="Cambria"/>
          <w:sz w:val="24"/>
          <w:szCs w:val="24"/>
        </w:rPr>
        <w:t xml:space="preserve">on recent large wildfires </w:t>
      </w:r>
      <w:r w:rsidR="00F03AA3">
        <w:rPr>
          <w:rFonts w:ascii="Cambria" w:hAnsi="Cambria"/>
          <w:sz w:val="24"/>
          <w:szCs w:val="24"/>
        </w:rPr>
        <w:t>(Rim and King Fire) but the implementation has not yet begun.</w:t>
      </w:r>
    </w:p>
    <w:p w:rsidR="00162E55" w:rsidRDefault="00162E55" w:rsidP="00D140C4">
      <w:pPr>
        <w:ind w:left="360"/>
        <w:rPr>
          <w:rFonts w:ascii="Cambria" w:hAnsi="Cambria"/>
          <w:sz w:val="24"/>
          <w:szCs w:val="24"/>
        </w:rPr>
      </w:pPr>
      <w:r>
        <w:rPr>
          <w:rFonts w:ascii="Cambria" w:hAnsi="Cambria"/>
          <w:sz w:val="24"/>
          <w:szCs w:val="24"/>
        </w:rPr>
        <w:t xml:space="preserve">The Forest Service mechanically thins about 60,000 acres/year in California on the National Forests producing about 780,000 bone dry tons of biomass (about 125 MW).  </w:t>
      </w:r>
      <w:r>
        <w:rPr>
          <w:rFonts w:ascii="Cambria" w:hAnsi="Cambria"/>
          <w:sz w:val="24"/>
          <w:szCs w:val="24"/>
        </w:rPr>
        <w:lastRenderedPageBreak/>
        <w:t>They are also salvaging about 15,000 acres/year of high severity burn from wildfires producing about 375,000 bone dry tons of biomass (45 MW).</w:t>
      </w:r>
    </w:p>
    <w:p w:rsidR="00162E55" w:rsidRDefault="00C21989" w:rsidP="00D140C4">
      <w:pPr>
        <w:ind w:left="360"/>
        <w:rPr>
          <w:rFonts w:ascii="Cambria" w:hAnsi="Cambria"/>
          <w:sz w:val="24"/>
          <w:szCs w:val="24"/>
        </w:rPr>
      </w:pPr>
      <w:r>
        <w:rPr>
          <w:rFonts w:ascii="Cambria" w:hAnsi="Cambria"/>
          <w:sz w:val="24"/>
          <w:szCs w:val="24"/>
        </w:rPr>
        <w:t xml:space="preserve">Private </w:t>
      </w:r>
      <w:r w:rsidR="00162E55">
        <w:rPr>
          <w:rFonts w:ascii="Cambria" w:hAnsi="Cambria"/>
          <w:sz w:val="24"/>
          <w:szCs w:val="24"/>
        </w:rPr>
        <w:t>forest lands in California are harvesting about 50,000 acres per year (1.2 billion board feet per year) generating about 1.5 million bone dry tons of biomass (190 MW).</w:t>
      </w:r>
    </w:p>
    <w:p w:rsidR="00086540" w:rsidRDefault="00086540" w:rsidP="00D140C4">
      <w:pPr>
        <w:ind w:left="360"/>
        <w:rPr>
          <w:rFonts w:ascii="Cambria" w:hAnsi="Cambria"/>
          <w:sz w:val="24"/>
          <w:szCs w:val="24"/>
        </w:rPr>
      </w:pPr>
      <w:r>
        <w:rPr>
          <w:rFonts w:ascii="Cambria" w:hAnsi="Cambria"/>
          <w:sz w:val="24"/>
          <w:szCs w:val="24"/>
        </w:rPr>
        <w:t>Finally, the State of California, both State and Federal, cumulatively are spending about $1.2 billion per year on fire suppression.  Nationally, the 52% of entire Forest Service budget goes toward wildfire preparedness and suppression.  The trend is for continued increase in size and intensity of wildfire primarily due to the overly dense national forests.  This will continue to take more and more dollars from the constrained Forest Service budget toward fire suppression rather than forest health and fuels reduction projects.</w:t>
      </w:r>
    </w:p>
    <w:p w:rsidR="007C19A3" w:rsidRDefault="007C19A3" w:rsidP="007C19A3">
      <w:pPr>
        <w:ind w:left="360"/>
        <w:rPr>
          <w:rFonts w:ascii="Cambria" w:hAnsi="Cambria"/>
          <w:sz w:val="24"/>
          <w:szCs w:val="24"/>
        </w:rPr>
      </w:pPr>
      <w:r>
        <w:rPr>
          <w:rFonts w:ascii="Cambria" w:hAnsi="Cambria"/>
          <w:sz w:val="24"/>
          <w:szCs w:val="24"/>
        </w:rPr>
        <w:t>In summary, in regard to California’s National Forests:</w:t>
      </w:r>
    </w:p>
    <w:p w:rsidR="007C19A3" w:rsidRDefault="007C19A3" w:rsidP="007C19A3">
      <w:pPr>
        <w:pStyle w:val="ListParagraph"/>
        <w:numPr>
          <w:ilvl w:val="0"/>
          <w:numId w:val="18"/>
        </w:numPr>
        <w:rPr>
          <w:rFonts w:ascii="Cambria" w:hAnsi="Cambria"/>
          <w:sz w:val="24"/>
          <w:szCs w:val="24"/>
        </w:rPr>
      </w:pPr>
      <w:r w:rsidRPr="007C19A3">
        <w:rPr>
          <w:rFonts w:ascii="Cambria" w:hAnsi="Cambria"/>
          <w:sz w:val="24"/>
          <w:szCs w:val="24"/>
        </w:rPr>
        <w:t>Forest Service Regional Forester, Randy Moore, has published that he wants to see a tripling of forest health and fuels reduction accomplishments on California’s National Forests to about 500,000 acres per year.  There are 9 million acres that need treatment over the coming 15-20 years.</w:t>
      </w:r>
    </w:p>
    <w:p w:rsidR="007C19A3" w:rsidRDefault="007C19A3" w:rsidP="007C19A3">
      <w:pPr>
        <w:pStyle w:val="ListParagraph"/>
        <w:numPr>
          <w:ilvl w:val="0"/>
          <w:numId w:val="18"/>
        </w:numPr>
        <w:rPr>
          <w:rFonts w:ascii="Cambria" w:hAnsi="Cambria"/>
          <w:sz w:val="24"/>
          <w:szCs w:val="24"/>
        </w:rPr>
      </w:pPr>
      <w:r>
        <w:rPr>
          <w:rFonts w:ascii="Cambria" w:hAnsi="Cambria"/>
          <w:sz w:val="24"/>
          <w:szCs w:val="24"/>
        </w:rPr>
        <w:t>They are grossly overly dense and homogenized leading to ever increasing number, size and intensity of wildfires and continuing damage from insects and disease.</w:t>
      </w:r>
    </w:p>
    <w:p w:rsidR="007C19A3" w:rsidRDefault="007C19A3" w:rsidP="007C19A3">
      <w:pPr>
        <w:pStyle w:val="ListParagraph"/>
        <w:numPr>
          <w:ilvl w:val="0"/>
          <w:numId w:val="18"/>
        </w:numPr>
        <w:rPr>
          <w:rFonts w:ascii="Cambria" w:hAnsi="Cambria"/>
          <w:sz w:val="24"/>
          <w:szCs w:val="24"/>
        </w:rPr>
      </w:pPr>
      <w:r>
        <w:rPr>
          <w:rFonts w:ascii="Cambria" w:hAnsi="Cambria"/>
          <w:sz w:val="24"/>
          <w:szCs w:val="24"/>
        </w:rPr>
        <w:t>Historically, the National Forests had about 19 trees/acre; today 224 trees/acre.  Today, forest health treatments only remove about 7% of annual growth in contrast to the late 1980’s when 40% of annual growth was removed.</w:t>
      </w:r>
    </w:p>
    <w:p w:rsidR="007C19A3" w:rsidRDefault="007C19A3" w:rsidP="007C19A3">
      <w:pPr>
        <w:pStyle w:val="ListParagraph"/>
        <w:numPr>
          <w:ilvl w:val="0"/>
          <w:numId w:val="18"/>
        </w:numPr>
        <w:rPr>
          <w:rFonts w:ascii="Cambria" w:hAnsi="Cambria"/>
          <w:sz w:val="24"/>
          <w:szCs w:val="24"/>
        </w:rPr>
      </w:pPr>
      <w:r>
        <w:rPr>
          <w:rFonts w:ascii="Cambria" w:hAnsi="Cambria"/>
          <w:sz w:val="24"/>
          <w:szCs w:val="24"/>
        </w:rPr>
        <w:t xml:space="preserve">Wildfires on average over the past 15 years </w:t>
      </w:r>
      <w:r w:rsidR="0053763F">
        <w:rPr>
          <w:rFonts w:ascii="Cambria" w:hAnsi="Cambria"/>
          <w:sz w:val="24"/>
          <w:szCs w:val="24"/>
        </w:rPr>
        <w:t xml:space="preserve">have </w:t>
      </w:r>
      <w:r>
        <w:rPr>
          <w:rFonts w:ascii="Cambria" w:hAnsi="Cambria"/>
          <w:sz w:val="24"/>
          <w:szCs w:val="24"/>
        </w:rPr>
        <w:t>burn</w:t>
      </w:r>
      <w:r w:rsidR="0053763F">
        <w:rPr>
          <w:rFonts w:ascii="Cambria" w:hAnsi="Cambria"/>
          <w:sz w:val="24"/>
          <w:szCs w:val="24"/>
        </w:rPr>
        <w:t>ed</w:t>
      </w:r>
      <w:r>
        <w:rPr>
          <w:rFonts w:ascii="Cambria" w:hAnsi="Cambria"/>
          <w:sz w:val="24"/>
          <w:szCs w:val="24"/>
        </w:rPr>
        <w:t xml:space="preserve"> about 305,000 acres per year on the National Forests and the severity has increased dramatically from 1986 where 21% of acres burned was high severity (greater than 90% of vegetation killed) to 2014 where the high severity was near 50%.</w:t>
      </w:r>
    </w:p>
    <w:p w:rsidR="009541D1" w:rsidRDefault="009541D1" w:rsidP="007C19A3">
      <w:pPr>
        <w:pStyle w:val="ListParagraph"/>
        <w:numPr>
          <w:ilvl w:val="0"/>
          <w:numId w:val="18"/>
        </w:numPr>
        <w:rPr>
          <w:rFonts w:ascii="Cambria" w:hAnsi="Cambria"/>
          <w:sz w:val="24"/>
          <w:szCs w:val="24"/>
        </w:rPr>
      </w:pPr>
      <w:r>
        <w:rPr>
          <w:rFonts w:ascii="Cambria" w:hAnsi="Cambria"/>
          <w:sz w:val="24"/>
          <w:szCs w:val="24"/>
        </w:rPr>
        <w:t>At the current rate of restorative activities on high severity burned acres, type conversion to brushfields will result, which will lead to more intense wildfires.</w:t>
      </w:r>
    </w:p>
    <w:p w:rsidR="007C19A3" w:rsidRDefault="0053763F" w:rsidP="007C19A3">
      <w:pPr>
        <w:pStyle w:val="ListParagraph"/>
        <w:numPr>
          <w:ilvl w:val="0"/>
          <w:numId w:val="18"/>
        </w:numPr>
        <w:rPr>
          <w:rFonts w:ascii="Cambria" w:hAnsi="Cambria"/>
          <w:sz w:val="24"/>
          <w:szCs w:val="24"/>
        </w:rPr>
      </w:pPr>
      <w:r>
        <w:rPr>
          <w:rFonts w:ascii="Cambria" w:hAnsi="Cambria"/>
          <w:sz w:val="24"/>
          <w:szCs w:val="24"/>
        </w:rPr>
        <w:t>The national forests</w:t>
      </w:r>
      <w:r w:rsidR="007C19A3">
        <w:rPr>
          <w:rFonts w:ascii="Cambria" w:hAnsi="Cambria"/>
          <w:sz w:val="24"/>
          <w:szCs w:val="24"/>
        </w:rPr>
        <w:t xml:space="preserve"> are going to continue to get denser and denser and denser spawning a continuing upward trend in number, size, and intensity of wildfire and insect and disease attack.  Nothing can stop it until the Federal Government dramatically changes its approach to vegetation management.</w:t>
      </w:r>
    </w:p>
    <w:p w:rsidR="000B7605" w:rsidRDefault="000B7605" w:rsidP="007C19A3">
      <w:pPr>
        <w:pStyle w:val="ListParagraph"/>
        <w:numPr>
          <w:ilvl w:val="0"/>
          <w:numId w:val="18"/>
        </w:numPr>
        <w:rPr>
          <w:rFonts w:ascii="Cambria" w:hAnsi="Cambria"/>
          <w:sz w:val="24"/>
          <w:szCs w:val="24"/>
        </w:rPr>
      </w:pPr>
      <w:r>
        <w:rPr>
          <w:rFonts w:ascii="Cambria" w:hAnsi="Cambria"/>
          <w:sz w:val="24"/>
          <w:szCs w:val="24"/>
        </w:rPr>
        <w:t>Percentage of the Forest Service budget going to wildfire preparedness and prevention will continue to increase thereby reducing available appropriations for forest health and fuels reduction projects.</w:t>
      </w:r>
    </w:p>
    <w:p w:rsidR="005B2FA3" w:rsidRDefault="005B2FA3">
      <w:pPr>
        <w:rPr>
          <w:rFonts w:ascii="Cambria" w:hAnsi="Cambria"/>
          <w:sz w:val="24"/>
          <w:szCs w:val="24"/>
        </w:rPr>
      </w:pPr>
      <w:r>
        <w:rPr>
          <w:rFonts w:ascii="Cambria" w:hAnsi="Cambria"/>
          <w:sz w:val="24"/>
          <w:szCs w:val="24"/>
        </w:rPr>
        <w:br w:type="page"/>
      </w:r>
    </w:p>
    <w:p w:rsidR="005B2FA3" w:rsidRDefault="005B2FA3" w:rsidP="005B2FA3">
      <w:pPr>
        <w:pStyle w:val="ListParagraph"/>
        <w:rPr>
          <w:rFonts w:ascii="Cambria" w:hAnsi="Cambria"/>
          <w:sz w:val="24"/>
          <w:szCs w:val="24"/>
        </w:rPr>
      </w:pPr>
      <w:r>
        <w:rPr>
          <w:rFonts w:ascii="Cambria" w:hAnsi="Cambria"/>
          <w:b/>
          <w:sz w:val="24"/>
          <w:szCs w:val="24"/>
        </w:rPr>
        <w:lastRenderedPageBreak/>
        <w:t>Enclosure #1 –</w:t>
      </w:r>
      <w:r>
        <w:rPr>
          <w:rFonts w:ascii="Cambria" w:hAnsi="Cambria"/>
          <w:sz w:val="24"/>
          <w:szCs w:val="24"/>
        </w:rPr>
        <w:t>California’s Biomass Powerplant Industry</w:t>
      </w:r>
    </w:p>
    <w:p w:rsidR="005B2FA3" w:rsidRPr="005B2FA3" w:rsidRDefault="005B2FA3" w:rsidP="005B2FA3">
      <w:pPr>
        <w:pStyle w:val="ListParagraph"/>
        <w:rPr>
          <w:rFonts w:ascii="Cambria" w:hAnsi="Cambria"/>
          <w:sz w:val="24"/>
          <w:szCs w:val="24"/>
        </w:rPr>
      </w:pPr>
    </w:p>
    <w:p w:rsidR="005B2FA3" w:rsidRDefault="005B2FA3" w:rsidP="005B2FA3">
      <w:pPr>
        <w:pStyle w:val="ListParagraph"/>
        <w:rPr>
          <w:rFonts w:ascii="Cambria" w:hAnsi="Cambria"/>
          <w:sz w:val="24"/>
          <w:szCs w:val="24"/>
        </w:rPr>
      </w:pPr>
      <w:r w:rsidRPr="005B2FA3">
        <w:rPr>
          <w:rFonts w:ascii="Cambria" w:hAnsi="Cambria"/>
          <w:noProof/>
          <w:sz w:val="24"/>
          <w:szCs w:val="24"/>
        </w:rPr>
        <w:drawing>
          <wp:inline distT="0" distB="0" distL="0" distR="0">
            <wp:extent cx="4953000" cy="766773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5130" cy="7671029"/>
                    </a:xfrm>
                    <a:prstGeom prst="rect">
                      <a:avLst/>
                    </a:prstGeom>
                    <a:noFill/>
                    <a:ln>
                      <a:noFill/>
                    </a:ln>
                  </pic:spPr>
                </pic:pic>
              </a:graphicData>
            </a:graphic>
          </wp:inline>
        </w:drawing>
      </w:r>
    </w:p>
    <w:p w:rsidR="005B2FA3" w:rsidRPr="007F5AA2" w:rsidRDefault="005B2FA3" w:rsidP="005B2FA3">
      <w:pPr>
        <w:pStyle w:val="ListParagraph"/>
        <w:ind w:left="360"/>
        <w:rPr>
          <w:rFonts w:ascii="Cambria" w:hAnsi="Cambria"/>
          <w:b/>
          <w:sz w:val="24"/>
          <w:szCs w:val="24"/>
        </w:rPr>
      </w:pPr>
      <w:r>
        <w:rPr>
          <w:rFonts w:ascii="Cambria" w:hAnsi="Cambria"/>
          <w:b/>
          <w:sz w:val="24"/>
          <w:szCs w:val="24"/>
        </w:rPr>
        <w:lastRenderedPageBreak/>
        <w:t>Enclosure #2 – 66 Original Wood-Fired Powerplants Constructed in California</w:t>
      </w:r>
    </w:p>
    <w:tbl>
      <w:tblPr>
        <w:tblW w:w="17559" w:type="dxa"/>
        <w:tblLook w:val="04A0" w:firstRow="1" w:lastRow="0" w:firstColumn="1" w:lastColumn="0" w:noHBand="0" w:noVBand="1"/>
      </w:tblPr>
      <w:tblGrid>
        <w:gridCol w:w="272"/>
        <w:gridCol w:w="2068"/>
        <w:gridCol w:w="2700"/>
        <w:gridCol w:w="1710"/>
        <w:gridCol w:w="1350"/>
        <w:gridCol w:w="990"/>
        <w:gridCol w:w="2493"/>
        <w:gridCol w:w="1560"/>
        <w:gridCol w:w="4416"/>
      </w:tblGrid>
      <w:tr w:rsidR="005B2FA3" w:rsidRPr="00B43C8F" w:rsidTr="005B2FA3">
        <w:trPr>
          <w:trHeight w:val="255"/>
        </w:trPr>
        <w:tc>
          <w:tcPr>
            <w:tcW w:w="5040" w:type="dxa"/>
            <w:gridSpan w:val="3"/>
            <w:tcBorders>
              <w:top w:val="nil"/>
              <w:left w:val="nil"/>
              <w:bottom w:val="nil"/>
              <w:right w:val="nil"/>
            </w:tcBorders>
            <w:shd w:val="clear" w:color="auto" w:fill="auto"/>
            <w:noWrap/>
            <w:vAlign w:val="bottom"/>
            <w:hideMark/>
          </w:tcPr>
          <w:p w:rsidR="005B2FA3" w:rsidRPr="00B43C8F" w:rsidRDefault="005B2FA3" w:rsidP="005B2FA3">
            <w:pPr>
              <w:spacing w:after="0" w:line="240" w:lineRule="auto"/>
              <w:ind w:left="342"/>
              <w:rPr>
                <w:rFonts w:ascii="Arial" w:eastAsia="Times New Roman" w:hAnsi="Arial" w:cs="Arial"/>
                <w:sz w:val="20"/>
                <w:szCs w:val="20"/>
              </w:rPr>
            </w:pPr>
            <w:r w:rsidRPr="00B43C8F">
              <w:rPr>
                <w:rFonts w:ascii="Arial" w:eastAsia="Times New Roman" w:hAnsi="Arial" w:cs="Arial"/>
                <w:sz w:val="20"/>
                <w:szCs w:val="20"/>
              </w:rPr>
              <w:t xml:space="preserve">California Biomass Plants, </w:t>
            </w:r>
            <w:r w:rsidRPr="003160A9">
              <w:rPr>
                <w:rFonts w:ascii="Arial" w:eastAsia="Times New Roman" w:hAnsi="Arial" w:cs="Arial"/>
                <w:b/>
                <w:sz w:val="20"/>
                <w:szCs w:val="20"/>
                <w:highlight w:val="yellow"/>
                <w:u w:val="single"/>
              </w:rPr>
              <w:t>June 2007</w:t>
            </w:r>
          </w:p>
        </w:tc>
        <w:tc>
          <w:tcPr>
            <w:tcW w:w="171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493"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4416"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068"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70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71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493"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4416"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Plant Name</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Owner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Town/City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County</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Net MW</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Gross MW</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Status</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Buyer</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b/>
                <w:bCs/>
                <w:sz w:val="20"/>
                <w:szCs w:val="20"/>
                <w:u w:val="single"/>
              </w:rPr>
            </w:pPr>
            <w:r w:rsidRPr="00B43C8F">
              <w:rPr>
                <w:rFonts w:ascii="Times New Roman" w:eastAsia="Times New Roman" w:hAnsi="Times New Roman" w:cs="Times New Roman"/>
                <w:b/>
                <w:bCs/>
                <w:sz w:val="20"/>
                <w:szCs w:val="20"/>
                <w:u w:val="single"/>
              </w:rPr>
              <w:t> </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Big Valley</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Big Valley Lumber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Bieber</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Lassen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6.8</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8.3</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513"/>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Burney Forest Power</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Connectiv</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Burney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31</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35</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xml:space="preserve">Collins Pine </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Collins Companies</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Chester</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Plumas</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12</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13.3</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Auberry</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Yonke Energy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Auberry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Fresno</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7.5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8.3</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Mecca</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Colmac Energy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Mecca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Riverside</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47</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52</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SCE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Diamond Walnut</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Diamond Walnut</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Stockton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San Joaquin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4.5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5</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Fairhaven Power</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Eel River Sawmill</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Eureka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Humboldt</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17.5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21</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GP Fort Bragg</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Georgia Pacific</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Ft. Bragg</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Mendocino</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17</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Ione</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Jackson Valley Energy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Ione</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Amador</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16</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18</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Modesto Energy</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Enpower Corp</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Modesto</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14</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15.2</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Blue Lake</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North American Power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Blue Lake</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Humboldt</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10.5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11.5</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HL Power</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CMS</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Susanville</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Lassen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30</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33</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Pacific Lumber</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Pacific Lumber Co.</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Scotia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Humboldt</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19</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27.5</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Standard Fibreboard</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Standard Co.</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Sonora</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Tuolumne</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3</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3.3</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now SPI Sonora</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Burney</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Covanta</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Burney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10</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11</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Westwood</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Covanta</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Westwood</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Lassen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12</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13.3</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Oroville</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Covanta</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Oroville</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Butte</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18</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20</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Blue Diamond</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Blue Diamond Growers</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Sacramento</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Sacramento</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9.5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Chinese Station</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Ultrapower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Chinese Station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Tuolumne</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27.5</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Fresno</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Rio Bravo</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Fresno</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Fresno</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28</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Rocklin</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Rio Bravo</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Rocklin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Placer</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28</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Madera</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Community Recycling</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Madera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Madera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28</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Chowchilla</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San Joaquin Valley Energy</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Chowchilla</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Madera</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10</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Chowchilla II</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Madera Power LLC</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Chowchilla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Madera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25</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El Nido</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San Joaquin Valley Energy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El Nido</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Merced</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10</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11</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Power</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Forest Products</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Terra Bella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Tulare</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9.5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11</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SPI Burney</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Pacific Industries</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Burney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9.5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11</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SPI Lincoln</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Pacific Industries</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Lincoln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Placer</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16</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SPI Loyalton</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Renegy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Loyalton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10</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11</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Pwr</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SPI Quincy</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Pacific Industries</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Quincy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Plumas</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14</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SPI Susanville</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Renegy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Susanville</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Lassen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9.8</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11</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SPI Sonora</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Pacific Industries</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Sonora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Tuolumne</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3.5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4</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various</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SPI Hayfork</w:t>
            </w:r>
          </w:p>
        </w:tc>
        <w:tc>
          <w:tcPr>
            <w:tcW w:w="2700" w:type="dxa"/>
            <w:tcBorders>
              <w:top w:val="nil"/>
              <w:left w:val="single" w:sz="4" w:space="0" w:color="auto"/>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Pacific Industries</w:t>
            </w:r>
          </w:p>
        </w:tc>
        <w:tc>
          <w:tcPr>
            <w:tcW w:w="171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Trinity</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10</w:t>
            </w:r>
          </w:p>
        </w:tc>
        <w:tc>
          <w:tcPr>
            <w:tcW w:w="2493"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11</w:t>
            </w:r>
            <w:r>
              <w:rPr>
                <w:rFonts w:ascii="Arial" w:eastAsia="Times New Roman" w:hAnsi="Arial" w:cs="Arial"/>
                <w:sz w:val="20"/>
                <w:szCs w:val="20"/>
              </w:rPr>
              <w:t xml:space="preserve"> (Idle)</w:t>
            </w:r>
          </w:p>
        </w:tc>
        <w:tc>
          <w:tcPr>
            <w:tcW w:w="1560" w:type="dxa"/>
            <w:tcBorders>
              <w:top w:val="nil"/>
              <w:left w:val="single" w:sz="4" w:space="0" w:color="auto"/>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700" w:type="dxa"/>
            <w:tcBorders>
              <w:top w:val="nil"/>
              <w:left w:val="single" w:sz="4" w:space="0" w:color="auto"/>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Pacific Industries</w:t>
            </w:r>
          </w:p>
        </w:tc>
        <w:tc>
          <w:tcPr>
            <w:tcW w:w="171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Anderson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Anderson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4</w:t>
            </w:r>
          </w:p>
        </w:tc>
        <w:tc>
          <w:tcPr>
            <w:tcW w:w="2493"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4</w:t>
            </w:r>
          </w:p>
        </w:tc>
        <w:tc>
          <w:tcPr>
            <w:tcW w:w="1560" w:type="dxa"/>
            <w:tcBorders>
              <w:top w:val="nil"/>
              <w:left w:val="single" w:sz="4" w:space="0" w:color="auto"/>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Feather River</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Energy Factors</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Feather River</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Yuba</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16.5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Delano</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Covanta</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Delano</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Kern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50</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56</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SDG&amp;E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Mendota</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Covanta</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Mendota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Fresno</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28</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Koppers</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Koppers Co.</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Oroville</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Butte</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5.5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Woodland</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Xcel Energy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Woodland</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Yolo</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28</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Pr>
                <w:rFonts w:ascii="Arial" w:eastAsia="Times New Roman" w:hAnsi="Arial" w:cs="Arial"/>
                <w:sz w:val="20"/>
                <w:szCs w:val="20"/>
              </w:rPr>
              <w:t>Tracy</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GWF Power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Tracy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San Joaquin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18.5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20.3</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Williams</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Wadham Energy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Williams</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Colusa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27.5</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Brawley</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Primary Power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Brawley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Imperial</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17</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Wheelabrator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Anderson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50</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55</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tcPr>
          <w:p w:rsidR="005B2FA3" w:rsidRPr="00B43C8F" w:rsidRDefault="005B2FA3" w:rsidP="005B2FA3">
            <w:pPr>
              <w:spacing w:after="0" w:line="240" w:lineRule="auto"/>
              <w:rPr>
                <w:rFonts w:ascii="Arial" w:eastAsia="Times New Roman" w:hAnsi="Arial" w:cs="Arial"/>
                <w:sz w:val="20"/>
                <w:szCs w:val="20"/>
              </w:rPr>
            </w:pPr>
          </w:p>
        </w:tc>
        <w:tc>
          <w:tcPr>
            <w:tcW w:w="2700" w:type="dxa"/>
            <w:tcBorders>
              <w:top w:val="nil"/>
              <w:left w:val="nil"/>
              <w:bottom w:val="nil"/>
              <w:right w:val="single" w:sz="4" w:space="0" w:color="auto"/>
            </w:tcBorders>
            <w:shd w:val="clear" w:color="auto" w:fill="auto"/>
            <w:noWrap/>
            <w:vAlign w:val="bottom"/>
          </w:tcPr>
          <w:p w:rsidR="005B2FA3" w:rsidRPr="00B43C8F" w:rsidRDefault="005B2FA3" w:rsidP="005B2FA3">
            <w:pPr>
              <w:spacing w:after="0" w:line="240" w:lineRule="auto"/>
              <w:rPr>
                <w:rFonts w:ascii="Arial" w:eastAsia="Times New Roman" w:hAnsi="Arial" w:cs="Arial"/>
                <w:sz w:val="20"/>
                <w:szCs w:val="20"/>
              </w:rPr>
            </w:pPr>
          </w:p>
        </w:tc>
        <w:tc>
          <w:tcPr>
            <w:tcW w:w="1710" w:type="dxa"/>
            <w:tcBorders>
              <w:top w:val="nil"/>
              <w:left w:val="nil"/>
              <w:bottom w:val="nil"/>
              <w:right w:val="single" w:sz="4" w:space="0" w:color="auto"/>
            </w:tcBorders>
            <w:shd w:val="clear" w:color="auto" w:fill="auto"/>
            <w:noWrap/>
            <w:vAlign w:val="bottom"/>
          </w:tcPr>
          <w:p w:rsidR="005B2FA3" w:rsidRPr="00B43C8F" w:rsidRDefault="005B2FA3" w:rsidP="005B2FA3">
            <w:pPr>
              <w:spacing w:after="0" w:line="240" w:lineRule="auto"/>
              <w:rPr>
                <w:rFonts w:ascii="Arial" w:eastAsia="Times New Roman" w:hAnsi="Arial" w:cs="Arial"/>
                <w:sz w:val="20"/>
                <w:szCs w:val="20"/>
              </w:rPr>
            </w:pPr>
          </w:p>
        </w:tc>
        <w:tc>
          <w:tcPr>
            <w:tcW w:w="1350" w:type="dxa"/>
            <w:tcBorders>
              <w:top w:val="nil"/>
              <w:left w:val="nil"/>
              <w:bottom w:val="nil"/>
              <w:right w:val="nil"/>
            </w:tcBorders>
            <w:shd w:val="clear" w:color="auto" w:fill="auto"/>
            <w:noWrap/>
            <w:vAlign w:val="bottom"/>
          </w:tcPr>
          <w:p w:rsidR="005B2FA3" w:rsidRPr="00B43C8F" w:rsidRDefault="005B2FA3" w:rsidP="005B2FA3">
            <w:pPr>
              <w:spacing w:after="0" w:line="240" w:lineRule="auto"/>
              <w:rPr>
                <w:rFonts w:ascii="Arial" w:eastAsia="Times New Roman" w:hAnsi="Arial" w:cs="Arial"/>
                <w:sz w:val="20"/>
                <w:szCs w:val="20"/>
              </w:rPr>
            </w:pPr>
          </w:p>
        </w:tc>
        <w:tc>
          <w:tcPr>
            <w:tcW w:w="990" w:type="dxa"/>
            <w:tcBorders>
              <w:top w:val="nil"/>
              <w:left w:val="single" w:sz="4" w:space="0" w:color="auto"/>
              <w:bottom w:val="nil"/>
              <w:right w:val="single" w:sz="4" w:space="0" w:color="auto"/>
            </w:tcBorders>
            <w:shd w:val="clear" w:color="auto" w:fill="auto"/>
            <w:noWrap/>
            <w:vAlign w:val="bottom"/>
          </w:tcPr>
          <w:p w:rsidR="005B2FA3" w:rsidRPr="00B43C8F" w:rsidRDefault="005B2FA3" w:rsidP="005B2FA3">
            <w:pPr>
              <w:spacing w:after="0" w:line="240" w:lineRule="auto"/>
              <w:jc w:val="center"/>
              <w:rPr>
                <w:rFonts w:ascii="Arial" w:eastAsia="Times New Roman" w:hAnsi="Arial" w:cs="Arial"/>
                <w:sz w:val="20"/>
                <w:szCs w:val="20"/>
              </w:rPr>
            </w:pPr>
          </w:p>
        </w:tc>
        <w:tc>
          <w:tcPr>
            <w:tcW w:w="2493" w:type="dxa"/>
            <w:tcBorders>
              <w:top w:val="nil"/>
              <w:left w:val="nil"/>
              <w:bottom w:val="nil"/>
              <w:right w:val="single" w:sz="4" w:space="0" w:color="auto"/>
            </w:tcBorders>
            <w:shd w:val="clear" w:color="auto" w:fill="auto"/>
            <w:noWrap/>
            <w:vAlign w:val="bottom"/>
          </w:tcPr>
          <w:p w:rsidR="005B2FA3" w:rsidRPr="00B43C8F" w:rsidRDefault="005B2FA3" w:rsidP="005B2FA3">
            <w:pPr>
              <w:spacing w:after="0" w:line="240" w:lineRule="auto"/>
              <w:rPr>
                <w:rFonts w:ascii="Arial" w:eastAsia="Times New Roman" w:hAnsi="Arial" w:cs="Arial"/>
                <w:sz w:val="20"/>
                <w:szCs w:val="20"/>
              </w:rPr>
            </w:pPr>
          </w:p>
        </w:tc>
        <w:tc>
          <w:tcPr>
            <w:tcW w:w="1560" w:type="dxa"/>
            <w:tcBorders>
              <w:top w:val="nil"/>
              <w:left w:val="nil"/>
              <w:bottom w:val="nil"/>
              <w:right w:val="single" w:sz="4" w:space="0" w:color="auto"/>
            </w:tcBorders>
            <w:shd w:val="clear" w:color="auto" w:fill="auto"/>
            <w:noWrap/>
            <w:vAlign w:val="bottom"/>
          </w:tcPr>
          <w:p w:rsidR="005B2FA3" w:rsidRPr="00B43C8F" w:rsidRDefault="005B2FA3" w:rsidP="005B2FA3">
            <w:pPr>
              <w:spacing w:after="0" w:line="240" w:lineRule="auto"/>
              <w:rPr>
                <w:rFonts w:ascii="Arial" w:eastAsia="Times New Roman" w:hAnsi="Arial" w:cs="Arial"/>
                <w:sz w:val="20"/>
                <w:szCs w:val="20"/>
              </w:rPr>
            </w:pPr>
          </w:p>
        </w:tc>
        <w:tc>
          <w:tcPr>
            <w:tcW w:w="4416" w:type="dxa"/>
            <w:tcBorders>
              <w:top w:val="nil"/>
              <w:left w:val="nil"/>
              <w:bottom w:val="nil"/>
              <w:right w:val="single" w:sz="4" w:space="0" w:color="auto"/>
            </w:tcBorders>
            <w:shd w:val="clear" w:color="auto" w:fill="auto"/>
            <w:noWrap/>
            <w:vAlign w:val="bottom"/>
          </w:tcPr>
          <w:p w:rsidR="005B2FA3" w:rsidRPr="00B43C8F" w:rsidRDefault="005B2FA3" w:rsidP="005B2FA3">
            <w:pPr>
              <w:spacing w:after="0" w:line="240" w:lineRule="auto"/>
              <w:rPr>
                <w:rFonts w:ascii="Arial" w:eastAsia="Times New Roman" w:hAnsi="Arial" w:cs="Arial"/>
                <w:sz w:val="20"/>
                <w:szCs w:val="20"/>
              </w:rPr>
            </w:pP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 2</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Wheelabrator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Anderson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3</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3</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Hudson</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Wheelabrator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Anderson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7</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7.5</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Martell</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Wheelabrator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Martell</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Amador</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18</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20</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Soledad</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Yanke Energy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Soledad</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Monterey</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13.5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15</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DWR</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Dinuba</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Community Recycling</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Dinuba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Tulare</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11.5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13</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Lindsay Olive</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Lindsay Olive Co.</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Tulare</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2.2</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North Fork</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North Fork Lumber</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Madera</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8</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Agrico</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Agrico Cogen</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Fresno</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(Conv. To Gas)</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Conv to Gas</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Gaylord</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Gaylord Paper</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Antioch</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Contra Costa</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30</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(Conv. To Gas)</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Conv to Gas</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Jen Weld</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Jen Weld Ind.</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Lassen</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(Conv. To Gas)</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Conv to Gas</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xml:space="preserve">Roseberg </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Roseburg Lumber</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Anderson</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4</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Paul Bunyan</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Paul Bunyan Lumber</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3</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Redding Power</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City of Redding</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Redding</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Pr>
                <w:rFonts w:ascii="Arial" w:eastAsia="Times New Roman" w:hAnsi="Arial" w:cs="Arial"/>
                <w:sz w:val="20"/>
                <w:szCs w:val="20"/>
              </w:rPr>
              <w:t>0 (Conv. To Gas)</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Conv to Gas</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Simpson</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Simpson Paper Co.</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Humboldt</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29</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(Conv. To Gas)</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Conv to Gas</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Arcata</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Arcata Redwood</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Del Norte</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8</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 and G</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Procter &amp; Gamble</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Long Beach</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Los Angeles</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13.5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Now Soledad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now Soledad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xml:space="preserve">Apex </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Apex Orchards</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Bakersfield</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Kern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5.5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Lassen</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Lassen College</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Lassen</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Redwood</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Redwood Foods</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Stanislaus</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4.5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70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71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493"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4416"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068"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70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71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MW Totals</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jc w:val="right"/>
              <w:rPr>
                <w:rFonts w:ascii="Arial" w:eastAsia="Times New Roman" w:hAnsi="Arial" w:cs="Arial"/>
                <w:sz w:val="20"/>
                <w:szCs w:val="20"/>
              </w:rPr>
            </w:pPr>
          </w:p>
        </w:tc>
        <w:tc>
          <w:tcPr>
            <w:tcW w:w="99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jc w:val="right"/>
              <w:rPr>
                <w:rFonts w:ascii="Arial" w:eastAsia="Times New Roman" w:hAnsi="Arial" w:cs="Arial"/>
                <w:sz w:val="20"/>
                <w:szCs w:val="20"/>
              </w:rPr>
            </w:pPr>
            <w:r w:rsidRPr="00B43C8F">
              <w:rPr>
                <w:rFonts w:ascii="Arial" w:eastAsia="Times New Roman" w:hAnsi="Arial" w:cs="Arial"/>
                <w:sz w:val="20"/>
                <w:szCs w:val="20"/>
              </w:rPr>
              <w:t>957.3</w:t>
            </w:r>
          </w:p>
        </w:tc>
        <w:tc>
          <w:tcPr>
            <w:tcW w:w="2493"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jc w:val="right"/>
              <w:rPr>
                <w:rFonts w:ascii="Arial" w:eastAsia="Times New Roman" w:hAnsi="Arial" w:cs="Arial"/>
                <w:sz w:val="20"/>
                <w:szCs w:val="20"/>
              </w:rPr>
            </w:pPr>
            <w:r w:rsidRPr="00B43C8F">
              <w:rPr>
                <w:rFonts w:ascii="Arial" w:eastAsia="Times New Roman" w:hAnsi="Arial" w:cs="Arial"/>
                <w:sz w:val="20"/>
                <w:szCs w:val="20"/>
              </w:rPr>
              <w:t>843.5</w:t>
            </w:r>
          </w:p>
        </w:tc>
        <w:tc>
          <w:tcPr>
            <w:tcW w:w="156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jc w:val="right"/>
              <w:rPr>
                <w:rFonts w:ascii="Arial" w:eastAsia="Times New Roman" w:hAnsi="Arial" w:cs="Arial"/>
                <w:sz w:val="20"/>
                <w:szCs w:val="20"/>
              </w:rPr>
            </w:pPr>
          </w:p>
        </w:tc>
        <w:tc>
          <w:tcPr>
            <w:tcW w:w="4416"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neg all-in = negotiated contract, energy-only price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70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710" w:type="dxa"/>
            <w:tcBorders>
              <w:top w:val="nil"/>
              <w:left w:val="nil"/>
              <w:bottom w:val="nil"/>
              <w:right w:val="nil"/>
            </w:tcBorders>
            <w:shd w:val="clear" w:color="auto" w:fill="auto"/>
            <w:noWrap/>
            <w:vAlign w:val="bottom"/>
            <w:hideMark/>
          </w:tcPr>
          <w:p w:rsidR="00B53314" w:rsidRDefault="00B53314" w:rsidP="005B2FA3">
            <w:pPr>
              <w:spacing w:after="0" w:line="240" w:lineRule="auto"/>
              <w:rPr>
                <w:rFonts w:ascii="Arial" w:eastAsia="Times New Roman" w:hAnsi="Arial" w:cs="Arial"/>
                <w:sz w:val="20"/>
                <w:szCs w:val="20"/>
              </w:rPr>
            </w:pPr>
          </w:p>
          <w:p w:rsidR="005B2FA3" w:rsidRPr="00B43C8F" w:rsidRDefault="005B2FA3" w:rsidP="005B2FA3">
            <w:pPr>
              <w:spacing w:after="0" w:line="240" w:lineRule="auto"/>
              <w:rPr>
                <w:rFonts w:ascii="Arial" w:eastAsia="Times New Roman" w:hAnsi="Arial" w:cs="Arial"/>
                <w:sz w:val="20"/>
                <w:szCs w:val="20"/>
              </w:rPr>
            </w:pPr>
            <w:r>
              <w:rPr>
                <w:rFonts w:ascii="Arial" w:eastAsia="Times New Roman" w:hAnsi="Arial" w:cs="Arial"/>
                <w:sz w:val="20"/>
                <w:szCs w:val="20"/>
              </w:rPr>
              <w:t xml:space="preserve">Operating Net </w:t>
            </w:r>
            <w:r w:rsidRPr="00B43C8F">
              <w:rPr>
                <w:rFonts w:ascii="Arial" w:eastAsia="Times New Roman" w:hAnsi="Arial" w:cs="Arial"/>
                <w:sz w:val="20"/>
                <w:szCs w:val="20"/>
              </w:rPr>
              <w:t>MW</w:t>
            </w:r>
            <w:r w:rsidR="0053763F">
              <w:rPr>
                <w:rFonts w:ascii="Arial" w:eastAsia="Times New Roman" w:hAnsi="Arial" w:cs="Arial"/>
                <w:sz w:val="20"/>
                <w:szCs w:val="20"/>
              </w:rPr>
              <w:t xml:space="preserve"> today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990" w:type="dxa"/>
            <w:tcBorders>
              <w:top w:val="nil"/>
              <w:left w:val="nil"/>
              <w:bottom w:val="nil"/>
              <w:right w:val="nil"/>
            </w:tcBorders>
            <w:shd w:val="clear" w:color="auto" w:fill="auto"/>
            <w:noWrap/>
            <w:vAlign w:val="bottom"/>
            <w:hideMark/>
          </w:tcPr>
          <w:p w:rsidR="005B2FA3" w:rsidRPr="00B43C8F" w:rsidRDefault="0053763F" w:rsidP="005B2FA3">
            <w:pPr>
              <w:spacing w:after="0" w:line="240" w:lineRule="auto"/>
              <w:jc w:val="right"/>
              <w:rPr>
                <w:rFonts w:ascii="Arial" w:eastAsia="Times New Roman" w:hAnsi="Arial" w:cs="Arial"/>
                <w:sz w:val="20"/>
                <w:szCs w:val="20"/>
              </w:rPr>
            </w:pPr>
            <w:r>
              <w:rPr>
                <w:rFonts w:ascii="Arial" w:eastAsia="Times New Roman" w:hAnsi="Arial" w:cs="Arial"/>
                <w:sz w:val="20"/>
                <w:szCs w:val="20"/>
              </w:rPr>
              <w:t>616</w:t>
            </w:r>
          </w:p>
        </w:tc>
        <w:tc>
          <w:tcPr>
            <w:tcW w:w="2493"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jc w:val="right"/>
              <w:rPr>
                <w:rFonts w:ascii="Arial" w:eastAsia="Times New Roman" w:hAnsi="Arial" w:cs="Arial"/>
                <w:sz w:val="20"/>
                <w:szCs w:val="20"/>
              </w:rPr>
            </w:pPr>
          </w:p>
        </w:tc>
        <w:tc>
          <w:tcPr>
            <w:tcW w:w="156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4416"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5.37 = 5.37-cent substitution for SRAC in SO-4</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70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71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99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493"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jc w:val="right"/>
              <w:rPr>
                <w:rFonts w:ascii="Arial" w:eastAsia="Times New Roman" w:hAnsi="Arial" w:cs="Arial"/>
                <w:sz w:val="20"/>
                <w:szCs w:val="20"/>
              </w:rPr>
            </w:pPr>
            <w:r w:rsidRPr="00B43C8F">
              <w:rPr>
                <w:rFonts w:ascii="Arial" w:eastAsia="Times New Roman" w:hAnsi="Arial" w:cs="Arial"/>
                <w:sz w:val="20"/>
                <w:szCs w:val="20"/>
              </w:rPr>
              <w:t>692.7</w:t>
            </w:r>
          </w:p>
        </w:tc>
        <w:tc>
          <w:tcPr>
            <w:tcW w:w="156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jc w:val="right"/>
              <w:rPr>
                <w:rFonts w:ascii="Arial" w:eastAsia="Times New Roman" w:hAnsi="Arial" w:cs="Arial"/>
                <w:sz w:val="20"/>
                <w:szCs w:val="20"/>
              </w:rPr>
            </w:pPr>
          </w:p>
        </w:tc>
        <w:tc>
          <w:tcPr>
            <w:tcW w:w="4416"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RPS = competitive RFP winner</w:t>
            </w:r>
          </w:p>
        </w:tc>
      </w:tr>
    </w:tbl>
    <w:p w:rsidR="005B2FA3" w:rsidRDefault="005B2FA3" w:rsidP="005B2FA3">
      <w:pPr>
        <w:pStyle w:val="ListParagraph"/>
        <w:rPr>
          <w:rFonts w:ascii="Cambria" w:hAnsi="Cambria"/>
          <w:sz w:val="24"/>
          <w:szCs w:val="24"/>
        </w:rPr>
      </w:pPr>
    </w:p>
    <w:p w:rsidR="00162E55" w:rsidRPr="007C19A3" w:rsidRDefault="005B2FA3" w:rsidP="005B2FA3">
      <w:pPr>
        <w:pStyle w:val="ListParagraph"/>
        <w:rPr>
          <w:rFonts w:ascii="Cambria" w:hAnsi="Cambria"/>
          <w:sz w:val="24"/>
          <w:szCs w:val="24"/>
        </w:rPr>
      </w:pPr>
      <w:r w:rsidRPr="00086540">
        <w:rPr>
          <w:rFonts w:ascii="Cambria" w:hAnsi="Cambria"/>
          <w:sz w:val="24"/>
          <w:szCs w:val="24"/>
        </w:rPr>
        <w:br w:type="page"/>
      </w:r>
    </w:p>
    <w:p w:rsidR="00582A15" w:rsidRDefault="005B2FA3" w:rsidP="00582A15">
      <w:pPr>
        <w:rPr>
          <w:rFonts w:ascii="Cambria" w:hAnsi="Cambria"/>
          <w:sz w:val="24"/>
          <w:szCs w:val="24"/>
        </w:rPr>
      </w:pPr>
      <w:r>
        <w:rPr>
          <w:rFonts w:ascii="Cambria" w:hAnsi="Cambria"/>
          <w:b/>
          <w:sz w:val="24"/>
          <w:szCs w:val="24"/>
        </w:rPr>
        <w:lastRenderedPageBreak/>
        <w:t>Enclosure #3</w:t>
      </w:r>
      <w:r w:rsidR="00582A15">
        <w:rPr>
          <w:rFonts w:ascii="Cambria" w:hAnsi="Cambria"/>
          <w:sz w:val="24"/>
          <w:szCs w:val="24"/>
        </w:rPr>
        <w:t>– California National Forests Available Productive Forest Land Not Reserved Growth and Mortality</w:t>
      </w:r>
      <w:r w:rsidR="0053763F">
        <w:rPr>
          <w:rFonts w:ascii="Cambria" w:hAnsi="Cambria"/>
          <w:sz w:val="24"/>
          <w:szCs w:val="24"/>
        </w:rPr>
        <w:t xml:space="preserve"> (Forest Service Inventory &amp; Analysis (FIA) 2001-2005)</w:t>
      </w:r>
    </w:p>
    <w:p w:rsidR="00582A15" w:rsidRDefault="00582A15" w:rsidP="004E4AAA">
      <w:pPr>
        <w:rPr>
          <w:rFonts w:ascii="Cambria" w:hAnsi="Cambria"/>
          <w:sz w:val="24"/>
          <w:szCs w:val="24"/>
        </w:rPr>
      </w:pPr>
    </w:p>
    <w:p w:rsidR="00582A15" w:rsidRDefault="00582A15" w:rsidP="004E4AAA">
      <w:pPr>
        <w:rPr>
          <w:rFonts w:ascii="Cambria" w:hAnsi="Cambria"/>
          <w:b/>
          <w:sz w:val="24"/>
          <w:szCs w:val="24"/>
        </w:rPr>
      </w:pPr>
      <w:r w:rsidRPr="007103D2">
        <w:rPr>
          <w:rFonts w:ascii="Cambria" w:hAnsi="Cambria"/>
          <w:b/>
          <w:noProof/>
          <w:sz w:val="24"/>
          <w:szCs w:val="24"/>
        </w:rPr>
        <w:drawing>
          <wp:inline distT="0" distB="0" distL="0" distR="0" wp14:anchorId="2195EC47" wp14:editId="0F9636F0">
            <wp:extent cx="5791199" cy="43434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05612" cy="4354210"/>
                    </a:xfrm>
                    <a:prstGeom prst="rect">
                      <a:avLst/>
                    </a:prstGeom>
                  </pic:spPr>
                </pic:pic>
              </a:graphicData>
            </a:graphic>
          </wp:inline>
        </w:drawing>
      </w:r>
    </w:p>
    <w:p w:rsidR="00582A15" w:rsidRDefault="0053763F">
      <w:pPr>
        <w:rPr>
          <w:rFonts w:ascii="Cambria" w:hAnsi="Cambria"/>
          <w:b/>
          <w:sz w:val="24"/>
          <w:szCs w:val="24"/>
        </w:rPr>
      </w:pPr>
      <w:r>
        <w:rPr>
          <w:rFonts w:ascii="Cambria" w:hAnsi="Cambria"/>
          <w:b/>
          <w:sz w:val="24"/>
          <w:szCs w:val="24"/>
        </w:rPr>
        <w:t xml:space="preserve">Note: </w:t>
      </w:r>
      <w:r>
        <w:rPr>
          <w:rFonts w:ascii="Cambria" w:hAnsi="Cambria"/>
          <w:sz w:val="24"/>
          <w:szCs w:val="24"/>
        </w:rPr>
        <w:t>The FIA plot data used in this graph is from 2001-2005.  Since 2012, there has been a substantial increase in mortality due to insect and disease.</w:t>
      </w:r>
      <w:r w:rsidR="00582A15">
        <w:rPr>
          <w:rFonts w:ascii="Cambria" w:hAnsi="Cambria"/>
          <w:b/>
          <w:sz w:val="24"/>
          <w:szCs w:val="24"/>
        </w:rPr>
        <w:br w:type="page"/>
      </w:r>
    </w:p>
    <w:p w:rsidR="00582A15" w:rsidRDefault="005B2FA3" w:rsidP="00582A15">
      <w:pPr>
        <w:rPr>
          <w:rFonts w:ascii="Cambria" w:hAnsi="Cambria"/>
          <w:sz w:val="24"/>
          <w:szCs w:val="24"/>
        </w:rPr>
      </w:pPr>
      <w:r>
        <w:rPr>
          <w:rFonts w:ascii="Cambria" w:hAnsi="Cambria"/>
          <w:b/>
          <w:sz w:val="24"/>
          <w:szCs w:val="24"/>
        </w:rPr>
        <w:lastRenderedPageBreak/>
        <w:t>Enclosure #4</w:t>
      </w:r>
      <w:r w:rsidR="00582A15">
        <w:rPr>
          <w:rFonts w:ascii="Cambria" w:hAnsi="Cambria"/>
          <w:b/>
          <w:sz w:val="24"/>
          <w:szCs w:val="24"/>
        </w:rPr>
        <w:t xml:space="preserve"> –</w:t>
      </w:r>
      <w:r w:rsidR="00582A15" w:rsidRPr="007103D2">
        <w:rPr>
          <w:rFonts w:ascii="Cambria" w:hAnsi="Cambria"/>
          <w:sz w:val="24"/>
          <w:szCs w:val="24"/>
        </w:rPr>
        <w:t xml:space="preserve"> California</w:t>
      </w:r>
      <w:r w:rsidR="00582A15">
        <w:rPr>
          <w:rFonts w:ascii="Cambria" w:hAnsi="Cambria"/>
          <w:b/>
          <w:sz w:val="24"/>
          <w:szCs w:val="24"/>
        </w:rPr>
        <w:t xml:space="preserve"> </w:t>
      </w:r>
      <w:r w:rsidR="00582A15">
        <w:rPr>
          <w:rFonts w:ascii="Cambria" w:hAnsi="Cambria"/>
          <w:sz w:val="24"/>
          <w:szCs w:val="24"/>
        </w:rPr>
        <w:t>Board of Equalization Timber Yield Statistics for Private and Public Lands 1978-2014</w:t>
      </w:r>
    </w:p>
    <w:p w:rsidR="00582A15" w:rsidRDefault="00582A15" w:rsidP="00582A15">
      <w:pPr>
        <w:rPr>
          <w:rFonts w:ascii="Cambria" w:hAnsi="Cambria"/>
          <w:sz w:val="24"/>
          <w:szCs w:val="24"/>
        </w:rPr>
      </w:pPr>
      <w:r>
        <w:rPr>
          <w:rFonts w:ascii="Cambria" w:hAnsi="Cambria"/>
          <w:sz w:val="24"/>
          <w:szCs w:val="24"/>
        </w:rPr>
        <w:tab/>
      </w:r>
    </w:p>
    <w:p w:rsidR="00582A15" w:rsidRDefault="00582A15" w:rsidP="00582A15">
      <w:pPr>
        <w:rPr>
          <w:rFonts w:ascii="Cambria" w:hAnsi="Cambria"/>
          <w:b/>
          <w:sz w:val="24"/>
          <w:szCs w:val="24"/>
        </w:rPr>
      </w:pPr>
      <w:r>
        <w:rPr>
          <w:rFonts w:ascii="Cambria" w:hAnsi="Cambria"/>
          <w:b/>
          <w:sz w:val="24"/>
          <w:szCs w:val="24"/>
        </w:rPr>
        <w:t>California Board of Equalization</w:t>
      </w:r>
    </w:p>
    <w:tbl>
      <w:tblPr>
        <w:tblW w:w="7924" w:type="dxa"/>
        <w:tblInd w:w="-108" w:type="dxa"/>
        <w:tblBorders>
          <w:top w:val="nil"/>
          <w:left w:val="nil"/>
          <w:bottom w:val="nil"/>
          <w:right w:val="nil"/>
        </w:tblBorders>
        <w:tblLayout w:type="fixed"/>
        <w:tblLook w:val="0000" w:firstRow="0" w:lastRow="0" w:firstColumn="0" w:lastColumn="0" w:noHBand="0" w:noVBand="0"/>
      </w:tblPr>
      <w:tblGrid>
        <w:gridCol w:w="1583"/>
        <w:gridCol w:w="1583"/>
        <w:gridCol w:w="1622"/>
        <w:gridCol w:w="1547"/>
        <w:gridCol w:w="1589"/>
      </w:tblGrid>
      <w:tr w:rsidR="00582A15" w:rsidRPr="00CF5C43" w:rsidTr="00514039">
        <w:trPr>
          <w:trHeight w:val="808"/>
        </w:trPr>
        <w:tc>
          <w:tcPr>
            <w:tcW w:w="7924" w:type="dxa"/>
            <w:gridSpan w:val="5"/>
          </w:tcPr>
          <w:p w:rsidR="00582A15" w:rsidRPr="00CF5C43" w:rsidRDefault="00582A15" w:rsidP="00514039">
            <w:pPr>
              <w:autoSpaceDE w:val="0"/>
              <w:autoSpaceDN w:val="0"/>
              <w:adjustRightInd w:val="0"/>
              <w:spacing w:after="0" w:line="240" w:lineRule="auto"/>
              <w:rPr>
                <w:rFonts w:ascii="Courier New" w:hAnsi="Courier New" w:cs="Courier New"/>
                <w:b/>
                <w:bCs/>
                <w:color w:val="000000"/>
                <w:sz w:val="23"/>
                <w:szCs w:val="23"/>
              </w:rPr>
            </w:pPr>
          </w:p>
        </w:tc>
      </w:tr>
      <w:tr w:rsidR="00582A15" w:rsidRPr="00CF5C43" w:rsidTr="00514039">
        <w:trPr>
          <w:trHeight w:val="808"/>
        </w:trPr>
        <w:tc>
          <w:tcPr>
            <w:tcW w:w="7924" w:type="dxa"/>
            <w:gridSpan w:val="5"/>
          </w:tcPr>
          <w:p w:rsidR="00582A15" w:rsidRPr="00547CC0" w:rsidRDefault="00582A15" w:rsidP="00514039">
            <w:pPr>
              <w:autoSpaceDE w:val="0"/>
              <w:autoSpaceDN w:val="0"/>
              <w:adjustRightInd w:val="0"/>
              <w:spacing w:after="0" w:line="240" w:lineRule="auto"/>
              <w:rPr>
                <w:rFonts w:ascii="Cambria" w:hAnsi="Cambria" w:cs="Times New Roman"/>
                <w:color w:val="000000"/>
                <w:sz w:val="24"/>
                <w:szCs w:val="24"/>
              </w:rPr>
            </w:pPr>
            <w:r w:rsidRPr="00CF5C43">
              <w:rPr>
                <w:rFonts w:ascii="Cambria" w:hAnsi="Cambria" w:cs="Courier New"/>
                <w:b/>
                <w:bCs/>
                <w:color w:val="000000"/>
                <w:sz w:val="24"/>
                <w:szCs w:val="24"/>
              </w:rPr>
              <w:t>CALIFORNIA TIMBER HARVEST STATISTICS</w:t>
            </w:r>
            <w:r w:rsidRPr="00CF5C43">
              <w:rPr>
                <w:rFonts w:ascii="Cambria" w:hAnsi="Cambria" w:cs="Courier New"/>
                <w:color w:val="000000"/>
                <w:sz w:val="24"/>
                <w:szCs w:val="24"/>
              </w:rPr>
              <w:t>COMPILED FROM TIMBER TAX RECORDS</w:t>
            </w:r>
            <w:r w:rsidRPr="00547CC0">
              <w:rPr>
                <w:rFonts w:ascii="Cambria" w:hAnsi="Cambria" w:cs="Courier New"/>
                <w:color w:val="000000"/>
                <w:sz w:val="24"/>
                <w:szCs w:val="24"/>
              </w:rPr>
              <w:t xml:space="preserve"> </w:t>
            </w:r>
            <w:r w:rsidRPr="00CF5C43">
              <w:rPr>
                <w:rFonts w:ascii="Cambria" w:hAnsi="Cambria" w:cs="Times New Roman"/>
                <w:color w:val="000000"/>
                <w:sz w:val="24"/>
                <w:szCs w:val="24"/>
              </w:rPr>
              <w:t xml:space="preserve">VOLUME FIGURES-ALL TIMBER </w:t>
            </w:r>
            <w:r w:rsidRPr="00547CC0">
              <w:rPr>
                <w:rFonts w:ascii="Cambria" w:hAnsi="Cambria" w:cs="Times New Roman"/>
                <w:color w:val="000000"/>
                <w:sz w:val="24"/>
                <w:szCs w:val="24"/>
              </w:rPr>
              <w:t>in Million board feet (mmbf)</w:t>
            </w:r>
          </w:p>
          <w:p w:rsidR="00582A15" w:rsidRPr="00547CC0" w:rsidRDefault="00582A15" w:rsidP="00514039">
            <w:pPr>
              <w:autoSpaceDE w:val="0"/>
              <w:autoSpaceDN w:val="0"/>
              <w:adjustRightInd w:val="0"/>
              <w:spacing w:after="0" w:line="240" w:lineRule="auto"/>
              <w:rPr>
                <w:rFonts w:ascii="Cambria" w:hAnsi="Cambria" w:cs="Times New Roman"/>
                <w:color w:val="000000"/>
                <w:sz w:val="24"/>
                <w:szCs w:val="24"/>
              </w:rPr>
            </w:pPr>
          </w:p>
          <w:p w:rsidR="00582A15" w:rsidRPr="00CF5C43" w:rsidRDefault="00582A15" w:rsidP="00514039">
            <w:pPr>
              <w:autoSpaceDE w:val="0"/>
              <w:autoSpaceDN w:val="0"/>
              <w:adjustRightInd w:val="0"/>
              <w:spacing w:after="0" w:line="240" w:lineRule="auto"/>
              <w:rPr>
                <w:rFonts w:ascii="Cambria" w:hAnsi="Cambria" w:cs="Times New Roman"/>
                <w:color w:val="000000"/>
                <w:sz w:val="24"/>
                <w:szCs w:val="24"/>
              </w:rPr>
            </w:pPr>
            <w:r w:rsidRPr="00547CC0">
              <w:rPr>
                <w:rFonts w:ascii="Cambria" w:hAnsi="Cambria" w:cs="Times New Roman"/>
                <w:color w:val="000000"/>
                <w:sz w:val="24"/>
                <w:szCs w:val="24"/>
              </w:rPr>
              <w:t>Calendar             Total                   Public                                                Private</w:t>
            </w:r>
          </w:p>
        </w:tc>
      </w:tr>
      <w:tr w:rsidR="00582A15" w:rsidRPr="00CF5C43" w:rsidTr="0053763F">
        <w:trPr>
          <w:trHeight w:val="115"/>
        </w:trPr>
        <w:tc>
          <w:tcPr>
            <w:tcW w:w="1583" w:type="dxa"/>
          </w:tcPr>
          <w:p w:rsidR="00582A15" w:rsidRPr="00CF5C43" w:rsidRDefault="00582A15" w:rsidP="00514039">
            <w:pPr>
              <w:autoSpaceDE w:val="0"/>
              <w:autoSpaceDN w:val="0"/>
              <w:adjustRightInd w:val="0"/>
              <w:spacing w:after="0" w:line="240" w:lineRule="auto"/>
              <w:rPr>
                <w:rFonts w:ascii="Cambria" w:hAnsi="Cambria" w:cs="Times New Roman"/>
                <w:color w:val="000000"/>
                <w:sz w:val="24"/>
                <w:szCs w:val="24"/>
              </w:rPr>
            </w:pPr>
            <w:r w:rsidRPr="00CF5C43">
              <w:rPr>
                <w:rFonts w:ascii="Cambria" w:hAnsi="Cambria" w:cs="Times New Roman"/>
                <w:color w:val="000000"/>
                <w:sz w:val="24"/>
                <w:szCs w:val="24"/>
              </w:rPr>
              <w:t>YEAR</w:t>
            </w:r>
          </w:p>
        </w:tc>
        <w:tc>
          <w:tcPr>
            <w:tcW w:w="1583" w:type="dxa"/>
          </w:tcPr>
          <w:p w:rsidR="00582A15" w:rsidRPr="00CF5C43" w:rsidRDefault="00582A15" w:rsidP="00514039">
            <w:pPr>
              <w:autoSpaceDE w:val="0"/>
              <w:autoSpaceDN w:val="0"/>
              <w:adjustRightInd w:val="0"/>
              <w:spacing w:after="0" w:line="240" w:lineRule="auto"/>
              <w:rPr>
                <w:rFonts w:ascii="Cambria" w:hAnsi="Cambria" w:cs="Times New Roman"/>
                <w:color w:val="000000"/>
                <w:sz w:val="24"/>
                <w:szCs w:val="24"/>
              </w:rPr>
            </w:pPr>
            <w:r w:rsidRPr="00CF5C43">
              <w:rPr>
                <w:rFonts w:ascii="Cambria" w:hAnsi="Cambria" w:cs="Times New Roman"/>
                <w:color w:val="000000"/>
                <w:sz w:val="24"/>
                <w:szCs w:val="24"/>
              </w:rPr>
              <w:t>MMBF</w:t>
            </w:r>
          </w:p>
        </w:tc>
        <w:tc>
          <w:tcPr>
            <w:tcW w:w="1622" w:type="dxa"/>
          </w:tcPr>
          <w:p w:rsidR="00582A15" w:rsidRPr="00CF5C43" w:rsidRDefault="00582A15" w:rsidP="00514039">
            <w:pPr>
              <w:autoSpaceDE w:val="0"/>
              <w:autoSpaceDN w:val="0"/>
              <w:adjustRightInd w:val="0"/>
              <w:spacing w:after="0" w:line="240" w:lineRule="auto"/>
              <w:rPr>
                <w:rFonts w:ascii="Cambria" w:hAnsi="Cambria" w:cs="Times New Roman"/>
                <w:color w:val="000000"/>
                <w:sz w:val="24"/>
                <w:szCs w:val="24"/>
              </w:rPr>
            </w:pPr>
            <w:r>
              <w:rPr>
                <w:rFonts w:ascii="Cambria" w:hAnsi="Cambria" w:cs="Times New Roman"/>
                <w:color w:val="000000"/>
                <w:sz w:val="24"/>
                <w:szCs w:val="24"/>
              </w:rPr>
              <w:t>Vol</w:t>
            </w:r>
            <w:r w:rsidRPr="00547CC0">
              <w:rPr>
                <w:rFonts w:ascii="Cambria" w:hAnsi="Cambria" w:cs="Times New Roman"/>
                <w:color w:val="000000"/>
                <w:sz w:val="24"/>
                <w:szCs w:val="24"/>
              </w:rPr>
              <w:t>ume</w:t>
            </w:r>
          </w:p>
        </w:tc>
        <w:tc>
          <w:tcPr>
            <w:tcW w:w="1547" w:type="dxa"/>
          </w:tcPr>
          <w:p w:rsidR="00582A15" w:rsidRPr="00CF5C43" w:rsidRDefault="00582A15" w:rsidP="00514039">
            <w:pPr>
              <w:autoSpaceDE w:val="0"/>
              <w:autoSpaceDN w:val="0"/>
              <w:adjustRightInd w:val="0"/>
              <w:spacing w:after="0" w:line="240" w:lineRule="auto"/>
              <w:rPr>
                <w:rFonts w:ascii="Cambria" w:hAnsi="Cambria" w:cs="Times New Roman"/>
                <w:color w:val="000000"/>
                <w:sz w:val="24"/>
                <w:szCs w:val="24"/>
              </w:rPr>
            </w:pPr>
          </w:p>
        </w:tc>
        <w:tc>
          <w:tcPr>
            <w:tcW w:w="1589" w:type="dxa"/>
          </w:tcPr>
          <w:p w:rsidR="00582A15" w:rsidRPr="00CF5C43" w:rsidRDefault="00582A15" w:rsidP="00514039">
            <w:pPr>
              <w:autoSpaceDE w:val="0"/>
              <w:autoSpaceDN w:val="0"/>
              <w:adjustRightInd w:val="0"/>
              <w:spacing w:after="0" w:line="240" w:lineRule="auto"/>
              <w:rPr>
                <w:rFonts w:ascii="Cambria" w:hAnsi="Cambria" w:cs="Times New Roman"/>
                <w:color w:val="000000"/>
                <w:sz w:val="24"/>
                <w:szCs w:val="24"/>
              </w:rPr>
            </w:pPr>
            <w:r>
              <w:rPr>
                <w:rFonts w:ascii="Cambria" w:hAnsi="Cambria" w:cs="Times New Roman"/>
                <w:color w:val="000000"/>
                <w:sz w:val="24"/>
                <w:szCs w:val="24"/>
              </w:rPr>
              <w:t>Vol</w:t>
            </w:r>
            <w:r w:rsidRPr="00547CC0">
              <w:rPr>
                <w:rFonts w:ascii="Cambria" w:hAnsi="Cambria" w:cs="Times New Roman"/>
                <w:color w:val="000000"/>
                <w:sz w:val="24"/>
                <w:szCs w:val="24"/>
              </w:rPr>
              <w:t>ume</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1978</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4,491</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1,725</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2,766</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1979</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3,991</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1,723</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2,268</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1980</w:t>
            </w:r>
          </w:p>
        </w:tc>
        <w:tc>
          <w:tcPr>
            <w:tcW w:w="1583"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3,164</w:t>
            </w:r>
          </w:p>
        </w:tc>
        <w:tc>
          <w:tcPr>
            <w:tcW w:w="1622"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1,228</w:t>
            </w:r>
          </w:p>
        </w:tc>
        <w:tc>
          <w:tcPr>
            <w:tcW w:w="1547"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1,936</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1981</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2,672</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950</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1,722</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1982</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2,318</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818</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1,500</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1983</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3,358</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1,468</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1,890</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1984</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3,546</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1,446</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2,100</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1985</w:t>
            </w:r>
          </w:p>
        </w:tc>
        <w:tc>
          <w:tcPr>
            <w:tcW w:w="1583"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3,818</w:t>
            </w:r>
          </w:p>
        </w:tc>
        <w:tc>
          <w:tcPr>
            <w:tcW w:w="1622"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1,613</w:t>
            </w:r>
          </w:p>
        </w:tc>
        <w:tc>
          <w:tcPr>
            <w:tcW w:w="1547"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2,205</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1986</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4,265</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1,869</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2,396</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1987</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4,500</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1,860</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2,640</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1988</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4,670</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2,048</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2,622</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1989</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4,424</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1,791</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2,633</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1990</w:t>
            </w:r>
          </w:p>
        </w:tc>
        <w:tc>
          <w:tcPr>
            <w:tcW w:w="1583"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4,021</w:t>
            </w:r>
          </w:p>
        </w:tc>
        <w:tc>
          <w:tcPr>
            <w:tcW w:w="1622"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1,326</w:t>
            </w:r>
          </w:p>
        </w:tc>
        <w:tc>
          <w:tcPr>
            <w:tcW w:w="1547"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2,695</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1991</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3,195</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1,142</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2,053</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1992</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2,973</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841</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2,132</w:t>
            </w:r>
          </w:p>
        </w:tc>
      </w:tr>
      <w:tr w:rsidR="00582A15" w:rsidRPr="00CF5C43" w:rsidTr="0053763F">
        <w:trPr>
          <w:trHeight w:val="112"/>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1993</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2,871</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608</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2,263</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1994</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2,316</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344</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1,972</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1995</w:t>
            </w:r>
          </w:p>
        </w:tc>
        <w:tc>
          <w:tcPr>
            <w:tcW w:w="1583"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2,306</w:t>
            </w:r>
          </w:p>
        </w:tc>
        <w:tc>
          <w:tcPr>
            <w:tcW w:w="1622"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375</w:t>
            </w:r>
          </w:p>
        </w:tc>
        <w:tc>
          <w:tcPr>
            <w:tcW w:w="1547"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1,931</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1996</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2,273</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288</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1,985</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1997</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2,400</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357</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2,043</w:t>
            </w:r>
          </w:p>
        </w:tc>
      </w:tr>
      <w:tr w:rsidR="00582A15" w:rsidRPr="00CF5C43" w:rsidTr="0081455D">
        <w:trPr>
          <w:trHeight w:val="115"/>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1998</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2,091</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254</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1,837</w:t>
            </w:r>
          </w:p>
        </w:tc>
      </w:tr>
      <w:tr w:rsidR="00582A15" w:rsidRPr="00CF5C43" w:rsidTr="0081455D">
        <w:trPr>
          <w:trHeight w:val="115"/>
        </w:trPr>
        <w:tc>
          <w:tcPr>
            <w:tcW w:w="1583" w:type="dxa"/>
            <w:tcBorders>
              <w:top w:val="single" w:sz="8" w:space="0" w:color="000000"/>
              <w:left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1999</w:t>
            </w:r>
          </w:p>
        </w:tc>
        <w:tc>
          <w:tcPr>
            <w:tcW w:w="1583" w:type="dxa"/>
            <w:tcBorders>
              <w:top w:val="single" w:sz="8" w:space="0" w:color="000000"/>
              <w:left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2,144</w:t>
            </w:r>
          </w:p>
        </w:tc>
        <w:tc>
          <w:tcPr>
            <w:tcW w:w="1622" w:type="dxa"/>
            <w:tcBorders>
              <w:top w:val="single" w:sz="8" w:space="0" w:color="000000"/>
              <w:left w:val="single" w:sz="4" w:space="0" w:color="auto"/>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241</w:t>
            </w:r>
          </w:p>
        </w:tc>
        <w:tc>
          <w:tcPr>
            <w:tcW w:w="1547" w:type="dxa"/>
            <w:tcBorders>
              <w:top w:val="single" w:sz="8" w:space="0" w:color="000000"/>
              <w:left w:val="single" w:sz="4" w:space="0" w:color="auto"/>
              <w:bottom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1,903</w:t>
            </w:r>
          </w:p>
        </w:tc>
      </w:tr>
      <w:tr w:rsidR="00582A15" w:rsidRPr="00CF5C43" w:rsidTr="0081455D">
        <w:trPr>
          <w:trHeight w:val="115"/>
        </w:trPr>
        <w:tc>
          <w:tcPr>
            <w:tcW w:w="1583" w:type="dxa"/>
            <w:tcBorders>
              <w:top w:val="single" w:sz="8" w:space="0" w:color="000000"/>
              <w:left w:val="single" w:sz="4" w:space="0" w:color="auto"/>
              <w:bottom w:val="single" w:sz="8" w:space="0" w:color="000000"/>
              <w:right w:val="single" w:sz="4" w:space="0" w:color="auto"/>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2000</w:t>
            </w:r>
          </w:p>
        </w:tc>
        <w:tc>
          <w:tcPr>
            <w:tcW w:w="1583" w:type="dxa"/>
            <w:tcBorders>
              <w:top w:val="single" w:sz="8" w:space="0" w:color="000000"/>
              <w:left w:val="single" w:sz="4" w:space="0" w:color="auto"/>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1,966</w:t>
            </w:r>
          </w:p>
        </w:tc>
        <w:tc>
          <w:tcPr>
            <w:tcW w:w="1622"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265</w:t>
            </w:r>
          </w:p>
        </w:tc>
        <w:tc>
          <w:tcPr>
            <w:tcW w:w="1547"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1,701</w:t>
            </w:r>
          </w:p>
        </w:tc>
      </w:tr>
      <w:tr w:rsidR="00582A15" w:rsidRPr="00CF5C43" w:rsidTr="0081455D">
        <w:trPr>
          <w:trHeight w:val="115"/>
        </w:trPr>
        <w:tc>
          <w:tcPr>
            <w:tcW w:w="1583" w:type="dxa"/>
            <w:tcBorders>
              <w:top w:val="single" w:sz="8" w:space="0" w:color="000000"/>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2001</w:t>
            </w:r>
          </w:p>
        </w:tc>
        <w:tc>
          <w:tcPr>
            <w:tcW w:w="1583" w:type="dxa"/>
            <w:tcBorders>
              <w:top w:val="single" w:sz="8" w:space="0" w:color="000000"/>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1,603</w:t>
            </w:r>
          </w:p>
        </w:tc>
        <w:tc>
          <w:tcPr>
            <w:tcW w:w="1622" w:type="dxa"/>
            <w:tcBorders>
              <w:top w:val="single" w:sz="8" w:space="0" w:color="000000"/>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128</w:t>
            </w:r>
          </w:p>
        </w:tc>
        <w:tc>
          <w:tcPr>
            <w:tcW w:w="1547" w:type="dxa"/>
            <w:tcBorders>
              <w:top w:val="single" w:sz="8" w:space="0" w:color="000000"/>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1,475</w:t>
            </w:r>
          </w:p>
        </w:tc>
      </w:tr>
      <w:tr w:rsidR="00582A15" w:rsidRPr="00CF5C43" w:rsidTr="0081455D">
        <w:trPr>
          <w:trHeight w:val="115"/>
        </w:trPr>
        <w:tc>
          <w:tcPr>
            <w:tcW w:w="1583"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2002</w:t>
            </w:r>
          </w:p>
        </w:tc>
        <w:tc>
          <w:tcPr>
            <w:tcW w:w="1583"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1,690</w:t>
            </w:r>
          </w:p>
        </w:tc>
        <w:tc>
          <w:tcPr>
            <w:tcW w:w="1622"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169</w:t>
            </w:r>
          </w:p>
        </w:tc>
        <w:tc>
          <w:tcPr>
            <w:tcW w:w="1547"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1,521</w:t>
            </w:r>
          </w:p>
        </w:tc>
      </w:tr>
      <w:tr w:rsidR="00582A15" w:rsidRPr="00CF5C43" w:rsidTr="0081455D">
        <w:trPr>
          <w:trHeight w:val="115"/>
        </w:trPr>
        <w:tc>
          <w:tcPr>
            <w:tcW w:w="1583"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2003</w:t>
            </w:r>
          </w:p>
        </w:tc>
        <w:tc>
          <w:tcPr>
            <w:tcW w:w="1583"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1,663</w:t>
            </w:r>
          </w:p>
        </w:tc>
        <w:tc>
          <w:tcPr>
            <w:tcW w:w="1622"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155</w:t>
            </w:r>
          </w:p>
        </w:tc>
        <w:tc>
          <w:tcPr>
            <w:tcW w:w="1547"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1,508</w:t>
            </w:r>
          </w:p>
        </w:tc>
      </w:tr>
      <w:tr w:rsidR="00582A15" w:rsidRPr="00CF5C43" w:rsidTr="0081455D">
        <w:trPr>
          <w:trHeight w:val="115"/>
        </w:trPr>
        <w:tc>
          <w:tcPr>
            <w:tcW w:w="1583"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2004</w:t>
            </w:r>
          </w:p>
        </w:tc>
        <w:tc>
          <w:tcPr>
            <w:tcW w:w="1583"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1,706</w:t>
            </w:r>
          </w:p>
        </w:tc>
        <w:tc>
          <w:tcPr>
            <w:tcW w:w="1622"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113</w:t>
            </w:r>
          </w:p>
        </w:tc>
        <w:tc>
          <w:tcPr>
            <w:tcW w:w="1547"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4" w:space="0" w:color="auto"/>
              <w:left w:val="single" w:sz="4" w:space="0" w:color="auto"/>
              <w:bottom w:val="single" w:sz="4" w:space="0" w:color="auto"/>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1,593</w:t>
            </w:r>
          </w:p>
        </w:tc>
      </w:tr>
      <w:tr w:rsidR="00582A15" w:rsidRPr="00CF5C43" w:rsidTr="0081455D">
        <w:trPr>
          <w:trHeight w:val="115"/>
        </w:trPr>
        <w:tc>
          <w:tcPr>
            <w:tcW w:w="1583" w:type="dxa"/>
            <w:tcBorders>
              <w:top w:val="single" w:sz="4" w:space="0" w:color="auto"/>
              <w:left w:val="single" w:sz="4" w:space="0" w:color="auto"/>
              <w:right w:val="single" w:sz="4" w:space="0" w:color="auto"/>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2005</w:t>
            </w:r>
          </w:p>
        </w:tc>
        <w:tc>
          <w:tcPr>
            <w:tcW w:w="1583" w:type="dxa"/>
            <w:tcBorders>
              <w:top w:val="single" w:sz="4" w:space="0" w:color="auto"/>
              <w:left w:val="single" w:sz="4" w:space="0" w:color="auto"/>
              <w:right w:val="single" w:sz="4" w:space="0" w:color="auto"/>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1,725</w:t>
            </w:r>
          </w:p>
        </w:tc>
        <w:tc>
          <w:tcPr>
            <w:tcW w:w="1622" w:type="dxa"/>
            <w:tcBorders>
              <w:top w:val="single" w:sz="4" w:space="0" w:color="auto"/>
              <w:left w:val="single" w:sz="4" w:space="0" w:color="auto"/>
              <w:bottom w:val="single" w:sz="8" w:space="0" w:color="000000"/>
              <w:right w:val="single" w:sz="8" w:space="0" w:color="000000"/>
            </w:tcBorders>
            <w:shd w:val="clear" w:color="auto" w:fill="FABF8F"/>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230</w:t>
            </w:r>
          </w:p>
        </w:tc>
        <w:tc>
          <w:tcPr>
            <w:tcW w:w="1547" w:type="dxa"/>
            <w:tcBorders>
              <w:top w:val="single" w:sz="4" w:space="0" w:color="auto"/>
              <w:left w:val="single" w:sz="8" w:space="0" w:color="000000"/>
              <w:bottom w:val="single" w:sz="8" w:space="0" w:color="000000"/>
              <w:right w:val="single" w:sz="4" w:space="0" w:color="auto"/>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4" w:space="0" w:color="auto"/>
              <w:left w:val="single" w:sz="4" w:space="0" w:color="auto"/>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1,495</w:t>
            </w:r>
          </w:p>
        </w:tc>
      </w:tr>
      <w:tr w:rsidR="00582A15" w:rsidRPr="00CF5C43" w:rsidTr="0081455D">
        <w:trPr>
          <w:trHeight w:val="115"/>
        </w:trPr>
        <w:tc>
          <w:tcPr>
            <w:tcW w:w="1583" w:type="dxa"/>
            <w:tcBorders>
              <w:top w:val="single" w:sz="8" w:space="0" w:color="000000"/>
              <w:left w:val="single" w:sz="4" w:space="0" w:color="auto"/>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2006</w:t>
            </w:r>
          </w:p>
        </w:tc>
        <w:tc>
          <w:tcPr>
            <w:tcW w:w="1583" w:type="dxa"/>
            <w:tcBorders>
              <w:top w:val="single" w:sz="8" w:space="0" w:color="000000"/>
              <w:left w:val="single" w:sz="4" w:space="0" w:color="auto"/>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1,631</w:t>
            </w:r>
          </w:p>
        </w:tc>
        <w:tc>
          <w:tcPr>
            <w:tcW w:w="1622" w:type="dxa"/>
            <w:tcBorders>
              <w:top w:val="single" w:sz="8" w:space="0" w:color="000000"/>
              <w:left w:val="single" w:sz="4" w:space="0" w:color="auto"/>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w:t>
            </w:r>
          </w:p>
        </w:tc>
        <w:tc>
          <w:tcPr>
            <w:tcW w:w="1547" w:type="dxa"/>
            <w:tcBorders>
              <w:top w:val="single" w:sz="8" w:space="0" w:color="000000"/>
              <w:left w:val="single" w:sz="8" w:space="0" w:color="000000"/>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4" w:space="0" w:color="auto"/>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1,431</w:t>
            </w:r>
          </w:p>
        </w:tc>
      </w:tr>
      <w:tr w:rsidR="00582A15" w:rsidRPr="00CF5C43" w:rsidTr="0081455D">
        <w:trPr>
          <w:trHeight w:val="115"/>
        </w:trPr>
        <w:tc>
          <w:tcPr>
            <w:tcW w:w="1583" w:type="dxa"/>
            <w:tcBorders>
              <w:top w:val="single" w:sz="8" w:space="0" w:color="000000"/>
              <w:left w:val="single" w:sz="4" w:space="0" w:color="auto"/>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 xml:space="preserve">2007 </w:t>
            </w:r>
          </w:p>
        </w:tc>
        <w:tc>
          <w:tcPr>
            <w:tcW w:w="1583" w:type="dxa"/>
            <w:tcBorders>
              <w:top w:val="single" w:sz="8" w:space="0" w:color="000000"/>
              <w:left w:val="single" w:sz="4" w:space="0" w:color="auto"/>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1,626</w:t>
            </w:r>
          </w:p>
        </w:tc>
        <w:tc>
          <w:tcPr>
            <w:tcW w:w="1622" w:type="dxa"/>
            <w:tcBorders>
              <w:top w:val="single" w:sz="8" w:space="0" w:color="000000"/>
              <w:left w:val="single" w:sz="4" w:space="0" w:color="auto"/>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187</w:t>
            </w:r>
          </w:p>
        </w:tc>
        <w:tc>
          <w:tcPr>
            <w:tcW w:w="1547" w:type="dxa"/>
            <w:tcBorders>
              <w:top w:val="single" w:sz="8" w:space="0" w:color="000000"/>
              <w:left w:val="single" w:sz="8" w:space="0" w:color="000000"/>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4" w:space="0" w:color="auto"/>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1,439</w:t>
            </w:r>
          </w:p>
        </w:tc>
      </w:tr>
      <w:tr w:rsidR="00582A15" w:rsidRPr="00CF5C43" w:rsidTr="0081455D">
        <w:trPr>
          <w:trHeight w:val="115"/>
        </w:trPr>
        <w:tc>
          <w:tcPr>
            <w:tcW w:w="1583" w:type="dxa"/>
            <w:tcBorders>
              <w:left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2008</w:t>
            </w:r>
          </w:p>
        </w:tc>
        <w:tc>
          <w:tcPr>
            <w:tcW w:w="1583" w:type="dxa"/>
            <w:tcBorders>
              <w:top w:val="single" w:sz="8" w:space="0" w:color="000000"/>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1,372</w:t>
            </w:r>
          </w:p>
        </w:tc>
        <w:tc>
          <w:tcPr>
            <w:tcW w:w="1622" w:type="dxa"/>
            <w:tcBorders>
              <w:left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99</w:t>
            </w:r>
          </w:p>
        </w:tc>
        <w:tc>
          <w:tcPr>
            <w:tcW w:w="1547" w:type="dxa"/>
            <w:tcBorders>
              <w:top w:val="single" w:sz="8" w:space="0" w:color="000000"/>
              <w:left w:val="single" w:sz="4" w:space="0" w:color="auto"/>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4" w:space="0" w:color="auto"/>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1,273</w:t>
            </w:r>
          </w:p>
        </w:tc>
      </w:tr>
      <w:tr w:rsidR="00582A15" w:rsidRPr="00CF5C43" w:rsidTr="0081455D">
        <w:trPr>
          <w:trHeight w:val="115"/>
        </w:trPr>
        <w:tc>
          <w:tcPr>
            <w:tcW w:w="1583" w:type="dxa"/>
            <w:tcBorders>
              <w:left w:val="single" w:sz="4" w:space="0" w:color="auto"/>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2009</w:t>
            </w:r>
          </w:p>
        </w:tc>
        <w:tc>
          <w:tcPr>
            <w:tcW w:w="1583"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805</w:t>
            </w:r>
          </w:p>
        </w:tc>
        <w:tc>
          <w:tcPr>
            <w:tcW w:w="1622" w:type="dxa"/>
            <w:tcBorders>
              <w:top w:val="single" w:sz="8" w:space="0" w:color="000000"/>
              <w:left w:val="single" w:sz="4" w:space="0" w:color="auto"/>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60</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745</w:t>
            </w:r>
          </w:p>
        </w:tc>
      </w:tr>
      <w:tr w:rsidR="00582A15" w:rsidRPr="00CF5C43" w:rsidTr="0081455D">
        <w:trPr>
          <w:trHeight w:val="115"/>
        </w:trPr>
        <w:tc>
          <w:tcPr>
            <w:tcW w:w="1583" w:type="dxa"/>
            <w:tcBorders>
              <w:top w:val="single" w:sz="8" w:space="0" w:color="000000"/>
              <w:left w:val="single" w:sz="8" w:space="0" w:color="000000"/>
              <w:bottom w:val="single" w:sz="8" w:space="0" w:color="000000"/>
              <w:right w:val="single" w:sz="8" w:space="0" w:color="000000"/>
            </w:tcBorders>
            <w:shd w:val="clear" w:color="auto" w:fill="FABF8F"/>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2010</w:t>
            </w:r>
          </w:p>
        </w:tc>
        <w:tc>
          <w:tcPr>
            <w:tcW w:w="1583" w:type="dxa"/>
            <w:tcBorders>
              <w:top w:val="single" w:sz="4" w:space="0" w:color="auto"/>
              <w:right w:val="single" w:sz="4" w:space="0" w:color="auto"/>
            </w:tcBorders>
            <w:shd w:val="clear" w:color="auto" w:fill="FABF8F"/>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1,161</w:t>
            </w:r>
          </w:p>
        </w:tc>
        <w:tc>
          <w:tcPr>
            <w:tcW w:w="1622" w:type="dxa"/>
            <w:tcBorders>
              <w:left w:val="single" w:sz="4" w:space="0" w:color="auto"/>
              <w:bottom w:val="single" w:sz="8" w:space="0" w:color="000000"/>
            </w:tcBorders>
            <w:shd w:val="clear" w:color="auto" w:fill="FABF8F"/>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136</w:t>
            </w:r>
          </w:p>
        </w:tc>
        <w:tc>
          <w:tcPr>
            <w:tcW w:w="1547" w:type="dxa"/>
            <w:shd w:val="clear" w:color="auto" w:fill="FABF8F"/>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shd w:val="clear" w:color="auto" w:fill="FABF8F"/>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1,025</w:t>
            </w:r>
          </w:p>
        </w:tc>
      </w:tr>
      <w:tr w:rsidR="00582A15" w:rsidRPr="00CF5C43" w:rsidTr="0081455D">
        <w:trPr>
          <w:trHeight w:val="115"/>
        </w:trPr>
        <w:tc>
          <w:tcPr>
            <w:tcW w:w="1583" w:type="dxa"/>
            <w:tcBorders>
              <w:top w:val="single" w:sz="8" w:space="0" w:color="000000"/>
              <w:left w:val="single" w:sz="8" w:space="0" w:color="000000"/>
              <w:bottom w:val="single" w:sz="4" w:space="0" w:color="auto"/>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2011</w:t>
            </w:r>
          </w:p>
        </w:tc>
        <w:tc>
          <w:tcPr>
            <w:tcW w:w="1583" w:type="dxa"/>
            <w:tcBorders>
              <w:bottom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1,288</w:t>
            </w:r>
          </w:p>
        </w:tc>
        <w:tc>
          <w:tcPr>
            <w:tcW w:w="1622" w:type="dxa"/>
            <w:tcBorders>
              <w:top w:val="single" w:sz="8" w:space="0" w:color="000000"/>
              <w:left w:val="single" w:sz="8" w:space="0" w:color="000000"/>
              <w:bottom w:val="single" w:sz="4" w:space="0" w:color="auto"/>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158</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1,130</w:t>
            </w:r>
          </w:p>
        </w:tc>
      </w:tr>
      <w:tr w:rsidR="00582A15" w:rsidRPr="00CF5C43" w:rsidTr="0081455D">
        <w:trPr>
          <w:trHeight w:val="115"/>
        </w:trPr>
        <w:tc>
          <w:tcPr>
            <w:tcW w:w="1583" w:type="dxa"/>
            <w:tcBorders>
              <w:top w:val="single" w:sz="4" w:space="0" w:color="auto"/>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2012</w:t>
            </w:r>
          </w:p>
        </w:tc>
        <w:tc>
          <w:tcPr>
            <w:tcW w:w="1583" w:type="dxa"/>
            <w:tcBorders>
              <w:top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1,307</w:t>
            </w:r>
          </w:p>
        </w:tc>
        <w:tc>
          <w:tcPr>
            <w:tcW w:w="1622" w:type="dxa"/>
            <w:tcBorders>
              <w:top w:val="single" w:sz="4" w:space="0" w:color="auto"/>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150</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1,157</w:t>
            </w:r>
          </w:p>
        </w:tc>
      </w:tr>
      <w:tr w:rsidR="00582A15" w:rsidRPr="00CF5C43" w:rsidTr="0053763F">
        <w:trPr>
          <w:trHeight w:val="115"/>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2013</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1,645</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223</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1,422</w:t>
            </w:r>
          </w:p>
        </w:tc>
      </w:tr>
      <w:tr w:rsidR="00582A15" w:rsidRPr="00CF5C43" w:rsidTr="0053763F">
        <w:trPr>
          <w:trHeight w:val="115"/>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2014</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1,466</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235</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1,231</w:t>
            </w:r>
          </w:p>
        </w:tc>
      </w:tr>
      <w:tr w:rsidR="00BB3638" w:rsidRPr="00CF5C43" w:rsidTr="0053763F">
        <w:trPr>
          <w:trHeight w:val="115"/>
        </w:trPr>
        <w:tc>
          <w:tcPr>
            <w:tcW w:w="1583" w:type="dxa"/>
            <w:tcBorders>
              <w:top w:val="single" w:sz="8" w:space="0" w:color="000000"/>
              <w:left w:val="single" w:sz="8" w:space="0" w:color="000000"/>
              <w:bottom w:val="single" w:sz="8" w:space="0" w:color="000000"/>
              <w:right w:val="single" w:sz="8" w:space="0" w:color="000000"/>
            </w:tcBorders>
          </w:tcPr>
          <w:p w:rsidR="00BB3638" w:rsidRPr="00CF5C43" w:rsidRDefault="00BB3638" w:rsidP="00514039">
            <w:pPr>
              <w:autoSpaceDE w:val="0"/>
              <w:autoSpaceDN w:val="0"/>
              <w:adjustRightInd w:val="0"/>
              <w:spacing w:after="0" w:line="240" w:lineRule="auto"/>
              <w:rPr>
                <w:rFonts w:ascii="Cambria" w:hAnsi="Cambria" w:cs="Times New Roman"/>
                <w:color w:val="000000"/>
                <w:sz w:val="17"/>
                <w:szCs w:val="17"/>
              </w:rPr>
            </w:pPr>
          </w:p>
        </w:tc>
        <w:tc>
          <w:tcPr>
            <w:tcW w:w="1583" w:type="dxa"/>
            <w:tcBorders>
              <w:top w:val="single" w:sz="8" w:space="0" w:color="000000"/>
              <w:left w:val="single" w:sz="8" w:space="0" w:color="000000"/>
              <w:bottom w:val="single" w:sz="8" w:space="0" w:color="000000"/>
              <w:right w:val="single" w:sz="8" w:space="0" w:color="000000"/>
            </w:tcBorders>
          </w:tcPr>
          <w:p w:rsidR="00BB3638" w:rsidRPr="00CF5C43" w:rsidRDefault="00BB3638" w:rsidP="00514039">
            <w:pPr>
              <w:autoSpaceDE w:val="0"/>
              <w:autoSpaceDN w:val="0"/>
              <w:adjustRightInd w:val="0"/>
              <w:spacing w:after="0" w:line="240" w:lineRule="auto"/>
              <w:rPr>
                <w:rFonts w:ascii="Cambria" w:hAnsi="Cambria" w:cs="Times New Roman"/>
                <w:color w:val="000000"/>
                <w:sz w:val="17"/>
                <w:szCs w:val="17"/>
              </w:rPr>
            </w:pPr>
          </w:p>
        </w:tc>
        <w:tc>
          <w:tcPr>
            <w:tcW w:w="1622" w:type="dxa"/>
            <w:tcBorders>
              <w:top w:val="single" w:sz="8" w:space="0" w:color="000000"/>
              <w:left w:val="single" w:sz="8" w:space="0" w:color="000000"/>
              <w:bottom w:val="single" w:sz="8" w:space="0" w:color="000000"/>
              <w:right w:val="single" w:sz="8" w:space="0" w:color="000000"/>
            </w:tcBorders>
          </w:tcPr>
          <w:p w:rsidR="00BB3638" w:rsidRPr="00CF5C43" w:rsidRDefault="00BB3638" w:rsidP="00514039">
            <w:pPr>
              <w:autoSpaceDE w:val="0"/>
              <w:autoSpaceDN w:val="0"/>
              <w:adjustRightInd w:val="0"/>
              <w:spacing w:after="0" w:line="240" w:lineRule="auto"/>
              <w:rPr>
                <w:rFonts w:ascii="Cambria" w:hAnsi="Cambria" w:cs="Times New Roman"/>
                <w:color w:val="000000"/>
                <w:sz w:val="17"/>
                <w:szCs w:val="17"/>
              </w:rPr>
            </w:pPr>
          </w:p>
        </w:tc>
        <w:tc>
          <w:tcPr>
            <w:tcW w:w="1547" w:type="dxa"/>
            <w:tcBorders>
              <w:top w:val="single" w:sz="8" w:space="0" w:color="000000"/>
              <w:left w:val="single" w:sz="8" w:space="0" w:color="000000"/>
              <w:bottom w:val="single" w:sz="8" w:space="0" w:color="000000"/>
              <w:right w:val="single" w:sz="8" w:space="0" w:color="000000"/>
            </w:tcBorders>
          </w:tcPr>
          <w:p w:rsidR="00BB3638" w:rsidRPr="00CF5C43" w:rsidRDefault="00BB3638"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BB3638" w:rsidRPr="00CF5C43" w:rsidRDefault="00BB3638" w:rsidP="00514039">
            <w:pPr>
              <w:autoSpaceDE w:val="0"/>
              <w:autoSpaceDN w:val="0"/>
              <w:adjustRightInd w:val="0"/>
              <w:spacing w:after="0" w:line="240" w:lineRule="auto"/>
              <w:rPr>
                <w:rFonts w:ascii="Cambria" w:hAnsi="Cambria" w:cs="Times New Roman"/>
                <w:color w:val="000000"/>
                <w:sz w:val="17"/>
                <w:szCs w:val="17"/>
              </w:rPr>
            </w:pPr>
          </w:p>
        </w:tc>
      </w:tr>
    </w:tbl>
    <w:p w:rsidR="00582A15" w:rsidRDefault="00582A15" w:rsidP="00582A15">
      <w:pPr>
        <w:tabs>
          <w:tab w:val="left" w:pos="8730"/>
        </w:tabs>
        <w:rPr>
          <w:rFonts w:ascii="Cambria" w:hAnsi="Cambria"/>
          <w:b/>
          <w:sz w:val="24"/>
          <w:szCs w:val="24"/>
        </w:rPr>
      </w:pPr>
    </w:p>
    <w:p w:rsidR="00BB3638" w:rsidRDefault="005B2FA3" w:rsidP="00BB3638">
      <w:pPr>
        <w:rPr>
          <w:rFonts w:ascii="Cambria" w:hAnsi="Cambria"/>
          <w:sz w:val="24"/>
          <w:szCs w:val="24"/>
        </w:rPr>
      </w:pPr>
      <w:r>
        <w:rPr>
          <w:rFonts w:ascii="Cambria" w:hAnsi="Cambria"/>
          <w:b/>
          <w:sz w:val="24"/>
          <w:szCs w:val="24"/>
        </w:rPr>
        <w:lastRenderedPageBreak/>
        <w:t>Enclosure #5</w:t>
      </w:r>
      <w:r w:rsidR="00BB3638">
        <w:rPr>
          <w:rFonts w:ascii="Cambria" w:hAnsi="Cambria"/>
          <w:sz w:val="24"/>
          <w:szCs w:val="24"/>
        </w:rPr>
        <w:t xml:space="preserve"> – U.C. Berkeley (Scott Stephens) and Forest Service Pacific Southwest Research Station (Brandon Collins) Research on Sierra Nevada Historic Condition</w:t>
      </w:r>
    </w:p>
    <w:p w:rsidR="00BB3638" w:rsidRDefault="00BB3638" w:rsidP="00BB3638">
      <w:pPr>
        <w:rPr>
          <w:rFonts w:ascii="Cambria" w:hAnsi="Cambria"/>
          <w:sz w:val="24"/>
          <w:szCs w:val="24"/>
        </w:rPr>
      </w:pPr>
      <w:r w:rsidRPr="00D92E2C">
        <w:rPr>
          <w:rFonts w:ascii="Cambria" w:hAnsi="Cambria"/>
          <w:noProof/>
          <w:sz w:val="24"/>
          <w:szCs w:val="24"/>
        </w:rPr>
        <w:drawing>
          <wp:inline distT="0" distB="0" distL="0" distR="0" wp14:anchorId="68356064" wp14:editId="62BFC2AE">
            <wp:extent cx="5943600" cy="7474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47486"/>
                    </a:xfrm>
                    <a:prstGeom prst="rect">
                      <a:avLst/>
                    </a:prstGeom>
                    <a:noFill/>
                    <a:ln>
                      <a:noFill/>
                    </a:ln>
                  </pic:spPr>
                </pic:pic>
              </a:graphicData>
            </a:graphic>
          </wp:inline>
        </w:drawing>
      </w:r>
    </w:p>
    <w:p w:rsidR="00BB3638" w:rsidRDefault="00BB3638">
      <w:pPr>
        <w:rPr>
          <w:rFonts w:ascii="Cambria" w:hAnsi="Cambria"/>
          <w:b/>
          <w:sz w:val="24"/>
          <w:szCs w:val="24"/>
        </w:rPr>
      </w:pPr>
      <w:r w:rsidRPr="00D92E2C">
        <w:rPr>
          <w:rFonts w:ascii="Cambria" w:hAnsi="Cambria"/>
          <w:noProof/>
          <w:sz w:val="24"/>
          <w:szCs w:val="24"/>
        </w:rPr>
        <w:drawing>
          <wp:inline distT="0" distB="0" distL="0" distR="0" wp14:anchorId="38DD85B5" wp14:editId="255F3311">
            <wp:extent cx="6708140" cy="62387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17145" cy="6247108"/>
                    </a:xfrm>
                    <a:prstGeom prst="rect">
                      <a:avLst/>
                    </a:prstGeom>
                    <a:noFill/>
                    <a:ln>
                      <a:noFill/>
                    </a:ln>
                  </pic:spPr>
                </pic:pic>
              </a:graphicData>
            </a:graphic>
          </wp:inline>
        </w:drawing>
      </w:r>
      <w:r>
        <w:rPr>
          <w:rFonts w:ascii="Cambria" w:hAnsi="Cambria"/>
          <w:b/>
          <w:sz w:val="24"/>
          <w:szCs w:val="24"/>
        </w:rPr>
        <w:br w:type="page"/>
      </w:r>
    </w:p>
    <w:p w:rsidR="00BB3638" w:rsidRDefault="00BB3638" w:rsidP="00582A15">
      <w:pPr>
        <w:tabs>
          <w:tab w:val="left" w:pos="8730"/>
        </w:tabs>
        <w:rPr>
          <w:rFonts w:ascii="Cambria" w:hAnsi="Cambria"/>
          <w:b/>
          <w:sz w:val="24"/>
          <w:szCs w:val="24"/>
        </w:rPr>
      </w:pPr>
    </w:p>
    <w:p w:rsidR="007103D2" w:rsidRPr="00582A15" w:rsidRDefault="007103D2" w:rsidP="00582A15">
      <w:pPr>
        <w:tabs>
          <w:tab w:val="left" w:pos="8730"/>
        </w:tabs>
        <w:rPr>
          <w:rFonts w:ascii="Cambria" w:hAnsi="Cambria"/>
          <w:b/>
          <w:sz w:val="24"/>
          <w:szCs w:val="24"/>
        </w:rPr>
      </w:pPr>
      <w:r>
        <w:rPr>
          <w:rFonts w:ascii="Cambria" w:hAnsi="Cambria"/>
          <w:b/>
          <w:sz w:val="24"/>
          <w:szCs w:val="24"/>
        </w:rPr>
        <w:t>E</w:t>
      </w:r>
      <w:r w:rsidR="00582A15">
        <w:rPr>
          <w:rFonts w:ascii="Cambria" w:hAnsi="Cambria"/>
          <w:b/>
          <w:sz w:val="24"/>
          <w:szCs w:val="24"/>
        </w:rPr>
        <w:t>nclo</w:t>
      </w:r>
      <w:r w:rsidR="005B2FA3">
        <w:rPr>
          <w:rFonts w:ascii="Cambria" w:hAnsi="Cambria"/>
          <w:b/>
          <w:sz w:val="24"/>
          <w:szCs w:val="24"/>
        </w:rPr>
        <w:t>sure #6</w:t>
      </w:r>
      <w:r>
        <w:rPr>
          <w:rFonts w:ascii="Cambria" w:hAnsi="Cambria"/>
          <w:b/>
          <w:sz w:val="24"/>
          <w:szCs w:val="24"/>
        </w:rPr>
        <w:t xml:space="preserve"> – </w:t>
      </w:r>
      <w:r>
        <w:rPr>
          <w:rFonts w:ascii="Cambria" w:hAnsi="Cambria"/>
          <w:sz w:val="24"/>
          <w:szCs w:val="24"/>
        </w:rPr>
        <w:t>Pace and Scale of Thinning and Fuels Reduction on California National Forests has only been at a rate of 7% of annual growth for the past 20 years</w:t>
      </w:r>
    </w:p>
    <w:p w:rsidR="007103D2" w:rsidRDefault="007103D2">
      <w:pPr>
        <w:rPr>
          <w:rFonts w:ascii="Cambria" w:hAnsi="Cambria"/>
          <w:sz w:val="24"/>
          <w:szCs w:val="24"/>
        </w:rPr>
      </w:pPr>
    </w:p>
    <w:p w:rsidR="00B13960" w:rsidRDefault="007103D2">
      <w:pPr>
        <w:rPr>
          <w:rFonts w:ascii="Cambria" w:hAnsi="Cambria"/>
          <w:b/>
          <w:sz w:val="24"/>
          <w:szCs w:val="24"/>
        </w:rPr>
      </w:pPr>
      <w:r w:rsidRPr="007103D2">
        <w:rPr>
          <w:rFonts w:ascii="Cambria" w:hAnsi="Cambria"/>
          <w:b/>
          <w:noProof/>
          <w:sz w:val="24"/>
          <w:szCs w:val="24"/>
        </w:rPr>
        <w:drawing>
          <wp:inline distT="0" distB="0" distL="0" distR="0" wp14:anchorId="58A1E361" wp14:editId="7C616EB4">
            <wp:extent cx="6464299" cy="4848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18582" cy="4888937"/>
                    </a:xfrm>
                    <a:prstGeom prst="rect">
                      <a:avLst/>
                    </a:prstGeom>
                  </pic:spPr>
                </pic:pic>
              </a:graphicData>
            </a:graphic>
          </wp:inline>
        </w:drawing>
      </w:r>
    </w:p>
    <w:p w:rsidR="00BB3638" w:rsidRDefault="00BB3638">
      <w:pPr>
        <w:rPr>
          <w:rFonts w:ascii="Cambria" w:hAnsi="Cambria"/>
          <w:b/>
          <w:sz w:val="24"/>
          <w:szCs w:val="24"/>
        </w:rPr>
      </w:pPr>
      <w:r>
        <w:rPr>
          <w:rFonts w:ascii="Cambria" w:hAnsi="Cambria"/>
          <w:b/>
          <w:sz w:val="24"/>
          <w:szCs w:val="24"/>
        </w:rPr>
        <w:br w:type="page"/>
      </w:r>
    </w:p>
    <w:p w:rsidR="00BB3638" w:rsidRDefault="00BB3638"/>
    <w:tbl>
      <w:tblPr>
        <w:tblW w:w="0" w:type="auto"/>
        <w:tblInd w:w="-30" w:type="dxa"/>
        <w:tblLayout w:type="fixed"/>
        <w:tblLook w:val="0000" w:firstRow="0" w:lastRow="0" w:firstColumn="0" w:lastColumn="0" w:noHBand="0" w:noVBand="0"/>
      </w:tblPr>
      <w:tblGrid>
        <w:gridCol w:w="6996"/>
      </w:tblGrid>
      <w:tr w:rsidR="00BB3638" w:rsidRPr="00C75C81" w:rsidTr="00514039">
        <w:trPr>
          <w:trHeight w:val="290"/>
        </w:trPr>
        <w:tc>
          <w:tcPr>
            <w:tcW w:w="6996" w:type="dxa"/>
            <w:tcBorders>
              <w:top w:val="nil"/>
              <w:left w:val="nil"/>
              <w:bottom w:val="nil"/>
              <w:right w:val="nil"/>
            </w:tcBorders>
          </w:tcPr>
          <w:p w:rsidR="00BB3638" w:rsidRDefault="00BB3638" w:rsidP="00514039">
            <w:pPr>
              <w:autoSpaceDE w:val="0"/>
              <w:autoSpaceDN w:val="0"/>
              <w:adjustRightInd w:val="0"/>
              <w:spacing w:after="0" w:line="240" w:lineRule="auto"/>
              <w:rPr>
                <w:rFonts w:ascii="Calibri" w:hAnsi="Calibri" w:cs="Calibri"/>
                <w:color w:val="000000"/>
              </w:rPr>
            </w:pPr>
          </w:p>
          <w:p w:rsidR="00BB3638" w:rsidRDefault="005B2FA3" w:rsidP="00BB3638">
            <w:pPr>
              <w:rPr>
                <w:rFonts w:ascii="Cambria" w:hAnsi="Cambria"/>
                <w:noProof/>
                <w:sz w:val="24"/>
                <w:szCs w:val="24"/>
              </w:rPr>
            </w:pPr>
            <w:r>
              <w:rPr>
                <w:rFonts w:ascii="Cambria" w:hAnsi="Cambria"/>
                <w:b/>
                <w:noProof/>
                <w:sz w:val="24"/>
                <w:szCs w:val="24"/>
              </w:rPr>
              <w:t>Enclosure #7</w:t>
            </w:r>
            <w:r w:rsidR="00BB3638">
              <w:rPr>
                <w:rFonts w:ascii="Cambria" w:hAnsi="Cambria"/>
                <w:b/>
                <w:noProof/>
                <w:sz w:val="24"/>
                <w:szCs w:val="24"/>
              </w:rPr>
              <w:t xml:space="preserve"> – </w:t>
            </w:r>
            <w:r w:rsidR="00BB3638" w:rsidRPr="00983154">
              <w:rPr>
                <w:rFonts w:ascii="Cambria" w:hAnsi="Cambria"/>
                <w:noProof/>
                <w:sz w:val="24"/>
                <w:szCs w:val="24"/>
              </w:rPr>
              <w:t>Drought Induced Insect and Disease Mortality in California</w:t>
            </w:r>
            <w:r w:rsidR="00BB3638">
              <w:rPr>
                <w:rFonts w:ascii="Cambria" w:hAnsi="Cambria"/>
                <w:noProof/>
                <w:sz w:val="24"/>
                <w:szCs w:val="24"/>
              </w:rPr>
              <w:t>, 2014 (Forest Service Aerial Survey, R5-PR-034)</w:t>
            </w:r>
          </w:p>
          <w:p w:rsidR="00BB3638" w:rsidRPr="00B53314" w:rsidRDefault="00BB3638" w:rsidP="00BB3638">
            <w:pPr>
              <w:pStyle w:val="Default"/>
              <w:rPr>
                <w:rFonts w:ascii="Cambria" w:hAnsi="Cambria" w:cs="Arial"/>
              </w:rPr>
            </w:pPr>
            <w:r w:rsidRPr="00B53314">
              <w:rPr>
                <w:rFonts w:ascii="Cambria" w:hAnsi="Cambria"/>
                <w:noProof/>
              </w:rPr>
              <w:t xml:space="preserve">Summary:  </w:t>
            </w:r>
          </w:p>
          <w:p w:rsidR="00BB3638" w:rsidRPr="00B53314" w:rsidRDefault="007E277F" w:rsidP="00BB3638">
            <w:pPr>
              <w:autoSpaceDE w:val="0"/>
              <w:autoSpaceDN w:val="0"/>
              <w:adjustRightInd w:val="0"/>
              <w:spacing w:after="0" w:line="240" w:lineRule="auto"/>
              <w:rPr>
                <w:rFonts w:ascii="Cambria" w:hAnsi="Cambria" w:cs="Arial"/>
                <w:color w:val="000000"/>
                <w:sz w:val="24"/>
                <w:szCs w:val="24"/>
              </w:rPr>
            </w:pPr>
            <w:r w:rsidRPr="00B53314">
              <w:rPr>
                <w:rFonts w:ascii="Cambria" w:hAnsi="Cambria" w:cs="Arial"/>
                <w:color w:val="000000"/>
                <w:sz w:val="24"/>
                <w:szCs w:val="24"/>
              </w:rPr>
              <w:t xml:space="preserve">2014 - </w:t>
            </w:r>
            <w:r w:rsidR="00BB3638" w:rsidRPr="00B53314">
              <w:rPr>
                <w:rFonts w:ascii="Cambria" w:hAnsi="Cambria" w:cs="Arial"/>
                <w:color w:val="000000"/>
                <w:sz w:val="24"/>
                <w:szCs w:val="24"/>
              </w:rPr>
              <w:t xml:space="preserve">820,000 acres with elevated mortality due to bark beetles or wood borers were mapped, up from 350,000 acres in 2013. </w:t>
            </w:r>
          </w:p>
          <w:p w:rsidR="00BB3638" w:rsidRPr="00C75C81" w:rsidRDefault="00BB3638" w:rsidP="00514039">
            <w:pPr>
              <w:autoSpaceDE w:val="0"/>
              <w:autoSpaceDN w:val="0"/>
              <w:adjustRightInd w:val="0"/>
              <w:spacing w:after="0" w:line="240" w:lineRule="auto"/>
              <w:rPr>
                <w:rFonts w:ascii="Calibri" w:hAnsi="Calibri" w:cs="Calibri"/>
                <w:color w:val="000000"/>
              </w:rPr>
            </w:pPr>
          </w:p>
        </w:tc>
      </w:tr>
    </w:tbl>
    <w:p w:rsidR="00D92E2C" w:rsidRPr="00BB3638" w:rsidRDefault="00BB3638">
      <w:pPr>
        <w:rPr>
          <w:rFonts w:ascii="Cambria" w:hAnsi="Cambria"/>
          <w:b/>
          <w:sz w:val="24"/>
          <w:szCs w:val="24"/>
        </w:rPr>
      </w:pPr>
      <w:r w:rsidRPr="00983154">
        <w:rPr>
          <w:rFonts w:ascii="Cambria" w:hAnsi="Cambria"/>
          <w:noProof/>
          <w:sz w:val="24"/>
          <w:szCs w:val="24"/>
        </w:rPr>
        <w:drawing>
          <wp:inline distT="0" distB="0" distL="0" distR="0" wp14:anchorId="129D8C3A" wp14:editId="41194019">
            <wp:extent cx="5676900" cy="6547696"/>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5092" cy="6568679"/>
                    </a:xfrm>
                    <a:prstGeom prst="rect">
                      <a:avLst/>
                    </a:prstGeom>
                    <a:noFill/>
                    <a:ln>
                      <a:noFill/>
                    </a:ln>
                  </pic:spPr>
                </pic:pic>
              </a:graphicData>
            </a:graphic>
          </wp:inline>
        </w:drawing>
      </w:r>
    </w:p>
    <w:p w:rsidR="00D92E2C" w:rsidRPr="00D92E2C" w:rsidRDefault="00BB3638" w:rsidP="00BB3638">
      <w:pPr>
        <w:jc w:val="center"/>
        <w:rPr>
          <w:rFonts w:ascii="Cambria" w:hAnsi="Cambria"/>
          <w:noProof/>
          <w:sz w:val="24"/>
          <w:szCs w:val="24"/>
        </w:rPr>
      </w:pPr>
      <w:r w:rsidRPr="00BB3638">
        <w:rPr>
          <w:rFonts w:ascii="Cambria" w:hAnsi="Cambria"/>
          <w:b/>
          <w:noProof/>
          <w:sz w:val="24"/>
          <w:szCs w:val="24"/>
        </w:rPr>
        <w:lastRenderedPageBreak/>
        <w:t>Encl</w:t>
      </w:r>
      <w:r w:rsidR="005B2FA3">
        <w:rPr>
          <w:rFonts w:ascii="Cambria" w:hAnsi="Cambria"/>
          <w:b/>
          <w:noProof/>
          <w:sz w:val="24"/>
          <w:szCs w:val="24"/>
        </w:rPr>
        <w:t>osure #8</w:t>
      </w:r>
      <w:r w:rsidR="00D92E2C" w:rsidRPr="00D92E2C">
        <w:rPr>
          <w:rFonts w:ascii="Cambria" w:hAnsi="Cambria"/>
          <w:b/>
          <w:noProof/>
          <w:sz w:val="24"/>
          <w:szCs w:val="24"/>
        </w:rPr>
        <w:t xml:space="preserve"> </w:t>
      </w:r>
      <w:r w:rsidR="00D92E2C">
        <w:rPr>
          <w:rFonts w:ascii="Cambria" w:hAnsi="Cambria"/>
          <w:b/>
          <w:noProof/>
          <w:sz w:val="24"/>
          <w:szCs w:val="24"/>
        </w:rPr>
        <w:t>– Rim Fire</w:t>
      </w:r>
      <w:r w:rsidR="00D92E2C">
        <w:rPr>
          <w:rFonts w:ascii="Cambria" w:hAnsi="Cambria"/>
          <w:noProof/>
          <w:sz w:val="24"/>
          <w:szCs w:val="24"/>
        </w:rPr>
        <w:t xml:space="preserve"> (Stanislaus National Forest) Pre-Fire Photo July 15, 2013</w:t>
      </w:r>
    </w:p>
    <w:p w:rsidR="00D92E2C" w:rsidRDefault="00D92E2C">
      <w:pPr>
        <w:rPr>
          <w:rFonts w:ascii="Cambria" w:hAnsi="Cambria"/>
          <w:noProof/>
          <w:sz w:val="24"/>
          <w:szCs w:val="24"/>
        </w:rPr>
      </w:pPr>
    </w:p>
    <w:p w:rsidR="00D92E2C" w:rsidRDefault="00D92E2C">
      <w:pPr>
        <w:rPr>
          <w:rFonts w:ascii="Cambria" w:hAnsi="Cambria"/>
          <w:noProof/>
          <w:sz w:val="24"/>
          <w:szCs w:val="24"/>
        </w:rPr>
      </w:pPr>
      <w:r w:rsidRPr="00D92E2C">
        <w:rPr>
          <w:rFonts w:ascii="Cambria" w:hAnsi="Cambria"/>
          <w:noProof/>
          <w:sz w:val="24"/>
          <w:szCs w:val="24"/>
        </w:rPr>
        <w:drawing>
          <wp:inline distT="0" distB="0" distL="0" distR="0">
            <wp:extent cx="5943600" cy="47063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706329"/>
                    </a:xfrm>
                    <a:prstGeom prst="rect">
                      <a:avLst/>
                    </a:prstGeom>
                    <a:noFill/>
                    <a:ln>
                      <a:noFill/>
                    </a:ln>
                  </pic:spPr>
                </pic:pic>
              </a:graphicData>
            </a:graphic>
          </wp:inline>
        </w:drawing>
      </w:r>
    </w:p>
    <w:p w:rsidR="00D92E2C" w:rsidRPr="00D92E2C" w:rsidRDefault="00D92E2C">
      <w:pPr>
        <w:rPr>
          <w:rFonts w:ascii="Cambria" w:hAnsi="Cambria"/>
          <w:b/>
          <w:noProof/>
          <w:sz w:val="24"/>
          <w:szCs w:val="24"/>
        </w:rPr>
      </w:pPr>
    </w:p>
    <w:p w:rsidR="007103D2" w:rsidRDefault="007103D2">
      <w:pPr>
        <w:rPr>
          <w:rFonts w:ascii="Cambria" w:hAnsi="Cambria"/>
          <w:b/>
          <w:noProof/>
          <w:sz w:val="24"/>
          <w:szCs w:val="24"/>
        </w:rPr>
      </w:pPr>
      <w:r>
        <w:rPr>
          <w:rFonts w:ascii="Cambria" w:hAnsi="Cambria"/>
          <w:b/>
          <w:noProof/>
          <w:sz w:val="24"/>
          <w:szCs w:val="24"/>
        </w:rPr>
        <w:br w:type="page"/>
      </w:r>
    </w:p>
    <w:p w:rsidR="00D92E2C" w:rsidRDefault="005B2FA3">
      <w:pPr>
        <w:rPr>
          <w:rFonts w:ascii="Cambria" w:hAnsi="Cambria"/>
          <w:noProof/>
          <w:sz w:val="24"/>
          <w:szCs w:val="24"/>
        </w:rPr>
      </w:pPr>
      <w:r>
        <w:rPr>
          <w:rFonts w:ascii="Cambria" w:hAnsi="Cambria"/>
          <w:b/>
          <w:noProof/>
          <w:sz w:val="24"/>
          <w:szCs w:val="24"/>
        </w:rPr>
        <w:lastRenderedPageBreak/>
        <w:t>Enclosure #9</w:t>
      </w:r>
      <w:r w:rsidR="00D92E2C">
        <w:rPr>
          <w:rFonts w:ascii="Cambria" w:hAnsi="Cambria"/>
          <w:noProof/>
          <w:sz w:val="24"/>
          <w:szCs w:val="24"/>
        </w:rPr>
        <w:t xml:space="preserve"> – Rim Fire Post-Fire Photo </w:t>
      </w:r>
      <w:r w:rsidR="007103D2">
        <w:rPr>
          <w:rFonts w:ascii="Cambria" w:hAnsi="Cambria"/>
          <w:noProof/>
          <w:sz w:val="24"/>
          <w:szCs w:val="24"/>
        </w:rPr>
        <w:t xml:space="preserve">Sept. 25, 2013 </w:t>
      </w:r>
      <w:r w:rsidR="007E277F">
        <w:rPr>
          <w:rFonts w:ascii="Cambria" w:hAnsi="Cambria"/>
          <w:noProof/>
          <w:sz w:val="24"/>
          <w:szCs w:val="24"/>
        </w:rPr>
        <w:t>(same location as Enclosure #8</w:t>
      </w:r>
      <w:r w:rsidR="00D92E2C">
        <w:rPr>
          <w:rFonts w:ascii="Cambria" w:hAnsi="Cambria"/>
          <w:noProof/>
          <w:sz w:val="24"/>
          <w:szCs w:val="24"/>
        </w:rPr>
        <w:t>)</w:t>
      </w:r>
    </w:p>
    <w:p w:rsidR="00BB3638" w:rsidRDefault="007103D2">
      <w:pPr>
        <w:rPr>
          <w:rFonts w:ascii="Cambria" w:hAnsi="Cambria"/>
          <w:noProof/>
          <w:sz w:val="24"/>
          <w:szCs w:val="24"/>
        </w:rPr>
      </w:pPr>
      <w:r w:rsidRPr="007103D2">
        <w:rPr>
          <w:rFonts w:ascii="Cambria" w:hAnsi="Cambria"/>
          <w:noProof/>
          <w:sz w:val="24"/>
          <w:szCs w:val="24"/>
        </w:rPr>
        <w:drawing>
          <wp:inline distT="0" distB="0" distL="0" distR="0">
            <wp:extent cx="6438900" cy="496346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42290" cy="4966081"/>
                    </a:xfrm>
                    <a:prstGeom prst="rect">
                      <a:avLst/>
                    </a:prstGeom>
                    <a:noFill/>
                    <a:ln>
                      <a:noFill/>
                    </a:ln>
                  </pic:spPr>
                </pic:pic>
              </a:graphicData>
            </a:graphic>
          </wp:inline>
        </w:drawing>
      </w:r>
    </w:p>
    <w:p w:rsidR="001810AC" w:rsidRDefault="001810AC">
      <w:pPr>
        <w:rPr>
          <w:rFonts w:ascii="Cambria" w:hAnsi="Cambria"/>
          <w:noProof/>
          <w:sz w:val="24"/>
          <w:szCs w:val="24"/>
        </w:rPr>
      </w:pPr>
      <w:r>
        <w:rPr>
          <w:rFonts w:ascii="Cambria" w:hAnsi="Cambria"/>
          <w:noProof/>
          <w:sz w:val="24"/>
          <w:szCs w:val="24"/>
        </w:rPr>
        <w:br w:type="page"/>
      </w:r>
    </w:p>
    <w:p w:rsidR="001810AC" w:rsidRPr="00CF5C43" w:rsidRDefault="005B2FA3" w:rsidP="001810AC">
      <w:pPr>
        <w:rPr>
          <w:rFonts w:ascii="Cambria" w:hAnsi="Cambria"/>
          <w:b/>
          <w:noProof/>
          <w:sz w:val="24"/>
          <w:szCs w:val="24"/>
        </w:rPr>
      </w:pPr>
      <w:r>
        <w:rPr>
          <w:rFonts w:ascii="Cambria" w:hAnsi="Cambria"/>
          <w:b/>
          <w:noProof/>
          <w:sz w:val="24"/>
          <w:szCs w:val="24"/>
        </w:rPr>
        <w:lastRenderedPageBreak/>
        <w:t>Enclosure #10</w:t>
      </w:r>
      <w:r w:rsidR="001810AC">
        <w:rPr>
          <w:rFonts w:ascii="Cambria" w:hAnsi="Cambria"/>
          <w:b/>
          <w:noProof/>
          <w:sz w:val="24"/>
          <w:szCs w:val="24"/>
        </w:rPr>
        <w:t xml:space="preserve"> – </w:t>
      </w:r>
      <w:r w:rsidR="001810AC" w:rsidRPr="00CF5C43">
        <w:rPr>
          <w:rFonts w:ascii="Cambria" w:hAnsi="Cambria"/>
          <w:noProof/>
          <w:sz w:val="24"/>
          <w:szCs w:val="24"/>
        </w:rPr>
        <w:t>Average Wildfire Burned Acres on C</w:t>
      </w:r>
      <w:r w:rsidR="001810AC">
        <w:rPr>
          <w:rFonts w:ascii="Cambria" w:hAnsi="Cambria"/>
          <w:noProof/>
          <w:sz w:val="24"/>
          <w:szCs w:val="24"/>
        </w:rPr>
        <w:t>alifornia National Forests 2001</w:t>
      </w:r>
      <w:r w:rsidR="001810AC" w:rsidRPr="00CF5C43">
        <w:rPr>
          <w:rFonts w:ascii="Cambria" w:hAnsi="Cambria"/>
          <w:noProof/>
          <w:sz w:val="24"/>
          <w:szCs w:val="24"/>
        </w:rPr>
        <w:t>-2014</w:t>
      </w:r>
    </w:p>
    <w:p w:rsidR="001810AC" w:rsidRDefault="001810AC" w:rsidP="001810AC">
      <w:pPr>
        <w:rPr>
          <w:rFonts w:ascii="Cambria" w:hAnsi="Cambria"/>
          <w:b/>
          <w:noProof/>
          <w:sz w:val="24"/>
          <w:szCs w:val="24"/>
        </w:rPr>
      </w:pPr>
    </w:p>
    <w:tbl>
      <w:tblPr>
        <w:tblW w:w="0" w:type="auto"/>
        <w:tblInd w:w="-30" w:type="dxa"/>
        <w:tblLayout w:type="fixed"/>
        <w:tblLook w:val="0000" w:firstRow="0" w:lastRow="0" w:firstColumn="0" w:lastColumn="0" w:noHBand="0" w:noVBand="0"/>
      </w:tblPr>
      <w:tblGrid>
        <w:gridCol w:w="1032"/>
        <w:gridCol w:w="1562"/>
        <w:gridCol w:w="1032"/>
        <w:gridCol w:w="1306"/>
        <w:gridCol w:w="1032"/>
        <w:gridCol w:w="1032"/>
      </w:tblGrid>
      <w:tr w:rsidR="001810AC" w:rsidRPr="00C75C81" w:rsidTr="00514039">
        <w:trPr>
          <w:trHeight w:val="873"/>
        </w:trPr>
        <w:tc>
          <w:tcPr>
            <w:tcW w:w="6996" w:type="dxa"/>
            <w:gridSpan w:val="6"/>
            <w:tcBorders>
              <w:top w:val="nil"/>
              <w:left w:val="nil"/>
              <w:bottom w:val="nil"/>
              <w:right w:val="nil"/>
            </w:tcBorders>
          </w:tcPr>
          <w:p w:rsidR="001810AC" w:rsidRDefault="001810AC" w:rsidP="00514039">
            <w:pPr>
              <w:autoSpaceDE w:val="0"/>
              <w:autoSpaceDN w:val="0"/>
              <w:adjustRightInd w:val="0"/>
              <w:spacing w:after="0" w:line="240" w:lineRule="auto"/>
              <w:rPr>
                <w:rFonts w:ascii="Calibri" w:hAnsi="Calibri" w:cs="Calibri"/>
                <w:color w:val="000000"/>
              </w:rPr>
            </w:pPr>
            <w:r w:rsidRPr="00C75C81">
              <w:rPr>
                <w:rFonts w:ascii="Calibri" w:hAnsi="Calibri" w:cs="Calibri"/>
                <w:color w:val="000000"/>
              </w:rPr>
              <w:t>California Acres Burned (US Forest Service and Total) Year 2001-2014</w:t>
            </w:r>
          </w:p>
          <w:p w:rsidR="001810AC" w:rsidRDefault="001810AC" w:rsidP="00514039">
            <w:pPr>
              <w:autoSpaceDE w:val="0"/>
              <w:autoSpaceDN w:val="0"/>
              <w:adjustRightInd w:val="0"/>
              <w:spacing w:after="0" w:line="240" w:lineRule="auto"/>
              <w:rPr>
                <w:rFonts w:ascii="Calibri" w:hAnsi="Calibri" w:cs="Calibri"/>
                <w:color w:val="000000"/>
              </w:rPr>
            </w:pPr>
          </w:p>
          <w:p w:rsidR="001810AC" w:rsidRPr="00C75C81" w:rsidRDefault="001810AC" w:rsidP="00514039">
            <w:pPr>
              <w:autoSpaceDE w:val="0"/>
              <w:autoSpaceDN w:val="0"/>
              <w:adjustRightInd w:val="0"/>
              <w:spacing w:after="0" w:line="240" w:lineRule="auto"/>
              <w:rPr>
                <w:rFonts w:ascii="Calibri" w:hAnsi="Calibri" w:cs="Calibri"/>
                <w:color w:val="000000"/>
              </w:rPr>
            </w:pPr>
          </w:p>
        </w:tc>
      </w:tr>
      <w:tr w:rsidR="001810AC" w:rsidRPr="00C75C81" w:rsidTr="00514039">
        <w:trPr>
          <w:trHeight w:val="80"/>
        </w:trPr>
        <w:tc>
          <w:tcPr>
            <w:tcW w:w="6996" w:type="dxa"/>
            <w:gridSpan w:val="6"/>
            <w:tcBorders>
              <w:top w:val="nil"/>
              <w:left w:val="nil"/>
              <w:bottom w:val="nil"/>
              <w:right w:val="nil"/>
            </w:tcBorders>
          </w:tcPr>
          <w:p w:rsidR="001810AC" w:rsidRPr="00C75C81" w:rsidRDefault="001810AC" w:rsidP="00514039">
            <w:pPr>
              <w:autoSpaceDE w:val="0"/>
              <w:autoSpaceDN w:val="0"/>
              <w:adjustRightInd w:val="0"/>
              <w:spacing w:after="0" w:line="240" w:lineRule="auto"/>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center"/>
              <w:rPr>
                <w:rFonts w:ascii="Calibri" w:hAnsi="Calibri" w:cs="Calibri"/>
                <w:b/>
                <w:color w:val="000000"/>
                <w:u w:val="single"/>
              </w:rPr>
            </w:pPr>
            <w:r w:rsidRPr="00C75C81">
              <w:rPr>
                <w:rFonts w:ascii="Calibri" w:hAnsi="Calibri" w:cs="Calibri"/>
                <w:b/>
                <w:color w:val="000000"/>
                <w:u w:val="single"/>
              </w:rPr>
              <w:t>Year</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b/>
                <w:color w:val="000000"/>
                <w:u w:val="single"/>
              </w:rPr>
            </w:pPr>
            <w:r w:rsidRPr="00C75C81">
              <w:rPr>
                <w:rFonts w:ascii="Calibri" w:hAnsi="Calibri" w:cs="Calibri"/>
                <w:b/>
                <w:color w:val="000000"/>
                <w:u w:val="single"/>
              </w:rPr>
              <w:t>Forest Service</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b/>
                <w:color w:val="000000"/>
                <w:u w:val="single"/>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b/>
                <w:color w:val="000000"/>
                <w:u w:val="single"/>
              </w:rPr>
            </w:pPr>
            <w:r w:rsidRPr="00C75C81">
              <w:rPr>
                <w:rFonts w:ascii="Calibri" w:hAnsi="Calibri" w:cs="Calibri"/>
                <w:b/>
                <w:color w:val="000000"/>
                <w:u w:val="single"/>
              </w:rPr>
              <w:t>Statewide</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7E277F" w:rsidRPr="00C75C81" w:rsidTr="00514039">
        <w:trPr>
          <w:trHeight w:val="290"/>
        </w:trPr>
        <w:tc>
          <w:tcPr>
            <w:tcW w:w="1032" w:type="dxa"/>
            <w:tcBorders>
              <w:top w:val="nil"/>
              <w:left w:val="nil"/>
              <w:bottom w:val="nil"/>
              <w:right w:val="nil"/>
            </w:tcBorders>
          </w:tcPr>
          <w:p w:rsidR="007E277F" w:rsidRDefault="007E277F" w:rsidP="00514039">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10/1/</w:t>
            </w:r>
          </w:p>
          <w:p w:rsidR="007E277F" w:rsidRPr="00C75C81" w:rsidRDefault="007E277F" w:rsidP="00514039">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2015</w:t>
            </w:r>
          </w:p>
        </w:tc>
        <w:tc>
          <w:tcPr>
            <w:tcW w:w="156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Over 400,000</w:t>
            </w:r>
          </w:p>
        </w:tc>
        <w:tc>
          <w:tcPr>
            <w:tcW w:w="103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7E277F" w:rsidRPr="00C75C81" w:rsidRDefault="00B53314" w:rsidP="00B53314">
            <w:pPr>
              <w:autoSpaceDE w:val="0"/>
              <w:autoSpaceDN w:val="0"/>
              <w:adjustRightInd w:val="0"/>
              <w:spacing w:after="0" w:line="240" w:lineRule="auto"/>
              <w:rPr>
                <w:rFonts w:ascii="Calibri" w:hAnsi="Calibri" w:cs="Calibri"/>
                <w:color w:val="000000"/>
              </w:rPr>
            </w:pPr>
            <w:r>
              <w:rPr>
                <w:rFonts w:ascii="Calibri" w:hAnsi="Calibri" w:cs="Calibri"/>
                <w:color w:val="000000"/>
              </w:rPr>
              <w:t>Over 700,000</w:t>
            </w:r>
          </w:p>
        </w:tc>
        <w:tc>
          <w:tcPr>
            <w:tcW w:w="103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r>
      <w:tr w:rsidR="007E277F" w:rsidRPr="00C75C81" w:rsidTr="00514039">
        <w:trPr>
          <w:trHeight w:val="290"/>
        </w:trPr>
        <w:tc>
          <w:tcPr>
            <w:tcW w:w="103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c>
          <w:tcPr>
            <w:tcW w:w="156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2014</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400,005</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530,794</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2013</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350,642</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577,675</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2012</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297,212</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rPr>
                <w:rFonts w:ascii="Calibri" w:hAnsi="Calibri" w:cs="Calibri"/>
                <w:color w:val="000000"/>
              </w:rPr>
            </w:pPr>
            <w:r w:rsidRPr="00C75C81">
              <w:rPr>
                <w:rFonts w:ascii="Calibri" w:hAnsi="Calibri" w:cs="Calibri"/>
                <w:color w:val="000000"/>
              </w:rPr>
              <w:t xml:space="preserve"> </w:t>
            </w: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869,599</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2011</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41,777</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126,854</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2010</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39,288</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109,529</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2009</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305,371</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405,585</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2008</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919,716</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1,375,781</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2007</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551,932</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1,087,110</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2006</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453,500</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678,919</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2005</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19,583</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202,754</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2004</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49,437</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242,057</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2003</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363,964</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793,402</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2002</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365,945</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506,696</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2001</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106,798</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329,126</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rPr>
                <w:rFonts w:ascii="Calibri" w:hAnsi="Calibri" w:cs="Calibri"/>
                <w:color w:val="000000"/>
              </w:rPr>
            </w:pPr>
            <w:r w:rsidRPr="00C75C81">
              <w:rPr>
                <w:rFonts w:ascii="Calibri" w:hAnsi="Calibri" w:cs="Calibri"/>
                <w:color w:val="000000"/>
              </w:rPr>
              <w:t>AVG.</w:t>
            </w:r>
            <w:r w:rsidR="007E277F">
              <w:rPr>
                <w:rFonts w:ascii="Calibri" w:hAnsi="Calibri" w:cs="Calibri"/>
                <w:color w:val="000000"/>
              </w:rPr>
              <w:t xml:space="preserve"> 2001-2014</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 xml:space="preserve">              304,655 </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 xml:space="preserve">         559,706 </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5964" w:type="dxa"/>
            <w:gridSpan w:val="5"/>
            <w:tcBorders>
              <w:top w:val="nil"/>
              <w:left w:val="nil"/>
              <w:bottom w:val="nil"/>
              <w:right w:val="nil"/>
            </w:tcBorders>
          </w:tcPr>
          <w:p w:rsidR="001810AC" w:rsidRDefault="001810AC" w:rsidP="00514039">
            <w:pPr>
              <w:autoSpaceDE w:val="0"/>
              <w:autoSpaceDN w:val="0"/>
              <w:adjustRightInd w:val="0"/>
              <w:spacing w:after="0" w:line="240" w:lineRule="auto"/>
              <w:rPr>
                <w:rFonts w:ascii="Calibri" w:hAnsi="Calibri" w:cs="Calibri"/>
                <w:color w:val="000000"/>
              </w:rPr>
            </w:pPr>
            <w:r w:rsidRPr="00C75C81">
              <w:rPr>
                <w:rFonts w:ascii="Calibri" w:hAnsi="Calibri" w:cs="Calibri"/>
                <w:color w:val="000000"/>
              </w:rPr>
              <w:t>* - 20% of acreage in California; 53% of acres burned</w:t>
            </w:r>
          </w:p>
          <w:p w:rsidR="001810AC" w:rsidRDefault="001810AC" w:rsidP="00514039">
            <w:pPr>
              <w:autoSpaceDE w:val="0"/>
              <w:autoSpaceDN w:val="0"/>
              <w:adjustRightInd w:val="0"/>
              <w:spacing w:after="0" w:line="240" w:lineRule="auto"/>
              <w:rPr>
                <w:rFonts w:ascii="Calibri" w:hAnsi="Calibri" w:cs="Calibri"/>
                <w:color w:val="000000"/>
              </w:rPr>
            </w:pPr>
          </w:p>
          <w:p w:rsidR="001810AC" w:rsidRDefault="001810AC" w:rsidP="00514039">
            <w:pPr>
              <w:autoSpaceDE w:val="0"/>
              <w:autoSpaceDN w:val="0"/>
              <w:adjustRightInd w:val="0"/>
              <w:spacing w:after="0" w:line="240" w:lineRule="auto"/>
              <w:rPr>
                <w:rFonts w:ascii="Calibri" w:hAnsi="Calibri" w:cs="Calibri"/>
                <w:color w:val="000000"/>
              </w:rPr>
            </w:pPr>
            <w:r>
              <w:rPr>
                <w:rFonts w:ascii="Calibri" w:hAnsi="Calibri" w:cs="Calibri"/>
                <w:color w:val="000000"/>
              </w:rPr>
              <w:t>S</w:t>
            </w:r>
            <w:r w:rsidRPr="00C75C81">
              <w:rPr>
                <w:rFonts w:ascii="Calibri" w:hAnsi="Calibri" w:cs="Calibri"/>
                <w:color w:val="000000"/>
              </w:rPr>
              <w:t xml:space="preserve">ource:  http://www.nifc.gov/fireInfo/fireInfo_statistics.html </w:t>
            </w:r>
          </w:p>
          <w:p w:rsidR="001810AC" w:rsidRPr="00C75C81" w:rsidRDefault="001810AC" w:rsidP="00514039">
            <w:pPr>
              <w:autoSpaceDE w:val="0"/>
              <w:autoSpaceDN w:val="0"/>
              <w:adjustRightInd w:val="0"/>
              <w:spacing w:after="0" w:line="240" w:lineRule="auto"/>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bl>
    <w:p w:rsidR="001810AC" w:rsidRDefault="001810AC">
      <w:pPr>
        <w:rPr>
          <w:rFonts w:ascii="Cambria" w:hAnsi="Cambria"/>
          <w:noProof/>
          <w:sz w:val="24"/>
          <w:szCs w:val="24"/>
        </w:rPr>
      </w:pPr>
      <w:r>
        <w:br w:type="page"/>
      </w:r>
    </w:p>
    <w:p w:rsidR="00D92E2C" w:rsidRPr="005F1917" w:rsidRDefault="005B2FA3">
      <w:pPr>
        <w:rPr>
          <w:rFonts w:ascii="Cambria" w:hAnsi="Cambria"/>
          <w:sz w:val="24"/>
          <w:szCs w:val="24"/>
        </w:rPr>
      </w:pPr>
      <w:r>
        <w:rPr>
          <w:rFonts w:ascii="Cambria" w:hAnsi="Cambria"/>
          <w:b/>
          <w:sz w:val="24"/>
          <w:szCs w:val="24"/>
        </w:rPr>
        <w:lastRenderedPageBreak/>
        <w:t>Enclosure #11</w:t>
      </w:r>
      <w:r w:rsidR="005F1917" w:rsidRPr="005F1917">
        <w:rPr>
          <w:rFonts w:ascii="Cambria" w:hAnsi="Cambria"/>
          <w:b/>
          <w:sz w:val="24"/>
          <w:szCs w:val="24"/>
        </w:rPr>
        <w:t xml:space="preserve"> </w:t>
      </w:r>
      <w:r w:rsidR="008167BC">
        <w:rPr>
          <w:rFonts w:ascii="Cambria" w:hAnsi="Cambria"/>
          <w:b/>
          <w:sz w:val="24"/>
          <w:szCs w:val="24"/>
        </w:rPr>
        <w:t>–</w:t>
      </w:r>
      <w:r w:rsidR="005F1917" w:rsidRPr="005F1917">
        <w:rPr>
          <w:rFonts w:ascii="Cambria" w:hAnsi="Cambria"/>
          <w:b/>
          <w:sz w:val="24"/>
          <w:szCs w:val="24"/>
        </w:rPr>
        <w:t xml:space="preserve"> </w:t>
      </w:r>
    </w:p>
    <w:p w:rsidR="00D92E2C" w:rsidRPr="005F1917" w:rsidRDefault="00D92E2C">
      <w:pPr>
        <w:rPr>
          <w:rFonts w:ascii="Cambria" w:hAnsi="Cambria"/>
          <w:sz w:val="24"/>
          <w:szCs w:val="24"/>
        </w:rPr>
      </w:pPr>
    </w:p>
    <w:p w:rsidR="005F1917" w:rsidRPr="005F1917" w:rsidRDefault="005F1917" w:rsidP="005F1917">
      <w:pPr>
        <w:jc w:val="center"/>
        <w:rPr>
          <w:rFonts w:ascii="Cambria" w:hAnsi="Cambria" w:cs="Times New Roman"/>
          <w:b/>
          <w:bCs/>
          <w:sz w:val="24"/>
          <w:szCs w:val="24"/>
        </w:rPr>
      </w:pPr>
      <w:r w:rsidRPr="005F1917">
        <w:rPr>
          <w:rFonts w:ascii="Cambria" w:hAnsi="Cambria" w:cs="Times New Roman"/>
          <w:b/>
          <w:bCs/>
          <w:sz w:val="24"/>
          <w:szCs w:val="24"/>
        </w:rPr>
        <w:t xml:space="preserve">Regional Cumulative Effects Analysis for Black-Backed Woodpeckers in California </w:t>
      </w:r>
    </w:p>
    <w:p w:rsidR="005F1917" w:rsidRPr="005F1917" w:rsidRDefault="005F1917" w:rsidP="005F1917">
      <w:pPr>
        <w:jc w:val="center"/>
        <w:rPr>
          <w:rFonts w:ascii="Cambria" w:hAnsi="Cambria" w:cs="Times New Roman"/>
          <w:b/>
          <w:bCs/>
          <w:sz w:val="24"/>
          <w:szCs w:val="24"/>
        </w:rPr>
      </w:pPr>
      <w:r w:rsidRPr="005F1917">
        <w:rPr>
          <w:rFonts w:ascii="Cambria" w:hAnsi="Cambria" w:cs="Times New Roman"/>
          <w:b/>
          <w:bCs/>
          <w:sz w:val="24"/>
          <w:szCs w:val="24"/>
        </w:rPr>
        <w:t>Using Burned Forested Habitat – June 13, 2013</w:t>
      </w:r>
    </w:p>
    <w:p w:rsidR="005F1917" w:rsidRPr="005F1917" w:rsidRDefault="005F1917" w:rsidP="005F1917">
      <w:pPr>
        <w:rPr>
          <w:rFonts w:ascii="Cambria" w:hAnsi="Cambria" w:cs="Times New Roman"/>
          <w:i/>
          <w:iCs/>
          <w:sz w:val="24"/>
          <w:szCs w:val="24"/>
        </w:rPr>
      </w:pPr>
      <w:r w:rsidRPr="005F1917">
        <w:rPr>
          <w:rFonts w:ascii="Cambria" w:hAnsi="Cambria" w:cs="Times New Roman"/>
          <w:i/>
          <w:iCs/>
          <w:sz w:val="24"/>
          <w:szCs w:val="24"/>
        </w:rPr>
        <w:t>Geographic Extent of Calculations</w:t>
      </w:r>
    </w:p>
    <w:p w:rsidR="005F1917" w:rsidRDefault="005F1917" w:rsidP="005F1917">
      <w:pPr>
        <w:autoSpaceDE w:val="0"/>
        <w:autoSpaceDN w:val="0"/>
        <w:adjustRightInd w:val="0"/>
        <w:spacing w:after="0" w:line="240" w:lineRule="auto"/>
        <w:rPr>
          <w:rFonts w:ascii="Cambria" w:hAnsi="Cambria" w:cs="Times New Roman"/>
          <w:sz w:val="24"/>
          <w:szCs w:val="24"/>
        </w:rPr>
      </w:pPr>
      <w:r w:rsidRPr="005F1917">
        <w:rPr>
          <w:rFonts w:ascii="Cambria" w:hAnsi="Cambria" w:cs="Times New Roman"/>
          <w:sz w:val="24"/>
          <w:szCs w:val="24"/>
        </w:rPr>
        <w:t xml:space="preserve">We defined the area of interest as the range of the Black-backed Woodpecker in California based on the revised California Wildlife Habitat Relations (CWHR) map/shapefile for the Black-backed Woodpecker that the California Department of Fish and Wildlife (DFW) used in their recent CESA listing package (Daniel Applebee, DFW, personal communication). Black-backed Woodpeckers are known to specialize on burned forest, but they also use unburned forests; </w:t>
      </w:r>
      <w:r w:rsidRPr="005F1917">
        <w:rPr>
          <w:rFonts w:ascii="Cambria" w:hAnsi="Cambria" w:cs="Times New Roman"/>
          <w:sz w:val="24"/>
          <w:szCs w:val="24"/>
          <w:u w:val="single"/>
        </w:rPr>
        <w:t>we restricted this analysis to burned forest</w:t>
      </w:r>
      <w:r w:rsidRPr="005F1917">
        <w:rPr>
          <w:rFonts w:ascii="Cambria" w:hAnsi="Cambria" w:cs="Times New Roman"/>
          <w:sz w:val="24"/>
          <w:szCs w:val="24"/>
        </w:rPr>
        <w:t>. Within the extent of the Black-backed Woodpecker’s range, we only considered CWHR forest types Douglas-Fir, Jeffrey Pine, Eastside Pine, Klamath Mixed Conifer, Lodgepole Pine, Ponderosa Pine, Red Fir, Subalpine Conifer, Sierran Mixed Conifer, White Fir, and Unknown Conifer in CWHR size classes greater or equal to 3 (size class 3 corresponds to 6-11 inch dbh) and where the CWHR tree canopy was moderate or dense as identified in the CalFIRE FRAP fveg02_2 data layer. These criteria correspond to the habitat preferences of Black-backed Woodpeckers:</w:t>
      </w:r>
    </w:p>
    <w:p w:rsidR="005F1917" w:rsidRPr="005F1917" w:rsidRDefault="005F1917" w:rsidP="005F1917">
      <w:pPr>
        <w:autoSpaceDE w:val="0"/>
        <w:autoSpaceDN w:val="0"/>
        <w:adjustRightInd w:val="0"/>
        <w:spacing w:after="0" w:line="240" w:lineRule="auto"/>
        <w:rPr>
          <w:rFonts w:ascii="Cambria" w:hAnsi="Cambria" w:cs="Times New Roman"/>
          <w:sz w:val="24"/>
          <w:szCs w:val="24"/>
        </w:rPr>
      </w:pPr>
    </w:p>
    <w:p w:rsidR="005F1917" w:rsidRPr="005F1917" w:rsidRDefault="005F1917" w:rsidP="005F1917">
      <w:pPr>
        <w:autoSpaceDE w:val="0"/>
        <w:autoSpaceDN w:val="0"/>
        <w:adjustRightInd w:val="0"/>
        <w:spacing w:after="0" w:line="240" w:lineRule="auto"/>
        <w:ind w:left="720"/>
        <w:rPr>
          <w:rFonts w:ascii="Cambria" w:hAnsi="Cambria" w:cs="Times New Roman"/>
          <w:sz w:val="24"/>
          <w:szCs w:val="24"/>
        </w:rPr>
      </w:pPr>
      <w:r w:rsidRPr="005F1917">
        <w:rPr>
          <w:rFonts w:ascii="Cambria" w:hAnsi="Cambria" w:cs="Times New Roman"/>
          <w:sz w:val="24"/>
          <w:szCs w:val="24"/>
        </w:rPr>
        <w:t xml:space="preserve"> “</w:t>
      </w:r>
      <w:r w:rsidRPr="005F1917">
        <w:rPr>
          <w:rFonts w:ascii="Cambria" w:hAnsi="Cambria" w:cs="TimesNewRomanPSMT"/>
          <w:sz w:val="24"/>
          <w:szCs w:val="24"/>
        </w:rPr>
        <w:t>Researchers working in different forest types have defined tree size classes in various ways, but as a general guideline, large snags indicative of preferred foraging habitat roughly correspond to California Wildlife Habitat Relationships (CWHR; Mayer and Laudenslayer 1988) size class 5 (dbh &gt;24”) and medium- and small-diameter snags typical of nesting habitat roughly correspond to CWHR size class 4 (dbh = 11-24”) or occasionally 3 (dbh = 6-11”)” (Bond et al. 2012, p. 9).</w:t>
      </w:r>
      <w:r w:rsidRPr="005F1917">
        <w:rPr>
          <w:rFonts w:ascii="Cambria" w:hAnsi="Cambria" w:cs="Times New Roman"/>
          <w:sz w:val="24"/>
          <w:szCs w:val="24"/>
        </w:rPr>
        <w:t xml:space="preserve"> </w:t>
      </w:r>
    </w:p>
    <w:p w:rsidR="005F1917" w:rsidRPr="005F1917" w:rsidRDefault="005F1917" w:rsidP="005F1917">
      <w:pPr>
        <w:autoSpaceDE w:val="0"/>
        <w:autoSpaceDN w:val="0"/>
        <w:adjustRightInd w:val="0"/>
        <w:spacing w:after="0" w:line="240" w:lineRule="auto"/>
        <w:rPr>
          <w:rFonts w:ascii="Cambria" w:hAnsi="Cambria" w:cs="TimesNewRomanPSMT"/>
          <w:sz w:val="24"/>
          <w:szCs w:val="24"/>
        </w:rPr>
      </w:pP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We considered the following land ownership categories: Forest Service lands, National Park Service (NPS) lands, and other lands. The other lands category primarily includes private lands, but could also include state or federal lands that are not part of NPS or the Forest Service.</w:t>
      </w:r>
    </w:p>
    <w:p w:rsidR="005F1917" w:rsidRPr="005F1917" w:rsidRDefault="005F1917" w:rsidP="005F1917">
      <w:pPr>
        <w:rPr>
          <w:rFonts w:ascii="Cambria" w:hAnsi="Cambria" w:cs="Times New Roman"/>
          <w:i/>
          <w:iCs/>
          <w:sz w:val="24"/>
          <w:szCs w:val="24"/>
        </w:rPr>
      </w:pPr>
      <w:r w:rsidRPr="005F1917">
        <w:rPr>
          <w:rFonts w:ascii="Cambria" w:hAnsi="Cambria" w:cs="Times New Roman"/>
          <w:i/>
          <w:iCs/>
          <w:sz w:val="24"/>
          <w:szCs w:val="24"/>
        </w:rPr>
        <w:t>Temporal Extent of Calculations</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 xml:space="preserve">Black-backed Woodpecker are known to use areas burned in the previous 10 years with the greatest activity generally occurring in the 8 years following fire. We included fires that occurred from 2005-2012 which represents the prior 8 years for birds using the habitat in 2013. </w:t>
      </w:r>
    </w:p>
    <w:p w:rsidR="005F1917" w:rsidRPr="005F1917" w:rsidRDefault="005F1917" w:rsidP="005F1917">
      <w:pPr>
        <w:rPr>
          <w:rFonts w:ascii="Cambria" w:hAnsi="Cambria" w:cs="Times New Roman"/>
          <w:i/>
          <w:iCs/>
          <w:sz w:val="24"/>
          <w:szCs w:val="24"/>
        </w:rPr>
      </w:pPr>
      <w:r w:rsidRPr="005F1917">
        <w:rPr>
          <w:rFonts w:ascii="Cambria" w:hAnsi="Cambria" w:cs="Times New Roman"/>
          <w:i/>
          <w:iCs/>
          <w:sz w:val="24"/>
          <w:szCs w:val="24"/>
        </w:rPr>
        <w:t xml:space="preserve">Calculating the Amount of Burned Habitat </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We used the Vegetation Burn Severity data layer to calculate the extent of burned habitat using GIS. This layer includes public and private lands and ranks the burn severity of forested lands as low, moderate, or high for fires at a minimum size of 300 acres, so our analysis only includes fires which were 300 acres or greater</w:t>
      </w:r>
      <w:r w:rsidRPr="005F1917">
        <w:rPr>
          <w:rFonts w:ascii="Cambria" w:hAnsi="Cambria" w:cs="Times New Roman"/>
          <w:color w:val="000000"/>
          <w:sz w:val="24"/>
          <w:szCs w:val="24"/>
        </w:rPr>
        <w:t xml:space="preserve">.  Low severity represents </w:t>
      </w:r>
      <w:r w:rsidRPr="005F1917">
        <w:rPr>
          <w:rFonts w:ascii="Cambria" w:hAnsi="Cambria" w:cs="Times New Roman"/>
          <w:color w:val="000000"/>
          <w:sz w:val="24"/>
          <w:szCs w:val="24"/>
        </w:rPr>
        <w:lastRenderedPageBreak/>
        <w:t>areas of surface fire with little change in cover and little mortality of the structurally dominant vegetation; 0.1 &lt;= CBI &lt; 1.25 (CBI=Composite Burn Index).  Moderate severity represents fire areas between low and high and means there is a mixture of effects on the structurally dominant vegetation; 1.25 &lt;= CBI &lt; 2.25. High severity represents areas where the dominant vegetation has high to complete mortality; 2.25 &lt;= CBI &lt;= 3.0.</w:t>
      </w:r>
      <w:r w:rsidRPr="005F1917">
        <w:rPr>
          <w:rFonts w:ascii="Cambria" w:hAnsi="Cambria"/>
          <w:color w:val="000000"/>
          <w:sz w:val="24"/>
          <w:szCs w:val="24"/>
        </w:rPr>
        <w:t xml:space="preserve"> </w:t>
      </w:r>
      <w:r w:rsidRPr="005F1917">
        <w:rPr>
          <w:rFonts w:ascii="Cambria" w:hAnsi="Cambria" w:cs="Times New Roman"/>
          <w:sz w:val="24"/>
          <w:szCs w:val="24"/>
        </w:rPr>
        <w:t xml:space="preserve">For NPS lands, only fires that extend into Forest Service lands are mapped on the Vegetation Burn Severity data layer. </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 xml:space="preserve">We calculated the amount of burned habitat within the range of the Black-backed Woodpecker using two sets of criteria for woodpecker habitat.  We first calculated area using both moderate and high severity burn categories (which Black-backed Woodpeckers are known to prefer), and then we repeated the calculation to include low, moderate, and high severity areas within each fire. Although Black-backed Woodpeckers prefer high and moderate severity fire, they also use low severity fire areas, particularly when those areas are interspersed with more severely burned areas, and hence we did the calculation both ways in order to develop a range in the amount of burned habitat. We did not include the following burn severity categories: unchanged/no burn (in which a portion of the fire affected area did not burn) or unmapped (in which cloud cover obscured the degree to which an area had burned in the satellite data). </w:t>
      </w:r>
    </w:p>
    <w:p w:rsidR="005F1917" w:rsidRPr="005F1917" w:rsidRDefault="005F1917" w:rsidP="005F1917">
      <w:pPr>
        <w:spacing w:after="0" w:line="240" w:lineRule="auto"/>
        <w:rPr>
          <w:rFonts w:ascii="Cambria" w:hAnsi="Cambria" w:cs="Times New Roman"/>
          <w:i/>
          <w:iCs/>
          <w:sz w:val="24"/>
          <w:szCs w:val="24"/>
        </w:rPr>
      </w:pPr>
      <w:r w:rsidRPr="005F1917">
        <w:rPr>
          <w:rFonts w:ascii="Cambria" w:hAnsi="Cambria" w:cs="Times New Roman"/>
          <w:i/>
          <w:iCs/>
          <w:sz w:val="24"/>
          <w:szCs w:val="24"/>
        </w:rPr>
        <w:t>Calculating the Amount of Treated Burned Habitat</w:t>
      </w:r>
    </w:p>
    <w:p w:rsidR="005F1917" w:rsidRPr="005F1917" w:rsidRDefault="005F1917" w:rsidP="005F1917">
      <w:pPr>
        <w:spacing w:after="0" w:line="240" w:lineRule="auto"/>
        <w:rPr>
          <w:rFonts w:ascii="Cambria" w:hAnsi="Cambria" w:cs="Times New Roman"/>
          <w:i/>
          <w:iCs/>
          <w:sz w:val="24"/>
          <w:szCs w:val="24"/>
        </w:rPr>
      </w:pP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 xml:space="preserve">After calculating the amount of burned habitat with and without low severity fires (see above), we then determined the amount of this habitat that had been removed or altered due to post-fire timber management activities (referred to as “treated”). The FACTS GIS data layers include information on any tree/snag removal treatments that have occurred on Forest Service lands. We overlaid the FACTS layers for completed projects with the burned area layers to determine areas that burned and were subsequently treated, in order to calculate the area with post-fire tree removal. We included any FACTS treatment types in which standing trees were removed (e.g. salvage timber removal, hazardous tree removal, yarding, etc.). </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 xml:space="preserve">For fires that occurred in 2012 within the boundary of the range of the Black-backed Woodpecker where treatments have not yet occurred as of May 2013, we included the proposed area to be treated on the Plumas National Forest (Peak fire and Chips fires), Lassen National Forest (Chips and Reading fires), Modoc National Forest (Barry Point fire), and Stanislaus National Forest (Ramsey fire). These are the 2012 fires within the Black-backed Woodpecker range in California in which snag removal projects are planned for 2013, but have not yet occurred. Because the projects have not yet occurred we did not always have spatially explicit information on the project boundaries (e.g. the scope of the project might include setting aside multiple 3-5 acre patches of snags, but the exact location of those patches has not been determined). Without the boundaries we could not necessarily determine the burn severity levels within the areas to be treated.  </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lastRenderedPageBreak/>
        <w:t xml:space="preserve">We did not have data for post-fire timber management activities on non-Forest Service lands. We made the assumption that 100% of the burned other lands (non-FS and non-NPS) were treated; this is likely an overestimate as not all of these lands are industrial timber lands. We chose to overestimate treatments on other lands in order to come up with a maximum value of the area potentially affected by snag removal. We also made the assumption that 100% of the NPS lands were not treated because NPS generally only removes hazardous trees and does not engage in other post-fire timber management practices (e.g. salvage timber removal). </w:t>
      </w:r>
    </w:p>
    <w:p w:rsidR="005F1917" w:rsidRPr="005F1917" w:rsidRDefault="005F1917" w:rsidP="005F1917">
      <w:pPr>
        <w:rPr>
          <w:rFonts w:ascii="Cambria" w:hAnsi="Cambria" w:cs="Times New Roman"/>
          <w:i/>
          <w:iCs/>
          <w:sz w:val="24"/>
          <w:szCs w:val="24"/>
        </w:rPr>
      </w:pPr>
      <w:r w:rsidRPr="005F1917">
        <w:rPr>
          <w:rFonts w:ascii="Cambria" w:hAnsi="Cambria" w:cs="Times New Roman"/>
          <w:i/>
          <w:iCs/>
          <w:sz w:val="24"/>
          <w:szCs w:val="24"/>
        </w:rPr>
        <w:t>Analyses</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Our analyses were conducted within the range of the Black-backed Woodpecker in California, in burned forest types used by Black-backed Woodpeckers, for forested lands that burned from 2005-2012 (see details above). We included burned timber removal activities that occurred in 2005-2012, as well as burned timber removal activity proposed to occur in 2013 within areas that burned in 2012.</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 xml:space="preserve">We calculated the amount of untreated Black-backed Woodpecker habitat created by fire within each of the three landowner categories. We calculated (or, for NPS and other lands, estimated, using the assumptions described above) the percent treated due to post-fire timber management activities that occurred in 2005-2012, or are proposed to occur in 2013. </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 xml:space="preserve">Table 1: Amount of burned suitable Black-backed Woodpecker habitat that has been subsequently treated (tree removal) or untreated (no tree removal) within the range of the Black-backed Woodpecker in California from fires occurring in 2005-2012 of different burn severity categories (high, moderate, and low). Treated acres from 2012 fires are estimated based on proposed salvage work occurring in 2013 on 12,398 acres in suitable Black-backed Woodpecker habitat. Data are broken down by landowner (Forest Service, National Park Service, and Other) or summed for “all” lands. See text for methods and assumptions. </w:t>
      </w:r>
    </w:p>
    <w:tbl>
      <w:tblPr>
        <w:tblW w:w="8925" w:type="dxa"/>
        <w:tblInd w:w="93" w:type="dxa"/>
        <w:tblLayout w:type="fixed"/>
        <w:tblLook w:val="00A0" w:firstRow="1" w:lastRow="0" w:firstColumn="1" w:lastColumn="0" w:noHBand="0" w:noVBand="0"/>
      </w:tblPr>
      <w:tblGrid>
        <w:gridCol w:w="921"/>
        <w:gridCol w:w="1027"/>
        <w:gridCol w:w="950"/>
        <w:gridCol w:w="1027"/>
        <w:gridCol w:w="940"/>
        <w:gridCol w:w="1027"/>
        <w:gridCol w:w="973"/>
        <w:gridCol w:w="1027"/>
        <w:gridCol w:w="1033"/>
      </w:tblGrid>
      <w:tr w:rsidR="005F1917" w:rsidRPr="005F1917" w:rsidTr="00514039">
        <w:trPr>
          <w:trHeight w:val="275"/>
        </w:trPr>
        <w:tc>
          <w:tcPr>
            <w:tcW w:w="921"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1977" w:type="dxa"/>
            <w:gridSpan w:val="2"/>
            <w:tcBorders>
              <w:top w:val="single" w:sz="4" w:space="0" w:color="auto"/>
              <w:left w:val="single" w:sz="4" w:space="0" w:color="auto"/>
              <w:bottom w:val="single" w:sz="4" w:space="0" w:color="auto"/>
              <w:right w:val="single" w:sz="4" w:space="0" w:color="000000"/>
            </w:tcBorders>
            <w:noWrap/>
            <w:vAlign w:val="bottom"/>
          </w:tcPr>
          <w:p w:rsidR="005F1917" w:rsidRPr="005F1917" w:rsidRDefault="005F1917" w:rsidP="00514039">
            <w:pPr>
              <w:spacing w:after="0" w:line="240" w:lineRule="auto"/>
              <w:jc w:val="center"/>
              <w:rPr>
                <w:rFonts w:ascii="Cambria" w:hAnsi="Cambria"/>
                <w:b/>
                <w:bCs/>
                <w:color w:val="000000"/>
                <w:sz w:val="24"/>
                <w:szCs w:val="24"/>
              </w:rPr>
            </w:pPr>
            <w:r w:rsidRPr="005F1917">
              <w:rPr>
                <w:rFonts w:ascii="Cambria" w:hAnsi="Cambria"/>
                <w:b/>
                <w:bCs/>
                <w:color w:val="000000"/>
                <w:sz w:val="24"/>
                <w:szCs w:val="24"/>
              </w:rPr>
              <w:t>Treated</w:t>
            </w:r>
          </w:p>
        </w:tc>
        <w:tc>
          <w:tcPr>
            <w:tcW w:w="1967" w:type="dxa"/>
            <w:gridSpan w:val="2"/>
            <w:tcBorders>
              <w:top w:val="single" w:sz="4" w:space="0" w:color="auto"/>
              <w:left w:val="nil"/>
              <w:bottom w:val="single" w:sz="4" w:space="0" w:color="auto"/>
              <w:right w:val="single" w:sz="4" w:space="0" w:color="000000"/>
            </w:tcBorders>
            <w:noWrap/>
            <w:vAlign w:val="bottom"/>
          </w:tcPr>
          <w:p w:rsidR="005F1917" w:rsidRPr="005F1917" w:rsidRDefault="005F1917" w:rsidP="00514039">
            <w:pPr>
              <w:spacing w:after="0" w:line="240" w:lineRule="auto"/>
              <w:jc w:val="center"/>
              <w:rPr>
                <w:rFonts w:ascii="Cambria" w:hAnsi="Cambria"/>
                <w:b/>
                <w:bCs/>
                <w:color w:val="000000"/>
                <w:sz w:val="24"/>
                <w:szCs w:val="24"/>
              </w:rPr>
            </w:pPr>
            <w:r w:rsidRPr="005F1917">
              <w:rPr>
                <w:rFonts w:ascii="Cambria" w:hAnsi="Cambria"/>
                <w:b/>
                <w:bCs/>
                <w:color w:val="000000"/>
                <w:sz w:val="24"/>
                <w:szCs w:val="24"/>
              </w:rPr>
              <w:t>Untreated</w:t>
            </w:r>
          </w:p>
        </w:tc>
        <w:tc>
          <w:tcPr>
            <w:tcW w:w="2000" w:type="dxa"/>
            <w:gridSpan w:val="2"/>
            <w:tcBorders>
              <w:top w:val="single" w:sz="4" w:space="0" w:color="auto"/>
              <w:left w:val="nil"/>
              <w:bottom w:val="single" w:sz="4" w:space="0" w:color="auto"/>
              <w:right w:val="single" w:sz="4" w:space="0" w:color="000000"/>
            </w:tcBorders>
            <w:noWrap/>
            <w:vAlign w:val="bottom"/>
          </w:tcPr>
          <w:p w:rsidR="005F1917" w:rsidRPr="005F1917" w:rsidRDefault="005F1917" w:rsidP="00514039">
            <w:pPr>
              <w:spacing w:after="0" w:line="240" w:lineRule="auto"/>
              <w:jc w:val="center"/>
              <w:rPr>
                <w:rFonts w:ascii="Cambria" w:hAnsi="Cambria"/>
                <w:b/>
                <w:bCs/>
                <w:color w:val="000000"/>
                <w:sz w:val="24"/>
                <w:szCs w:val="24"/>
              </w:rPr>
            </w:pPr>
            <w:r w:rsidRPr="005F1917">
              <w:rPr>
                <w:rFonts w:ascii="Cambria" w:hAnsi="Cambria"/>
                <w:b/>
                <w:bCs/>
                <w:color w:val="000000"/>
                <w:sz w:val="24"/>
                <w:szCs w:val="24"/>
              </w:rPr>
              <w:t>Total</w:t>
            </w:r>
          </w:p>
        </w:tc>
        <w:tc>
          <w:tcPr>
            <w:tcW w:w="2060" w:type="dxa"/>
            <w:gridSpan w:val="2"/>
            <w:tcBorders>
              <w:top w:val="single" w:sz="4" w:space="0" w:color="auto"/>
              <w:left w:val="nil"/>
              <w:bottom w:val="single" w:sz="4" w:space="0" w:color="auto"/>
              <w:right w:val="single" w:sz="4" w:space="0" w:color="000000"/>
            </w:tcBorders>
            <w:noWrap/>
            <w:vAlign w:val="bottom"/>
          </w:tcPr>
          <w:p w:rsidR="005F1917" w:rsidRPr="005F1917" w:rsidRDefault="005F1917" w:rsidP="00514039">
            <w:pPr>
              <w:spacing w:after="0" w:line="240" w:lineRule="auto"/>
              <w:jc w:val="center"/>
              <w:rPr>
                <w:rFonts w:ascii="Cambria" w:hAnsi="Cambria"/>
                <w:b/>
                <w:bCs/>
                <w:color w:val="000000"/>
                <w:sz w:val="24"/>
                <w:szCs w:val="24"/>
              </w:rPr>
            </w:pPr>
            <w:r w:rsidRPr="005F1917">
              <w:rPr>
                <w:rFonts w:ascii="Cambria" w:hAnsi="Cambria"/>
                <w:b/>
                <w:bCs/>
                <w:color w:val="000000"/>
                <w:sz w:val="24"/>
                <w:szCs w:val="24"/>
              </w:rPr>
              <w:t>Percent Treated</w:t>
            </w:r>
          </w:p>
        </w:tc>
      </w:tr>
      <w:tr w:rsidR="005F1917" w:rsidRPr="005F1917" w:rsidTr="00514039">
        <w:trPr>
          <w:trHeight w:val="275"/>
        </w:trPr>
        <w:tc>
          <w:tcPr>
            <w:tcW w:w="921" w:type="dxa"/>
            <w:tcBorders>
              <w:top w:val="single" w:sz="4" w:space="0" w:color="auto"/>
              <w:left w:val="single" w:sz="4" w:space="0" w:color="auto"/>
              <w:bottom w:val="single" w:sz="4" w:space="0" w:color="auto"/>
              <w:right w:val="single" w:sz="4" w:space="0" w:color="auto"/>
            </w:tcBorders>
            <w:noWrap/>
            <w:vAlign w:val="bottom"/>
          </w:tcPr>
          <w:p w:rsidR="005F1917" w:rsidRPr="005F1917" w:rsidRDefault="005F1917" w:rsidP="00514039">
            <w:pPr>
              <w:spacing w:after="0" w:line="240" w:lineRule="auto"/>
              <w:rPr>
                <w:rFonts w:ascii="Cambria" w:hAnsi="Cambria"/>
                <w:color w:val="000000"/>
                <w:sz w:val="20"/>
                <w:szCs w:val="20"/>
              </w:rPr>
            </w:pPr>
            <w:r w:rsidRPr="005F1917">
              <w:rPr>
                <w:rFonts w:ascii="Cambria" w:hAnsi="Cambria"/>
                <w:color w:val="000000"/>
                <w:sz w:val="20"/>
                <w:szCs w:val="20"/>
              </w:rPr>
              <w:t>Burn severity</w:t>
            </w:r>
          </w:p>
        </w:tc>
        <w:tc>
          <w:tcPr>
            <w:tcW w:w="1027" w:type="dxa"/>
            <w:tcBorders>
              <w:top w:val="nil"/>
              <w:left w:val="nil"/>
              <w:bottom w:val="single" w:sz="4" w:space="0" w:color="auto"/>
              <w:right w:val="single" w:sz="4" w:space="0" w:color="auto"/>
            </w:tcBorders>
            <w:noWrap/>
          </w:tcPr>
          <w:p w:rsidR="005F1917" w:rsidRPr="005F1917" w:rsidRDefault="005F1917" w:rsidP="00514039">
            <w:pPr>
              <w:spacing w:after="0" w:line="240" w:lineRule="auto"/>
              <w:rPr>
                <w:rFonts w:ascii="Cambria" w:hAnsi="Cambria"/>
                <w:b/>
                <w:bCs/>
                <w:color w:val="000000"/>
                <w:sz w:val="20"/>
                <w:szCs w:val="20"/>
              </w:rPr>
            </w:pPr>
            <w:r w:rsidRPr="005F1917">
              <w:rPr>
                <w:rFonts w:ascii="Cambria" w:hAnsi="Cambria"/>
                <w:b/>
                <w:bCs/>
                <w:color w:val="000000"/>
                <w:sz w:val="20"/>
                <w:szCs w:val="20"/>
              </w:rPr>
              <w:t>Hi/Mod/ Lo</w:t>
            </w:r>
          </w:p>
        </w:tc>
        <w:tc>
          <w:tcPr>
            <w:tcW w:w="950" w:type="dxa"/>
            <w:tcBorders>
              <w:top w:val="nil"/>
              <w:left w:val="nil"/>
              <w:bottom w:val="single" w:sz="4" w:space="0" w:color="auto"/>
              <w:right w:val="single" w:sz="4" w:space="0" w:color="auto"/>
            </w:tcBorders>
            <w:noWrap/>
          </w:tcPr>
          <w:p w:rsidR="005F1917" w:rsidRPr="005F1917" w:rsidRDefault="005F1917" w:rsidP="00514039">
            <w:pPr>
              <w:spacing w:after="0" w:line="240" w:lineRule="auto"/>
              <w:rPr>
                <w:rFonts w:ascii="Cambria" w:hAnsi="Cambria"/>
                <w:b/>
                <w:bCs/>
                <w:color w:val="000000"/>
                <w:sz w:val="20"/>
                <w:szCs w:val="20"/>
              </w:rPr>
            </w:pPr>
            <w:r w:rsidRPr="005F1917">
              <w:rPr>
                <w:rFonts w:ascii="Cambria" w:hAnsi="Cambria"/>
                <w:b/>
                <w:bCs/>
                <w:color w:val="000000"/>
                <w:sz w:val="20"/>
                <w:szCs w:val="20"/>
              </w:rPr>
              <w:t>Hi/mod</w:t>
            </w:r>
          </w:p>
        </w:tc>
        <w:tc>
          <w:tcPr>
            <w:tcW w:w="1027" w:type="dxa"/>
            <w:tcBorders>
              <w:top w:val="nil"/>
              <w:left w:val="nil"/>
              <w:bottom w:val="single" w:sz="4" w:space="0" w:color="auto"/>
              <w:right w:val="single" w:sz="4" w:space="0" w:color="auto"/>
            </w:tcBorders>
            <w:noWrap/>
          </w:tcPr>
          <w:p w:rsidR="005F1917" w:rsidRPr="005F1917" w:rsidRDefault="005F1917" w:rsidP="00514039">
            <w:pPr>
              <w:spacing w:after="0" w:line="240" w:lineRule="auto"/>
              <w:rPr>
                <w:rFonts w:ascii="Cambria" w:hAnsi="Cambria"/>
                <w:b/>
                <w:bCs/>
                <w:color w:val="000000"/>
                <w:sz w:val="20"/>
                <w:szCs w:val="20"/>
              </w:rPr>
            </w:pPr>
            <w:r w:rsidRPr="005F1917">
              <w:rPr>
                <w:rFonts w:ascii="Cambria" w:hAnsi="Cambria"/>
                <w:b/>
                <w:bCs/>
                <w:color w:val="000000"/>
                <w:sz w:val="20"/>
                <w:szCs w:val="20"/>
              </w:rPr>
              <w:t>Hi/Mod/ Lo</w:t>
            </w:r>
          </w:p>
        </w:tc>
        <w:tc>
          <w:tcPr>
            <w:tcW w:w="940" w:type="dxa"/>
            <w:tcBorders>
              <w:top w:val="nil"/>
              <w:left w:val="nil"/>
              <w:bottom w:val="single" w:sz="4" w:space="0" w:color="auto"/>
              <w:right w:val="single" w:sz="4" w:space="0" w:color="auto"/>
            </w:tcBorders>
            <w:noWrap/>
          </w:tcPr>
          <w:p w:rsidR="005F1917" w:rsidRPr="005F1917" w:rsidRDefault="005F1917" w:rsidP="00514039">
            <w:pPr>
              <w:spacing w:after="0" w:line="240" w:lineRule="auto"/>
              <w:rPr>
                <w:rFonts w:ascii="Cambria" w:hAnsi="Cambria"/>
                <w:b/>
                <w:bCs/>
                <w:color w:val="000000"/>
                <w:sz w:val="20"/>
                <w:szCs w:val="20"/>
              </w:rPr>
            </w:pPr>
            <w:r w:rsidRPr="005F1917">
              <w:rPr>
                <w:rFonts w:ascii="Cambria" w:hAnsi="Cambria"/>
                <w:b/>
                <w:bCs/>
                <w:color w:val="000000"/>
                <w:sz w:val="20"/>
                <w:szCs w:val="20"/>
              </w:rPr>
              <w:t>Hi/Mod</w:t>
            </w:r>
          </w:p>
        </w:tc>
        <w:tc>
          <w:tcPr>
            <w:tcW w:w="1027" w:type="dxa"/>
            <w:tcBorders>
              <w:top w:val="nil"/>
              <w:left w:val="nil"/>
              <w:bottom w:val="single" w:sz="4" w:space="0" w:color="auto"/>
              <w:right w:val="single" w:sz="4" w:space="0" w:color="auto"/>
            </w:tcBorders>
            <w:noWrap/>
          </w:tcPr>
          <w:p w:rsidR="005F1917" w:rsidRPr="005F1917" w:rsidRDefault="005F1917" w:rsidP="00514039">
            <w:pPr>
              <w:spacing w:after="0" w:line="240" w:lineRule="auto"/>
              <w:rPr>
                <w:rFonts w:ascii="Cambria" w:hAnsi="Cambria"/>
                <w:b/>
                <w:bCs/>
                <w:color w:val="000000"/>
                <w:sz w:val="20"/>
                <w:szCs w:val="20"/>
              </w:rPr>
            </w:pPr>
            <w:r w:rsidRPr="005F1917">
              <w:rPr>
                <w:rFonts w:ascii="Cambria" w:hAnsi="Cambria"/>
                <w:b/>
                <w:bCs/>
                <w:color w:val="000000"/>
                <w:sz w:val="20"/>
                <w:szCs w:val="20"/>
              </w:rPr>
              <w:t>Hi/Mod/ Lo</w:t>
            </w:r>
          </w:p>
        </w:tc>
        <w:tc>
          <w:tcPr>
            <w:tcW w:w="973" w:type="dxa"/>
            <w:tcBorders>
              <w:top w:val="nil"/>
              <w:left w:val="nil"/>
              <w:bottom w:val="single" w:sz="4" w:space="0" w:color="auto"/>
              <w:right w:val="single" w:sz="4" w:space="0" w:color="auto"/>
            </w:tcBorders>
            <w:noWrap/>
          </w:tcPr>
          <w:p w:rsidR="005F1917" w:rsidRPr="005F1917" w:rsidRDefault="005F1917" w:rsidP="00514039">
            <w:pPr>
              <w:spacing w:after="0" w:line="240" w:lineRule="auto"/>
              <w:rPr>
                <w:rFonts w:ascii="Cambria" w:hAnsi="Cambria"/>
                <w:b/>
                <w:bCs/>
                <w:color w:val="000000"/>
                <w:sz w:val="20"/>
                <w:szCs w:val="20"/>
              </w:rPr>
            </w:pPr>
            <w:r w:rsidRPr="005F1917">
              <w:rPr>
                <w:rFonts w:ascii="Cambria" w:hAnsi="Cambria"/>
                <w:b/>
                <w:bCs/>
                <w:color w:val="000000"/>
                <w:sz w:val="20"/>
                <w:szCs w:val="20"/>
              </w:rPr>
              <w:t>Hi/Mod</w:t>
            </w:r>
          </w:p>
        </w:tc>
        <w:tc>
          <w:tcPr>
            <w:tcW w:w="1027" w:type="dxa"/>
            <w:tcBorders>
              <w:top w:val="nil"/>
              <w:left w:val="nil"/>
              <w:bottom w:val="single" w:sz="4" w:space="0" w:color="auto"/>
              <w:right w:val="single" w:sz="4" w:space="0" w:color="auto"/>
            </w:tcBorders>
            <w:noWrap/>
          </w:tcPr>
          <w:p w:rsidR="005F1917" w:rsidRPr="005F1917" w:rsidRDefault="005F1917" w:rsidP="00514039">
            <w:pPr>
              <w:spacing w:after="0" w:line="240" w:lineRule="auto"/>
              <w:rPr>
                <w:rFonts w:ascii="Cambria" w:hAnsi="Cambria"/>
                <w:b/>
                <w:bCs/>
                <w:color w:val="000000"/>
                <w:sz w:val="20"/>
                <w:szCs w:val="20"/>
              </w:rPr>
            </w:pPr>
            <w:r w:rsidRPr="005F1917">
              <w:rPr>
                <w:rFonts w:ascii="Cambria" w:hAnsi="Cambria"/>
                <w:b/>
                <w:bCs/>
                <w:color w:val="000000"/>
                <w:sz w:val="20"/>
                <w:szCs w:val="20"/>
              </w:rPr>
              <w:t>Hi/Mod/ Lo</w:t>
            </w:r>
          </w:p>
        </w:tc>
        <w:tc>
          <w:tcPr>
            <w:tcW w:w="1033" w:type="dxa"/>
            <w:tcBorders>
              <w:top w:val="nil"/>
              <w:left w:val="nil"/>
              <w:bottom w:val="single" w:sz="4" w:space="0" w:color="auto"/>
              <w:right w:val="single" w:sz="4" w:space="0" w:color="auto"/>
            </w:tcBorders>
            <w:noWrap/>
          </w:tcPr>
          <w:p w:rsidR="005F1917" w:rsidRPr="005F1917" w:rsidRDefault="005F1917" w:rsidP="00514039">
            <w:pPr>
              <w:spacing w:after="0" w:line="240" w:lineRule="auto"/>
              <w:rPr>
                <w:rFonts w:ascii="Cambria" w:hAnsi="Cambria"/>
                <w:b/>
                <w:bCs/>
                <w:color w:val="000000"/>
                <w:sz w:val="20"/>
                <w:szCs w:val="20"/>
              </w:rPr>
            </w:pPr>
            <w:r w:rsidRPr="005F1917">
              <w:rPr>
                <w:rFonts w:ascii="Cambria" w:hAnsi="Cambria"/>
                <w:b/>
                <w:bCs/>
                <w:color w:val="000000"/>
                <w:sz w:val="20"/>
                <w:szCs w:val="20"/>
              </w:rPr>
              <w:t>Hi/Mod</w:t>
            </w:r>
          </w:p>
        </w:tc>
      </w:tr>
      <w:tr w:rsidR="005F1917" w:rsidRPr="005F1917" w:rsidTr="00514039">
        <w:trPr>
          <w:trHeight w:val="317"/>
        </w:trPr>
        <w:tc>
          <w:tcPr>
            <w:tcW w:w="921" w:type="dxa"/>
            <w:tcBorders>
              <w:top w:val="nil"/>
              <w:left w:val="single" w:sz="4" w:space="0" w:color="auto"/>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rPr>
                <w:rFonts w:ascii="Cambria" w:hAnsi="Cambria"/>
                <w:color w:val="000000"/>
                <w:sz w:val="20"/>
                <w:szCs w:val="20"/>
              </w:rPr>
            </w:pPr>
            <w:r w:rsidRPr="005F1917">
              <w:rPr>
                <w:rFonts w:ascii="Cambria" w:hAnsi="Cambria"/>
                <w:color w:val="000000"/>
                <w:sz w:val="20"/>
                <w:szCs w:val="20"/>
              </w:rPr>
              <w:t xml:space="preserve">FS lands </w:t>
            </w:r>
            <w:r w:rsidRPr="005F1917">
              <w:rPr>
                <w:rFonts w:ascii="Cambria" w:hAnsi="Cambria"/>
                <w:color w:val="000000"/>
                <w:sz w:val="20"/>
                <w:szCs w:val="20"/>
                <w:vertAlign w:val="superscript"/>
              </w:rPr>
              <w:t>a</w:t>
            </w:r>
          </w:p>
        </w:tc>
        <w:tc>
          <w:tcPr>
            <w:tcW w:w="1027"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41,326</w:t>
            </w:r>
          </w:p>
        </w:tc>
        <w:tc>
          <w:tcPr>
            <w:tcW w:w="950"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38,100</w:t>
            </w:r>
          </w:p>
        </w:tc>
        <w:tc>
          <w:tcPr>
            <w:tcW w:w="1027"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743,106</w:t>
            </w:r>
          </w:p>
        </w:tc>
        <w:tc>
          <w:tcPr>
            <w:tcW w:w="940"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390,446</w:t>
            </w:r>
          </w:p>
        </w:tc>
        <w:tc>
          <w:tcPr>
            <w:tcW w:w="1027"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784,432</w:t>
            </w:r>
          </w:p>
        </w:tc>
        <w:tc>
          <w:tcPr>
            <w:tcW w:w="973"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428,546</w:t>
            </w:r>
          </w:p>
        </w:tc>
        <w:tc>
          <w:tcPr>
            <w:tcW w:w="1027"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5.3%</w:t>
            </w:r>
          </w:p>
        </w:tc>
        <w:tc>
          <w:tcPr>
            <w:tcW w:w="1033" w:type="dxa"/>
            <w:tcBorders>
              <w:top w:val="nil"/>
              <w:left w:val="nil"/>
              <w:bottom w:val="single" w:sz="4" w:space="0" w:color="auto"/>
              <w:right w:val="single" w:sz="4" w:space="0" w:color="auto"/>
            </w:tcBorders>
            <w:shd w:val="clear" w:color="000000" w:fill="EBF1DE"/>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8.9%</w:t>
            </w:r>
          </w:p>
        </w:tc>
      </w:tr>
      <w:tr w:rsidR="005F1917" w:rsidRPr="005F1917" w:rsidTr="00514039">
        <w:trPr>
          <w:trHeight w:val="317"/>
        </w:trPr>
        <w:tc>
          <w:tcPr>
            <w:tcW w:w="921" w:type="dxa"/>
            <w:tcBorders>
              <w:top w:val="nil"/>
              <w:left w:val="single" w:sz="4" w:space="0" w:color="auto"/>
              <w:bottom w:val="single" w:sz="4" w:space="0" w:color="auto"/>
              <w:right w:val="single" w:sz="4" w:space="0" w:color="auto"/>
            </w:tcBorders>
            <w:noWrap/>
            <w:vAlign w:val="bottom"/>
          </w:tcPr>
          <w:p w:rsidR="005F1917" w:rsidRPr="005F1917" w:rsidRDefault="005F1917" w:rsidP="00514039">
            <w:pPr>
              <w:spacing w:after="0" w:line="240" w:lineRule="auto"/>
              <w:rPr>
                <w:rFonts w:ascii="Cambria" w:hAnsi="Cambria"/>
                <w:color w:val="000000"/>
                <w:sz w:val="20"/>
                <w:szCs w:val="20"/>
              </w:rPr>
            </w:pPr>
            <w:r w:rsidRPr="005F1917">
              <w:rPr>
                <w:rFonts w:ascii="Cambria" w:hAnsi="Cambria"/>
                <w:color w:val="000000"/>
                <w:sz w:val="20"/>
                <w:szCs w:val="20"/>
              </w:rPr>
              <w:t xml:space="preserve">NPS lands </w:t>
            </w:r>
            <w:r w:rsidRPr="005F1917">
              <w:rPr>
                <w:rFonts w:ascii="Cambria" w:hAnsi="Cambria"/>
                <w:color w:val="000000"/>
                <w:sz w:val="20"/>
                <w:szCs w:val="20"/>
                <w:vertAlign w:val="superscript"/>
              </w:rPr>
              <w:t>b</w:t>
            </w:r>
          </w:p>
        </w:tc>
        <w:tc>
          <w:tcPr>
            <w:tcW w:w="1027"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0</w:t>
            </w:r>
          </w:p>
        </w:tc>
        <w:tc>
          <w:tcPr>
            <w:tcW w:w="950"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0</w:t>
            </w:r>
          </w:p>
        </w:tc>
        <w:tc>
          <w:tcPr>
            <w:tcW w:w="1027"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40,744</w:t>
            </w:r>
          </w:p>
        </w:tc>
        <w:tc>
          <w:tcPr>
            <w:tcW w:w="940"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23,448</w:t>
            </w:r>
          </w:p>
        </w:tc>
        <w:tc>
          <w:tcPr>
            <w:tcW w:w="1027"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40,744</w:t>
            </w:r>
          </w:p>
        </w:tc>
        <w:tc>
          <w:tcPr>
            <w:tcW w:w="973"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23,448</w:t>
            </w:r>
          </w:p>
        </w:tc>
        <w:tc>
          <w:tcPr>
            <w:tcW w:w="1027"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0.0%</w:t>
            </w:r>
          </w:p>
        </w:tc>
        <w:tc>
          <w:tcPr>
            <w:tcW w:w="1033" w:type="dxa"/>
            <w:tcBorders>
              <w:top w:val="nil"/>
              <w:left w:val="nil"/>
              <w:bottom w:val="single" w:sz="4" w:space="0" w:color="auto"/>
              <w:right w:val="single" w:sz="4" w:space="0" w:color="auto"/>
            </w:tcBorders>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0.0%</w:t>
            </w:r>
          </w:p>
        </w:tc>
      </w:tr>
      <w:tr w:rsidR="005F1917" w:rsidRPr="005F1917" w:rsidTr="00514039">
        <w:trPr>
          <w:trHeight w:val="317"/>
        </w:trPr>
        <w:tc>
          <w:tcPr>
            <w:tcW w:w="921" w:type="dxa"/>
            <w:tcBorders>
              <w:top w:val="nil"/>
              <w:left w:val="single" w:sz="4" w:space="0" w:color="auto"/>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rPr>
                <w:rFonts w:ascii="Cambria" w:hAnsi="Cambria"/>
                <w:color w:val="000000"/>
                <w:sz w:val="20"/>
                <w:szCs w:val="20"/>
              </w:rPr>
            </w:pPr>
            <w:r w:rsidRPr="005F1917">
              <w:rPr>
                <w:rFonts w:ascii="Cambria" w:hAnsi="Cambria"/>
                <w:color w:val="000000"/>
                <w:sz w:val="20"/>
                <w:szCs w:val="20"/>
              </w:rPr>
              <w:t xml:space="preserve">Other lands </w:t>
            </w:r>
            <w:r w:rsidRPr="005F1917">
              <w:rPr>
                <w:rFonts w:ascii="Cambria" w:hAnsi="Cambria"/>
                <w:color w:val="000000"/>
                <w:sz w:val="20"/>
                <w:szCs w:val="20"/>
                <w:vertAlign w:val="superscript"/>
              </w:rPr>
              <w:t>c</w:t>
            </w:r>
          </w:p>
        </w:tc>
        <w:tc>
          <w:tcPr>
            <w:tcW w:w="1027"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124,590</w:t>
            </w:r>
          </w:p>
        </w:tc>
        <w:tc>
          <w:tcPr>
            <w:tcW w:w="950"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91,591</w:t>
            </w:r>
          </w:p>
        </w:tc>
        <w:tc>
          <w:tcPr>
            <w:tcW w:w="1027"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0</w:t>
            </w:r>
          </w:p>
        </w:tc>
        <w:tc>
          <w:tcPr>
            <w:tcW w:w="940"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0</w:t>
            </w:r>
          </w:p>
        </w:tc>
        <w:tc>
          <w:tcPr>
            <w:tcW w:w="1027"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124,590</w:t>
            </w:r>
          </w:p>
        </w:tc>
        <w:tc>
          <w:tcPr>
            <w:tcW w:w="973"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91,591</w:t>
            </w:r>
          </w:p>
        </w:tc>
        <w:tc>
          <w:tcPr>
            <w:tcW w:w="1027"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100.0%</w:t>
            </w:r>
          </w:p>
        </w:tc>
        <w:tc>
          <w:tcPr>
            <w:tcW w:w="1033" w:type="dxa"/>
            <w:tcBorders>
              <w:top w:val="nil"/>
              <w:left w:val="nil"/>
              <w:bottom w:val="single" w:sz="4" w:space="0" w:color="auto"/>
              <w:right w:val="single" w:sz="4" w:space="0" w:color="auto"/>
            </w:tcBorders>
            <w:shd w:val="clear" w:color="000000" w:fill="EBF1DE"/>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100.0%</w:t>
            </w:r>
          </w:p>
        </w:tc>
      </w:tr>
      <w:tr w:rsidR="005F1917" w:rsidRPr="005F1917" w:rsidTr="00514039">
        <w:trPr>
          <w:trHeight w:val="317"/>
        </w:trPr>
        <w:tc>
          <w:tcPr>
            <w:tcW w:w="921" w:type="dxa"/>
            <w:tcBorders>
              <w:top w:val="nil"/>
              <w:left w:val="single" w:sz="4" w:space="0" w:color="auto"/>
              <w:bottom w:val="single" w:sz="4" w:space="0" w:color="auto"/>
              <w:right w:val="single" w:sz="4" w:space="0" w:color="auto"/>
            </w:tcBorders>
            <w:noWrap/>
            <w:vAlign w:val="bottom"/>
          </w:tcPr>
          <w:p w:rsidR="005F1917" w:rsidRPr="005F1917" w:rsidRDefault="005F1917" w:rsidP="00514039">
            <w:pPr>
              <w:spacing w:after="0" w:line="240" w:lineRule="auto"/>
              <w:rPr>
                <w:rFonts w:ascii="Cambria" w:hAnsi="Cambria"/>
                <w:color w:val="000000"/>
                <w:sz w:val="20"/>
                <w:szCs w:val="20"/>
              </w:rPr>
            </w:pPr>
            <w:r w:rsidRPr="005F1917">
              <w:rPr>
                <w:rFonts w:ascii="Cambria" w:hAnsi="Cambria"/>
                <w:color w:val="000000"/>
                <w:sz w:val="20"/>
                <w:szCs w:val="20"/>
              </w:rPr>
              <w:t xml:space="preserve">All lands </w:t>
            </w:r>
            <w:r w:rsidRPr="005F1917">
              <w:rPr>
                <w:rFonts w:ascii="Cambria" w:hAnsi="Cambria"/>
                <w:color w:val="000000"/>
                <w:sz w:val="20"/>
                <w:szCs w:val="20"/>
                <w:vertAlign w:val="superscript"/>
              </w:rPr>
              <w:t>d</w:t>
            </w:r>
          </w:p>
        </w:tc>
        <w:tc>
          <w:tcPr>
            <w:tcW w:w="1027"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165,916</w:t>
            </w:r>
          </w:p>
        </w:tc>
        <w:tc>
          <w:tcPr>
            <w:tcW w:w="950"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129,690</w:t>
            </w:r>
          </w:p>
        </w:tc>
        <w:tc>
          <w:tcPr>
            <w:tcW w:w="1027"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783,850</w:t>
            </w:r>
          </w:p>
        </w:tc>
        <w:tc>
          <w:tcPr>
            <w:tcW w:w="940"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413,894</w:t>
            </w:r>
          </w:p>
        </w:tc>
        <w:tc>
          <w:tcPr>
            <w:tcW w:w="1027"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949,766</w:t>
            </w:r>
          </w:p>
        </w:tc>
        <w:tc>
          <w:tcPr>
            <w:tcW w:w="973"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543,584</w:t>
            </w:r>
          </w:p>
        </w:tc>
        <w:tc>
          <w:tcPr>
            <w:tcW w:w="1027"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17.5%</w:t>
            </w:r>
          </w:p>
        </w:tc>
        <w:tc>
          <w:tcPr>
            <w:tcW w:w="1033" w:type="dxa"/>
            <w:tcBorders>
              <w:top w:val="nil"/>
              <w:left w:val="nil"/>
              <w:bottom w:val="single" w:sz="4" w:space="0" w:color="auto"/>
              <w:right w:val="single" w:sz="4" w:space="0" w:color="auto"/>
            </w:tcBorders>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23.9%</w:t>
            </w:r>
          </w:p>
        </w:tc>
      </w:tr>
      <w:tr w:rsidR="005F1917" w:rsidRPr="005F1917" w:rsidTr="00514039">
        <w:trPr>
          <w:trHeight w:val="275"/>
        </w:trPr>
        <w:tc>
          <w:tcPr>
            <w:tcW w:w="921"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1027"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950"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1027"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940"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1027"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973"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1027"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1033"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r>
      <w:tr w:rsidR="005F1917" w:rsidRPr="005F1917" w:rsidTr="00514039">
        <w:trPr>
          <w:trHeight w:val="649"/>
        </w:trPr>
        <w:tc>
          <w:tcPr>
            <w:tcW w:w="8925" w:type="dxa"/>
            <w:gridSpan w:val="9"/>
            <w:tcBorders>
              <w:top w:val="nil"/>
              <w:left w:val="nil"/>
              <w:bottom w:val="nil"/>
              <w:right w:val="nil"/>
            </w:tcBorders>
            <w:vAlign w:val="bottom"/>
          </w:tcPr>
          <w:p w:rsidR="005F1917" w:rsidRPr="005F1917" w:rsidRDefault="005F1917" w:rsidP="00514039">
            <w:pPr>
              <w:spacing w:after="0" w:line="240" w:lineRule="auto"/>
              <w:rPr>
                <w:rFonts w:ascii="Cambria" w:hAnsi="Cambria"/>
                <w:color w:val="000000"/>
                <w:sz w:val="24"/>
                <w:szCs w:val="24"/>
              </w:rPr>
            </w:pPr>
            <w:r w:rsidRPr="005F1917">
              <w:rPr>
                <w:rFonts w:ascii="Cambria" w:hAnsi="Cambria"/>
                <w:color w:val="000000"/>
                <w:sz w:val="24"/>
                <w:szCs w:val="24"/>
                <w:vertAlign w:val="superscript"/>
              </w:rPr>
              <w:t xml:space="preserve">a </w:t>
            </w:r>
            <w:r w:rsidRPr="005F1917">
              <w:rPr>
                <w:rFonts w:ascii="Cambria" w:hAnsi="Cambria"/>
                <w:color w:val="000000"/>
                <w:sz w:val="24"/>
                <w:szCs w:val="24"/>
              </w:rPr>
              <w:t>Treated values include 12,398 acres that burned in 2012 and are proposed for treatment in 2013. The burn severity is not known for the 12,398 acres, so they are included in BOTH burn severity categories.</w:t>
            </w:r>
          </w:p>
        </w:tc>
      </w:tr>
      <w:tr w:rsidR="005F1917" w:rsidRPr="005F1917" w:rsidTr="00514039">
        <w:trPr>
          <w:trHeight w:val="718"/>
        </w:trPr>
        <w:tc>
          <w:tcPr>
            <w:tcW w:w="8925" w:type="dxa"/>
            <w:gridSpan w:val="9"/>
            <w:tcBorders>
              <w:top w:val="nil"/>
              <w:left w:val="nil"/>
              <w:bottom w:val="nil"/>
              <w:right w:val="nil"/>
            </w:tcBorders>
            <w:vAlign w:val="bottom"/>
          </w:tcPr>
          <w:p w:rsidR="005F1917" w:rsidRPr="005F1917" w:rsidRDefault="005F1917" w:rsidP="00514039">
            <w:pPr>
              <w:spacing w:after="0" w:line="240" w:lineRule="auto"/>
              <w:rPr>
                <w:rFonts w:ascii="Cambria" w:hAnsi="Cambria"/>
                <w:color w:val="000000"/>
                <w:sz w:val="24"/>
                <w:szCs w:val="24"/>
              </w:rPr>
            </w:pPr>
            <w:r w:rsidRPr="005F1917">
              <w:rPr>
                <w:rFonts w:ascii="Cambria" w:hAnsi="Cambria"/>
                <w:color w:val="000000"/>
                <w:sz w:val="24"/>
                <w:szCs w:val="24"/>
                <w:vertAlign w:val="superscript"/>
              </w:rPr>
              <w:lastRenderedPageBreak/>
              <w:t xml:space="preserve">b </w:t>
            </w:r>
            <w:r w:rsidRPr="005F1917">
              <w:rPr>
                <w:rFonts w:ascii="Cambria" w:hAnsi="Cambria"/>
                <w:color w:val="000000"/>
                <w:sz w:val="24"/>
                <w:szCs w:val="24"/>
              </w:rPr>
              <w:t>For NPS lands we assumed no burned acres were treated. Only fires that burned on both Forest Service and NPS lands are included (see text) so we likely underestimate untreated acres.</w:t>
            </w:r>
          </w:p>
        </w:tc>
      </w:tr>
      <w:tr w:rsidR="005F1917" w:rsidRPr="005F1917" w:rsidTr="00514039">
        <w:trPr>
          <w:trHeight w:val="413"/>
        </w:trPr>
        <w:tc>
          <w:tcPr>
            <w:tcW w:w="8925" w:type="dxa"/>
            <w:gridSpan w:val="9"/>
            <w:tcBorders>
              <w:top w:val="nil"/>
              <w:left w:val="nil"/>
              <w:bottom w:val="nil"/>
              <w:right w:val="nil"/>
            </w:tcBorders>
            <w:vAlign w:val="bottom"/>
          </w:tcPr>
          <w:p w:rsidR="005F1917" w:rsidRPr="005F1917" w:rsidRDefault="005F1917" w:rsidP="00514039">
            <w:pPr>
              <w:spacing w:after="0" w:line="240" w:lineRule="auto"/>
              <w:rPr>
                <w:rFonts w:ascii="Cambria" w:hAnsi="Cambria"/>
                <w:color w:val="000000"/>
                <w:sz w:val="24"/>
                <w:szCs w:val="24"/>
              </w:rPr>
            </w:pPr>
            <w:r w:rsidRPr="005F1917">
              <w:rPr>
                <w:rFonts w:ascii="Cambria" w:hAnsi="Cambria"/>
                <w:color w:val="000000"/>
                <w:sz w:val="24"/>
                <w:szCs w:val="24"/>
                <w:vertAlign w:val="superscript"/>
              </w:rPr>
              <w:t xml:space="preserve">c </w:t>
            </w:r>
            <w:r w:rsidRPr="005F1917">
              <w:rPr>
                <w:rFonts w:ascii="Cambria" w:hAnsi="Cambria"/>
                <w:color w:val="000000"/>
                <w:sz w:val="24"/>
                <w:szCs w:val="24"/>
              </w:rPr>
              <w:t xml:space="preserve">For Other lands we assumed that all of the burned acres were treated. </w:t>
            </w:r>
          </w:p>
        </w:tc>
      </w:tr>
      <w:tr w:rsidR="005F1917" w:rsidRPr="005F1917" w:rsidTr="00514039">
        <w:trPr>
          <w:trHeight w:val="401"/>
        </w:trPr>
        <w:tc>
          <w:tcPr>
            <w:tcW w:w="8925" w:type="dxa"/>
            <w:gridSpan w:val="9"/>
            <w:tcBorders>
              <w:top w:val="nil"/>
              <w:left w:val="nil"/>
              <w:bottom w:val="nil"/>
              <w:right w:val="nil"/>
            </w:tcBorders>
            <w:vAlign w:val="bottom"/>
          </w:tcPr>
          <w:p w:rsidR="005F1917" w:rsidRPr="005F1917" w:rsidRDefault="005F1917" w:rsidP="00514039">
            <w:pPr>
              <w:spacing w:after="0" w:line="240" w:lineRule="auto"/>
              <w:rPr>
                <w:rFonts w:ascii="Cambria" w:hAnsi="Cambria"/>
                <w:color w:val="000000"/>
                <w:sz w:val="24"/>
                <w:szCs w:val="24"/>
              </w:rPr>
            </w:pPr>
            <w:r w:rsidRPr="005F1917">
              <w:rPr>
                <w:rFonts w:ascii="Cambria" w:hAnsi="Cambria"/>
                <w:color w:val="000000"/>
                <w:sz w:val="24"/>
                <w:szCs w:val="24"/>
                <w:vertAlign w:val="superscript"/>
              </w:rPr>
              <w:t xml:space="preserve">d </w:t>
            </w:r>
            <w:r w:rsidRPr="005F1917">
              <w:rPr>
                <w:rFonts w:ascii="Cambria" w:hAnsi="Cambria"/>
                <w:color w:val="000000"/>
                <w:sz w:val="24"/>
                <w:szCs w:val="24"/>
              </w:rPr>
              <w:t>For All lands we summed values for FS, NPS, and Other lands.</w:t>
            </w:r>
          </w:p>
        </w:tc>
      </w:tr>
    </w:tbl>
    <w:p w:rsidR="005F1917" w:rsidRPr="005F1917" w:rsidRDefault="005F1917" w:rsidP="005F1917">
      <w:pPr>
        <w:rPr>
          <w:rFonts w:ascii="Cambria" w:hAnsi="Cambria" w:cs="Times New Roman"/>
          <w:sz w:val="24"/>
          <w:szCs w:val="24"/>
        </w:rPr>
      </w:pPr>
    </w:p>
    <w:p w:rsidR="005F1917" w:rsidRPr="005F1917" w:rsidRDefault="005F1917" w:rsidP="005F1917">
      <w:pPr>
        <w:rPr>
          <w:rFonts w:ascii="Cambria" w:hAnsi="Cambria" w:cs="Times New Roman"/>
          <w:sz w:val="24"/>
          <w:szCs w:val="24"/>
          <w:u w:val="single"/>
        </w:rPr>
      </w:pPr>
      <w:r w:rsidRPr="005F1917">
        <w:rPr>
          <w:rFonts w:ascii="Cambria" w:hAnsi="Cambria" w:cs="Times New Roman"/>
          <w:sz w:val="24"/>
          <w:szCs w:val="24"/>
        </w:rPr>
        <w:t xml:space="preserve">Our analyses show that between 5.3%-8.9% (depending on fire severity levels) of the FS acres that burned from 2005-2012 and are suitable for Black-backed Woodpeckers have been, or are proposed to be treated with post-fire timber removal. This percentage range can be further broken down into treatments that have already occurred (3.7%-6.0%) and treatments that are proposed to occur in 2013 (1.6%-2.9%) on 12,398 acres of suitable Black-backed Woodpecker habitat. </w:t>
      </w:r>
      <w:r w:rsidRPr="005F1917">
        <w:rPr>
          <w:rFonts w:ascii="Cambria" w:hAnsi="Cambria" w:cs="Times New Roman"/>
          <w:sz w:val="24"/>
          <w:szCs w:val="24"/>
          <w:u w:val="single"/>
        </w:rPr>
        <w:t xml:space="preserve">Therefore the burned timber removal planned in 2013 (from the 2012 fires) will contribute to a 1.6%-2.9% reduction in suitable habitat for Black-backed Woodpeckers which is in addition to the 3.7-6.0% reduction in suitable habitat from treatments on fires that occurred in 2005-2011. </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 xml:space="preserve">Our estimates for all lands (regardless of landowner) show that between 17.5% to 23.9%  (depending on fire severity levels) of the acres that burned in the range of the Black-backed Woodpecker in California from 2005-2012 have been, or are proposed to be treated with post-fire timber removal (of which 5.3%-8.9% occur on FS lands). This range for treated acres on all lands is likely an overestimate because it includes the assumption that all “other lands” (non-FS and non-NPS) are harvested following a fire. Moreover, the percent treated values for all lands is likely missing fires that occurred exclusively on NPS land as we did not have access to data on fires that occurred exclusively on NPS lands (we only had access to data on fires where the fire perimeter overlapped with FS lands). An increase in fires on NPS lands would likely increase the amount of habitat available to woodpeckers and lead to an overall decrease in the percent treated on all lands (as NPS lands are not harvested). </w:t>
      </w:r>
    </w:p>
    <w:p w:rsidR="00D92E2C" w:rsidRDefault="005F1917" w:rsidP="00A73F08">
      <w:pPr>
        <w:rPr>
          <w:rFonts w:ascii="Cambria" w:hAnsi="Cambria" w:cs="AdvP41461E"/>
          <w:sz w:val="24"/>
          <w:szCs w:val="24"/>
        </w:rPr>
      </w:pPr>
      <w:r>
        <w:rPr>
          <w:rFonts w:ascii="Cambria" w:hAnsi="Cambria" w:cs="AdvP41461E"/>
          <w:sz w:val="24"/>
          <w:szCs w:val="24"/>
        </w:rPr>
        <w:br w:type="page"/>
      </w:r>
    </w:p>
    <w:p w:rsidR="00A73F08" w:rsidRPr="005F1917" w:rsidRDefault="00A73F08" w:rsidP="00A73F08">
      <w:pPr>
        <w:autoSpaceDE w:val="0"/>
        <w:autoSpaceDN w:val="0"/>
        <w:adjustRightInd w:val="0"/>
        <w:spacing w:after="0" w:line="240" w:lineRule="auto"/>
        <w:rPr>
          <w:rFonts w:ascii="Cambria" w:hAnsi="Cambria" w:cs="AdvP41461E"/>
          <w:b/>
          <w:sz w:val="24"/>
          <w:szCs w:val="24"/>
        </w:rPr>
      </w:pPr>
      <w:r w:rsidRPr="005F1917">
        <w:rPr>
          <w:rFonts w:ascii="Cambria" w:hAnsi="Cambria" w:cs="AdvP41461E"/>
          <w:b/>
          <w:sz w:val="24"/>
          <w:szCs w:val="24"/>
        </w:rPr>
        <w:lastRenderedPageBreak/>
        <w:t>Bibliography:</w:t>
      </w:r>
    </w:p>
    <w:p w:rsidR="00A73F08" w:rsidRDefault="00A73F08" w:rsidP="00A73F08">
      <w:pPr>
        <w:autoSpaceDE w:val="0"/>
        <w:autoSpaceDN w:val="0"/>
        <w:adjustRightInd w:val="0"/>
        <w:spacing w:after="0" w:line="240" w:lineRule="auto"/>
        <w:rPr>
          <w:rFonts w:ascii="Cambria" w:hAnsi="Cambria" w:cs="AdvP41461E"/>
          <w:sz w:val="24"/>
          <w:szCs w:val="24"/>
        </w:rPr>
      </w:pPr>
    </w:p>
    <w:p w:rsidR="00A73F08" w:rsidRDefault="00A73F08" w:rsidP="00A73F08">
      <w:pPr>
        <w:pStyle w:val="ListParagraph"/>
        <w:numPr>
          <w:ilvl w:val="0"/>
          <w:numId w:val="32"/>
        </w:numPr>
        <w:autoSpaceDE w:val="0"/>
        <w:autoSpaceDN w:val="0"/>
        <w:adjustRightInd w:val="0"/>
        <w:spacing w:after="0" w:line="240" w:lineRule="auto"/>
        <w:rPr>
          <w:rFonts w:ascii="Cambria" w:hAnsi="Cambria" w:cs="AdvP40319B"/>
          <w:sz w:val="24"/>
          <w:szCs w:val="24"/>
        </w:rPr>
      </w:pPr>
      <w:r>
        <w:rPr>
          <w:rFonts w:ascii="Cambria" w:hAnsi="Cambria" w:cs="AdvP41461E"/>
          <w:sz w:val="24"/>
          <w:szCs w:val="24"/>
        </w:rPr>
        <w:t>2014, February. Danny L. Fry, Scott L. Stephens, Brandon M. Collins, Malcolm P. North, Ernesto Franco-Vizcaı´no, Samantha J. Gill</w:t>
      </w:r>
      <w:r w:rsidRPr="00D92E2C">
        <w:rPr>
          <w:rFonts w:ascii="Cambria" w:hAnsi="Cambria" w:cs="AdvP41461E"/>
          <w:sz w:val="24"/>
          <w:szCs w:val="24"/>
        </w:rPr>
        <w:t xml:space="preserve">. </w:t>
      </w:r>
      <w:r w:rsidRPr="00D92E2C">
        <w:rPr>
          <w:rFonts w:ascii="Cambria" w:hAnsi="Cambria" w:cs="AdvP40319B"/>
          <w:sz w:val="24"/>
          <w:szCs w:val="24"/>
        </w:rPr>
        <w:t>Contrasting Spatial Patterns in Active-Fire and Fire-</w:t>
      </w:r>
      <w:r w:rsidRPr="00D92E2C">
        <w:rPr>
          <w:rFonts w:ascii="Cambria" w:hAnsi="Cambria" w:cs="AdvP41461E"/>
          <w:sz w:val="24"/>
          <w:szCs w:val="24"/>
        </w:rPr>
        <w:t xml:space="preserve"> </w:t>
      </w:r>
      <w:r w:rsidRPr="00D92E2C">
        <w:rPr>
          <w:rFonts w:ascii="Cambria" w:hAnsi="Cambria" w:cs="AdvP40319B"/>
          <w:sz w:val="24"/>
          <w:szCs w:val="24"/>
        </w:rPr>
        <w:t>Suppressed Mediterranean Climate Old-Growth Mixed</w:t>
      </w:r>
      <w:r w:rsidRPr="00D92E2C">
        <w:rPr>
          <w:rFonts w:ascii="Cambria" w:hAnsi="Cambria" w:cs="AdvP41461E"/>
          <w:sz w:val="24"/>
          <w:szCs w:val="24"/>
        </w:rPr>
        <w:t xml:space="preserve"> </w:t>
      </w:r>
      <w:r w:rsidRPr="00D92E2C">
        <w:rPr>
          <w:rFonts w:ascii="Cambria" w:hAnsi="Cambria" w:cs="AdvP40319B"/>
          <w:sz w:val="24"/>
          <w:szCs w:val="24"/>
        </w:rPr>
        <w:t>Conifer Forests</w:t>
      </w:r>
    </w:p>
    <w:p w:rsidR="00A73F08" w:rsidRDefault="00A73F08" w:rsidP="00A73F08">
      <w:pPr>
        <w:pStyle w:val="ListParagraph"/>
        <w:numPr>
          <w:ilvl w:val="0"/>
          <w:numId w:val="32"/>
        </w:numPr>
        <w:autoSpaceDE w:val="0"/>
        <w:autoSpaceDN w:val="0"/>
        <w:adjustRightInd w:val="0"/>
        <w:spacing w:after="0" w:line="240" w:lineRule="auto"/>
        <w:rPr>
          <w:rFonts w:ascii="Cambria" w:hAnsi="Cambria" w:cs="AdvP40319B"/>
          <w:sz w:val="24"/>
          <w:szCs w:val="24"/>
        </w:rPr>
      </w:pPr>
      <w:r>
        <w:rPr>
          <w:rFonts w:ascii="Cambria" w:hAnsi="Cambria" w:cs="AdvP40319B"/>
          <w:sz w:val="24"/>
          <w:szCs w:val="24"/>
        </w:rPr>
        <w:t>2015, March.  Forest Service, California Region, 2014 Insect and Disease Aerial Mortality Survey (R5-PR-034).</w:t>
      </w:r>
    </w:p>
    <w:p w:rsidR="00A73F08" w:rsidRDefault="00A73F08" w:rsidP="00A73F08">
      <w:pPr>
        <w:pStyle w:val="ListParagraph"/>
        <w:numPr>
          <w:ilvl w:val="0"/>
          <w:numId w:val="32"/>
        </w:numPr>
        <w:autoSpaceDE w:val="0"/>
        <w:autoSpaceDN w:val="0"/>
        <w:adjustRightInd w:val="0"/>
        <w:spacing w:after="0" w:line="240" w:lineRule="auto"/>
        <w:rPr>
          <w:rFonts w:ascii="Cambria" w:hAnsi="Cambria" w:cs="AdvP40319B"/>
          <w:sz w:val="24"/>
          <w:szCs w:val="24"/>
        </w:rPr>
      </w:pPr>
      <w:r>
        <w:rPr>
          <w:rFonts w:ascii="Cambria" w:hAnsi="Cambria" w:cs="AdvP40319B"/>
          <w:sz w:val="24"/>
          <w:szCs w:val="24"/>
        </w:rPr>
        <w:t>2015, March.  Randy Moore.  Region 5 Ecological Restoration Leadership Intent (R5-MR-048).</w:t>
      </w:r>
    </w:p>
    <w:p w:rsidR="00A73F08" w:rsidRDefault="00A73F08" w:rsidP="00A73F08">
      <w:pPr>
        <w:pStyle w:val="ListParagraph"/>
        <w:numPr>
          <w:ilvl w:val="0"/>
          <w:numId w:val="32"/>
        </w:numPr>
        <w:autoSpaceDE w:val="0"/>
        <w:autoSpaceDN w:val="0"/>
        <w:adjustRightInd w:val="0"/>
        <w:spacing w:after="0" w:line="240" w:lineRule="auto"/>
        <w:rPr>
          <w:rFonts w:ascii="Cambria" w:hAnsi="Cambria" w:cs="AdvP40319B"/>
          <w:sz w:val="24"/>
          <w:szCs w:val="24"/>
        </w:rPr>
      </w:pPr>
      <w:r>
        <w:rPr>
          <w:rFonts w:ascii="Cambria" w:hAnsi="Cambria" w:cs="AdvP40319B"/>
          <w:sz w:val="24"/>
          <w:szCs w:val="24"/>
        </w:rPr>
        <w:t>2008, November.  California’s Forest Resources, 2001-2005.  Five-year forest inventory and analysis report. PNW-GTR-763.</w:t>
      </w:r>
    </w:p>
    <w:p w:rsidR="00A73F08" w:rsidRDefault="00A73F08" w:rsidP="00A73F08">
      <w:pPr>
        <w:pStyle w:val="ListParagraph"/>
        <w:numPr>
          <w:ilvl w:val="0"/>
          <w:numId w:val="32"/>
        </w:numPr>
        <w:autoSpaceDE w:val="0"/>
        <w:autoSpaceDN w:val="0"/>
        <w:adjustRightInd w:val="0"/>
        <w:spacing w:after="0" w:line="240" w:lineRule="auto"/>
        <w:rPr>
          <w:rFonts w:ascii="Cambria" w:hAnsi="Cambria" w:cs="AdvP40319B"/>
          <w:sz w:val="24"/>
          <w:szCs w:val="24"/>
        </w:rPr>
      </w:pPr>
      <w:r>
        <w:rPr>
          <w:rFonts w:ascii="Cambria" w:hAnsi="Cambria" w:cs="AdvP40319B"/>
          <w:sz w:val="24"/>
          <w:szCs w:val="24"/>
        </w:rPr>
        <w:t>2010, January.  Mark Nechodom.  California Energy Commission Study (CEC-500-2009-080); “Biomass to Energy: Forest Management for Wildfire Reduction, Energy Production, and Other Benefits”.</w:t>
      </w:r>
    </w:p>
    <w:p w:rsidR="00A73F08" w:rsidRPr="008F20CD" w:rsidRDefault="00A73F08" w:rsidP="00A73F08">
      <w:pPr>
        <w:pStyle w:val="ListParagraph"/>
        <w:numPr>
          <w:ilvl w:val="0"/>
          <w:numId w:val="32"/>
        </w:numPr>
        <w:autoSpaceDE w:val="0"/>
        <w:autoSpaceDN w:val="0"/>
        <w:adjustRightInd w:val="0"/>
        <w:spacing w:after="0" w:line="240" w:lineRule="auto"/>
        <w:rPr>
          <w:rFonts w:ascii="Cambria" w:hAnsi="Cambria" w:cs="TTE149BA98t00"/>
          <w:color w:val="000000" w:themeColor="text1"/>
          <w:sz w:val="24"/>
          <w:szCs w:val="24"/>
        </w:rPr>
      </w:pPr>
      <w:r w:rsidRPr="008F20CD">
        <w:rPr>
          <w:rFonts w:ascii="Cambria" w:hAnsi="Cambria" w:cs="AdvP40319B"/>
          <w:sz w:val="24"/>
          <w:szCs w:val="24"/>
        </w:rPr>
        <w:t xml:space="preserve">2009, April. Mark Nechodom, PowerPoint.  </w:t>
      </w:r>
      <w:r>
        <w:rPr>
          <w:rFonts w:ascii="Cambria" w:hAnsi="Cambria" w:cs="AdvP40319B"/>
          <w:sz w:val="24"/>
          <w:szCs w:val="24"/>
        </w:rPr>
        <w:t>“</w:t>
      </w:r>
      <w:r w:rsidRPr="008F20CD">
        <w:rPr>
          <w:rFonts w:ascii="Cambria" w:hAnsi="Cambria" w:cs="TTE149BA98t00"/>
          <w:color w:val="000000" w:themeColor="text1"/>
          <w:sz w:val="24"/>
          <w:szCs w:val="24"/>
        </w:rPr>
        <w:t>Forest Biomass:</w:t>
      </w:r>
      <w:r>
        <w:rPr>
          <w:rFonts w:ascii="Cambria" w:hAnsi="Cambria" w:cs="TTE149BA98t00"/>
          <w:color w:val="000000" w:themeColor="text1"/>
          <w:sz w:val="24"/>
          <w:szCs w:val="24"/>
        </w:rPr>
        <w:t xml:space="preserve"> </w:t>
      </w:r>
      <w:r w:rsidRPr="008F20CD">
        <w:rPr>
          <w:rFonts w:ascii="Cambria" w:hAnsi="Cambria" w:cs="TTE1613ED0t00"/>
          <w:color w:val="000000" w:themeColor="text1"/>
          <w:sz w:val="24"/>
          <w:szCs w:val="24"/>
        </w:rPr>
        <w:t>Wildfire, Ecosystem Services and</w:t>
      </w:r>
      <w:r w:rsidRPr="008F20CD">
        <w:rPr>
          <w:rFonts w:ascii="Cambria" w:hAnsi="Cambria" w:cs="TTE149BA98t00"/>
          <w:color w:val="000000" w:themeColor="text1"/>
          <w:sz w:val="24"/>
          <w:szCs w:val="24"/>
        </w:rPr>
        <w:t xml:space="preserve"> </w:t>
      </w:r>
      <w:r w:rsidRPr="008F20CD">
        <w:rPr>
          <w:rFonts w:ascii="Cambria" w:hAnsi="Cambria" w:cs="TTE1613ED0t00"/>
          <w:color w:val="000000" w:themeColor="text1"/>
          <w:sz w:val="24"/>
          <w:szCs w:val="24"/>
        </w:rPr>
        <w:t>Net Benefits of Bioenergy</w:t>
      </w:r>
      <w:r>
        <w:rPr>
          <w:rFonts w:ascii="Cambria" w:hAnsi="Cambria" w:cs="TTE1613ED0t00"/>
          <w:color w:val="000000" w:themeColor="text1"/>
          <w:sz w:val="24"/>
          <w:szCs w:val="24"/>
        </w:rPr>
        <w:t>”</w:t>
      </w:r>
    </w:p>
    <w:p w:rsidR="00A73F08" w:rsidRPr="008F20CD" w:rsidRDefault="00A73F08" w:rsidP="00A73F08">
      <w:pPr>
        <w:pStyle w:val="ListParagraph"/>
        <w:numPr>
          <w:ilvl w:val="0"/>
          <w:numId w:val="32"/>
        </w:numPr>
        <w:autoSpaceDE w:val="0"/>
        <w:autoSpaceDN w:val="0"/>
        <w:adjustRightInd w:val="0"/>
        <w:spacing w:after="0" w:line="240" w:lineRule="auto"/>
        <w:rPr>
          <w:rFonts w:ascii="Cambria" w:hAnsi="Cambria" w:cs="AdvP40319B"/>
          <w:sz w:val="24"/>
          <w:szCs w:val="24"/>
        </w:rPr>
      </w:pPr>
      <w:r w:rsidRPr="008F20CD">
        <w:rPr>
          <w:rFonts w:ascii="Cambria" w:hAnsi="Cambria" w:cs="AdvP40319B"/>
          <w:sz w:val="24"/>
          <w:szCs w:val="24"/>
        </w:rPr>
        <w:t xml:space="preserve">Leland Tarnay.  PowerPoint Presentation. </w:t>
      </w:r>
      <w:r w:rsidRPr="008F20CD">
        <w:rPr>
          <w:rFonts w:ascii="Cambria" w:hAnsi="Cambria" w:cs="AdvP40319B"/>
        </w:rPr>
        <w:t>“</w:t>
      </w:r>
      <w:r w:rsidRPr="008F20CD">
        <w:rPr>
          <w:rFonts w:ascii="Cambria" w:hAnsi="Cambria"/>
          <w:sz w:val="24"/>
          <w:szCs w:val="24"/>
        </w:rPr>
        <w:t>Managing Smoke and Carbon: Strategies</w:t>
      </w:r>
      <w:r w:rsidRPr="008F20CD">
        <w:rPr>
          <w:rFonts w:ascii="Cambria" w:hAnsi="Cambria"/>
        </w:rPr>
        <w:t xml:space="preserve"> </w:t>
      </w:r>
      <w:r w:rsidRPr="008F20CD">
        <w:rPr>
          <w:rFonts w:ascii="Cambria" w:hAnsi="Cambria"/>
          <w:sz w:val="24"/>
          <w:szCs w:val="24"/>
        </w:rPr>
        <w:t>for minimizing</w:t>
      </w:r>
      <w:r w:rsidRPr="008F20CD">
        <w:rPr>
          <w:rFonts w:ascii="Cambria" w:hAnsi="Cambria"/>
        </w:rPr>
        <w:t xml:space="preserve"> </w:t>
      </w:r>
      <w:r w:rsidRPr="008F20CD">
        <w:rPr>
          <w:rFonts w:ascii="Cambria" w:hAnsi="Cambria"/>
          <w:sz w:val="24"/>
          <w:szCs w:val="24"/>
        </w:rPr>
        <w:t>impacts while increasing pace and scale of fire treatments</w:t>
      </w:r>
      <w:r w:rsidRPr="008F20CD">
        <w:rPr>
          <w:rFonts w:ascii="Cambria" w:hAnsi="Cambria"/>
        </w:rPr>
        <w:t>”.</w:t>
      </w:r>
    </w:p>
    <w:p w:rsidR="00A73F08" w:rsidRPr="00532DD6" w:rsidRDefault="00A73F08" w:rsidP="00A73F08">
      <w:pPr>
        <w:pStyle w:val="ListParagraph"/>
        <w:numPr>
          <w:ilvl w:val="0"/>
          <w:numId w:val="32"/>
        </w:numPr>
        <w:autoSpaceDE w:val="0"/>
        <w:autoSpaceDN w:val="0"/>
        <w:adjustRightInd w:val="0"/>
        <w:spacing w:after="0" w:line="240" w:lineRule="auto"/>
        <w:rPr>
          <w:rFonts w:ascii="Cambria" w:hAnsi="Cambria" w:cs="AdvGulliv-R"/>
          <w:sz w:val="24"/>
          <w:szCs w:val="24"/>
        </w:rPr>
      </w:pPr>
      <w:r>
        <w:rPr>
          <w:rFonts w:ascii="Cambria" w:hAnsi="Cambria" w:cs="AdvP40319B"/>
          <w:sz w:val="24"/>
          <w:szCs w:val="24"/>
        </w:rPr>
        <w:t xml:space="preserve">2014. June. </w:t>
      </w:r>
      <w:r w:rsidRPr="00C21989">
        <w:rPr>
          <w:rFonts w:ascii="Cambria" w:hAnsi="Cambria" w:cs="AdvP40319B"/>
          <w:sz w:val="24"/>
          <w:szCs w:val="24"/>
        </w:rPr>
        <w:t>Lydersen, North, Collins.  “</w:t>
      </w:r>
      <w:r w:rsidRPr="00C21989">
        <w:rPr>
          <w:rFonts w:ascii="Cambria" w:hAnsi="Cambria" w:cs="AdvGulliv-R"/>
          <w:sz w:val="24"/>
          <w:szCs w:val="24"/>
        </w:rPr>
        <w:t>Severity of an uncharacteristically large wildfire, the Rim Fire, in forests with relatively restored frequent fire regimes</w:t>
      </w:r>
      <w:r>
        <w:rPr>
          <w:rFonts w:ascii="Cambria" w:hAnsi="Cambria" w:cs="AdvGulliv-R"/>
          <w:sz w:val="24"/>
          <w:szCs w:val="24"/>
        </w:rPr>
        <w:t xml:space="preserve">”.  </w:t>
      </w:r>
      <w:r w:rsidRPr="00C21989">
        <w:rPr>
          <w:rFonts w:ascii="Cambria" w:hAnsi="Cambria"/>
          <w:sz w:val="24"/>
          <w:szCs w:val="24"/>
        </w:rPr>
        <w:t>Forest Ecology and Management 328, 326-334.</w:t>
      </w:r>
    </w:p>
    <w:p w:rsidR="00A73F08" w:rsidRPr="00640DD8" w:rsidRDefault="00A73F08" w:rsidP="00A73F08">
      <w:pPr>
        <w:pStyle w:val="Default"/>
        <w:numPr>
          <w:ilvl w:val="0"/>
          <w:numId w:val="32"/>
        </w:numPr>
        <w:rPr>
          <w:rFonts w:ascii="Arial" w:hAnsi="Arial" w:cs="Arial"/>
        </w:rPr>
      </w:pPr>
      <w:r>
        <w:rPr>
          <w:rFonts w:ascii="Cambria" w:hAnsi="Cambria"/>
        </w:rPr>
        <w:t>2014. February.  California Air Resources Board.  “</w:t>
      </w:r>
      <w:r w:rsidRPr="00532DD6">
        <w:rPr>
          <w:rFonts w:ascii="Cambria" w:hAnsi="Cambria" w:cs="Arial"/>
          <w:bCs/>
        </w:rPr>
        <w:t>Proposed First Update to the Climate Change Scoping Plan: Building on the Framework</w:t>
      </w:r>
      <w:r>
        <w:rPr>
          <w:rFonts w:ascii="Cambria" w:hAnsi="Cambria" w:cs="Arial"/>
          <w:bCs/>
        </w:rPr>
        <w:t>”.</w:t>
      </w:r>
      <w:r w:rsidRPr="00532DD6">
        <w:rPr>
          <w:rFonts w:ascii="Arial" w:hAnsi="Arial" w:cs="Arial"/>
          <w:b/>
          <w:bCs/>
          <w:sz w:val="28"/>
          <w:szCs w:val="28"/>
        </w:rPr>
        <w:t xml:space="preserve"> </w:t>
      </w:r>
    </w:p>
    <w:p w:rsidR="00A73F08" w:rsidRPr="00575B6D" w:rsidRDefault="00A73F08" w:rsidP="00A73F08">
      <w:pPr>
        <w:pStyle w:val="Default"/>
        <w:numPr>
          <w:ilvl w:val="0"/>
          <w:numId w:val="32"/>
        </w:numPr>
        <w:rPr>
          <w:rFonts w:ascii="Cambria" w:hAnsi="Cambria" w:cs="Arial"/>
        </w:rPr>
      </w:pPr>
      <w:r w:rsidRPr="00640DD8">
        <w:rPr>
          <w:rFonts w:ascii="Cambria" w:hAnsi="Cambria" w:cs="Arial"/>
          <w:bCs/>
        </w:rPr>
        <w:t>2012. California</w:t>
      </w:r>
      <w:r>
        <w:rPr>
          <w:rFonts w:ascii="Cambria" w:hAnsi="Cambria" w:cs="Arial"/>
          <w:bCs/>
        </w:rPr>
        <w:t xml:space="preserve"> Bioenergy Action Plan at: </w:t>
      </w:r>
      <w:hyperlink r:id="rId34" w:history="1">
        <w:r w:rsidRPr="00143841">
          <w:rPr>
            <w:rStyle w:val="Hyperlink"/>
            <w:rFonts w:ascii="Cambria" w:hAnsi="Cambria" w:cs="Arial"/>
            <w:bCs/>
          </w:rPr>
          <w:t>http://resources.ca.gov/docs/energy_and_climate_change/2012_Bioenergy_Action_Plan.pdf</w:t>
        </w:r>
      </w:hyperlink>
    </w:p>
    <w:p w:rsidR="00A73F08" w:rsidRPr="00695D61" w:rsidRDefault="00A73F08" w:rsidP="00A73F08">
      <w:pPr>
        <w:pStyle w:val="Default"/>
        <w:numPr>
          <w:ilvl w:val="0"/>
          <w:numId w:val="32"/>
        </w:numPr>
        <w:rPr>
          <w:rStyle w:val="Hyperlink"/>
          <w:rFonts w:ascii="Cambria" w:hAnsi="Cambria" w:cs="Arial"/>
          <w:color w:val="000000"/>
          <w:u w:val="none"/>
        </w:rPr>
      </w:pPr>
      <w:r>
        <w:rPr>
          <w:rFonts w:ascii="Cambria" w:hAnsi="Cambria" w:cs="Arial"/>
        </w:rPr>
        <w:t xml:space="preserve">2012, August 22.  Press Release for 2012 Bioenergy Action Plan at: </w:t>
      </w:r>
      <w:hyperlink r:id="rId35" w:history="1">
        <w:r w:rsidRPr="00594C5A">
          <w:rPr>
            <w:rStyle w:val="Hyperlink"/>
            <w:rFonts w:ascii="Cambria" w:hAnsi="Cambria" w:cs="Arial"/>
          </w:rPr>
          <w:t>http://resources.ca.gov/docs/Final_Bioenergy_Action_Plan_Release_8-22-12.pdf</w:t>
        </w:r>
      </w:hyperlink>
    </w:p>
    <w:p w:rsidR="00A73F08" w:rsidRDefault="00A73F08" w:rsidP="00A73F08">
      <w:pPr>
        <w:pStyle w:val="ListParagraph"/>
        <w:numPr>
          <w:ilvl w:val="0"/>
          <w:numId w:val="32"/>
        </w:numPr>
        <w:autoSpaceDE w:val="0"/>
        <w:autoSpaceDN w:val="0"/>
        <w:adjustRightInd w:val="0"/>
        <w:spacing w:after="0" w:line="240" w:lineRule="auto"/>
        <w:rPr>
          <w:rFonts w:ascii="Cambria" w:hAnsi="Cambria" w:cs="MyriadPro-Regular"/>
          <w:sz w:val="24"/>
          <w:szCs w:val="24"/>
        </w:rPr>
      </w:pPr>
      <w:r w:rsidRPr="00695D61">
        <w:rPr>
          <w:rStyle w:val="Hyperlink"/>
          <w:rFonts w:ascii="Cambria" w:hAnsi="Cambria" w:cs="Arial"/>
          <w:color w:val="auto"/>
          <w:sz w:val="24"/>
          <w:szCs w:val="24"/>
        </w:rPr>
        <w:t>2011. Lippke etal. “</w:t>
      </w:r>
      <w:r w:rsidRPr="00695D61">
        <w:rPr>
          <w:rFonts w:ascii="Cambria" w:hAnsi="Cambria" w:cs="MyriadPro-Regular"/>
          <w:sz w:val="24"/>
          <w:szCs w:val="24"/>
        </w:rPr>
        <w:t xml:space="preserve">Life cycle impacts of forest management and wood utilization on carbon mitigation: knowns and unknowns.” </w:t>
      </w:r>
      <w:r w:rsidRPr="00695D61">
        <w:rPr>
          <w:rFonts w:ascii="Cambria" w:hAnsi="Cambria" w:cs="MyriadPro-BoldIt"/>
          <w:b/>
          <w:bCs/>
          <w:i/>
          <w:iCs/>
          <w:sz w:val="24"/>
          <w:szCs w:val="24"/>
        </w:rPr>
        <w:t xml:space="preserve">Carbon Management </w:t>
      </w:r>
      <w:r w:rsidRPr="00695D61">
        <w:rPr>
          <w:rFonts w:ascii="Cambria" w:hAnsi="Cambria" w:cs="MyriadPro-Regular"/>
          <w:sz w:val="24"/>
          <w:szCs w:val="24"/>
        </w:rPr>
        <w:t>(2011) 2(3), pp. 303–333</w:t>
      </w:r>
      <w:r>
        <w:rPr>
          <w:rFonts w:ascii="Cambria" w:hAnsi="Cambria" w:cs="MyriadPro-Regular"/>
          <w:sz w:val="24"/>
          <w:szCs w:val="24"/>
        </w:rPr>
        <w:t>.</w:t>
      </w:r>
    </w:p>
    <w:p w:rsidR="00A73F08" w:rsidRDefault="00A73F08" w:rsidP="00A73F08">
      <w:pPr>
        <w:pStyle w:val="ListParagraph"/>
        <w:numPr>
          <w:ilvl w:val="0"/>
          <w:numId w:val="32"/>
        </w:numPr>
        <w:autoSpaceDE w:val="0"/>
        <w:autoSpaceDN w:val="0"/>
        <w:adjustRightInd w:val="0"/>
        <w:spacing w:after="0" w:line="240" w:lineRule="auto"/>
        <w:rPr>
          <w:rFonts w:ascii="Cambria" w:hAnsi="Cambria" w:cs="MyriadPro-Regular"/>
          <w:sz w:val="24"/>
          <w:szCs w:val="24"/>
        </w:rPr>
      </w:pPr>
      <w:r>
        <w:rPr>
          <w:rFonts w:ascii="Cambria" w:hAnsi="Cambria" w:cs="MyriadPro-Regular"/>
          <w:sz w:val="24"/>
          <w:szCs w:val="24"/>
        </w:rPr>
        <w:t>2006, January.  Western Governors Association. “Biomass Taskforce Report”.</w:t>
      </w:r>
    </w:p>
    <w:p w:rsidR="00A73F08" w:rsidRDefault="00A73F08" w:rsidP="00A73F08">
      <w:pPr>
        <w:pStyle w:val="ListParagraph"/>
        <w:numPr>
          <w:ilvl w:val="0"/>
          <w:numId w:val="32"/>
        </w:numPr>
        <w:autoSpaceDE w:val="0"/>
        <w:autoSpaceDN w:val="0"/>
        <w:adjustRightInd w:val="0"/>
        <w:spacing w:after="0" w:line="240" w:lineRule="auto"/>
        <w:rPr>
          <w:rFonts w:ascii="Cambria" w:hAnsi="Cambria" w:cs="ArialMT"/>
          <w:sz w:val="24"/>
          <w:szCs w:val="24"/>
        </w:rPr>
      </w:pPr>
      <w:r w:rsidRPr="00DB432A">
        <w:rPr>
          <w:rFonts w:ascii="Cambria" w:hAnsi="Cambria" w:cs="MyriadPro-Regular"/>
          <w:sz w:val="24"/>
          <w:szCs w:val="24"/>
        </w:rPr>
        <w:t>1999. Dr. Gregg Morris. “</w:t>
      </w:r>
      <w:r w:rsidRPr="00DB432A">
        <w:rPr>
          <w:rFonts w:ascii="Cambria" w:hAnsi="Cambria" w:cs="Arial-BoldMT"/>
          <w:bCs/>
          <w:sz w:val="24"/>
          <w:szCs w:val="24"/>
        </w:rPr>
        <w:t xml:space="preserve">The Value of the Benefits of U.S. Biomass Power”.  </w:t>
      </w:r>
      <w:r w:rsidRPr="00DB432A">
        <w:rPr>
          <w:rFonts w:ascii="Cambria" w:hAnsi="Cambria" w:cs="ArialMT"/>
          <w:sz w:val="24"/>
          <w:szCs w:val="24"/>
        </w:rPr>
        <w:t>National Renewable Energy Lab/SR-570-27541.</w:t>
      </w:r>
    </w:p>
    <w:p w:rsidR="00A73F08" w:rsidRDefault="00A73F08" w:rsidP="00A73F08">
      <w:pPr>
        <w:pStyle w:val="Default"/>
        <w:numPr>
          <w:ilvl w:val="0"/>
          <w:numId w:val="32"/>
        </w:numPr>
        <w:rPr>
          <w:rFonts w:ascii="Cambria" w:hAnsi="Cambria" w:cs="AGaramond-Regular"/>
        </w:rPr>
      </w:pPr>
      <w:r>
        <w:rPr>
          <w:rFonts w:ascii="Cambria" w:hAnsi="Cambria" w:cs="ArialMT"/>
        </w:rPr>
        <w:t xml:space="preserve">2011, November 29.  Dr. Roger Bales, etal. </w:t>
      </w:r>
      <w:r w:rsidRPr="00C137D1">
        <w:rPr>
          <w:rFonts w:ascii="Cambria" w:hAnsi="Cambria" w:cs="ArialMT"/>
        </w:rPr>
        <w:t xml:space="preserve"> “</w:t>
      </w:r>
      <w:r w:rsidRPr="00C137D1">
        <w:rPr>
          <w:rFonts w:ascii="Cambria" w:hAnsi="Cambria" w:cs="Arial"/>
          <w:bCs/>
        </w:rPr>
        <w:t>Forests and Water in the Sierra Nevada: Sierra Nevada Watershed Ecosystem Enhancement Project”</w:t>
      </w:r>
      <w:r>
        <w:rPr>
          <w:rFonts w:ascii="Cambria" w:hAnsi="Cambria" w:cs="Arial"/>
          <w:bCs/>
        </w:rPr>
        <w:t>. (</w:t>
      </w:r>
      <w:hyperlink r:id="rId36" w:history="1">
        <w:r w:rsidRPr="00676BDA">
          <w:rPr>
            <w:rStyle w:val="Hyperlink"/>
            <w:rFonts w:ascii="Cambria" w:hAnsi="Cambria" w:cs="AGaramond-Regular"/>
          </w:rPr>
          <w:t>http://ucanr.edu/sites/cff/files/146199.pdf</w:t>
        </w:r>
      </w:hyperlink>
      <w:r>
        <w:rPr>
          <w:rFonts w:ascii="Cambria" w:hAnsi="Cambria" w:cs="AGaramond-Regular"/>
        </w:rPr>
        <w:t>)</w:t>
      </w:r>
    </w:p>
    <w:p w:rsidR="00A73F08" w:rsidRDefault="00A73F08" w:rsidP="00A73F08">
      <w:pPr>
        <w:pStyle w:val="Default"/>
        <w:numPr>
          <w:ilvl w:val="0"/>
          <w:numId w:val="32"/>
        </w:numPr>
        <w:rPr>
          <w:rFonts w:ascii="Cambria" w:hAnsi="Cambria" w:cs="Arial"/>
        </w:rPr>
      </w:pPr>
      <w:r>
        <w:rPr>
          <w:rFonts w:ascii="Cambria" w:hAnsi="Cambria" w:cs="Arial"/>
        </w:rPr>
        <w:t xml:space="preserve">2010. Springsteen etal. “Emission Reductions from Woody Biomass Waste for Energy as an Alternative to Open Burning.” Air and Waste Management Assoc. 61:63-68. </w:t>
      </w:r>
      <w:hyperlink r:id="rId37" w:history="1">
        <w:r w:rsidRPr="00115FCD">
          <w:rPr>
            <w:rStyle w:val="Hyperlink"/>
            <w:rFonts w:ascii="Cambria" w:hAnsi="Cambria" w:cs="Arial"/>
          </w:rPr>
          <w:t>www.placer.ca.gov/~/media/apc/documents/APCD%20Biomass/EmissionReductionsFromWoodyBiomassAWMA.pdf</w:t>
        </w:r>
      </w:hyperlink>
      <w:r>
        <w:rPr>
          <w:rFonts w:ascii="Cambria" w:hAnsi="Cambria" w:cs="Arial"/>
        </w:rPr>
        <w:t xml:space="preserve"> </w:t>
      </w:r>
    </w:p>
    <w:p w:rsidR="00A73F08" w:rsidRPr="008A4763" w:rsidRDefault="00A73F08" w:rsidP="00A73F08">
      <w:pPr>
        <w:pStyle w:val="Default"/>
        <w:numPr>
          <w:ilvl w:val="0"/>
          <w:numId w:val="32"/>
        </w:numPr>
        <w:rPr>
          <w:rFonts w:ascii="Cambria" w:hAnsi="Cambria" w:cs="Arial-BoldMT"/>
          <w:bCs/>
        </w:rPr>
      </w:pPr>
      <w:r w:rsidRPr="008A4763">
        <w:rPr>
          <w:rFonts w:ascii="Cambria" w:hAnsi="Cambria" w:cs="Arial"/>
        </w:rPr>
        <w:t xml:space="preserve">2015, September.  Springsteen etal. “Forest biomass diversion in the Sierra Nevada: Energy, economics and emissions.” (Scheduled to be printed in California Agriculture September 2015 Edition. </w:t>
      </w:r>
    </w:p>
    <w:p w:rsidR="00717883" w:rsidRPr="008A4763" w:rsidRDefault="00717883" w:rsidP="00A73F08">
      <w:pPr>
        <w:pStyle w:val="Default"/>
        <w:numPr>
          <w:ilvl w:val="0"/>
          <w:numId w:val="32"/>
        </w:numPr>
        <w:rPr>
          <w:rFonts w:ascii="Cambria" w:hAnsi="Cambria" w:cs="Arial-BoldMT"/>
          <w:bCs/>
        </w:rPr>
      </w:pPr>
      <w:r>
        <w:rPr>
          <w:rFonts w:ascii="Cambria" w:hAnsi="Cambria" w:cs="Arial-BoldMT"/>
          <w:bCs/>
        </w:rPr>
        <w:lastRenderedPageBreak/>
        <w:t xml:space="preserve">1979, April.  E.F. Darley, University of California, Riverside. </w:t>
      </w:r>
      <w:r w:rsidRPr="00900552">
        <w:rPr>
          <w:rFonts w:ascii="Cambria" w:hAnsi="Cambria"/>
        </w:rPr>
        <w:t>“Hydrocarbon Characterization of Agricultural Waste Burni</w:t>
      </w:r>
      <w:r>
        <w:rPr>
          <w:rFonts w:ascii="Cambria" w:hAnsi="Cambria"/>
        </w:rPr>
        <w:t>ng”, CAL/ARB Project A7-068-30.</w:t>
      </w:r>
    </w:p>
    <w:sectPr w:rsidR="00717883" w:rsidRPr="008A4763" w:rsidSect="00CF5C43">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09D" w:rsidRDefault="0084409D" w:rsidP="004E4AAA">
      <w:pPr>
        <w:spacing w:after="0" w:line="240" w:lineRule="auto"/>
      </w:pPr>
      <w:r>
        <w:separator/>
      </w:r>
    </w:p>
  </w:endnote>
  <w:endnote w:type="continuationSeparator" w:id="0">
    <w:p w:rsidR="0084409D" w:rsidRDefault="0084409D" w:rsidP="004E4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P41461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yriadPro-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swiss"/>
    <w:notTrueType/>
    <w:pitch w:val="default"/>
    <w:sig w:usb0="00000003" w:usb1="00000000" w:usb2="00000000" w:usb3="00000000" w:csb0="00000001" w:csb1="00000000"/>
  </w:font>
  <w:font w:name="TTE148F848t00">
    <w:panose1 w:val="00000000000000000000"/>
    <w:charset w:val="00"/>
    <w:family w:val="auto"/>
    <w:notTrueType/>
    <w:pitch w:val="default"/>
    <w:sig w:usb0="00000003" w:usb1="00000000" w:usb2="00000000" w:usb3="00000000" w:csb0="00000001" w:csb1="00000000"/>
  </w:font>
  <w:font w:name="MyriadPro-SemiboldCond">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Garamond-Regular">
    <w:panose1 w:val="00000000000000000000"/>
    <w:charset w:val="00"/>
    <w:family w:val="roman"/>
    <w:notTrueType/>
    <w:pitch w:val="default"/>
    <w:sig w:usb0="00000003" w:usb1="00000000" w:usb2="00000000" w:usb3="00000000" w:csb0="00000001" w:csb1="00000000"/>
  </w:font>
  <w:font w:name="AdvGulliv-R">
    <w:panose1 w:val="00000000000000000000"/>
    <w:charset w:val="00"/>
    <w:family w:val="auto"/>
    <w:notTrueType/>
    <w:pitch w:val="default"/>
    <w:sig w:usb0="00000003" w:usb1="00000000" w:usb2="00000000" w:usb3="00000000" w:csb0="00000001" w:csb1="00000000"/>
  </w:font>
  <w:font w:name="AdvP40319B">
    <w:panose1 w:val="00000000000000000000"/>
    <w:charset w:val="00"/>
    <w:family w:val="swiss"/>
    <w:notTrueType/>
    <w:pitch w:val="default"/>
    <w:sig w:usb0="00000003" w:usb1="00000000" w:usb2="00000000" w:usb3="00000000" w:csb0="00000001" w:csb1="00000000"/>
  </w:font>
  <w:font w:name="TTE149BA98t00">
    <w:panose1 w:val="00000000000000000000"/>
    <w:charset w:val="00"/>
    <w:family w:val="auto"/>
    <w:notTrueType/>
    <w:pitch w:val="default"/>
    <w:sig w:usb0="00000003" w:usb1="00000000" w:usb2="00000000" w:usb3="00000000" w:csb0="00000001" w:csb1="00000000"/>
  </w:font>
  <w:font w:name="TTE1613ED0t00">
    <w:panose1 w:val="00000000000000000000"/>
    <w:charset w:val="00"/>
    <w:family w:val="auto"/>
    <w:notTrueType/>
    <w:pitch w:val="default"/>
    <w:sig w:usb0="00000003" w:usb1="00000000" w:usb2="00000000" w:usb3="00000000" w:csb0="00000001" w:csb1="00000000"/>
  </w:font>
  <w:font w:name="TTE10E3338t00">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MyriadPro-BoldI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5760490"/>
      <w:docPartObj>
        <w:docPartGallery w:val="Page Numbers (Bottom of Page)"/>
        <w:docPartUnique/>
      </w:docPartObj>
    </w:sdtPr>
    <w:sdtEndPr>
      <w:rPr>
        <w:noProof/>
      </w:rPr>
    </w:sdtEndPr>
    <w:sdtContent>
      <w:p w:rsidR="0084409D" w:rsidRDefault="0084409D">
        <w:pPr>
          <w:pStyle w:val="Footer"/>
          <w:jc w:val="center"/>
        </w:pPr>
        <w:r>
          <w:fldChar w:fldCharType="begin"/>
        </w:r>
        <w:r>
          <w:instrText xml:space="preserve"> PAGE   \* MERGEFORMAT </w:instrText>
        </w:r>
        <w:r>
          <w:fldChar w:fldCharType="separate"/>
        </w:r>
        <w:r w:rsidR="00204E5C">
          <w:rPr>
            <w:noProof/>
          </w:rPr>
          <w:t>1</w:t>
        </w:r>
        <w:r>
          <w:rPr>
            <w:noProof/>
          </w:rPr>
          <w:fldChar w:fldCharType="end"/>
        </w:r>
      </w:p>
    </w:sdtContent>
  </w:sdt>
  <w:p w:rsidR="0084409D" w:rsidRDefault="008440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09D" w:rsidRDefault="0084409D" w:rsidP="004E4AAA">
      <w:pPr>
        <w:spacing w:after="0" w:line="240" w:lineRule="auto"/>
      </w:pPr>
      <w:r>
        <w:separator/>
      </w:r>
    </w:p>
  </w:footnote>
  <w:footnote w:type="continuationSeparator" w:id="0">
    <w:p w:rsidR="0084409D" w:rsidRDefault="0084409D" w:rsidP="004E4A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86F45"/>
    <w:multiLevelType w:val="hybridMultilevel"/>
    <w:tmpl w:val="F72A9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00099"/>
    <w:multiLevelType w:val="hybridMultilevel"/>
    <w:tmpl w:val="C002A79E"/>
    <w:lvl w:ilvl="0" w:tplc="D568AF82">
      <w:start w:val="1"/>
      <w:numFmt w:val="decimal"/>
      <w:lvlText w:val="%1."/>
      <w:lvlJc w:val="left"/>
      <w:pPr>
        <w:ind w:left="720" w:hanging="360"/>
      </w:pPr>
      <w:rPr>
        <w:rFonts w:cs="AdvP41461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DF66AF"/>
    <w:multiLevelType w:val="hybridMultilevel"/>
    <w:tmpl w:val="49FEFC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297E55"/>
    <w:multiLevelType w:val="hybridMultilevel"/>
    <w:tmpl w:val="68A4F4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345306"/>
    <w:multiLevelType w:val="hybridMultilevel"/>
    <w:tmpl w:val="C002A79E"/>
    <w:lvl w:ilvl="0" w:tplc="D568AF82">
      <w:start w:val="1"/>
      <w:numFmt w:val="decimal"/>
      <w:lvlText w:val="%1."/>
      <w:lvlJc w:val="left"/>
      <w:pPr>
        <w:ind w:left="720" w:hanging="360"/>
      </w:pPr>
      <w:rPr>
        <w:rFonts w:cs="AdvP41461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815600"/>
    <w:multiLevelType w:val="hybridMultilevel"/>
    <w:tmpl w:val="C002A79E"/>
    <w:lvl w:ilvl="0" w:tplc="D568AF82">
      <w:start w:val="1"/>
      <w:numFmt w:val="decimal"/>
      <w:lvlText w:val="%1."/>
      <w:lvlJc w:val="left"/>
      <w:pPr>
        <w:ind w:left="720" w:hanging="360"/>
      </w:pPr>
      <w:rPr>
        <w:rFonts w:cs="AdvP41461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BB783B"/>
    <w:multiLevelType w:val="hybridMultilevel"/>
    <w:tmpl w:val="3E7461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2C7C2B"/>
    <w:multiLevelType w:val="hybridMultilevel"/>
    <w:tmpl w:val="90EC4D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7B5E0B"/>
    <w:multiLevelType w:val="hybridMultilevel"/>
    <w:tmpl w:val="0B9E2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686E85"/>
    <w:multiLevelType w:val="hybridMultilevel"/>
    <w:tmpl w:val="F81021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AA4E9F"/>
    <w:multiLevelType w:val="hybridMultilevel"/>
    <w:tmpl w:val="952AF2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3287F21"/>
    <w:multiLevelType w:val="hybridMultilevel"/>
    <w:tmpl w:val="C002A79E"/>
    <w:lvl w:ilvl="0" w:tplc="D568AF82">
      <w:start w:val="1"/>
      <w:numFmt w:val="decimal"/>
      <w:lvlText w:val="%1."/>
      <w:lvlJc w:val="left"/>
      <w:pPr>
        <w:ind w:left="720" w:hanging="360"/>
      </w:pPr>
      <w:rPr>
        <w:rFonts w:cs="AdvP41461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AB046E"/>
    <w:multiLevelType w:val="hybridMultilevel"/>
    <w:tmpl w:val="D38C26EA"/>
    <w:lvl w:ilvl="0" w:tplc="C55C12B0">
      <w:start w:val="1"/>
      <w:numFmt w:val="decimal"/>
      <w:lvlText w:val="%1)"/>
      <w:lvlJc w:val="left"/>
      <w:pPr>
        <w:ind w:left="720" w:hanging="360"/>
      </w:pPr>
      <w:rPr>
        <w:rFonts w:ascii="Cambria" w:eastAsiaTheme="minorHAnsi" w:hAnsi="Cambria" w:cs="MyriadPro-Regula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5D2617"/>
    <w:multiLevelType w:val="hybridMultilevel"/>
    <w:tmpl w:val="D38C26EA"/>
    <w:lvl w:ilvl="0" w:tplc="C55C12B0">
      <w:start w:val="1"/>
      <w:numFmt w:val="decimal"/>
      <w:lvlText w:val="%1)"/>
      <w:lvlJc w:val="left"/>
      <w:pPr>
        <w:ind w:left="720" w:hanging="360"/>
      </w:pPr>
      <w:rPr>
        <w:rFonts w:ascii="Cambria" w:eastAsiaTheme="minorHAnsi" w:hAnsi="Cambria" w:cs="MyriadPro-Regula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B46DAC"/>
    <w:multiLevelType w:val="hybridMultilevel"/>
    <w:tmpl w:val="CB224E12"/>
    <w:lvl w:ilvl="0" w:tplc="D090AF5C">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2E3F49"/>
    <w:multiLevelType w:val="hybridMultilevel"/>
    <w:tmpl w:val="36107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0458FA"/>
    <w:multiLevelType w:val="hybridMultilevel"/>
    <w:tmpl w:val="16CC040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252819"/>
    <w:multiLevelType w:val="hybridMultilevel"/>
    <w:tmpl w:val="F7A644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1F0BD5"/>
    <w:multiLevelType w:val="hybridMultilevel"/>
    <w:tmpl w:val="DF94AB62"/>
    <w:lvl w:ilvl="0" w:tplc="925C7EB8">
      <w:start w:val="1"/>
      <w:numFmt w:val="decimal"/>
      <w:lvlText w:val="%1)"/>
      <w:lvlJc w:val="left"/>
      <w:pPr>
        <w:ind w:left="720" w:hanging="360"/>
      </w:pPr>
      <w:rPr>
        <w:rFonts w:ascii="Cambria" w:hAnsi="Cambria"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BA5B75"/>
    <w:multiLevelType w:val="hybridMultilevel"/>
    <w:tmpl w:val="F668977E"/>
    <w:lvl w:ilvl="0" w:tplc="90E66794">
      <w:start w:val="1"/>
      <w:numFmt w:val="decimal"/>
      <w:lvlText w:val="%1)"/>
      <w:lvlJc w:val="left"/>
      <w:pPr>
        <w:ind w:left="720" w:hanging="360"/>
      </w:pPr>
      <w:rPr>
        <w:rFonts w:ascii="Cambria" w:hAnsi="Cambria"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FA686D"/>
    <w:multiLevelType w:val="hybridMultilevel"/>
    <w:tmpl w:val="FB765FA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952D50"/>
    <w:multiLevelType w:val="hybridMultilevel"/>
    <w:tmpl w:val="D226B5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D0C04A5"/>
    <w:multiLevelType w:val="hybridMultilevel"/>
    <w:tmpl w:val="B4C456B0"/>
    <w:lvl w:ilvl="0" w:tplc="932EBC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62598C"/>
    <w:multiLevelType w:val="hybridMultilevel"/>
    <w:tmpl w:val="0DF845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2107AE"/>
    <w:multiLevelType w:val="hybridMultilevel"/>
    <w:tmpl w:val="C002A79E"/>
    <w:lvl w:ilvl="0" w:tplc="D568AF82">
      <w:start w:val="1"/>
      <w:numFmt w:val="decimal"/>
      <w:lvlText w:val="%1."/>
      <w:lvlJc w:val="left"/>
      <w:pPr>
        <w:ind w:left="720" w:hanging="360"/>
      </w:pPr>
      <w:rPr>
        <w:rFonts w:cs="AdvP41461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D67A62"/>
    <w:multiLevelType w:val="hybridMultilevel"/>
    <w:tmpl w:val="D226B5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42304EC"/>
    <w:multiLevelType w:val="hybridMultilevel"/>
    <w:tmpl w:val="9D2878B2"/>
    <w:lvl w:ilvl="0" w:tplc="2FDC524C">
      <w:start w:val="25"/>
      <w:numFmt w:val="decimal"/>
      <w:lvlText w:val="%1."/>
      <w:lvlJc w:val="left"/>
      <w:pPr>
        <w:tabs>
          <w:tab w:val="num" w:pos="780"/>
        </w:tabs>
        <w:ind w:left="780" w:hanging="4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54A86653"/>
    <w:multiLevelType w:val="hybridMultilevel"/>
    <w:tmpl w:val="A2E6D5B6"/>
    <w:lvl w:ilvl="0" w:tplc="F37C6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295D6D"/>
    <w:multiLevelType w:val="hybridMultilevel"/>
    <w:tmpl w:val="D80E2F04"/>
    <w:lvl w:ilvl="0" w:tplc="847042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96F5113"/>
    <w:multiLevelType w:val="hybridMultilevel"/>
    <w:tmpl w:val="9A461B8E"/>
    <w:lvl w:ilvl="0" w:tplc="46F0E5D4">
      <w:start w:val="1"/>
      <w:numFmt w:val="decimal"/>
      <w:lvlText w:val="%1)"/>
      <w:lvlJc w:val="left"/>
      <w:pPr>
        <w:ind w:left="1080" w:hanging="360"/>
      </w:pPr>
      <w:rPr>
        <w:rFonts w:ascii="Cambria" w:hAnsi="Cambria"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99F7674"/>
    <w:multiLevelType w:val="hybridMultilevel"/>
    <w:tmpl w:val="C002A79E"/>
    <w:lvl w:ilvl="0" w:tplc="D568AF82">
      <w:start w:val="1"/>
      <w:numFmt w:val="decimal"/>
      <w:lvlText w:val="%1."/>
      <w:lvlJc w:val="left"/>
      <w:pPr>
        <w:ind w:left="720" w:hanging="360"/>
      </w:pPr>
      <w:rPr>
        <w:rFonts w:cs="AdvP41461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2836CA"/>
    <w:multiLevelType w:val="hybridMultilevel"/>
    <w:tmpl w:val="D226B5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CE91F35"/>
    <w:multiLevelType w:val="hybridMultilevel"/>
    <w:tmpl w:val="CDA007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F312B16"/>
    <w:multiLevelType w:val="hybridMultilevel"/>
    <w:tmpl w:val="C002A79E"/>
    <w:lvl w:ilvl="0" w:tplc="D568AF82">
      <w:start w:val="1"/>
      <w:numFmt w:val="decimal"/>
      <w:lvlText w:val="%1."/>
      <w:lvlJc w:val="left"/>
      <w:pPr>
        <w:ind w:left="720" w:hanging="360"/>
      </w:pPr>
      <w:rPr>
        <w:rFonts w:cs="AdvP41461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C874E8"/>
    <w:multiLevelType w:val="hybridMultilevel"/>
    <w:tmpl w:val="87D43A04"/>
    <w:lvl w:ilvl="0" w:tplc="F37C6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634E76"/>
    <w:multiLevelType w:val="hybridMultilevel"/>
    <w:tmpl w:val="AD9837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5664231"/>
    <w:multiLevelType w:val="hybridMultilevel"/>
    <w:tmpl w:val="12CA25F2"/>
    <w:lvl w:ilvl="0" w:tplc="23A282A2">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7" w15:restartNumberingAfterBreak="0">
    <w:nsid w:val="799F2CAB"/>
    <w:multiLevelType w:val="hybridMultilevel"/>
    <w:tmpl w:val="F0AEED8C"/>
    <w:lvl w:ilvl="0" w:tplc="F37C6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4"/>
  </w:num>
  <w:num w:numId="3">
    <w:abstractNumId w:val="27"/>
  </w:num>
  <w:num w:numId="4">
    <w:abstractNumId w:val="20"/>
  </w:num>
  <w:num w:numId="5">
    <w:abstractNumId w:val="37"/>
  </w:num>
  <w:num w:numId="6">
    <w:abstractNumId w:val="34"/>
  </w:num>
  <w:num w:numId="7">
    <w:abstractNumId w:val="7"/>
  </w:num>
  <w:num w:numId="8">
    <w:abstractNumId w:val="26"/>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11"/>
  </w:num>
  <w:num w:numId="11">
    <w:abstractNumId w:val="5"/>
  </w:num>
  <w:num w:numId="12">
    <w:abstractNumId w:val="2"/>
  </w:num>
  <w:num w:numId="13">
    <w:abstractNumId w:val="35"/>
  </w:num>
  <w:num w:numId="14">
    <w:abstractNumId w:val="32"/>
  </w:num>
  <w:num w:numId="15">
    <w:abstractNumId w:val="8"/>
  </w:num>
  <w:num w:numId="16">
    <w:abstractNumId w:val="30"/>
  </w:num>
  <w:num w:numId="17">
    <w:abstractNumId w:val="28"/>
  </w:num>
  <w:num w:numId="18">
    <w:abstractNumId w:val="17"/>
  </w:num>
  <w:num w:numId="19">
    <w:abstractNumId w:val="29"/>
  </w:num>
  <w:num w:numId="20">
    <w:abstractNumId w:val="33"/>
  </w:num>
  <w:num w:numId="21">
    <w:abstractNumId w:val="0"/>
  </w:num>
  <w:num w:numId="22">
    <w:abstractNumId w:val="19"/>
  </w:num>
  <w:num w:numId="23">
    <w:abstractNumId w:val="18"/>
  </w:num>
  <w:num w:numId="24">
    <w:abstractNumId w:val="1"/>
  </w:num>
  <w:num w:numId="25">
    <w:abstractNumId w:val="22"/>
  </w:num>
  <w:num w:numId="26">
    <w:abstractNumId w:val="4"/>
  </w:num>
  <w:num w:numId="27">
    <w:abstractNumId w:val="36"/>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21"/>
  </w:num>
  <w:num w:numId="31">
    <w:abstractNumId w:val="23"/>
  </w:num>
  <w:num w:numId="32">
    <w:abstractNumId w:val="13"/>
  </w:num>
  <w:num w:numId="33">
    <w:abstractNumId w:val="6"/>
  </w:num>
  <w:num w:numId="34">
    <w:abstractNumId w:val="9"/>
  </w:num>
  <w:num w:numId="35">
    <w:abstractNumId w:val="3"/>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16"/>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E2C"/>
    <w:rsid w:val="0000415B"/>
    <w:rsid w:val="00025477"/>
    <w:rsid w:val="00031E30"/>
    <w:rsid w:val="0007618D"/>
    <w:rsid w:val="00086540"/>
    <w:rsid w:val="000921E2"/>
    <w:rsid w:val="00093DB4"/>
    <w:rsid w:val="000B7605"/>
    <w:rsid w:val="000F3874"/>
    <w:rsid w:val="000F6AB9"/>
    <w:rsid w:val="00103A28"/>
    <w:rsid w:val="00107AAA"/>
    <w:rsid w:val="0011772D"/>
    <w:rsid w:val="00162E55"/>
    <w:rsid w:val="00170DAD"/>
    <w:rsid w:val="00175925"/>
    <w:rsid w:val="001810AC"/>
    <w:rsid w:val="0018359B"/>
    <w:rsid w:val="00192D57"/>
    <w:rsid w:val="001A1985"/>
    <w:rsid w:val="001C5BB9"/>
    <w:rsid w:val="001D06DA"/>
    <w:rsid w:val="001E4231"/>
    <w:rsid w:val="001E6120"/>
    <w:rsid w:val="001F3873"/>
    <w:rsid w:val="00203C50"/>
    <w:rsid w:val="00204E5C"/>
    <w:rsid w:val="00215226"/>
    <w:rsid w:val="00220969"/>
    <w:rsid w:val="002263ED"/>
    <w:rsid w:val="00260CF5"/>
    <w:rsid w:val="002813F2"/>
    <w:rsid w:val="00282C16"/>
    <w:rsid w:val="002858AD"/>
    <w:rsid w:val="0029515D"/>
    <w:rsid w:val="002A70BA"/>
    <w:rsid w:val="002B479C"/>
    <w:rsid w:val="002D36E2"/>
    <w:rsid w:val="002F5F6F"/>
    <w:rsid w:val="00310F02"/>
    <w:rsid w:val="003114E2"/>
    <w:rsid w:val="00314197"/>
    <w:rsid w:val="003160A9"/>
    <w:rsid w:val="00316B87"/>
    <w:rsid w:val="00335E3B"/>
    <w:rsid w:val="0036258C"/>
    <w:rsid w:val="00366E15"/>
    <w:rsid w:val="00392E51"/>
    <w:rsid w:val="003B4CCA"/>
    <w:rsid w:val="00485DCD"/>
    <w:rsid w:val="0049242E"/>
    <w:rsid w:val="004A3DF0"/>
    <w:rsid w:val="004E4AAA"/>
    <w:rsid w:val="005066C5"/>
    <w:rsid w:val="00514039"/>
    <w:rsid w:val="00532DD6"/>
    <w:rsid w:val="0053763F"/>
    <w:rsid w:val="00544C8B"/>
    <w:rsid w:val="00547CC0"/>
    <w:rsid w:val="005558F5"/>
    <w:rsid w:val="00575B6D"/>
    <w:rsid w:val="00582A15"/>
    <w:rsid w:val="005B02BD"/>
    <w:rsid w:val="005B2FA3"/>
    <w:rsid w:val="005C14E6"/>
    <w:rsid w:val="005C22FC"/>
    <w:rsid w:val="005D3C3A"/>
    <w:rsid w:val="005E1C52"/>
    <w:rsid w:val="005F1917"/>
    <w:rsid w:val="00637C5C"/>
    <w:rsid w:val="00640C53"/>
    <w:rsid w:val="00640DD8"/>
    <w:rsid w:val="00647404"/>
    <w:rsid w:val="00655AAB"/>
    <w:rsid w:val="00670806"/>
    <w:rsid w:val="0067622E"/>
    <w:rsid w:val="0068030E"/>
    <w:rsid w:val="00695D61"/>
    <w:rsid w:val="006D1E39"/>
    <w:rsid w:val="006F2C43"/>
    <w:rsid w:val="007103D2"/>
    <w:rsid w:val="00717883"/>
    <w:rsid w:val="00750898"/>
    <w:rsid w:val="00775A88"/>
    <w:rsid w:val="00793588"/>
    <w:rsid w:val="007C19A3"/>
    <w:rsid w:val="007E277F"/>
    <w:rsid w:val="007F5AA2"/>
    <w:rsid w:val="0081455D"/>
    <w:rsid w:val="008167BC"/>
    <w:rsid w:val="0084409D"/>
    <w:rsid w:val="00847659"/>
    <w:rsid w:val="008903EC"/>
    <w:rsid w:val="008A4763"/>
    <w:rsid w:val="008B4B7F"/>
    <w:rsid w:val="008E6B78"/>
    <w:rsid w:val="008F20CD"/>
    <w:rsid w:val="00900552"/>
    <w:rsid w:val="009245E8"/>
    <w:rsid w:val="009247FC"/>
    <w:rsid w:val="009541D1"/>
    <w:rsid w:val="00955125"/>
    <w:rsid w:val="00980D98"/>
    <w:rsid w:val="00983154"/>
    <w:rsid w:val="009953FD"/>
    <w:rsid w:val="009D37DF"/>
    <w:rsid w:val="009F2154"/>
    <w:rsid w:val="00A05ADF"/>
    <w:rsid w:val="00A225F7"/>
    <w:rsid w:val="00A44B0C"/>
    <w:rsid w:val="00A50EF0"/>
    <w:rsid w:val="00A52639"/>
    <w:rsid w:val="00A73F08"/>
    <w:rsid w:val="00A8350C"/>
    <w:rsid w:val="00A8474C"/>
    <w:rsid w:val="00A84BC0"/>
    <w:rsid w:val="00A8761C"/>
    <w:rsid w:val="00AA3DA5"/>
    <w:rsid w:val="00AB0386"/>
    <w:rsid w:val="00AC1507"/>
    <w:rsid w:val="00AC173A"/>
    <w:rsid w:val="00AC4F8C"/>
    <w:rsid w:val="00AC6AC4"/>
    <w:rsid w:val="00AD7EEF"/>
    <w:rsid w:val="00B02A46"/>
    <w:rsid w:val="00B13960"/>
    <w:rsid w:val="00B168B3"/>
    <w:rsid w:val="00B43C8F"/>
    <w:rsid w:val="00B53314"/>
    <w:rsid w:val="00B66988"/>
    <w:rsid w:val="00B92F84"/>
    <w:rsid w:val="00B96E0E"/>
    <w:rsid w:val="00BB3638"/>
    <w:rsid w:val="00BF7247"/>
    <w:rsid w:val="00C137D1"/>
    <w:rsid w:val="00C218CF"/>
    <w:rsid w:val="00C21989"/>
    <w:rsid w:val="00C337EE"/>
    <w:rsid w:val="00C75C81"/>
    <w:rsid w:val="00CD35DE"/>
    <w:rsid w:val="00CD68DB"/>
    <w:rsid w:val="00CF5C43"/>
    <w:rsid w:val="00D12C18"/>
    <w:rsid w:val="00D140C4"/>
    <w:rsid w:val="00D25D21"/>
    <w:rsid w:val="00D67196"/>
    <w:rsid w:val="00D67AFC"/>
    <w:rsid w:val="00D86D0B"/>
    <w:rsid w:val="00D90357"/>
    <w:rsid w:val="00D92E2C"/>
    <w:rsid w:val="00D9747E"/>
    <w:rsid w:val="00DB432A"/>
    <w:rsid w:val="00DC1B1B"/>
    <w:rsid w:val="00DD5740"/>
    <w:rsid w:val="00DE4A87"/>
    <w:rsid w:val="00DF7928"/>
    <w:rsid w:val="00E43AD8"/>
    <w:rsid w:val="00E7521D"/>
    <w:rsid w:val="00E80EBF"/>
    <w:rsid w:val="00E91440"/>
    <w:rsid w:val="00E92E89"/>
    <w:rsid w:val="00EB1380"/>
    <w:rsid w:val="00EB6083"/>
    <w:rsid w:val="00EC32EA"/>
    <w:rsid w:val="00EF134C"/>
    <w:rsid w:val="00EF3A9A"/>
    <w:rsid w:val="00F03AA3"/>
    <w:rsid w:val="00F11090"/>
    <w:rsid w:val="00F47E45"/>
    <w:rsid w:val="00F50F3E"/>
    <w:rsid w:val="00F61BDB"/>
    <w:rsid w:val="00F83118"/>
    <w:rsid w:val="00F87278"/>
    <w:rsid w:val="00FC7A59"/>
    <w:rsid w:val="00FD34D2"/>
    <w:rsid w:val="00FF55C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01FEBC-5687-4808-92E2-B2E803866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2E2C"/>
    <w:pPr>
      <w:ind w:left="720"/>
      <w:contextualSpacing/>
    </w:pPr>
  </w:style>
  <w:style w:type="paragraph" w:customStyle="1" w:styleId="Default">
    <w:name w:val="Default"/>
    <w:rsid w:val="00B13960"/>
    <w:pPr>
      <w:autoSpaceDE w:val="0"/>
      <w:autoSpaceDN w:val="0"/>
      <w:adjustRightInd w:val="0"/>
      <w:spacing w:after="0" w:line="240" w:lineRule="auto"/>
    </w:pPr>
    <w:rPr>
      <w:rFonts w:ascii="Courier New" w:hAnsi="Courier New" w:cs="Courier New"/>
      <w:color w:val="000000"/>
      <w:sz w:val="24"/>
      <w:szCs w:val="24"/>
    </w:rPr>
  </w:style>
  <w:style w:type="paragraph" w:styleId="Header">
    <w:name w:val="header"/>
    <w:basedOn w:val="Normal"/>
    <w:link w:val="HeaderChar"/>
    <w:uiPriority w:val="99"/>
    <w:unhideWhenUsed/>
    <w:rsid w:val="004E4A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AAA"/>
  </w:style>
  <w:style w:type="paragraph" w:styleId="Footer">
    <w:name w:val="footer"/>
    <w:basedOn w:val="Normal"/>
    <w:link w:val="FooterChar"/>
    <w:unhideWhenUsed/>
    <w:rsid w:val="004E4AAA"/>
    <w:pPr>
      <w:tabs>
        <w:tab w:val="center" w:pos="4680"/>
        <w:tab w:val="right" w:pos="9360"/>
      </w:tabs>
      <w:spacing w:after="0" w:line="240" w:lineRule="auto"/>
    </w:pPr>
  </w:style>
  <w:style w:type="character" w:customStyle="1" w:styleId="FooterChar">
    <w:name w:val="Footer Char"/>
    <w:basedOn w:val="DefaultParagraphFont"/>
    <w:link w:val="Footer"/>
    <w:rsid w:val="004E4AAA"/>
  </w:style>
  <w:style w:type="character" w:styleId="Hyperlink">
    <w:name w:val="Hyperlink"/>
    <w:basedOn w:val="DefaultParagraphFont"/>
    <w:uiPriority w:val="99"/>
    <w:unhideWhenUsed/>
    <w:rsid w:val="00E80EBF"/>
    <w:rPr>
      <w:color w:val="0563C1" w:themeColor="hyperlink"/>
      <w:u w:val="single"/>
    </w:rPr>
  </w:style>
  <w:style w:type="character" w:styleId="FollowedHyperlink">
    <w:name w:val="FollowedHyperlink"/>
    <w:basedOn w:val="DefaultParagraphFont"/>
    <w:uiPriority w:val="99"/>
    <w:semiHidden/>
    <w:unhideWhenUsed/>
    <w:rsid w:val="00E80EBF"/>
    <w:rPr>
      <w:color w:val="954F72" w:themeColor="followedHyperlink"/>
      <w:u w:val="single"/>
    </w:rPr>
  </w:style>
  <w:style w:type="table" w:styleId="TableGrid">
    <w:name w:val="Table Grid"/>
    <w:basedOn w:val="TableNormal"/>
    <w:uiPriority w:val="39"/>
    <w:rsid w:val="00514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8E6B78"/>
    <w:pPr>
      <w:spacing w:after="0" w:line="240" w:lineRule="auto"/>
    </w:pPr>
    <w:rPr>
      <w:rFonts w:ascii="Times New Roman" w:eastAsia="Times New Roman" w:hAnsi="Times New Roman" w:cs="Times New Roman"/>
      <w:b/>
      <w:bCs/>
      <w:sz w:val="24"/>
      <w:szCs w:val="40"/>
    </w:rPr>
  </w:style>
  <w:style w:type="character" w:customStyle="1" w:styleId="BodyTextChar">
    <w:name w:val="Body Text Char"/>
    <w:basedOn w:val="DefaultParagraphFont"/>
    <w:link w:val="BodyText"/>
    <w:semiHidden/>
    <w:rsid w:val="008E6B78"/>
    <w:rPr>
      <w:rFonts w:ascii="Times New Roman" w:eastAsia="Times New Roman" w:hAnsi="Times New Roman" w:cs="Times New Roman"/>
      <w:b/>
      <w:bCs/>
      <w:sz w:val="24"/>
      <w:szCs w:val="40"/>
    </w:rPr>
  </w:style>
  <w:style w:type="paragraph" w:styleId="BodyTextIndent">
    <w:name w:val="Body Text Indent"/>
    <w:basedOn w:val="Normal"/>
    <w:link w:val="BodyTextIndentChar"/>
    <w:semiHidden/>
    <w:unhideWhenUsed/>
    <w:rsid w:val="008E6B78"/>
    <w:pPr>
      <w:spacing w:after="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8E6B78"/>
    <w:rPr>
      <w:rFonts w:ascii="Times New Roman" w:eastAsia="Times New Roman" w:hAnsi="Times New Roman" w:cs="Times New Roman"/>
      <w:sz w:val="24"/>
      <w:szCs w:val="24"/>
    </w:rPr>
  </w:style>
  <w:style w:type="paragraph" w:styleId="BodyTextIndent2">
    <w:name w:val="Body Text Indent 2"/>
    <w:basedOn w:val="Normal"/>
    <w:link w:val="BodyTextIndent2Char"/>
    <w:unhideWhenUsed/>
    <w:rsid w:val="008E6B78"/>
    <w:pPr>
      <w:spacing w:after="0" w:line="240" w:lineRule="auto"/>
      <w:ind w:left="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8E6B78"/>
    <w:rPr>
      <w:rFonts w:ascii="Times New Roman" w:eastAsia="Times New Roman" w:hAnsi="Times New Roman" w:cs="Times New Roman"/>
      <w:sz w:val="24"/>
      <w:szCs w:val="24"/>
    </w:rPr>
  </w:style>
  <w:style w:type="paragraph" w:styleId="NormalWeb">
    <w:name w:val="Normal (Web)"/>
    <w:basedOn w:val="Normal"/>
    <w:uiPriority w:val="99"/>
    <w:semiHidden/>
    <w:unhideWhenUsed/>
    <w:rsid w:val="005558F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D57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5740"/>
    <w:rPr>
      <w:rFonts w:ascii="Segoe UI" w:hAnsi="Segoe UI" w:cs="Segoe UI"/>
      <w:sz w:val="18"/>
      <w:szCs w:val="18"/>
    </w:rPr>
  </w:style>
  <w:style w:type="table" w:customStyle="1" w:styleId="TableGrid1">
    <w:name w:val="Table Grid1"/>
    <w:basedOn w:val="TableNormal"/>
    <w:next w:val="TableGrid"/>
    <w:uiPriority w:val="39"/>
    <w:rsid w:val="000F3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F3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69862">
      <w:bodyDiv w:val="1"/>
      <w:marLeft w:val="0"/>
      <w:marRight w:val="0"/>
      <w:marTop w:val="0"/>
      <w:marBottom w:val="0"/>
      <w:divBdr>
        <w:top w:val="none" w:sz="0" w:space="0" w:color="auto"/>
        <w:left w:val="none" w:sz="0" w:space="0" w:color="auto"/>
        <w:bottom w:val="none" w:sz="0" w:space="0" w:color="auto"/>
        <w:right w:val="none" w:sz="0" w:space="0" w:color="auto"/>
      </w:divBdr>
    </w:div>
    <w:div w:id="206070884">
      <w:bodyDiv w:val="1"/>
      <w:marLeft w:val="0"/>
      <w:marRight w:val="0"/>
      <w:marTop w:val="0"/>
      <w:marBottom w:val="0"/>
      <w:divBdr>
        <w:top w:val="none" w:sz="0" w:space="0" w:color="auto"/>
        <w:left w:val="none" w:sz="0" w:space="0" w:color="auto"/>
        <w:bottom w:val="none" w:sz="0" w:space="0" w:color="auto"/>
        <w:right w:val="none" w:sz="0" w:space="0" w:color="auto"/>
      </w:divBdr>
    </w:div>
    <w:div w:id="380175823">
      <w:bodyDiv w:val="1"/>
      <w:marLeft w:val="0"/>
      <w:marRight w:val="0"/>
      <w:marTop w:val="0"/>
      <w:marBottom w:val="0"/>
      <w:divBdr>
        <w:top w:val="none" w:sz="0" w:space="0" w:color="auto"/>
        <w:left w:val="none" w:sz="0" w:space="0" w:color="auto"/>
        <w:bottom w:val="none" w:sz="0" w:space="0" w:color="auto"/>
        <w:right w:val="none" w:sz="0" w:space="0" w:color="auto"/>
      </w:divBdr>
      <w:divsChild>
        <w:div w:id="1775979843">
          <w:marLeft w:val="0"/>
          <w:marRight w:val="0"/>
          <w:marTop w:val="0"/>
          <w:marBottom w:val="0"/>
          <w:divBdr>
            <w:top w:val="none" w:sz="0" w:space="0" w:color="auto"/>
            <w:left w:val="none" w:sz="0" w:space="0" w:color="auto"/>
            <w:bottom w:val="none" w:sz="0" w:space="0" w:color="auto"/>
            <w:right w:val="none" w:sz="0" w:space="0" w:color="auto"/>
          </w:divBdr>
          <w:divsChild>
            <w:div w:id="1412509739">
              <w:marLeft w:val="0"/>
              <w:marRight w:val="0"/>
              <w:marTop w:val="0"/>
              <w:marBottom w:val="0"/>
              <w:divBdr>
                <w:top w:val="none" w:sz="0" w:space="0" w:color="auto"/>
                <w:left w:val="none" w:sz="0" w:space="0" w:color="auto"/>
                <w:bottom w:val="none" w:sz="0" w:space="0" w:color="auto"/>
                <w:right w:val="none" w:sz="0" w:space="0" w:color="auto"/>
              </w:divBdr>
              <w:divsChild>
                <w:div w:id="1848397812">
                  <w:marLeft w:val="0"/>
                  <w:marRight w:val="0"/>
                  <w:marTop w:val="0"/>
                  <w:marBottom w:val="0"/>
                  <w:divBdr>
                    <w:top w:val="none" w:sz="0" w:space="0" w:color="auto"/>
                    <w:left w:val="none" w:sz="0" w:space="0" w:color="auto"/>
                    <w:bottom w:val="none" w:sz="0" w:space="0" w:color="auto"/>
                    <w:right w:val="none" w:sz="0" w:space="0" w:color="auto"/>
                  </w:divBdr>
                  <w:divsChild>
                    <w:div w:id="1454983042">
                      <w:marLeft w:val="0"/>
                      <w:marRight w:val="0"/>
                      <w:marTop w:val="0"/>
                      <w:marBottom w:val="0"/>
                      <w:divBdr>
                        <w:top w:val="none" w:sz="0" w:space="0" w:color="auto"/>
                        <w:left w:val="none" w:sz="0" w:space="0" w:color="auto"/>
                        <w:bottom w:val="none" w:sz="0" w:space="0" w:color="auto"/>
                        <w:right w:val="none" w:sz="0" w:space="0" w:color="auto"/>
                      </w:divBdr>
                      <w:divsChild>
                        <w:div w:id="224027510">
                          <w:marLeft w:val="0"/>
                          <w:marRight w:val="0"/>
                          <w:marTop w:val="0"/>
                          <w:marBottom w:val="0"/>
                          <w:divBdr>
                            <w:top w:val="none" w:sz="0" w:space="0" w:color="auto"/>
                            <w:left w:val="none" w:sz="0" w:space="0" w:color="auto"/>
                            <w:bottom w:val="none" w:sz="0" w:space="0" w:color="auto"/>
                            <w:right w:val="none" w:sz="0" w:space="0" w:color="auto"/>
                          </w:divBdr>
                          <w:divsChild>
                            <w:div w:id="1428040227">
                              <w:marLeft w:val="0"/>
                              <w:marRight w:val="0"/>
                              <w:marTop w:val="0"/>
                              <w:marBottom w:val="0"/>
                              <w:divBdr>
                                <w:top w:val="none" w:sz="0" w:space="0" w:color="auto"/>
                                <w:left w:val="none" w:sz="0" w:space="0" w:color="auto"/>
                                <w:bottom w:val="none" w:sz="0" w:space="0" w:color="auto"/>
                                <w:right w:val="none" w:sz="0" w:space="0" w:color="auto"/>
                              </w:divBdr>
                              <w:divsChild>
                                <w:div w:id="1581215911">
                                  <w:marLeft w:val="0"/>
                                  <w:marRight w:val="0"/>
                                  <w:marTop w:val="0"/>
                                  <w:marBottom w:val="0"/>
                                  <w:divBdr>
                                    <w:top w:val="none" w:sz="0" w:space="0" w:color="auto"/>
                                    <w:left w:val="none" w:sz="0" w:space="0" w:color="auto"/>
                                    <w:bottom w:val="none" w:sz="0" w:space="0" w:color="auto"/>
                                    <w:right w:val="none" w:sz="0" w:space="0" w:color="auto"/>
                                  </w:divBdr>
                                  <w:divsChild>
                                    <w:div w:id="224340147">
                                      <w:marLeft w:val="0"/>
                                      <w:marRight w:val="0"/>
                                      <w:marTop w:val="0"/>
                                      <w:marBottom w:val="0"/>
                                      <w:divBdr>
                                        <w:top w:val="none" w:sz="0" w:space="0" w:color="auto"/>
                                        <w:left w:val="none" w:sz="0" w:space="0" w:color="auto"/>
                                        <w:bottom w:val="none" w:sz="0" w:space="0" w:color="auto"/>
                                        <w:right w:val="none" w:sz="0" w:space="0" w:color="auto"/>
                                      </w:divBdr>
                                      <w:divsChild>
                                        <w:div w:id="2355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4433218">
      <w:bodyDiv w:val="1"/>
      <w:marLeft w:val="0"/>
      <w:marRight w:val="0"/>
      <w:marTop w:val="0"/>
      <w:marBottom w:val="0"/>
      <w:divBdr>
        <w:top w:val="none" w:sz="0" w:space="0" w:color="auto"/>
        <w:left w:val="none" w:sz="0" w:space="0" w:color="auto"/>
        <w:bottom w:val="none" w:sz="0" w:space="0" w:color="auto"/>
        <w:right w:val="none" w:sz="0" w:space="0" w:color="auto"/>
      </w:divBdr>
    </w:div>
    <w:div w:id="1097360322">
      <w:bodyDiv w:val="1"/>
      <w:marLeft w:val="0"/>
      <w:marRight w:val="0"/>
      <w:marTop w:val="0"/>
      <w:marBottom w:val="0"/>
      <w:divBdr>
        <w:top w:val="none" w:sz="0" w:space="0" w:color="auto"/>
        <w:left w:val="none" w:sz="0" w:space="0" w:color="auto"/>
        <w:bottom w:val="none" w:sz="0" w:space="0" w:color="auto"/>
        <w:right w:val="none" w:sz="0" w:space="0" w:color="auto"/>
      </w:divBdr>
    </w:div>
    <w:div w:id="1113668546">
      <w:bodyDiv w:val="1"/>
      <w:marLeft w:val="0"/>
      <w:marRight w:val="0"/>
      <w:marTop w:val="0"/>
      <w:marBottom w:val="0"/>
      <w:divBdr>
        <w:top w:val="none" w:sz="0" w:space="0" w:color="auto"/>
        <w:left w:val="none" w:sz="0" w:space="0" w:color="auto"/>
        <w:bottom w:val="none" w:sz="0" w:space="0" w:color="auto"/>
        <w:right w:val="none" w:sz="0" w:space="0" w:color="auto"/>
      </w:divBdr>
    </w:div>
    <w:div w:id="176877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yperlink" Target="http://www.westgov.org" TargetMode="External"/><Relationship Id="rId26" Type="http://schemas.openxmlformats.org/officeDocument/2006/relationships/image" Target="media/image9.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passthrough.fw-notify.net/download/762289/http://www.energy.ca.gov/2009publications/CEC-500-2009-080/CEC-500-2009-080.PDF" TargetMode="External"/><Relationship Id="rId34" Type="http://schemas.openxmlformats.org/officeDocument/2006/relationships/hyperlink" Target="http://resources.ca.gov/docs/energy_and_climate_change/2012_Bioenergy_Action_Plan.pdf"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www.fs.usda.gov/Internet/FSE_DOCUMENTS/stelprdb5351674.pdf" TargetMode="External"/><Relationship Id="rId33" Type="http://schemas.openxmlformats.org/officeDocument/2006/relationships/image" Target="media/image16.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sierranevada.ca.gov/our-region/rim-fire/rimairqualityfacts.pdf" TargetMode="Externa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eveb@calforests.org" TargetMode="External"/><Relationship Id="rId24" Type="http://schemas.openxmlformats.org/officeDocument/2006/relationships/hyperlink" Target="http://www.sierranevada.ca.gov/our-region/bioenergy" TargetMode="External"/><Relationship Id="rId32" Type="http://schemas.openxmlformats.org/officeDocument/2006/relationships/image" Target="media/image15.emf"/><Relationship Id="rId37" Type="http://schemas.openxmlformats.org/officeDocument/2006/relationships/hyperlink" Target="http://www.placer.ca.gov/~/media/apc/documents/APCD%20Biomass/EmissionReductionsFromWoodyBiomassAWMA.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ifc.gov/fireInfo/fireInfo_statistics.html" TargetMode="External"/><Relationship Id="rId23" Type="http://schemas.openxmlformats.org/officeDocument/2006/relationships/image" Target="media/image8.jpeg"/><Relationship Id="rId28" Type="http://schemas.openxmlformats.org/officeDocument/2006/relationships/image" Target="media/image11.emf"/><Relationship Id="rId36" Type="http://schemas.openxmlformats.org/officeDocument/2006/relationships/hyperlink" Target="http://ucanr.edu/sites/cff/files/146199.pdf" TargetMode="External"/><Relationship Id="rId10" Type="http://schemas.openxmlformats.org/officeDocument/2006/relationships/hyperlink" Target="http://www.energy.ca.gov/2009_energypolicy/documents/2009-04-21_workshop/presentations/11_B2E_for_CEC_Biofuels_Conf.pdf" TargetMode="External"/><Relationship Id="rId19" Type="http://schemas.openxmlformats.org/officeDocument/2006/relationships/hyperlink" Target="http://ucanr.edu/sites/cff/files/146199.pdf" TargetMode="Externa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yperlink" Target="http://passthrough.fw-notify.net/download/381689/http://www.energy.ca.gov/2009publications/CEC-500-2009-080/CEC-500-2009-080.PDF"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resources.ca.gov/docs/Final_Bioenergy_Action_Plan_Release_8-22-1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690A0-BDCD-4D53-9292-C339C6ADE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11273</Words>
  <Characters>64261</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Brink</dc:creator>
  <cp:keywords/>
  <dc:description/>
  <cp:lastModifiedBy>Steven Brink</cp:lastModifiedBy>
  <cp:revision>2</cp:revision>
  <cp:lastPrinted>2015-10-04T23:03:00Z</cp:lastPrinted>
  <dcterms:created xsi:type="dcterms:W3CDTF">2015-11-08T22:34:00Z</dcterms:created>
  <dcterms:modified xsi:type="dcterms:W3CDTF">2015-11-08T22:34:00Z</dcterms:modified>
</cp:coreProperties>
</file>