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D715" w14:textId="35D74DC4" w:rsidR="00242CF8" w:rsidRDefault="00D24004">
      <w:r>
        <w:t>August 16</w:t>
      </w:r>
      <w:r w:rsidR="00566C83">
        <w:t>, 2021</w:t>
      </w:r>
    </w:p>
    <w:p w14:paraId="066B434B" w14:textId="5C0140D4" w:rsidR="00566C83" w:rsidRDefault="00566C83"/>
    <w:p w14:paraId="3720E1C7" w14:textId="72B2C6E2" w:rsidR="00566C83" w:rsidRDefault="00566C83">
      <w:r>
        <w:t>California Air Resources Board</w:t>
      </w:r>
    </w:p>
    <w:p w14:paraId="4F84CD34" w14:textId="514ECD97" w:rsidR="00566C83" w:rsidRDefault="00566C83">
      <w:r>
        <w:t>1001 I Street</w:t>
      </w:r>
    </w:p>
    <w:p w14:paraId="5731F6D7" w14:textId="5874409B" w:rsidR="00566C83" w:rsidRDefault="00566C83">
      <w:r>
        <w:t>Sacramento, California 95814</w:t>
      </w:r>
    </w:p>
    <w:p w14:paraId="7EDF5AD0" w14:textId="59ABDBF7" w:rsidR="00EE4624" w:rsidRDefault="00EE4624"/>
    <w:p w14:paraId="31227D0E" w14:textId="3C04BC0D" w:rsidR="00EE4624" w:rsidRDefault="00EE4624">
      <w:r>
        <w:t>California Natural Resources Agency</w:t>
      </w:r>
    </w:p>
    <w:p w14:paraId="1CAF205B" w14:textId="5F4F4785" w:rsidR="00EE4624" w:rsidRDefault="00EE4624">
      <w:r>
        <w:t>1416 9</w:t>
      </w:r>
      <w:r w:rsidRPr="00EE4624">
        <w:rPr>
          <w:vertAlign w:val="superscript"/>
        </w:rPr>
        <w:t>th</w:t>
      </w:r>
      <w:r>
        <w:t xml:space="preserve"> Street</w:t>
      </w:r>
    </w:p>
    <w:p w14:paraId="7F77B325" w14:textId="09DAB3E8" w:rsidR="00EE4624" w:rsidRDefault="00EE4624">
      <w:r>
        <w:t>Sacramento, California 95814</w:t>
      </w:r>
    </w:p>
    <w:p w14:paraId="21025519" w14:textId="77777777" w:rsidR="00566C83" w:rsidRDefault="00566C83"/>
    <w:p w14:paraId="366C58F2" w14:textId="2236FE93" w:rsidR="00566C83" w:rsidRPr="005445E1" w:rsidRDefault="00566C83">
      <w:pPr>
        <w:rPr>
          <w:b/>
          <w:bCs/>
        </w:rPr>
      </w:pPr>
      <w:r w:rsidRPr="005445E1">
        <w:rPr>
          <w:b/>
          <w:bCs/>
        </w:rPr>
        <w:t>RE: Public Workshop</w:t>
      </w:r>
      <w:r w:rsidR="00D24004">
        <w:rPr>
          <w:b/>
          <w:bCs/>
        </w:rPr>
        <w:t xml:space="preserve"> on 2022 Scoping Plan Update – Engineered Carbon Removal Technical Workshop</w:t>
      </w:r>
    </w:p>
    <w:p w14:paraId="51DFFCA6" w14:textId="77777777" w:rsidR="006610B1" w:rsidRDefault="006610B1" w:rsidP="006610B1"/>
    <w:p w14:paraId="1AA2E8F8" w14:textId="21BEAC85" w:rsidR="00902607" w:rsidRDefault="005769FD" w:rsidP="006610B1">
      <w:r>
        <w:t>The California Carbon Capture Coalition (Coalition) appreciates the opportunity to submit comments to the California Air Resources Board (CARB)</w:t>
      </w:r>
      <w:r w:rsidR="00EE4624">
        <w:t xml:space="preserve"> and the California Natural Resources Agency</w:t>
      </w:r>
      <w:r>
        <w:t xml:space="preserve"> </w:t>
      </w:r>
      <w:r w:rsidR="001015FB">
        <w:t xml:space="preserve">(CNRA) </w:t>
      </w:r>
      <w:r>
        <w:t xml:space="preserve">in response to the August 2, 2021 Public Workshop on the 2022 Scoping Plan Update – Engineered Carbon Removal. </w:t>
      </w:r>
    </w:p>
    <w:p w14:paraId="0C0168CE" w14:textId="77777777" w:rsidR="00EE4624" w:rsidRDefault="00EE4624" w:rsidP="006610B1"/>
    <w:p w14:paraId="4A55B327" w14:textId="77777777" w:rsidR="00902607" w:rsidRDefault="00424532" w:rsidP="006610B1">
      <w:r>
        <w:t xml:space="preserve">The </w:t>
      </w:r>
      <w:r w:rsidR="00902607">
        <w:t xml:space="preserve">California Carbon Capture </w:t>
      </w:r>
      <w:r>
        <w:t>Coalition includes a number of leading industries and hundreds of thousands of workers in the state that are critical to successful climate action in California. We are</w:t>
      </w:r>
      <w:r w:rsidR="006610B1">
        <w:t xml:space="preserve"> committed to supporting </w:t>
      </w:r>
      <w:r w:rsidR="00F038E9">
        <w:t>California’s</w:t>
      </w:r>
      <w:r w:rsidR="006610B1">
        <w:t xml:space="preserve"> </w:t>
      </w:r>
      <w:r w:rsidR="00F038E9">
        <w:t xml:space="preserve">efforts </w:t>
      </w:r>
      <w:r w:rsidR="006610B1">
        <w:t xml:space="preserve">to reduce greenhouse gas </w:t>
      </w:r>
      <w:r w:rsidR="003F5277">
        <w:t xml:space="preserve">(GHG) </w:t>
      </w:r>
      <w:r w:rsidR="006610B1">
        <w:t xml:space="preserve">emissions in line with scientifically-based targets </w:t>
      </w:r>
      <w:r w:rsidR="00F038E9">
        <w:t xml:space="preserve">in </w:t>
      </w:r>
      <w:r w:rsidR="006610B1">
        <w:t xml:space="preserve">cost-effective ways that drive technology and create and maintain </w:t>
      </w:r>
      <w:r w:rsidR="00AA60BA">
        <w:t>high quality</w:t>
      </w:r>
      <w:r w:rsidR="006610B1">
        <w:t xml:space="preserve"> jobs</w:t>
      </w:r>
      <w:r w:rsidR="00F038E9">
        <w:t xml:space="preserve"> and robust economic growth in the state</w:t>
      </w:r>
      <w:r w:rsidR="006610B1">
        <w:t xml:space="preserve">. </w:t>
      </w:r>
    </w:p>
    <w:p w14:paraId="756B373B" w14:textId="77777777" w:rsidR="00902607" w:rsidRDefault="00902607" w:rsidP="006610B1"/>
    <w:p w14:paraId="392E18E1" w14:textId="0FFBB6B5" w:rsidR="00DE3E66" w:rsidRPr="00756DE4" w:rsidRDefault="00902607" w:rsidP="006610B1">
      <w:pPr>
        <w:rPr>
          <w:rFonts w:cs="Calibri"/>
          <w:iCs/>
          <w:szCs w:val="22"/>
        </w:rPr>
      </w:pPr>
      <w:r>
        <w:t xml:space="preserve">CCUS technologies are </w:t>
      </w:r>
      <w:r w:rsidR="001F7A32">
        <w:t>being safely</w:t>
      </w:r>
      <w:r w:rsidR="002B7793">
        <w:t xml:space="preserve"> </w:t>
      </w:r>
      <w:r w:rsidR="001F7A32">
        <w:t xml:space="preserve">deployed at multiple locations across the world today. These technologies are effectively working to reduce emissions across a range of industries in increasingly cost-effective and innovative ways. </w:t>
      </w:r>
      <w:r w:rsidR="00A257E4">
        <w:rPr>
          <w:rFonts w:cs="Calibri"/>
          <w:iCs/>
          <w:szCs w:val="22"/>
        </w:rPr>
        <w:t>C</w:t>
      </w:r>
      <w:r w:rsidR="002B7793">
        <w:rPr>
          <w:rFonts w:cs="Calibri"/>
          <w:iCs/>
          <w:szCs w:val="22"/>
        </w:rPr>
        <w:t>alifornia is uniquely positioned to benefit from C</w:t>
      </w:r>
      <w:r w:rsidR="00A257E4">
        <w:rPr>
          <w:rFonts w:cs="Calibri"/>
          <w:iCs/>
          <w:szCs w:val="22"/>
        </w:rPr>
        <w:t xml:space="preserve">CUS </w:t>
      </w:r>
      <w:r w:rsidR="002B7793">
        <w:rPr>
          <w:rFonts w:cs="Calibri"/>
          <w:iCs/>
          <w:szCs w:val="22"/>
        </w:rPr>
        <w:t xml:space="preserve">in ways that provide significant and lasting greenhouse gas emissions reductions and support tens of thousands of </w:t>
      </w:r>
      <w:r w:rsidR="00E510B0">
        <w:rPr>
          <w:rFonts w:cs="Calibri"/>
          <w:iCs/>
          <w:szCs w:val="22"/>
        </w:rPr>
        <w:t>high-quality</w:t>
      </w:r>
      <w:r w:rsidR="002B7793">
        <w:rPr>
          <w:rFonts w:cs="Calibri"/>
          <w:iCs/>
          <w:szCs w:val="22"/>
        </w:rPr>
        <w:t xml:space="preserve"> </w:t>
      </w:r>
      <w:r w:rsidR="00A257E4">
        <w:rPr>
          <w:rFonts w:cs="Calibri"/>
          <w:iCs/>
          <w:szCs w:val="22"/>
        </w:rPr>
        <w:t>job</w:t>
      </w:r>
      <w:r w:rsidR="002B7793">
        <w:rPr>
          <w:rFonts w:cs="Calibri"/>
          <w:iCs/>
          <w:szCs w:val="22"/>
        </w:rPr>
        <w:t xml:space="preserve">s. </w:t>
      </w:r>
      <w:r w:rsidR="001F7A32">
        <w:rPr>
          <w:rFonts w:cstheme="minorHAnsi"/>
        </w:rPr>
        <w:t>The</w:t>
      </w:r>
      <w:r w:rsidR="001F7A32" w:rsidRPr="007B7D65">
        <w:rPr>
          <w:rFonts w:cstheme="minorHAnsi"/>
        </w:rPr>
        <w:t xml:space="preserve"> 2022 Climate Change Scoping Plan </w:t>
      </w:r>
      <w:r w:rsidR="00756DE4">
        <w:rPr>
          <w:rFonts w:cstheme="minorHAnsi"/>
        </w:rPr>
        <w:t xml:space="preserve">Update </w:t>
      </w:r>
      <w:r w:rsidR="001F7A32" w:rsidRPr="007B7D65">
        <w:rPr>
          <w:rFonts w:cstheme="minorHAnsi"/>
        </w:rPr>
        <w:t xml:space="preserve">will play a pivotal role in </w:t>
      </w:r>
      <w:r w:rsidR="00756DE4">
        <w:rPr>
          <w:rFonts w:cstheme="minorHAnsi"/>
        </w:rPr>
        <w:t xml:space="preserve">charting California’s path to achieving the state’s 2045 carbon net-neutrality goal. </w:t>
      </w:r>
      <w:r w:rsidR="001F7A32">
        <w:rPr>
          <w:rFonts w:cs="Calibri"/>
          <w:iCs/>
          <w:szCs w:val="22"/>
        </w:rPr>
        <w:t xml:space="preserve">The plan must lay out a clear and comprehensive policy, regulatory and economic framework for CCUS in California to maximize the benefits these technologies can deliver to state climate efforts. </w:t>
      </w:r>
    </w:p>
    <w:p w14:paraId="36F28ACC" w14:textId="618BBE73" w:rsidR="00DE3E66" w:rsidRDefault="00DE3E66" w:rsidP="00C016B0">
      <w:pPr>
        <w:pStyle w:val="NormalWeb"/>
        <w:rPr>
          <w:rFonts w:asciiTheme="minorHAnsi" w:hAnsiTheme="minorHAnsi"/>
          <w:b/>
          <w:bCs/>
        </w:rPr>
      </w:pPr>
      <w:r w:rsidRPr="00DE3E66">
        <w:rPr>
          <w:rFonts w:asciiTheme="minorHAnsi" w:hAnsiTheme="minorHAnsi"/>
          <w:b/>
          <w:bCs/>
        </w:rPr>
        <w:t>California will not achieve its climate goals with CCUS</w:t>
      </w:r>
    </w:p>
    <w:p w14:paraId="726D3434" w14:textId="2773118E" w:rsidR="007A08DF" w:rsidRDefault="007A08DF" w:rsidP="007A08DF">
      <w:pPr>
        <w:pStyle w:val="NormalWeb"/>
        <w:rPr>
          <w:rFonts w:asciiTheme="minorHAnsi" w:hAnsiTheme="minorHAnsi"/>
        </w:rPr>
      </w:pPr>
      <w:r>
        <w:rPr>
          <w:rFonts w:asciiTheme="minorHAnsi" w:hAnsiTheme="minorHAnsi"/>
        </w:rPr>
        <w:t>Achieving</w:t>
      </w:r>
      <w:r w:rsidRPr="00C016B0">
        <w:rPr>
          <w:rFonts w:asciiTheme="minorHAnsi" w:hAnsiTheme="minorHAnsi"/>
        </w:rPr>
        <w:t xml:space="preserve"> </w:t>
      </w:r>
      <w:r>
        <w:rPr>
          <w:rFonts w:asciiTheme="minorHAnsi" w:hAnsiTheme="minorHAnsi"/>
        </w:rPr>
        <w:t>California’s climate</w:t>
      </w:r>
      <w:r w:rsidRPr="00C016B0">
        <w:rPr>
          <w:rFonts w:asciiTheme="minorHAnsi" w:hAnsiTheme="minorHAnsi"/>
        </w:rPr>
        <w:t xml:space="preserve"> goals will require significant and rapid deployment of CC</w:t>
      </w:r>
      <w:r>
        <w:rPr>
          <w:rFonts w:asciiTheme="minorHAnsi" w:hAnsiTheme="minorHAnsi"/>
        </w:rPr>
        <w:t>U</w:t>
      </w:r>
      <w:r w:rsidRPr="00C016B0">
        <w:rPr>
          <w:rFonts w:asciiTheme="minorHAnsi" w:hAnsiTheme="minorHAnsi"/>
        </w:rPr>
        <w:t>S</w:t>
      </w:r>
      <w:r w:rsidR="00003CFA">
        <w:rPr>
          <w:rFonts w:asciiTheme="minorHAnsi" w:hAnsiTheme="minorHAnsi"/>
        </w:rPr>
        <w:t xml:space="preserve"> technology</w:t>
      </w:r>
      <w:r w:rsidRPr="00C016B0">
        <w:rPr>
          <w:rFonts w:asciiTheme="minorHAnsi" w:hAnsiTheme="minorHAnsi"/>
        </w:rPr>
        <w:t xml:space="preserve">. </w:t>
      </w:r>
      <w:r>
        <w:rPr>
          <w:rFonts w:asciiTheme="minorHAnsi" w:hAnsiTheme="minorHAnsi"/>
        </w:rPr>
        <w:t xml:space="preserve">Numerous </w:t>
      </w:r>
      <w:r w:rsidR="00E21D05">
        <w:rPr>
          <w:rFonts w:asciiTheme="minorHAnsi" w:hAnsiTheme="minorHAnsi"/>
        </w:rPr>
        <w:t xml:space="preserve">recent </w:t>
      </w:r>
      <w:r w:rsidRPr="00C016B0">
        <w:rPr>
          <w:rFonts w:asciiTheme="minorHAnsi" w:hAnsiTheme="minorHAnsi"/>
        </w:rPr>
        <w:t>expert</w:t>
      </w:r>
      <w:r>
        <w:rPr>
          <w:rFonts w:asciiTheme="minorHAnsi" w:hAnsiTheme="minorHAnsi"/>
        </w:rPr>
        <w:t xml:space="preserve"> analyses</w:t>
      </w:r>
      <w:r w:rsidRPr="00C016B0">
        <w:rPr>
          <w:rFonts w:asciiTheme="minorHAnsi" w:hAnsiTheme="minorHAnsi"/>
        </w:rPr>
        <w:t xml:space="preserve"> have identified CC</w:t>
      </w:r>
      <w:r>
        <w:rPr>
          <w:rFonts w:asciiTheme="minorHAnsi" w:hAnsiTheme="minorHAnsi"/>
        </w:rPr>
        <w:t>U</w:t>
      </w:r>
      <w:r w:rsidRPr="00C016B0">
        <w:rPr>
          <w:rFonts w:asciiTheme="minorHAnsi" w:hAnsiTheme="minorHAnsi"/>
        </w:rPr>
        <w:t xml:space="preserve">S as a critical component of </w:t>
      </w:r>
      <w:r>
        <w:rPr>
          <w:rFonts w:asciiTheme="minorHAnsi" w:hAnsiTheme="minorHAnsi"/>
        </w:rPr>
        <w:t xml:space="preserve">successful </w:t>
      </w:r>
      <w:r w:rsidRPr="00C016B0">
        <w:rPr>
          <w:rFonts w:asciiTheme="minorHAnsi" w:hAnsiTheme="minorHAnsi"/>
        </w:rPr>
        <w:t>climate action strategies</w:t>
      </w:r>
      <w:r>
        <w:rPr>
          <w:rFonts w:asciiTheme="minorHAnsi" w:hAnsiTheme="minorHAnsi"/>
        </w:rPr>
        <w:t xml:space="preserve"> globally</w:t>
      </w:r>
      <w:r w:rsidR="00102086">
        <w:rPr>
          <w:rFonts w:asciiTheme="minorHAnsi" w:hAnsiTheme="minorHAnsi"/>
        </w:rPr>
        <w:t>, nationally</w:t>
      </w:r>
      <w:r>
        <w:rPr>
          <w:rFonts w:asciiTheme="minorHAnsi" w:hAnsiTheme="minorHAnsi"/>
        </w:rPr>
        <w:t xml:space="preserve"> and in California.</w:t>
      </w:r>
      <w:r w:rsidRPr="00C016B0">
        <w:rPr>
          <w:rFonts w:asciiTheme="minorHAnsi" w:hAnsiTheme="minorHAnsi"/>
        </w:rPr>
        <w:t xml:space="preserve"> </w:t>
      </w:r>
      <w:r>
        <w:rPr>
          <w:rFonts w:asciiTheme="minorHAnsi" w:hAnsiTheme="minorHAnsi"/>
        </w:rPr>
        <w:t>Leading a</w:t>
      </w:r>
      <w:r w:rsidRPr="00C016B0">
        <w:rPr>
          <w:rFonts w:asciiTheme="minorHAnsi" w:hAnsiTheme="minorHAnsi"/>
        </w:rPr>
        <w:t>nalyses</w:t>
      </w:r>
      <w:r w:rsidR="00AA66FB">
        <w:rPr>
          <w:rFonts w:asciiTheme="minorHAnsi" w:hAnsiTheme="minorHAnsi"/>
        </w:rPr>
        <w:t>, including those</w:t>
      </w:r>
      <w:r w:rsidRPr="00C016B0">
        <w:rPr>
          <w:rFonts w:asciiTheme="minorHAnsi" w:hAnsiTheme="minorHAnsi"/>
        </w:rPr>
        <w:t xml:space="preserve"> from the </w:t>
      </w:r>
      <w:hyperlink r:id="rId8" w:history="1">
        <w:r w:rsidRPr="0057244D">
          <w:rPr>
            <w:rStyle w:val="Hyperlink"/>
            <w:rFonts w:asciiTheme="minorHAnsi" w:hAnsiTheme="minorHAnsi"/>
          </w:rPr>
          <w:t>Intergovernmental Panel on Climate Change</w:t>
        </w:r>
      </w:hyperlink>
      <w:r w:rsidRPr="00C016B0">
        <w:rPr>
          <w:rFonts w:asciiTheme="minorHAnsi" w:hAnsiTheme="minorHAnsi"/>
        </w:rPr>
        <w:t xml:space="preserve">, the </w:t>
      </w:r>
      <w:hyperlink r:id="rId9" w:history="1">
        <w:r w:rsidRPr="008345FD">
          <w:rPr>
            <w:rStyle w:val="Hyperlink"/>
            <w:rFonts w:asciiTheme="minorHAnsi" w:hAnsiTheme="minorHAnsi"/>
          </w:rPr>
          <w:t>International Energy Agency</w:t>
        </w:r>
      </w:hyperlink>
      <w:r w:rsidRPr="00C016B0">
        <w:rPr>
          <w:rFonts w:asciiTheme="minorHAnsi" w:hAnsiTheme="minorHAnsi"/>
        </w:rPr>
        <w:t>,</w:t>
      </w:r>
      <w:r>
        <w:rPr>
          <w:rFonts w:asciiTheme="minorHAnsi" w:hAnsiTheme="minorHAnsi"/>
        </w:rPr>
        <w:t xml:space="preserve"> the</w:t>
      </w:r>
      <w:r w:rsidRPr="00C016B0">
        <w:rPr>
          <w:rFonts w:asciiTheme="minorHAnsi" w:hAnsiTheme="minorHAnsi"/>
        </w:rPr>
        <w:t xml:space="preserve"> </w:t>
      </w:r>
      <w:hyperlink r:id="rId10" w:history="1">
        <w:r w:rsidRPr="008345FD">
          <w:rPr>
            <w:rStyle w:val="Hyperlink"/>
            <w:rFonts w:asciiTheme="minorHAnsi" w:hAnsiTheme="minorHAnsi"/>
          </w:rPr>
          <w:t>Energy Futures Initiative</w:t>
        </w:r>
      </w:hyperlink>
      <w:r>
        <w:rPr>
          <w:rFonts w:asciiTheme="minorHAnsi" w:hAnsiTheme="minorHAnsi"/>
        </w:rPr>
        <w:t xml:space="preserve">, </w:t>
      </w:r>
      <w:hyperlink r:id="rId11" w:history="1">
        <w:r w:rsidR="00AA66FB" w:rsidRPr="001F7A32">
          <w:rPr>
            <w:rStyle w:val="Hyperlink"/>
            <w:rFonts w:asciiTheme="minorHAnsi" w:hAnsiTheme="minorHAnsi"/>
          </w:rPr>
          <w:t>Stanford University</w:t>
        </w:r>
      </w:hyperlink>
      <w:r w:rsidR="00AA66FB">
        <w:rPr>
          <w:rFonts w:asciiTheme="minorHAnsi" w:hAnsiTheme="minorHAnsi"/>
        </w:rPr>
        <w:t xml:space="preserve">, </w:t>
      </w:r>
      <w:hyperlink r:id="rId12" w:history="1">
        <w:r w:rsidRPr="001F7A32">
          <w:rPr>
            <w:rStyle w:val="Hyperlink"/>
            <w:rFonts w:asciiTheme="minorHAnsi" w:hAnsiTheme="minorHAnsi"/>
          </w:rPr>
          <w:t>Lawrence Livermore National Laboratory</w:t>
        </w:r>
      </w:hyperlink>
      <w:r>
        <w:rPr>
          <w:rFonts w:asciiTheme="minorHAnsi" w:hAnsiTheme="minorHAnsi"/>
        </w:rPr>
        <w:t xml:space="preserve">, </w:t>
      </w:r>
      <w:hyperlink r:id="rId13" w:history="1">
        <w:r w:rsidRPr="001F7A32">
          <w:rPr>
            <w:rStyle w:val="Hyperlink"/>
            <w:rFonts w:asciiTheme="minorHAnsi" w:hAnsiTheme="minorHAnsi"/>
          </w:rPr>
          <w:t xml:space="preserve">UC Berkeley </w:t>
        </w:r>
        <w:r w:rsidR="00AA66FB" w:rsidRPr="001F7A32">
          <w:rPr>
            <w:rStyle w:val="Hyperlink"/>
            <w:rFonts w:asciiTheme="minorHAnsi" w:hAnsiTheme="minorHAnsi"/>
          </w:rPr>
          <w:t>and UCLA</w:t>
        </w:r>
      </w:hyperlink>
      <w:r w:rsidR="00AA66FB">
        <w:rPr>
          <w:rFonts w:asciiTheme="minorHAnsi" w:hAnsiTheme="minorHAnsi"/>
        </w:rPr>
        <w:t xml:space="preserve">, and </w:t>
      </w:r>
      <w:hyperlink r:id="rId14" w:history="1">
        <w:r w:rsidR="00AA66FB" w:rsidRPr="001F7A32">
          <w:rPr>
            <w:rStyle w:val="Hyperlink"/>
            <w:rFonts w:asciiTheme="minorHAnsi" w:hAnsiTheme="minorHAnsi"/>
          </w:rPr>
          <w:t>Energy &amp; Environmental Economics</w:t>
        </w:r>
      </w:hyperlink>
      <w:r w:rsidR="00AA66FB">
        <w:rPr>
          <w:rFonts w:asciiTheme="minorHAnsi" w:hAnsiTheme="minorHAnsi"/>
        </w:rPr>
        <w:t xml:space="preserve"> </w:t>
      </w:r>
      <w:r w:rsidR="00003CFA">
        <w:rPr>
          <w:rFonts w:asciiTheme="minorHAnsi" w:hAnsiTheme="minorHAnsi"/>
        </w:rPr>
        <w:t xml:space="preserve">detail </w:t>
      </w:r>
      <w:r w:rsidR="00AA66FB">
        <w:rPr>
          <w:rFonts w:asciiTheme="minorHAnsi" w:hAnsiTheme="minorHAnsi"/>
        </w:rPr>
        <w:t xml:space="preserve">the </w:t>
      </w:r>
      <w:r w:rsidR="00756DE4">
        <w:rPr>
          <w:rFonts w:asciiTheme="minorHAnsi" w:hAnsiTheme="minorHAnsi"/>
        </w:rPr>
        <w:t>imperative of including</w:t>
      </w:r>
      <w:r w:rsidR="00AA66FB">
        <w:rPr>
          <w:rFonts w:asciiTheme="minorHAnsi" w:hAnsiTheme="minorHAnsi"/>
        </w:rPr>
        <w:t xml:space="preserve"> CCUS </w:t>
      </w:r>
      <w:r w:rsidR="00756DE4">
        <w:rPr>
          <w:rFonts w:asciiTheme="minorHAnsi" w:hAnsiTheme="minorHAnsi"/>
        </w:rPr>
        <w:t xml:space="preserve">as part </w:t>
      </w:r>
      <w:r w:rsidR="00A257E4">
        <w:rPr>
          <w:rFonts w:asciiTheme="minorHAnsi" w:hAnsiTheme="minorHAnsi"/>
        </w:rPr>
        <w:t>the approach to achieving</w:t>
      </w:r>
      <w:r w:rsidR="00756DE4">
        <w:rPr>
          <w:rFonts w:asciiTheme="minorHAnsi" w:hAnsiTheme="minorHAnsi"/>
        </w:rPr>
        <w:t xml:space="preserve"> California’s</w:t>
      </w:r>
      <w:r w:rsidR="00A257E4">
        <w:rPr>
          <w:rFonts w:asciiTheme="minorHAnsi" w:hAnsiTheme="minorHAnsi"/>
        </w:rPr>
        <w:t xml:space="preserve"> 2045 carbon net-neutrality goal</w:t>
      </w:r>
      <w:r w:rsidR="00756DE4">
        <w:rPr>
          <w:rFonts w:asciiTheme="minorHAnsi" w:hAnsiTheme="minorHAnsi"/>
        </w:rPr>
        <w:t xml:space="preserve">. </w:t>
      </w:r>
    </w:p>
    <w:p w14:paraId="74A1DA43" w14:textId="58F832D7" w:rsidR="00EE4624" w:rsidRPr="00003CFA" w:rsidRDefault="00C16A1C" w:rsidP="00C016B0">
      <w:pPr>
        <w:pStyle w:val="NormalWeb"/>
        <w:rPr>
          <w:rFonts w:asciiTheme="minorHAnsi" w:hAnsiTheme="minorHAnsi" w:cs="Calibri"/>
          <w:iCs/>
          <w:szCs w:val="22"/>
        </w:rPr>
      </w:pPr>
      <w:r>
        <w:rPr>
          <w:rFonts w:asciiTheme="minorHAnsi" w:hAnsiTheme="minorHAnsi" w:cs="Calibri"/>
          <w:iCs/>
          <w:szCs w:val="22"/>
        </w:rPr>
        <w:lastRenderedPageBreak/>
        <w:t xml:space="preserve">California’s 2008 Climate Change Scoping Plan, and subsequent 2013 and 2017 plan updates, </w:t>
      </w:r>
      <w:r w:rsidR="00E704F4">
        <w:rPr>
          <w:rFonts w:asciiTheme="minorHAnsi" w:hAnsiTheme="minorHAnsi" w:cs="Calibri"/>
          <w:iCs/>
          <w:szCs w:val="22"/>
        </w:rPr>
        <w:t>all</w:t>
      </w:r>
      <w:r>
        <w:rPr>
          <w:rFonts w:asciiTheme="minorHAnsi" w:hAnsiTheme="minorHAnsi" w:cs="Calibri"/>
          <w:iCs/>
          <w:szCs w:val="22"/>
        </w:rPr>
        <w:t xml:space="preserve"> recognized the importance of CCUS in the state’s comprehensive climate strategy. And just last month, </w:t>
      </w:r>
      <w:r w:rsidR="00003CFA">
        <w:rPr>
          <w:rFonts w:asciiTheme="minorHAnsi" w:hAnsiTheme="minorHAnsi" w:cs="Calibri"/>
          <w:iCs/>
          <w:szCs w:val="22"/>
        </w:rPr>
        <w:t>Governor Newsom’s</w:t>
      </w:r>
      <w:r>
        <w:rPr>
          <w:rFonts w:asciiTheme="minorHAnsi" w:hAnsiTheme="minorHAnsi" w:cs="Calibri"/>
          <w:iCs/>
          <w:szCs w:val="22"/>
        </w:rPr>
        <w:t xml:space="preserve"> </w:t>
      </w:r>
      <w:hyperlink r:id="rId15" w:history="1">
        <w:r w:rsidR="00003CFA" w:rsidRPr="00003CFA">
          <w:rPr>
            <w:rStyle w:val="Hyperlink"/>
            <w:rFonts w:asciiTheme="minorHAnsi" w:hAnsiTheme="minorHAnsi" w:cs="Calibri"/>
            <w:i/>
            <w:szCs w:val="22"/>
          </w:rPr>
          <w:t>California’s Electricity System of the Future</w:t>
        </w:r>
      </w:hyperlink>
      <w:r w:rsidR="00003CFA">
        <w:rPr>
          <w:rFonts w:asciiTheme="minorHAnsi" w:hAnsiTheme="minorHAnsi" w:cs="Calibri"/>
          <w:i/>
          <w:szCs w:val="22"/>
        </w:rPr>
        <w:t xml:space="preserve"> </w:t>
      </w:r>
      <w:r w:rsidR="00003CFA">
        <w:rPr>
          <w:rFonts w:asciiTheme="minorHAnsi" w:hAnsiTheme="minorHAnsi" w:cs="Calibri"/>
          <w:iCs/>
          <w:szCs w:val="22"/>
        </w:rPr>
        <w:t>report highlight</w:t>
      </w:r>
      <w:r>
        <w:rPr>
          <w:rFonts w:asciiTheme="minorHAnsi" w:hAnsiTheme="minorHAnsi" w:cs="Calibri"/>
          <w:iCs/>
          <w:szCs w:val="22"/>
        </w:rPr>
        <w:t>ed</w:t>
      </w:r>
      <w:r w:rsidR="00003CFA">
        <w:rPr>
          <w:rFonts w:asciiTheme="minorHAnsi" w:hAnsiTheme="minorHAnsi" w:cs="Calibri"/>
          <w:iCs/>
          <w:szCs w:val="22"/>
        </w:rPr>
        <w:t xml:space="preserve"> the key role th</w:t>
      </w:r>
      <w:r w:rsidR="00E704F4">
        <w:rPr>
          <w:rFonts w:asciiTheme="minorHAnsi" w:hAnsiTheme="minorHAnsi" w:cs="Calibri"/>
          <w:iCs/>
          <w:szCs w:val="22"/>
        </w:rPr>
        <w:t>at</w:t>
      </w:r>
      <w:r w:rsidR="00003CFA">
        <w:rPr>
          <w:rFonts w:asciiTheme="minorHAnsi" w:hAnsiTheme="minorHAnsi" w:cs="Calibri"/>
          <w:iCs/>
          <w:szCs w:val="22"/>
        </w:rPr>
        <w:t xml:space="preserve"> CCUS </w:t>
      </w:r>
      <w:r w:rsidR="00E704F4">
        <w:rPr>
          <w:rFonts w:asciiTheme="minorHAnsi" w:hAnsiTheme="minorHAnsi" w:cs="Calibri"/>
          <w:iCs/>
          <w:szCs w:val="22"/>
        </w:rPr>
        <w:t>can</w:t>
      </w:r>
      <w:r w:rsidR="00003CFA">
        <w:rPr>
          <w:rFonts w:asciiTheme="minorHAnsi" w:hAnsiTheme="minorHAnsi" w:cs="Calibri"/>
          <w:iCs/>
          <w:szCs w:val="22"/>
        </w:rPr>
        <w:t xml:space="preserve"> play </w:t>
      </w:r>
      <w:r w:rsidR="00856724">
        <w:rPr>
          <w:rFonts w:asciiTheme="minorHAnsi" w:hAnsiTheme="minorHAnsi" w:cs="Calibri"/>
          <w:iCs/>
          <w:szCs w:val="22"/>
        </w:rPr>
        <w:t>in</w:t>
      </w:r>
      <w:r w:rsidR="00003CFA">
        <w:rPr>
          <w:rFonts w:asciiTheme="minorHAnsi" w:hAnsiTheme="minorHAnsi" w:cs="Calibri"/>
          <w:iCs/>
          <w:szCs w:val="22"/>
        </w:rPr>
        <w:t xml:space="preserve"> state climate action.  </w:t>
      </w:r>
    </w:p>
    <w:p w14:paraId="0D166077" w14:textId="003F2C70" w:rsidR="00DE3E66" w:rsidRDefault="00DE3E66" w:rsidP="00C016B0">
      <w:pPr>
        <w:pStyle w:val="NormalWeb"/>
        <w:rPr>
          <w:rFonts w:asciiTheme="minorHAnsi" w:hAnsiTheme="minorHAnsi"/>
          <w:b/>
          <w:bCs/>
        </w:rPr>
      </w:pPr>
      <w:r w:rsidRPr="00DE3E66">
        <w:rPr>
          <w:rFonts w:asciiTheme="minorHAnsi" w:hAnsiTheme="minorHAnsi"/>
          <w:b/>
          <w:bCs/>
        </w:rPr>
        <w:t>CCUS will deliver significant job and economic benefits</w:t>
      </w:r>
    </w:p>
    <w:p w14:paraId="10B865E2" w14:textId="47C7EFCE" w:rsidR="00003CFA" w:rsidRDefault="00556EF7" w:rsidP="00C016B0">
      <w:pPr>
        <w:pStyle w:val="NormalWeb"/>
        <w:rPr>
          <w:rFonts w:asciiTheme="minorHAnsi" w:hAnsiTheme="minorHAnsi"/>
        </w:rPr>
      </w:pPr>
      <w:r>
        <w:rPr>
          <w:rFonts w:asciiTheme="minorHAnsi" w:hAnsiTheme="minorHAnsi"/>
        </w:rPr>
        <w:t xml:space="preserve">Deployment of carbon capture, utilization and sequestration technology affords California a significant opportunity to create and preserve thousands of high </w:t>
      </w:r>
      <w:proofErr w:type="gramStart"/>
      <w:r>
        <w:rPr>
          <w:rFonts w:asciiTheme="minorHAnsi" w:hAnsiTheme="minorHAnsi"/>
        </w:rPr>
        <w:t>quality</w:t>
      </w:r>
      <w:proofErr w:type="gramEnd"/>
      <w:r w:rsidR="00D556D6">
        <w:rPr>
          <w:rFonts w:asciiTheme="minorHAnsi" w:hAnsiTheme="minorHAnsi"/>
        </w:rPr>
        <w:t xml:space="preserve">, high wage </w:t>
      </w:r>
      <w:r>
        <w:rPr>
          <w:rFonts w:asciiTheme="minorHAnsi" w:hAnsiTheme="minorHAnsi"/>
        </w:rPr>
        <w:t>job</w:t>
      </w:r>
      <w:r w:rsidR="00D556D6">
        <w:rPr>
          <w:rFonts w:asciiTheme="minorHAnsi" w:hAnsiTheme="minorHAnsi"/>
        </w:rPr>
        <w:t xml:space="preserve">s </w:t>
      </w:r>
      <w:r>
        <w:rPr>
          <w:rFonts w:asciiTheme="minorHAnsi" w:hAnsiTheme="minorHAnsi"/>
        </w:rPr>
        <w:t>across the state</w:t>
      </w:r>
      <w:r w:rsidR="00037150">
        <w:rPr>
          <w:rFonts w:asciiTheme="minorHAnsi" w:hAnsiTheme="minorHAnsi"/>
        </w:rPr>
        <w:t xml:space="preserve"> in both new and existing industries</w:t>
      </w:r>
      <w:r>
        <w:rPr>
          <w:rFonts w:asciiTheme="minorHAnsi" w:hAnsiTheme="minorHAnsi"/>
        </w:rPr>
        <w:t xml:space="preserve">. </w:t>
      </w:r>
      <w:r w:rsidR="00863361">
        <w:rPr>
          <w:rFonts w:asciiTheme="minorHAnsi" w:hAnsiTheme="minorHAnsi"/>
        </w:rPr>
        <w:t xml:space="preserve">As documented in recent analyses from </w:t>
      </w:r>
      <w:hyperlink r:id="rId16" w:history="1">
        <w:r w:rsidR="00863361" w:rsidRPr="00863361">
          <w:rPr>
            <w:rStyle w:val="Hyperlink"/>
            <w:rFonts w:asciiTheme="minorHAnsi" w:hAnsiTheme="minorHAnsi"/>
          </w:rPr>
          <w:t>Rhodium Group</w:t>
        </w:r>
      </w:hyperlink>
      <w:r w:rsidR="00863361">
        <w:rPr>
          <w:rFonts w:asciiTheme="minorHAnsi" w:hAnsiTheme="minorHAnsi"/>
        </w:rPr>
        <w:t xml:space="preserve"> and </w:t>
      </w:r>
      <w:hyperlink r:id="rId17" w:history="1">
        <w:r w:rsidR="00863361" w:rsidRPr="00863361">
          <w:rPr>
            <w:rStyle w:val="Hyperlink"/>
            <w:rFonts w:asciiTheme="minorHAnsi" w:hAnsiTheme="minorHAnsi"/>
          </w:rPr>
          <w:t>Energy Futures Initiative</w:t>
        </w:r>
      </w:hyperlink>
      <w:r w:rsidR="00863361">
        <w:rPr>
          <w:rFonts w:asciiTheme="minorHAnsi" w:hAnsiTheme="minorHAnsi"/>
        </w:rPr>
        <w:t>, b</w:t>
      </w:r>
      <w:r w:rsidR="00D556D6">
        <w:rPr>
          <w:rFonts w:asciiTheme="minorHAnsi" w:hAnsiTheme="minorHAnsi"/>
        </w:rPr>
        <w:t xml:space="preserve">ringing CCUS projects and infrastructure on-line in California will support a range of employment opportunities across multiple economic </w:t>
      </w:r>
      <w:r>
        <w:rPr>
          <w:rFonts w:asciiTheme="minorHAnsi" w:hAnsiTheme="minorHAnsi"/>
        </w:rPr>
        <w:t>sectors including construction</w:t>
      </w:r>
      <w:r w:rsidR="00863361">
        <w:rPr>
          <w:rFonts w:asciiTheme="minorHAnsi" w:hAnsiTheme="minorHAnsi"/>
        </w:rPr>
        <w:t xml:space="preserve"> and pre-construction,</w:t>
      </w:r>
      <w:r>
        <w:rPr>
          <w:rFonts w:asciiTheme="minorHAnsi" w:hAnsiTheme="minorHAnsi"/>
        </w:rPr>
        <w:t xml:space="preserve"> engineering, sciences, project development and ongoing project management</w:t>
      </w:r>
      <w:r w:rsidR="00D556D6">
        <w:rPr>
          <w:rFonts w:asciiTheme="minorHAnsi" w:hAnsiTheme="minorHAnsi"/>
        </w:rPr>
        <w:t>.</w:t>
      </w:r>
      <w:r>
        <w:rPr>
          <w:rFonts w:asciiTheme="minorHAnsi" w:hAnsiTheme="minorHAnsi"/>
        </w:rPr>
        <w:t xml:space="preserve"> </w:t>
      </w:r>
    </w:p>
    <w:p w14:paraId="32C14F3B" w14:textId="13CFBCB3" w:rsidR="00DE3E66" w:rsidRDefault="00DE3E66" w:rsidP="00C016B0">
      <w:pPr>
        <w:pStyle w:val="NormalWeb"/>
        <w:rPr>
          <w:rFonts w:asciiTheme="minorHAnsi" w:hAnsiTheme="minorHAnsi"/>
          <w:b/>
          <w:bCs/>
        </w:rPr>
      </w:pPr>
      <w:r w:rsidRPr="00DE3E66">
        <w:rPr>
          <w:rFonts w:asciiTheme="minorHAnsi" w:hAnsiTheme="minorHAnsi"/>
          <w:b/>
          <w:bCs/>
        </w:rPr>
        <w:t xml:space="preserve">California is uniquely positioned to </w:t>
      </w:r>
      <w:r w:rsidR="00E6089D">
        <w:rPr>
          <w:rFonts w:asciiTheme="minorHAnsi" w:hAnsiTheme="minorHAnsi"/>
          <w:b/>
          <w:bCs/>
        </w:rPr>
        <w:t xml:space="preserve">safely </w:t>
      </w:r>
      <w:r w:rsidRPr="00DE3E66">
        <w:rPr>
          <w:rFonts w:asciiTheme="minorHAnsi" w:hAnsiTheme="minorHAnsi"/>
          <w:b/>
          <w:bCs/>
        </w:rPr>
        <w:t>take advantage of CCUS</w:t>
      </w:r>
      <w:r w:rsidR="00F20692">
        <w:rPr>
          <w:rFonts w:asciiTheme="minorHAnsi" w:hAnsiTheme="minorHAnsi"/>
          <w:b/>
          <w:bCs/>
        </w:rPr>
        <w:t xml:space="preserve"> technology</w:t>
      </w:r>
    </w:p>
    <w:p w14:paraId="01E670B6" w14:textId="385B34A2" w:rsidR="00003CFA" w:rsidRDefault="00EB1C92" w:rsidP="00C016B0">
      <w:pPr>
        <w:pStyle w:val="NormalWeb"/>
        <w:rPr>
          <w:rFonts w:asciiTheme="minorHAnsi" w:hAnsiTheme="minorHAnsi"/>
        </w:rPr>
      </w:pPr>
      <w:r>
        <w:rPr>
          <w:rFonts w:asciiTheme="minorHAnsi" w:hAnsiTheme="minorHAnsi"/>
        </w:rPr>
        <w:t xml:space="preserve">California has an unparalleled set of </w:t>
      </w:r>
      <w:r w:rsidR="00CF00F9">
        <w:rPr>
          <w:rFonts w:asciiTheme="minorHAnsi" w:hAnsiTheme="minorHAnsi"/>
        </w:rPr>
        <w:t>resources</w:t>
      </w:r>
      <w:r>
        <w:rPr>
          <w:rFonts w:asciiTheme="minorHAnsi" w:hAnsiTheme="minorHAnsi"/>
        </w:rPr>
        <w:t xml:space="preserve"> </w:t>
      </w:r>
      <w:r w:rsidR="00166EE6">
        <w:rPr>
          <w:rFonts w:asciiTheme="minorHAnsi" w:hAnsiTheme="minorHAnsi"/>
        </w:rPr>
        <w:t xml:space="preserve">to </w:t>
      </w:r>
      <w:r w:rsidR="00E6755C">
        <w:rPr>
          <w:rFonts w:asciiTheme="minorHAnsi" w:hAnsiTheme="minorHAnsi"/>
        </w:rPr>
        <w:t>be a global leader in demonstrating the critical role that safe</w:t>
      </w:r>
      <w:r w:rsidR="00CF00F9">
        <w:rPr>
          <w:rFonts w:asciiTheme="minorHAnsi" w:hAnsiTheme="minorHAnsi"/>
        </w:rPr>
        <w:t xml:space="preserve"> and </w:t>
      </w:r>
      <w:r w:rsidR="00E6755C">
        <w:rPr>
          <w:rFonts w:asciiTheme="minorHAnsi" w:hAnsiTheme="minorHAnsi"/>
        </w:rPr>
        <w:t xml:space="preserve">effective CCUS technologies can play in climate action. Analyses presented by </w:t>
      </w:r>
      <w:r w:rsidR="00CF00F9">
        <w:rPr>
          <w:rFonts w:asciiTheme="minorHAnsi" w:hAnsiTheme="minorHAnsi"/>
        </w:rPr>
        <w:t xml:space="preserve">leading experts from </w:t>
      </w:r>
      <w:hyperlink r:id="rId18" w:history="1">
        <w:r w:rsidR="00CF00F9" w:rsidRPr="00CF00F9">
          <w:rPr>
            <w:rStyle w:val="Hyperlink"/>
            <w:rFonts w:asciiTheme="minorHAnsi" w:hAnsiTheme="minorHAnsi"/>
          </w:rPr>
          <w:t>Stanford University</w:t>
        </w:r>
      </w:hyperlink>
      <w:r w:rsidR="00CF00F9">
        <w:rPr>
          <w:rFonts w:asciiTheme="minorHAnsi" w:hAnsiTheme="minorHAnsi"/>
        </w:rPr>
        <w:t xml:space="preserve"> and </w:t>
      </w:r>
      <w:hyperlink r:id="rId19" w:history="1">
        <w:r w:rsidR="00CF00F9" w:rsidRPr="00CF00F9">
          <w:rPr>
            <w:rStyle w:val="Hyperlink"/>
            <w:rFonts w:asciiTheme="minorHAnsi" w:hAnsiTheme="minorHAnsi"/>
          </w:rPr>
          <w:t>Lawrence Livermore National Laboratories</w:t>
        </w:r>
      </w:hyperlink>
      <w:r w:rsidR="00E6755C">
        <w:rPr>
          <w:rFonts w:asciiTheme="minorHAnsi" w:hAnsiTheme="minorHAnsi"/>
        </w:rPr>
        <w:t xml:space="preserve"> </w:t>
      </w:r>
      <w:r w:rsidR="00CF00F9">
        <w:rPr>
          <w:rFonts w:asciiTheme="minorHAnsi" w:hAnsiTheme="minorHAnsi"/>
        </w:rPr>
        <w:t>at</w:t>
      </w:r>
      <w:r w:rsidR="00E6755C">
        <w:rPr>
          <w:rFonts w:asciiTheme="minorHAnsi" w:hAnsiTheme="minorHAnsi"/>
        </w:rPr>
        <w:t xml:space="preserve"> the August 2 Scoping Plan workshop highlighted the abundance of safe, high quality geologic sequestration capacity in the state – much of it strategically located near existing facilities </w:t>
      </w:r>
      <w:r w:rsidR="00CF00F9">
        <w:rPr>
          <w:rFonts w:asciiTheme="minorHAnsi" w:hAnsiTheme="minorHAnsi"/>
        </w:rPr>
        <w:t xml:space="preserve">currently suited for </w:t>
      </w:r>
      <w:r w:rsidR="0052201B">
        <w:rPr>
          <w:rFonts w:asciiTheme="minorHAnsi" w:hAnsiTheme="minorHAnsi"/>
        </w:rPr>
        <w:t>safely c</w:t>
      </w:r>
      <w:r w:rsidR="00CF00F9">
        <w:rPr>
          <w:rFonts w:asciiTheme="minorHAnsi" w:hAnsiTheme="minorHAnsi"/>
        </w:rPr>
        <w:t xml:space="preserve">apturing </w:t>
      </w:r>
      <w:r w:rsidR="00166EE6">
        <w:rPr>
          <w:rFonts w:asciiTheme="minorHAnsi" w:hAnsiTheme="minorHAnsi"/>
        </w:rPr>
        <w:t xml:space="preserve">and transporting </w:t>
      </w:r>
      <w:r w:rsidR="00CF00F9">
        <w:rPr>
          <w:rFonts w:asciiTheme="minorHAnsi" w:hAnsiTheme="minorHAnsi"/>
        </w:rPr>
        <w:t xml:space="preserve">CO2. </w:t>
      </w:r>
    </w:p>
    <w:p w14:paraId="2B62557F" w14:textId="600BB2BE" w:rsidR="00F20692" w:rsidRDefault="00F20692" w:rsidP="00C016B0">
      <w:pPr>
        <w:pStyle w:val="NormalWeb"/>
        <w:rPr>
          <w:rFonts w:asciiTheme="minorHAnsi" w:hAnsiTheme="minorHAnsi"/>
        </w:rPr>
      </w:pPr>
      <w:r>
        <w:rPr>
          <w:rFonts w:asciiTheme="minorHAnsi" w:hAnsiTheme="minorHAnsi"/>
        </w:rPr>
        <w:t xml:space="preserve">California industries possess </w:t>
      </w:r>
      <w:r w:rsidR="00166EE6">
        <w:rPr>
          <w:rFonts w:asciiTheme="minorHAnsi" w:hAnsiTheme="minorHAnsi"/>
        </w:rPr>
        <w:t xml:space="preserve">a depth of technological capability and technical expertise to </w:t>
      </w:r>
      <w:r w:rsidR="0009680E">
        <w:rPr>
          <w:rFonts w:asciiTheme="minorHAnsi" w:hAnsiTheme="minorHAnsi"/>
        </w:rPr>
        <w:t xml:space="preserve">quickly and safely </w:t>
      </w:r>
      <w:r w:rsidR="002B7793">
        <w:rPr>
          <w:rFonts w:asciiTheme="minorHAnsi" w:hAnsiTheme="minorHAnsi"/>
        </w:rPr>
        <w:t>deploy CCUS. The state</w:t>
      </w:r>
      <w:r w:rsidR="00166EE6">
        <w:rPr>
          <w:rFonts w:asciiTheme="minorHAnsi" w:hAnsiTheme="minorHAnsi"/>
        </w:rPr>
        <w:t xml:space="preserve"> </w:t>
      </w:r>
      <w:r w:rsidR="002B7793">
        <w:rPr>
          <w:rFonts w:asciiTheme="minorHAnsi" w:hAnsiTheme="minorHAnsi"/>
        </w:rPr>
        <w:t>has one of</w:t>
      </w:r>
      <w:r w:rsidR="00166EE6">
        <w:rPr>
          <w:rFonts w:asciiTheme="minorHAnsi" w:hAnsiTheme="minorHAnsi"/>
        </w:rPr>
        <w:t xml:space="preserve"> most skilled workforces in the world</w:t>
      </w:r>
      <w:r w:rsidR="002B7793">
        <w:rPr>
          <w:rFonts w:asciiTheme="minorHAnsi" w:hAnsiTheme="minorHAnsi"/>
        </w:rPr>
        <w:t xml:space="preserve"> </w:t>
      </w:r>
      <w:r w:rsidR="0052201B">
        <w:rPr>
          <w:rFonts w:asciiTheme="minorHAnsi" w:hAnsiTheme="minorHAnsi"/>
        </w:rPr>
        <w:t xml:space="preserve">standing </w:t>
      </w:r>
      <w:r w:rsidR="00792FD6">
        <w:rPr>
          <w:rFonts w:asciiTheme="minorHAnsi" w:hAnsiTheme="minorHAnsi"/>
        </w:rPr>
        <w:t xml:space="preserve">at the ready </w:t>
      </w:r>
      <w:r w:rsidR="0009680E">
        <w:rPr>
          <w:rFonts w:asciiTheme="minorHAnsi" w:hAnsiTheme="minorHAnsi"/>
        </w:rPr>
        <w:t>to design, build and operate CCUS projects</w:t>
      </w:r>
      <w:r w:rsidR="00792FD6">
        <w:rPr>
          <w:rFonts w:asciiTheme="minorHAnsi" w:hAnsiTheme="minorHAnsi"/>
        </w:rPr>
        <w:t xml:space="preserve"> and infrastructure.</w:t>
      </w:r>
      <w:r w:rsidR="0009680E">
        <w:rPr>
          <w:rFonts w:asciiTheme="minorHAnsi" w:hAnsiTheme="minorHAnsi"/>
        </w:rPr>
        <w:t xml:space="preserve"> A</w:t>
      </w:r>
      <w:r w:rsidR="00166B80">
        <w:rPr>
          <w:rFonts w:asciiTheme="minorHAnsi" w:hAnsiTheme="minorHAnsi"/>
        </w:rPr>
        <w:t>nd</w:t>
      </w:r>
      <w:r w:rsidR="0009680E">
        <w:rPr>
          <w:rFonts w:asciiTheme="minorHAnsi" w:hAnsiTheme="minorHAnsi"/>
        </w:rPr>
        <w:t xml:space="preserve">, </w:t>
      </w:r>
      <w:r w:rsidR="00792FD6">
        <w:rPr>
          <w:rFonts w:asciiTheme="minorHAnsi" w:hAnsiTheme="minorHAnsi"/>
        </w:rPr>
        <w:t xml:space="preserve">as detailed in </w:t>
      </w:r>
      <w:r w:rsidR="00572207">
        <w:rPr>
          <w:rFonts w:asciiTheme="minorHAnsi" w:hAnsiTheme="minorHAnsi"/>
        </w:rPr>
        <w:t xml:space="preserve">the February 2021 report </w:t>
      </w:r>
      <w:hyperlink r:id="rId20" w:history="1">
        <w:r w:rsidR="00792FD6" w:rsidRPr="00572207">
          <w:rPr>
            <w:rStyle w:val="Hyperlink"/>
            <w:rFonts w:asciiTheme="minorHAnsi" w:hAnsiTheme="minorHAnsi"/>
            <w:i/>
            <w:iCs/>
          </w:rPr>
          <w:t>Permitting Carbon Capture and Storage Projects in California</w:t>
        </w:r>
      </w:hyperlink>
      <w:r w:rsidR="00792FD6">
        <w:rPr>
          <w:rFonts w:asciiTheme="minorHAnsi" w:hAnsiTheme="minorHAnsi"/>
        </w:rPr>
        <w:t xml:space="preserve">, </w:t>
      </w:r>
      <w:r w:rsidR="0009680E">
        <w:rPr>
          <w:rFonts w:asciiTheme="minorHAnsi" w:hAnsiTheme="minorHAnsi"/>
        </w:rPr>
        <w:t xml:space="preserve">California has </w:t>
      </w:r>
      <w:r w:rsidR="00572207">
        <w:rPr>
          <w:rFonts w:asciiTheme="minorHAnsi" w:hAnsiTheme="minorHAnsi"/>
        </w:rPr>
        <w:t>existing and r</w:t>
      </w:r>
      <w:r w:rsidR="00792FD6">
        <w:rPr>
          <w:rFonts w:asciiTheme="minorHAnsi" w:hAnsiTheme="minorHAnsi"/>
        </w:rPr>
        <w:t xml:space="preserve">obust regulatory frameworks </w:t>
      </w:r>
      <w:r w:rsidR="00572207">
        <w:rPr>
          <w:rFonts w:asciiTheme="minorHAnsi" w:hAnsiTheme="minorHAnsi"/>
        </w:rPr>
        <w:t xml:space="preserve">to </w:t>
      </w:r>
      <w:r w:rsidR="00166B80">
        <w:rPr>
          <w:rFonts w:asciiTheme="minorHAnsi" w:hAnsiTheme="minorHAnsi"/>
        </w:rPr>
        <w:t xml:space="preserve">ensure that CCUS projects </w:t>
      </w:r>
      <w:r w:rsidR="00572207">
        <w:rPr>
          <w:rFonts w:asciiTheme="minorHAnsi" w:hAnsiTheme="minorHAnsi"/>
        </w:rPr>
        <w:t>protect public health, safety and the environment</w:t>
      </w:r>
      <w:r w:rsidR="00166B80">
        <w:rPr>
          <w:rFonts w:asciiTheme="minorHAnsi" w:hAnsiTheme="minorHAnsi"/>
        </w:rPr>
        <w:t xml:space="preserve">. </w:t>
      </w:r>
    </w:p>
    <w:p w14:paraId="0D344CD8" w14:textId="6AAF7D7B" w:rsidR="00DE3E66" w:rsidRDefault="00DE3E66" w:rsidP="00C016B0">
      <w:pPr>
        <w:pStyle w:val="NormalWeb"/>
        <w:rPr>
          <w:rFonts w:asciiTheme="minorHAnsi" w:hAnsiTheme="minorHAnsi"/>
          <w:b/>
          <w:bCs/>
        </w:rPr>
      </w:pPr>
      <w:r w:rsidRPr="00DE3E66">
        <w:rPr>
          <w:rFonts w:asciiTheme="minorHAnsi" w:hAnsiTheme="minorHAnsi"/>
          <w:b/>
          <w:bCs/>
        </w:rPr>
        <w:t xml:space="preserve">The </w:t>
      </w:r>
      <w:r w:rsidR="00E510B0">
        <w:rPr>
          <w:rFonts w:asciiTheme="minorHAnsi" w:hAnsiTheme="minorHAnsi"/>
          <w:b/>
          <w:bCs/>
        </w:rPr>
        <w:t xml:space="preserve">2022 </w:t>
      </w:r>
      <w:r w:rsidRPr="00DE3E66">
        <w:rPr>
          <w:rFonts w:asciiTheme="minorHAnsi" w:hAnsiTheme="minorHAnsi"/>
          <w:b/>
          <w:bCs/>
        </w:rPr>
        <w:t xml:space="preserve">Scoping Plan </w:t>
      </w:r>
      <w:r w:rsidR="00E510B0">
        <w:rPr>
          <w:rFonts w:asciiTheme="minorHAnsi" w:hAnsiTheme="minorHAnsi"/>
          <w:b/>
          <w:bCs/>
        </w:rPr>
        <w:t xml:space="preserve">Update </w:t>
      </w:r>
      <w:r w:rsidRPr="00DE3E66">
        <w:rPr>
          <w:rFonts w:asciiTheme="minorHAnsi" w:hAnsiTheme="minorHAnsi"/>
          <w:b/>
          <w:bCs/>
        </w:rPr>
        <w:t xml:space="preserve">must include an actionable plan for CCUS deployment in California </w:t>
      </w:r>
    </w:p>
    <w:p w14:paraId="66492231" w14:textId="1E6C1587" w:rsidR="00236AE1" w:rsidRDefault="00DE3E66" w:rsidP="00236AE1">
      <w:pPr>
        <w:pStyle w:val="NormalWeb"/>
        <w:rPr>
          <w:rFonts w:asciiTheme="minorHAnsi" w:hAnsiTheme="minorHAnsi" w:cs="Calibri"/>
          <w:iCs/>
          <w:szCs w:val="22"/>
        </w:rPr>
      </w:pPr>
      <w:r>
        <w:rPr>
          <w:rFonts w:asciiTheme="minorHAnsi" w:hAnsiTheme="minorHAnsi"/>
        </w:rPr>
        <w:t>The Coalition a</w:t>
      </w:r>
      <w:r w:rsidR="00E6089D">
        <w:rPr>
          <w:rFonts w:asciiTheme="minorHAnsi" w:hAnsiTheme="minorHAnsi"/>
        </w:rPr>
        <w:t>pp</w:t>
      </w:r>
      <w:r w:rsidR="00166B80">
        <w:rPr>
          <w:rFonts w:asciiTheme="minorHAnsi" w:hAnsiTheme="minorHAnsi"/>
        </w:rPr>
        <w:t xml:space="preserve">reciates the inclusion of a </w:t>
      </w:r>
      <w:r>
        <w:rPr>
          <w:rFonts w:asciiTheme="minorHAnsi" w:hAnsiTheme="minorHAnsi"/>
        </w:rPr>
        <w:t xml:space="preserve">focused workshop on </w:t>
      </w:r>
      <w:r w:rsidR="00166B80">
        <w:rPr>
          <w:rFonts w:asciiTheme="minorHAnsi" w:hAnsiTheme="minorHAnsi"/>
        </w:rPr>
        <w:t xml:space="preserve">CCUS technology as part of the 2022 Scoping Plan Update. </w:t>
      </w:r>
      <w:r w:rsidR="00D267DD">
        <w:rPr>
          <w:rFonts w:asciiTheme="minorHAnsi" w:hAnsiTheme="minorHAnsi" w:cs="Calibri"/>
          <w:iCs/>
          <w:szCs w:val="22"/>
        </w:rPr>
        <w:t xml:space="preserve">Now is the time for the state to take the necessary actions to move CCUS forward in California. </w:t>
      </w:r>
    </w:p>
    <w:p w14:paraId="418F710D" w14:textId="6DA1766D" w:rsidR="00236AE1" w:rsidRDefault="00D267DD" w:rsidP="00236AE1">
      <w:pPr>
        <w:pStyle w:val="NormalWeb"/>
        <w:rPr>
          <w:rFonts w:asciiTheme="minorHAnsi" w:hAnsiTheme="minorHAnsi" w:cs="Calibri"/>
          <w:iCs/>
          <w:szCs w:val="22"/>
        </w:rPr>
      </w:pPr>
      <w:r>
        <w:rPr>
          <w:rFonts w:asciiTheme="minorHAnsi" w:hAnsiTheme="minorHAnsi" w:cs="Calibri"/>
          <w:iCs/>
          <w:szCs w:val="22"/>
        </w:rPr>
        <w:t>CARB, CNRA and all stakeholders</w:t>
      </w:r>
      <w:r w:rsidR="00E6089D">
        <w:rPr>
          <w:rFonts w:asciiTheme="minorHAnsi" w:hAnsiTheme="minorHAnsi" w:cs="Calibri"/>
          <w:iCs/>
          <w:szCs w:val="22"/>
        </w:rPr>
        <w:t xml:space="preserve"> must </w:t>
      </w:r>
      <w:r>
        <w:rPr>
          <w:rFonts w:asciiTheme="minorHAnsi" w:hAnsiTheme="minorHAnsi" w:cs="Calibri"/>
          <w:iCs/>
          <w:szCs w:val="22"/>
        </w:rPr>
        <w:t xml:space="preserve">work together to ensure that the 2022 Scoping Plan Update outlines a </w:t>
      </w:r>
      <w:r w:rsidR="00E6089D">
        <w:rPr>
          <w:rFonts w:asciiTheme="minorHAnsi" w:hAnsiTheme="minorHAnsi" w:cs="Calibri"/>
          <w:iCs/>
          <w:szCs w:val="22"/>
        </w:rPr>
        <w:t>comprehensive policy, regulatory and economic framework for CCUS in California</w:t>
      </w:r>
      <w:r w:rsidR="00E510B0">
        <w:rPr>
          <w:rFonts w:asciiTheme="minorHAnsi" w:hAnsiTheme="minorHAnsi" w:cs="Calibri"/>
          <w:iCs/>
          <w:szCs w:val="22"/>
        </w:rPr>
        <w:t xml:space="preserve">. </w:t>
      </w:r>
      <w:r>
        <w:rPr>
          <w:rFonts w:asciiTheme="minorHAnsi" w:hAnsiTheme="minorHAnsi" w:cs="Calibri"/>
          <w:iCs/>
          <w:szCs w:val="22"/>
        </w:rPr>
        <w:t xml:space="preserve">This plan </w:t>
      </w:r>
      <w:r w:rsidR="00236AE1">
        <w:rPr>
          <w:rFonts w:asciiTheme="minorHAnsi" w:hAnsiTheme="minorHAnsi" w:cs="Calibri"/>
          <w:iCs/>
          <w:szCs w:val="22"/>
        </w:rPr>
        <w:t xml:space="preserve">must detail the factors necessary to successfully enable CCUS technology to quickly, safely, and meaningfully contribute to California’s GHG reduction efforts. These key factors include the establishment of a unified, coordinated and streamlined permitting process; additional legal clarity on geologic pore space ownership; an integrated plan for the </w:t>
      </w:r>
      <w:r w:rsidR="00236AE1">
        <w:rPr>
          <w:rFonts w:asciiTheme="minorHAnsi" w:hAnsiTheme="minorHAnsi" w:cs="Calibri"/>
          <w:iCs/>
          <w:szCs w:val="22"/>
        </w:rPr>
        <w:lastRenderedPageBreak/>
        <w:t>development of CCUS infrastructure tailored to California’s uniquely well-suited geologic conditions; and additional policy and economic incentives for CCUS, including incorporation of an accounting framework that addresses negative C02 emissions.</w:t>
      </w:r>
    </w:p>
    <w:p w14:paraId="7CCB9CEA" w14:textId="766A09AF" w:rsidR="00756DE4" w:rsidRDefault="00756DE4" w:rsidP="00756DE4">
      <w:r>
        <w:t xml:space="preserve">The Coalition looks forward to working with the California Air Resources Board, the California Natural Resources Agency, and </w:t>
      </w:r>
      <w:r w:rsidR="00236AE1">
        <w:t>all</w:t>
      </w:r>
      <w:r>
        <w:t xml:space="preserve"> stakeholders throughout th</w:t>
      </w:r>
      <w:r w:rsidR="00236AE1">
        <w:t>is</w:t>
      </w:r>
      <w:r>
        <w:t xml:space="preserve"> Scoping Plan process to ensure that carbon capture</w:t>
      </w:r>
      <w:r w:rsidR="00236AE1">
        <w:t>,</w:t>
      </w:r>
      <w:r>
        <w:t xml:space="preserve"> utilization and sequestration technolog</w:t>
      </w:r>
      <w:r w:rsidR="00236AE1">
        <w:t>ies</w:t>
      </w:r>
      <w:r>
        <w:t xml:space="preserve"> play a significant role in enabling the state to achieve its climate goals</w:t>
      </w:r>
      <w:r w:rsidR="00236AE1">
        <w:t xml:space="preserve">. </w:t>
      </w:r>
    </w:p>
    <w:p w14:paraId="6C8442F7" w14:textId="77777777" w:rsidR="00236AE1" w:rsidRDefault="00236AE1" w:rsidP="00236AE1">
      <w:pPr>
        <w:pStyle w:val="NormalWeb"/>
        <w:rPr>
          <w:rFonts w:asciiTheme="minorHAnsi" w:hAnsiTheme="minorHAnsi" w:cs="Calibri"/>
          <w:iCs/>
          <w:szCs w:val="22"/>
        </w:rPr>
      </w:pPr>
      <w:r>
        <w:rPr>
          <w:rFonts w:asciiTheme="minorHAnsi" w:hAnsiTheme="minorHAnsi" w:cs="Calibri"/>
          <w:iCs/>
          <w:szCs w:val="22"/>
        </w:rPr>
        <w:t xml:space="preserve">Sincerely, </w:t>
      </w:r>
    </w:p>
    <w:p w14:paraId="2909F34B" w14:textId="77777777" w:rsidR="00236AE1" w:rsidRDefault="00236AE1" w:rsidP="00236AE1">
      <w:pPr>
        <w:pStyle w:val="NormalWeb"/>
        <w:rPr>
          <w:rFonts w:asciiTheme="minorHAnsi" w:hAnsiTheme="minorHAnsi" w:cs="Calibri"/>
          <w:iCs/>
          <w:szCs w:val="22"/>
        </w:rPr>
      </w:pPr>
    </w:p>
    <w:p w14:paraId="7DC75DEF" w14:textId="77777777" w:rsidR="00236AE1" w:rsidRDefault="00236AE1" w:rsidP="00236AE1">
      <w:pPr>
        <w:pStyle w:val="NormalWeb"/>
        <w:spacing w:before="0" w:beforeAutospacing="0" w:after="0" w:afterAutospacing="0"/>
        <w:rPr>
          <w:rFonts w:asciiTheme="minorHAnsi" w:hAnsiTheme="minorHAnsi" w:cs="Calibri"/>
          <w:iCs/>
          <w:szCs w:val="22"/>
        </w:rPr>
      </w:pPr>
      <w:r>
        <w:rPr>
          <w:rFonts w:asciiTheme="minorHAnsi" w:hAnsiTheme="minorHAnsi" w:cs="Calibri"/>
          <w:iCs/>
          <w:szCs w:val="22"/>
        </w:rPr>
        <w:t>Pete Montgomery</w:t>
      </w:r>
    </w:p>
    <w:p w14:paraId="646B83EC" w14:textId="77777777" w:rsidR="00236AE1" w:rsidRDefault="00236AE1" w:rsidP="00236AE1">
      <w:pPr>
        <w:pStyle w:val="NormalWeb"/>
        <w:spacing w:before="0" w:beforeAutospacing="0" w:after="0" w:afterAutospacing="0"/>
        <w:rPr>
          <w:rFonts w:asciiTheme="minorHAnsi" w:hAnsiTheme="minorHAnsi" w:cs="Calibri"/>
          <w:iCs/>
          <w:szCs w:val="22"/>
        </w:rPr>
      </w:pPr>
      <w:r>
        <w:rPr>
          <w:rFonts w:asciiTheme="minorHAnsi" w:hAnsiTheme="minorHAnsi" w:cs="Calibri"/>
          <w:iCs/>
          <w:szCs w:val="22"/>
        </w:rPr>
        <w:t>Vice Chair</w:t>
      </w:r>
    </w:p>
    <w:p w14:paraId="0BB0D65F" w14:textId="77777777" w:rsidR="00236AE1" w:rsidRDefault="00236AE1" w:rsidP="00236AE1">
      <w:pPr>
        <w:pStyle w:val="NormalWeb"/>
        <w:spacing w:before="0" w:beforeAutospacing="0" w:after="0" w:afterAutospacing="0"/>
        <w:rPr>
          <w:rFonts w:asciiTheme="minorHAnsi" w:hAnsiTheme="minorHAnsi" w:cs="Calibri"/>
          <w:iCs/>
          <w:szCs w:val="22"/>
        </w:rPr>
      </w:pPr>
      <w:r>
        <w:rPr>
          <w:rFonts w:asciiTheme="minorHAnsi" w:hAnsiTheme="minorHAnsi" w:cs="Calibri"/>
          <w:iCs/>
          <w:szCs w:val="22"/>
        </w:rPr>
        <w:t xml:space="preserve">California Carbon Capture Coalition </w:t>
      </w:r>
    </w:p>
    <w:p w14:paraId="15EDB231" w14:textId="2A845887" w:rsidR="00756DE4" w:rsidRDefault="00756DE4" w:rsidP="00E6089D">
      <w:pPr>
        <w:pStyle w:val="NormalWeb"/>
        <w:rPr>
          <w:rFonts w:asciiTheme="minorHAnsi" w:hAnsiTheme="minorHAnsi" w:cs="Calibri"/>
          <w:iCs/>
          <w:szCs w:val="22"/>
        </w:rPr>
      </w:pPr>
    </w:p>
    <w:p w14:paraId="197D0048" w14:textId="3B54ED19" w:rsidR="00933FAC" w:rsidRPr="00933FAC" w:rsidRDefault="00933FAC" w:rsidP="00933FAC">
      <w:pPr>
        <w:pStyle w:val="NoSpacing"/>
        <w:rPr>
          <w:rFonts w:asciiTheme="minorHAnsi" w:hAnsiTheme="minorHAnsi" w:cstheme="minorHAnsi"/>
          <w:i/>
          <w:iCs/>
          <w:sz w:val="22"/>
          <w:szCs w:val="22"/>
        </w:rPr>
      </w:pPr>
      <w:r w:rsidRPr="00933FAC">
        <w:rPr>
          <w:rFonts w:asciiTheme="minorHAnsi" w:hAnsiTheme="minorHAnsi" w:cstheme="minorHAnsi"/>
          <w:i/>
          <w:iCs/>
          <w:sz w:val="22"/>
          <w:szCs w:val="22"/>
        </w:rPr>
        <w:t xml:space="preserve">Members of the California Carbon Capture Coalition include Aera Energy, Chevron, Calpine, Clean Energy Systems, Southern California Gas Company, State Building and Construction Trades Council of California, and Western States Petroleum Association. </w:t>
      </w:r>
    </w:p>
    <w:p w14:paraId="3244EE76" w14:textId="77777777" w:rsidR="00933FAC" w:rsidRDefault="00933FAC" w:rsidP="00E6089D">
      <w:pPr>
        <w:pStyle w:val="NormalWeb"/>
        <w:rPr>
          <w:rFonts w:asciiTheme="minorHAnsi" w:hAnsiTheme="minorHAnsi" w:cs="Calibri"/>
          <w:iCs/>
          <w:szCs w:val="22"/>
        </w:rPr>
      </w:pPr>
    </w:p>
    <w:p w14:paraId="6CCFD92E" w14:textId="77777777" w:rsidR="00756DE4" w:rsidRDefault="00756DE4" w:rsidP="00E6089D">
      <w:pPr>
        <w:pStyle w:val="NormalWeb"/>
        <w:rPr>
          <w:rFonts w:asciiTheme="minorHAnsi" w:hAnsiTheme="minorHAnsi" w:cs="Calibri"/>
          <w:iCs/>
          <w:szCs w:val="22"/>
        </w:rPr>
      </w:pPr>
    </w:p>
    <w:p w14:paraId="4DEC888B" w14:textId="77777777" w:rsidR="006610B1" w:rsidRDefault="006610B1" w:rsidP="006610B1"/>
    <w:sectPr w:rsidR="006610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9F93" w14:textId="77777777" w:rsidR="002934AC" w:rsidRDefault="002934AC" w:rsidP="006D581C">
      <w:r>
        <w:separator/>
      </w:r>
    </w:p>
  </w:endnote>
  <w:endnote w:type="continuationSeparator" w:id="0">
    <w:p w14:paraId="4397C703" w14:textId="77777777" w:rsidR="002934AC" w:rsidRDefault="002934AC" w:rsidP="006D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1289" w14:textId="77777777" w:rsidR="002934AC" w:rsidRDefault="002934AC" w:rsidP="006D581C">
      <w:r>
        <w:separator/>
      </w:r>
    </w:p>
  </w:footnote>
  <w:footnote w:type="continuationSeparator" w:id="0">
    <w:p w14:paraId="23A6BCFD" w14:textId="77777777" w:rsidR="002934AC" w:rsidRDefault="002934AC" w:rsidP="006D5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2E06"/>
    <w:multiLevelType w:val="hybridMultilevel"/>
    <w:tmpl w:val="8644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83BBF"/>
    <w:multiLevelType w:val="multilevel"/>
    <w:tmpl w:val="999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E04192"/>
    <w:multiLevelType w:val="hybridMultilevel"/>
    <w:tmpl w:val="DD9A0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E3C35"/>
    <w:multiLevelType w:val="hybridMultilevel"/>
    <w:tmpl w:val="EA963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B1"/>
    <w:rsid w:val="00003CFA"/>
    <w:rsid w:val="00034F7D"/>
    <w:rsid w:val="00037150"/>
    <w:rsid w:val="00044673"/>
    <w:rsid w:val="00052C73"/>
    <w:rsid w:val="0009680E"/>
    <w:rsid w:val="001015FB"/>
    <w:rsid w:val="00101CF0"/>
    <w:rsid w:val="00102086"/>
    <w:rsid w:val="001048BC"/>
    <w:rsid w:val="00166B80"/>
    <w:rsid w:val="00166EE6"/>
    <w:rsid w:val="0019251E"/>
    <w:rsid w:val="001D38C9"/>
    <w:rsid w:val="001F7432"/>
    <w:rsid w:val="001F7A32"/>
    <w:rsid w:val="00236AE1"/>
    <w:rsid w:val="00242CF8"/>
    <w:rsid w:val="00251622"/>
    <w:rsid w:val="002934AC"/>
    <w:rsid w:val="002B7793"/>
    <w:rsid w:val="00357006"/>
    <w:rsid w:val="00373F4D"/>
    <w:rsid w:val="003F5277"/>
    <w:rsid w:val="003F6D18"/>
    <w:rsid w:val="00424532"/>
    <w:rsid w:val="00482961"/>
    <w:rsid w:val="004E4B25"/>
    <w:rsid w:val="0050295F"/>
    <w:rsid w:val="0052201B"/>
    <w:rsid w:val="005445E1"/>
    <w:rsid w:val="00556EF7"/>
    <w:rsid w:val="00566C83"/>
    <w:rsid w:val="00572207"/>
    <w:rsid w:val="0057244D"/>
    <w:rsid w:val="005769FD"/>
    <w:rsid w:val="005A6629"/>
    <w:rsid w:val="005C1C99"/>
    <w:rsid w:val="005E45CD"/>
    <w:rsid w:val="00631A61"/>
    <w:rsid w:val="006610B1"/>
    <w:rsid w:val="006D581C"/>
    <w:rsid w:val="006E03A5"/>
    <w:rsid w:val="006F73FB"/>
    <w:rsid w:val="00756DE4"/>
    <w:rsid w:val="00792FD6"/>
    <w:rsid w:val="0079447F"/>
    <w:rsid w:val="007A08DF"/>
    <w:rsid w:val="007B7D65"/>
    <w:rsid w:val="008345FD"/>
    <w:rsid w:val="0085457D"/>
    <w:rsid w:val="00856724"/>
    <w:rsid w:val="008613BF"/>
    <w:rsid w:val="00863361"/>
    <w:rsid w:val="00902607"/>
    <w:rsid w:val="00933FAC"/>
    <w:rsid w:val="009A2250"/>
    <w:rsid w:val="009C645A"/>
    <w:rsid w:val="00A257E4"/>
    <w:rsid w:val="00A54AB9"/>
    <w:rsid w:val="00AA4B86"/>
    <w:rsid w:val="00AA60BA"/>
    <w:rsid w:val="00AA66FB"/>
    <w:rsid w:val="00AD4B59"/>
    <w:rsid w:val="00B35C9E"/>
    <w:rsid w:val="00B50CFD"/>
    <w:rsid w:val="00BA2058"/>
    <w:rsid w:val="00C016B0"/>
    <w:rsid w:val="00C13914"/>
    <w:rsid w:val="00C16A1C"/>
    <w:rsid w:val="00C91CED"/>
    <w:rsid w:val="00CF00F9"/>
    <w:rsid w:val="00D24004"/>
    <w:rsid w:val="00D267DD"/>
    <w:rsid w:val="00D556D6"/>
    <w:rsid w:val="00DD5EDD"/>
    <w:rsid w:val="00DE3E66"/>
    <w:rsid w:val="00E11640"/>
    <w:rsid w:val="00E21D05"/>
    <w:rsid w:val="00E510B0"/>
    <w:rsid w:val="00E6089D"/>
    <w:rsid w:val="00E6755C"/>
    <w:rsid w:val="00E704F4"/>
    <w:rsid w:val="00EB1C92"/>
    <w:rsid w:val="00EB3F07"/>
    <w:rsid w:val="00EE4624"/>
    <w:rsid w:val="00F038E9"/>
    <w:rsid w:val="00F20692"/>
    <w:rsid w:val="00FB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C6EA7D"/>
  <w15:chartTrackingRefBased/>
  <w15:docId w15:val="{FE3EE3A3-69C4-8C4D-B409-EB360C18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0B1"/>
    <w:pPr>
      <w:ind w:left="720"/>
      <w:contextualSpacing/>
    </w:pPr>
  </w:style>
  <w:style w:type="paragraph" w:styleId="NormalWeb">
    <w:name w:val="Normal (Web)"/>
    <w:basedOn w:val="Normal"/>
    <w:uiPriority w:val="99"/>
    <w:semiHidden/>
    <w:unhideWhenUsed/>
    <w:rsid w:val="00C016B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7244D"/>
    <w:rPr>
      <w:color w:val="0563C1" w:themeColor="hyperlink"/>
      <w:u w:val="single"/>
    </w:rPr>
  </w:style>
  <w:style w:type="character" w:styleId="UnresolvedMention">
    <w:name w:val="Unresolved Mention"/>
    <w:basedOn w:val="DefaultParagraphFont"/>
    <w:uiPriority w:val="99"/>
    <w:semiHidden/>
    <w:unhideWhenUsed/>
    <w:rsid w:val="0057244D"/>
    <w:rPr>
      <w:color w:val="605E5C"/>
      <w:shd w:val="clear" w:color="auto" w:fill="E1DFDD"/>
    </w:rPr>
  </w:style>
  <w:style w:type="character" w:styleId="FollowedHyperlink">
    <w:name w:val="FollowedHyperlink"/>
    <w:basedOn w:val="DefaultParagraphFont"/>
    <w:uiPriority w:val="99"/>
    <w:semiHidden/>
    <w:unhideWhenUsed/>
    <w:rsid w:val="001048BC"/>
    <w:rPr>
      <w:color w:val="954F72" w:themeColor="followedHyperlink"/>
      <w:u w:val="single"/>
    </w:rPr>
  </w:style>
  <w:style w:type="paragraph" w:styleId="FootnoteText">
    <w:name w:val="footnote text"/>
    <w:basedOn w:val="Normal"/>
    <w:link w:val="FootnoteTextChar"/>
    <w:uiPriority w:val="99"/>
    <w:semiHidden/>
    <w:unhideWhenUsed/>
    <w:rsid w:val="006D581C"/>
    <w:rPr>
      <w:sz w:val="20"/>
      <w:szCs w:val="20"/>
    </w:rPr>
  </w:style>
  <w:style w:type="character" w:customStyle="1" w:styleId="FootnoteTextChar">
    <w:name w:val="Footnote Text Char"/>
    <w:basedOn w:val="DefaultParagraphFont"/>
    <w:link w:val="FootnoteText"/>
    <w:uiPriority w:val="99"/>
    <w:semiHidden/>
    <w:rsid w:val="006D581C"/>
    <w:rPr>
      <w:sz w:val="20"/>
      <w:szCs w:val="20"/>
    </w:rPr>
  </w:style>
  <w:style w:type="character" w:styleId="FootnoteReference">
    <w:name w:val="footnote reference"/>
    <w:basedOn w:val="DefaultParagraphFont"/>
    <w:uiPriority w:val="99"/>
    <w:semiHidden/>
    <w:unhideWhenUsed/>
    <w:rsid w:val="006D581C"/>
    <w:rPr>
      <w:vertAlign w:val="superscript"/>
    </w:rPr>
  </w:style>
  <w:style w:type="paragraph" w:styleId="NoSpacing">
    <w:name w:val="No Spacing"/>
    <w:uiPriority w:val="1"/>
    <w:qFormat/>
    <w:rsid w:val="00933F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6716">
      <w:bodyDiv w:val="1"/>
      <w:marLeft w:val="0"/>
      <w:marRight w:val="0"/>
      <w:marTop w:val="0"/>
      <w:marBottom w:val="0"/>
      <w:divBdr>
        <w:top w:val="none" w:sz="0" w:space="0" w:color="auto"/>
        <w:left w:val="none" w:sz="0" w:space="0" w:color="auto"/>
        <w:bottom w:val="none" w:sz="0" w:space="0" w:color="auto"/>
        <w:right w:val="none" w:sz="0" w:space="0" w:color="auto"/>
      </w:divBdr>
      <w:divsChild>
        <w:div w:id="903636312">
          <w:marLeft w:val="0"/>
          <w:marRight w:val="0"/>
          <w:marTop w:val="0"/>
          <w:marBottom w:val="0"/>
          <w:divBdr>
            <w:top w:val="none" w:sz="0" w:space="0" w:color="auto"/>
            <w:left w:val="none" w:sz="0" w:space="0" w:color="auto"/>
            <w:bottom w:val="none" w:sz="0" w:space="0" w:color="auto"/>
            <w:right w:val="none" w:sz="0" w:space="0" w:color="auto"/>
          </w:divBdr>
          <w:divsChild>
            <w:div w:id="1347562117">
              <w:marLeft w:val="0"/>
              <w:marRight w:val="0"/>
              <w:marTop w:val="0"/>
              <w:marBottom w:val="0"/>
              <w:divBdr>
                <w:top w:val="none" w:sz="0" w:space="0" w:color="auto"/>
                <w:left w:val="none" w:sz="0" w:space="0" w:color="auto"/>
                <w:bottom w:val="none" w:sz="0" w:space="0" w:color="auto"/>
                <w:right w:val="none" w:sz="0" w:space="0" w:color="auto"/>
              </w:divBdr>
              <w:divsChild>
                <w:div w:id="328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80682">
      <w:bodyDiv w:val="1"/>
      <w:marLeft w:val="0"/>
      <w:marRight w:val="0"/>
      <w:marTop w:val="0"/>
      <w:marBottom w:val="0"/>
      <w:divBdr>
        <w:top w:val="none" w:sz="0" w:space="0" w:color="auto"/>
        <w:left w:val="none" w:sz="0" w:space="0" w:color="auto"/>
        <w:bottom w:val="none" w:sz="0" w:space="0" w:color="auto"/>
        <w:right w:val="none" w:sz="0" w:space="0" w:color="auto"/>
      </w:divBdr>
      <w:divsChild>
        <w:div w:id="727411903">
          <w:marLeft w:val="0"/>
          <w:marRight w:val="0"/>
          <w:marTop w:val="0"/>
          <w:marBottom w:val="0"/>
          <w:divBdr>
            <w:top w:val="none" w:sz="0" w:space="0" w:color="auto"/>
            <w:left w:val="none" w:sz="0" w:space="0" w:color="auto"/>
            <w:bottom w:val="none" w:sz="0" w:space="0" w:color="auto"/>
            <w:right w:val="none" w:sz="0" w:space="0" w:color="auto"/>
          </w:divBdr>
          <w:divsChild>
            <w:div w:id="1548058601">
              <w:marLeft w:val="0"/>
              <w:marRight w:val="0"/>
              <w:marTop w:val="0"/>
              <w:marBottom w:val="0"/>
              <w:divBdr>
                <w:top w:val="none" w:sz="0" w:space="0" w:color="auto"/>
                <w:left w:val="none" w:sz="0" w:space="0" w:color="auto"/>
                <w:bottom w:val="none" w:sz="0" w:space="0" w:color="auto"/>
                <w:right w:val="none" w:sz="0" w:space="0" w:color="auto"/>
              </w:divBdr>
              <w:divsChild>
                <w:div w:id="10398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35671">
      <w:bodyDiv w:val="1"/>
      <w:marLeft w:val="0"/>
      <w:marRight w:val="0"/>
      <w:marTop w:val="0"/>
      <w:marBottom w:val="0"/>
      <w:divBdr>
        <w:top w:val="none" w:sz="0" w:space="0" w:color="auto"/>
        <w:left w:val="none" w:sz="0" w:space="0" w:color="auto"/>
        <w:bottom w:val="none" w:sz="0" w:space="0" w:color="auto"/>
        <w:right w:val="none" w:sz="0" w:space="0" w:color="auto"/>
      </w:divBdr>
      <w:divsChild>
        <w:div w:id="296103420">
          <w:marLeft w:val="0"/>
          <w:marRight w:val="0"/>
          <w:marTop w:val="0"/>
          <w:marBottom w:val="0"/>
          <w:divBdr>
            <w:top w:val="none" w:sz="0" w:space="0" w:color="auto"/>
            <w:left w:val="none" w:sz="0" w:space="0" w:color="auto"/>
            <w:bottom w:val="none" w:sz="0" w:space="0" w:color="auto"/>
            <w:right w:val="none" w:sz="0" w:space="0" w:color="auto"/>
          </w:divBdr>
          <w:divsChild>
            <w:div w:id="1769696898">
              <w:marLeft w:val="0"/>
              <w:marRight w:val="0"/>
              <w:marTop w:val="0"/>
              <w:marBottom w:val="0"/>
              <w:divBdr>
                <w:top w:val="none" w:sz="0" w:space="0" w:color="auto"/>
                <w:left w:val="none" w:sz="0" w:space="0" w:color="auto"/>
                <w:bottom w:val="none" w:sz="0" w:space="0" w:color="auto"/>
                <w:right w:val="none" w:sz="0" w:space="0" w:color="auto"/>
              </w:divBdr>
              <w:divsChild>
                <w:div w:id="1574898748">
                  <w:marLeft w:val="0"/>
                  <w:marRight w:val="0"/>
                  <w:marTop w:val="0"/>
                  <w:marBottom w:val="0"/>
                  <w:divBdr>
                    <w:top w:val="none" w:sz="0" w:space="0" w:color="auto"/>
                    <w:left w:val="none" w:sz="0" w:space="0" w:color="auto"/>
                    <w:bottom w:val="none" w:sz="0" w:space="0" w:color="auto"/>
                    <w:right w:val="none" w:sz="0" w:space="0" w:color="auto"/>
                  </w:divBdr>
                  <w:divsChild>
                    <w:div w:id="19024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857217">
      <w:bodyDiv w:val="1"/>
      <w:marLeft w:val="0"/>
      <w:marRight w:val="0"/>
      <w:marTop w:val="0"/>
      <w:marBottom w:val="0"/>
      <w:divBdr>
        <w:top w:val="none" w:sz="0" w:space="0" w:color="auto"/>
        <w:left w:val="none" w:sz="0" w:space="0" w:color="auto"/>
        <w:bottom w:val="none" w:sz="0" w:space="0" w:color="auto"/>
        <w:right w:val="none" w:sz="0" w:space="0" w:color="auto"/>
      </w:divBdr>
      <w:divsChild>
        <w:div w:id="649986646">
          <w:marLeft w:val="0"/>
          <w:marRight w:val="0"/>
          <w:marTop w:val="0"/>
          <w:marBottom w:val="0"/>
          <w:divBdr>
            <w:top w:val="none" w:sz="0" w:space="0" w:color="auto"/>
            <w:left w:val="none" w:sz="0" w:space="0" w:color="auto"/>
            <w:bottom w:val="none" w:sz="0" w:space="0" w:color="auto"/>
            <w:right w:val="none" w:sz="0" w:space="0" w:color="auto"/>
          </w:divBdr>
          <w:divsChild>
            <w:div w:id="1973171835">
              <w:marLeft w:val="0"/>
              <w:marRight w:val="0"/>
              <w:marTop w:val="0"/>
              <w:marBottom w:val="0"/>
              <w:divBdr>
                <w:top w:val="none" w:sz="0" w:space="0" w:color="auto"/>
                <w:left w:val="none" w:sz="0" w:space="0" w:color="auto"/>
                <w:bottom w:val="none" w:sz="0" w:space="0" w:color="auto"/>
                <w:right w:val="none" w:sz="0" w:space="0" w:color="auto"/>
              </w:divBdr>
              <w:divsChild>
                <w:div w:id="12456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51045">
      <w:bodyDiv w:val="1"/>
      <w:marLeft w:val="0"/>
      <w:marRight w:val="0"/>
      <w:marTop w:val="0"/>
      <w:marBottom w:val="0"/>
      <w:divBdr>
        <w:top w:val="none" w:sz="0" w:space="0" w:color="auto"/>
        <w:left w:val="none" w:sz="0" w:space="0" w:color="auto"/>
        <w:bottom w:val="none" w:sz="0" w:space="0" w:color="auto"/>
        <w:right w:val="none" w:sz="0" w:space="0" w:color="auto"/>
      </w:divBdr>
      <w:divsChild>
        <w:div w:id="1463882469">
          <w:marLeft w:val="0"/>
          <w:marRight w:val="0"/>
          <w:marTop w:val="0"/>
          <w:marBottom w:val="0"/>
          <w:divBdr>
            <w:top w:val="none" w:sz="0" w:space="0" w:color="auto"/>
            <w:left w:val="none" w:sz="0" w:space="0" w:color="auto"/>
            <w:bottom w:val="none" w:sz="0" w:space="0" w:color="auto"/>
            <w:right w:val="none" w:sz="0" w:space="0" w:color="auto"/>
          </w:divBdr>
          <w:divsChild>
            <w:div w:id="205335490">
              <w:marLeft w:val="0"/>
              <w:marRight w:val="0"/>
              <w:marTop w:val="0"/>
              <w:marBottom w:val="0"/>
              <w:divBdr>
                <w:top w:val="none" w:sz="0" w:space="0" w:color="auto"/>
                <w:left w:val="none" w:sz="0" w:space="0" w:color="auto"/>
                <w:bottom w:val="none" w:sz="0" w:space="0" w:color="auto"/>
                <w:right w:val="none" w:sz="0" w:space="0" w:color="auto"/>
              </w:divBdr>
              <w:divsChild>
                <w:div w:id="1348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c.ch/sr15/" TargetMode="External"/><Relationship Id="rId13" Type="http://schemas.openxmlformats.org/officeDocument/2006/relationships/hyperlink" Target="https://www.law.berkeley.edu/wp-content/uploads/2020/12/Capturing-Opportunity-December-2020-1.pdf" TargetMode="External"/><Relationship Id="rId18" Type="http://schemas.openxmlformats.org/officeDocument/2006/relationships/hyperlink" Target="https://ww2.arb.ca.gov/sites/default/files/2021-08/stanford_presentation_sp_engineeredcarbonremoval_august2021_0.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s.llnl.gov/content/assets/docs/energy/CA_CCS_PermittingReport.pdf" TargetMode="External"/><Relationship Id="rId17" Type="http://schemas.openxmlformats.org/officeDocument/2006/relationships/hyperlink" Target="https://static1.squarespace.com/static/58ec123cb3db2bd94e057628/t/603d3bd74d006a4004a9a88b/1614625758081/CCUS+Workshop+Summary+030121.pdf" TargetMode="External"/><Relationship Id="rId2" Type="http://schemas.openxmlformats.org/officeDocument/2006/relationships/numbering" Target="numbering.xml"/><Relationship Id="rId16" Type="http://schemas.openxmlformats.org/officeDocument/2006/relationships/hyperlink" Target="https://rhg.com/wp-content/uploads/2021/01/The-Economic-Benefits-of-Carbon-Capture-State-Investment-and-Employment-Estimates_Phase-II.pdf" TargetMode="External"/><Relationship Id="rId20" Type="http://schemas.openxmlformats.org/officeDocument/2006/relationships/hyperlink" Target="https://www-gs.llnl.gov/content/assets/docs/energy/CA_CCS_Permitting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s.stanford.edu/sites/g/files/sbiybj7741/f/efi-stanford-ca-ccs-full-rev1.vf-10.25.20.pdf" TargetMode="External"/><Relationship Id="rId5" Type="http://schemas.openxmlformats.org/officeDocument/2006/relationships/webSettings" Target="webSettings.xml"/><Relationship Id="rId15" Type="http://schemas.openxmlformats.org/officeDocument/2006/relationships/hyperlink" Target="https://www.gov.ca.gov/wp-content/uploads/2021/07/Electricity-System-of-the-Future-7.30.21.pdf" TargetMode="External"/><Relationship Id="rId10" Type="http://schemas.openxmlformats.org/officeDocument/2006/relationships/hyperlink" Target="https://static1.squarespace.com/static/58ec123cb3db2bd94e057628/t/603d3bd74d006a4004a9a88b/1614625758081/CCUS+Workshop+Summary+030121.pdf" TargetMode="External"/><Relationship Id="rId19" Type="http://schemas.openxmlformats.org/officeDocument/2006/relationships/hyperlink" Target="https://ww2.arb.ca.gov/sites/default/files/2021-08/llnl_presentation_sp_engineeredcarbonremoval_august2021.pdf" TargetMode="External"/><Relationship Id="rId4" Type="http://schemas.openxmlformats.org/officeDocument/2006/relationships/settings" Target="settings.xml"/><Relationship Id="rId9" Type="http://schemas.openxmlformats.org/officeDocument/2006/relationships/hyperlink" Target="https://www.iea.org/reports/net-zero-by-2050" TargetMode="External"/><Relationship Id="rId14" Type="http://schemas.openxmlformats.org/officeDocument/2006/relationships/hyperlink" Target="https://ww2.arb.ca.gov/sites/default/files/2020-10/e3_cn_final_report_oct2020_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96B9F-68DB-2F41-8A28-BE923764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1321</Words>
  <Characters>6530</Characters>
  <Application>Microsoft Office Word</Application>
  <DocSecurity>0</DocSecurity>
  <Lines>125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welch</dc:creator>
  <cp:keywords/>
  <dc:description/>
  <cp:lastModifiedBy>virgil welch</cp:lastModifiedBy>
  <cp:revision>2</cp:revision>
  <dcterms:created xsi:type="dcterms:W3CDTF">2021-08-16T22:03:00Z</dcterms:created>
  <dcterms:modified xsi:type="dcterms:W3CDTF">2021-08-16T22:03:00Z</dcterms:modified>
</cp:coreProperties>
</file>