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328F" w14:textId="588A5AB0" w:rsidR="00017CF0" w:rsidRDefault="00D25CE4" w:rsidP="00BA06FF">
      <w:r>
        <w:rPr>
          <w:b/>
          <w:bCs/>
        </w:rPr>
        <w:t xml:space="preserve">Taken from the following website: </w:t>
      </w:r>
      <w:hyperlink r:id="rId5" w:history="1">
        <w:r w:rsidRPr="002B7967">
          <w:rPr>
            <w:rStyle w:val="Hyperlink"/>
            <w:b/>
            <w:bCs/>
          </w:rPr>
          <w:t>https://www.csgcalifornia.com/blog/missed-opportunity-draft-scoping-plan-fails-to-address-biomass-pile-burning-and-decay/</w:t>
        </w:r>
      </w:hyperlink>
      <w:r>
        <w:rPr>
          <w:b/>
          <w:bCs/>
        </w:rPr>
        <w:t xml:space="preserve"> </w:t>
      </w:r>
    </w:p>
    <w:p w14:paraId="5699D90A" w14:textId="77777777" w:rsidR="00BA06FF" w:rsidRDefault="00BA06FF" w:rsidP="002F4589">
      <w:pPr>
        <w:spacing w:line="312" w:lineRule="atLeast"/>
        <w:textAlignment w:val="baseline"/>
        <w:outlineLvl w:val="0"/>
        <w:rPr>
          <w:rFonts w:ascii="Lato" w:eastAsia="Times New Roman" w:hAnsi="Lato" w:cs="Times New Roman"/>
          <w:color w:val="333333"/>
          <w:kern w:val="36"/>
          <w:sz w:val="48"/>
          <w:szCs w:val="48"/>
        </w:rPr>
      </w:pPr>
    </w:p>
    <w:p w14:paraId="460B4489" w14:textId="7E6A7F12" w:rsidR="002F4589" w:rsidRPr="002F4589" w:rsidRDefault="002F4589" w:rsidP="002F4589">
      <w:pPr>
        <w:spacing w:line="312" w:lineRule="atLeast"/>
        <w:textAlignment w:val="baseline"/>
        <w:outlineLvl w:val="0"/>
        <w:rPr>
          <w:rFonts w:ascii="Lato" w:eastAsia="Times New Roman" w:hAnsi="Lato" w:cs="Times New Roman"/>
          <w:color w:val="333333"/>
          <w:kern w:val="36"/>
          <w:sz w:val="48"/>
          <w:szCs w:val="48"/>
        </w:rPr>
      </w:pPr>
      <w:r w:rsidRPr="002F4589">
        <w:rPr>
          <w:rFonts w:ascii="Lato" w:eastAsia="Times New Roman" w:hAnsi="Lato" w:cs="Times New Roman"/>
          <w:color w:val="333333"/>
          <w:kern w:val="36"/>
          <w:sz w:val="48"/>
          <w:szCs w:val="48"/>
        </w:rPr>
        <w:t>Missed opportunity: Draft Scoping Plan fails to address biomass pile burning and decay</w:t>
      </w:r>
    </w:p>
    <w:p w14:paraId="39512352" w14:textId="77777777" w:rsidR="002F4589" w:rsidRPr="002F4589" w:rsidRDefault="002F4589" w:rsidP="002F4589">
      <w:pPr>
        <w:textAlignment w:val="baseline"/>
        <w:rPr>
          <w:rFonts w:ascii="inherit" w:eastAsia="Times New Roman" w:hAnsi="inherit" w:cs="Times New Roman"/>
          <w:color w:val="BFBFBF"/>
          <w:sz w:val="21"/>
          <w:szCs w:val="21"/>
          <w:bdr w:val="none" w:sz="0" w:space="0" w:color="auto" w:frame="1"/>
        </w:rPr>
      </w:pPr>
      <w:r w:rsidRPr="002F4589">
        <w:rPr>
          <w:rFonts w:ascii="inherit" w:eastAsia="Times New Roman" w:hAnsi="inherit" w:cs="Times New Roman"/>
          <w:color w:val="BFBFBF"/>
          <w:sz w:val="21"/>
          <w:szCs w:val="21"/>
          <w:bdr w:val="none" w:sz="0" w:space="0" w:color="auto" w:frame="1"/>
        </w:rPr>
        <w:t>June 9, 2022Posted by </w:t>
      </w:r>
      <w:hyperlink r:id="rId6" w:history="1">
        <w:r w:rsidRPr="002F4589">
          <w:rPr>
            <w:rFonts w:ascii="inherit" w:eastAsia="Times New Roman" w:hAnsi="inherit" w:cs="Times New Roman"/>
            <w:color w:val="BFBFBF"/>
            <w:sz w:val="21"/>
            <w:szCs w:val="21"/>
            <w:u w:val="single"/>
            <w:bdr w:val="none" w:sz="0" w:space="0" w:color="auto" w:frame="1"/>
          </w:rPr>
          <w:t xml:space="preserve">Sam </w:t>
        </w:r>
        <w:proofErr w:type="spellStart"/>
        <w:r w:rsidRPr="002F4589">
          <w:rPr>
            <w:rFonts w:ascii="inherit" w:eastAsia="Times New Roman" w:hAnsi="inherit" w:cs="Times New Roman"/>
            <w:color w:val="BFBFBF"/>
            <w:sz w:val="21"/>
            <w:szCs w:val="21"/>
            <w:u w:val="single"/>
            <w:bdr w:val="none" w:sz="0" w:space="0" w:color="auto" w:frame="1"/>
          </w:rPr>
          <w:t>Uden</w:t>
        </w:r>
        <w:proofErr w:type="spellEnd"/>
      </w:hyperlink>
    </w:p>
    <w:p w14:paraId="78C4DBAD" w14:textId="77777777" w:rsidR="002F4589" w:rsidRPr="002F4589" w:rsidRDefault="002F4589" w:rsidP="002F4589">
      <w:pPr>
        <w:spacing w:line="384" w:lineRule="atLeast"/>
        <w:textAlignment w:val="baseline"/>
        <w:rPr>
          <w:rFonts w:ascii="Times New Roman" w:eastAsia="Times New Roman" w:hAnsi="Times New Roman" w:cs="Times New Roman"/>
          <w:color w:val="4D4D4D"/>
          <w:sz w:val="30"/>
          <w:szCs w:val="30"/>
        </w:rPr>
      </w:pPr>
      <w:r w:rsidRPr="002F4589">
        <w:rPr>
          <w:rFonts w:ascii="inherit" w:eastAsia="Times New Roman" w:hAnsi="inherit" w:cs="Times New Roman"/>
          <w:i/>
          <w:iCs/>
          <w:color w:val="4D4D4D"/>
          <w:sz w:val="29"/>
          <w:szCs w:val="29"/>
          <w:bdr w:val="none" w:sz="0" w:space="0" w:color="auto" w:frame="1"/>
        </w:rPr>
        <w:t>California recently released a draft version of its main climate plan, finding that it is preferable to open burn or leave to decay in the forest a significant portion of biomass residues resulting from wildfire prevention treatments. This is a missed opportunity: as a robust strategy to collect and convert forest waste into carbon-negative wood and energy products is a </w:t>
      </w:r>
      <w:hyperlink r:id="rId7" w:history="1">
        <w:r w:rsidRPr="002F4589">
          <w:rPr>
            <w:rFonts w:ascii="inherit" w:eastAsia="Times New Roman" w:hAnsi="inherit" w:cs="Times New Roman"/>
            <w:i/>
            <w:iCs/>
            <w:color w:val="4D4D4D"/>
            <w:sz w:val="29"/>
            <w:szCs w:val="29"/>
            <w:u w:val="single"/>
            <w:bdr w:val="none" w:sz="0" w:space="0" w:color="auto" w:frame="1"/>
          </w:rPr>
          <w:t>promising</w:t>
        </w:r>
      </w:hyperlink>
      <w:r w:rsidRPr="002F4589">
        <w:rPr>
          <w:rFonts w:ascii="inherit" w:eastAsia="Times New Roman" w:hAnsi="inherit" w:cs="Times New Roman"/>
          <w:i/>
          <w:iCs/>
          <w:color w:val="4D4D4D"/>
          <w:sz w:val="29"/>
          <w:szCs w:val="29"/>
          <w:bdr w:val="none" w:sz="0" w:space="0" w:color="auto" w:frame="1"/>
        </w:rPr>
        <w:t> </w:t>
      </w:r>
      <w:hyperlink r:id="rId8" w:history="1">
        <w:r w:rsidRPr="002F4589">
          <w:rPr>
            <w:rFonts w:ascii="inherit" w:eastAsia="Times New Roman" w:hAnsi="inherit" w:cs="Times New Roman"/>
            <w:i/>
            <w:iCs/>
            <w:color w:val="4D4D4D"/>
            <w:sz w:val="29"/>
            <w:szCs w:val="29"/>
            <w:u w:val="single"/>
            <w:bdr w:val="none" w:sz="0" w:space="0" w:color="auto" w:frame="1"/>
          </w:rPr>
          <w:t>path</w:t>
        </w:r>
      </w:hyperlink>
      <w:r w:rsidRPr="002F4589">
        <w:rPr>
          <w:rFonts w:ascii="inherit" w:eastAsia="Times New Roman" w:hAnsi="inherit" w:cs="Times New Roman"/>
          <w:i/>
          <w:iCs/>
          <w:color w:val="4D4D4D"/>
          <w:sz w:val="29"/>
          <w:szCs w:val="29"/>
          <w:bdr w:val="none" w:sz="0" w:space="0" w:color="auto" w:frame="1"/>
        </w:rPr>
        <w:t> to enable the state’s goal of treating </w:t>
      </w:r>
      <w:hyperlink r:id="rId9" w:history="1">
        <w:r w:rsidRPr="002F4589">
          <w:rPr>
            <w:rFonts w:ascii="inherit" w:eastAsia="Times New Roman" w:hAnsi="inherit" w:cs="Times New Roman"/>
            <w:i/>
            <w:iCs/>
            <w:color w:val="4D4D4D"/>
            <w:sz w:val="29"/>
            <w:szCs w:val="29"/>
            <w:u w:val="single"/>
            <w:bdr w:val="none" w:sz="0" w:space="0" w:color="auto" w:frame="1"/>
          </w:rPr>
          <w:t>one million acres per year</w:t>
        </w:r>
      </w:hyperlink>
      <w:r w:rsidRPr="002F4589">
        <w:rPr>
          <w:rFonts w:ascii="inherit" w:eastAsia="Times New Roman" w:hAnsi="inherit" w:cs="Times New Roman"/>
          <w:i/>
          <w:iCs/>
          <w:color w:val="4D4D4D"/>
          <w:sz w:val="29"/>
          <w:szCs w:val="29"/>
          <w:bdr w:val="none" w:sz="0" w:space="0" w:color="auto" w:frame="1"/>
        </w:rPr>
        <w:t>. This is essential to reduce the risk of high-severity wildfire in California, where a </w:t>
      </w:r>
      <w:hyperlink r:id="rId10" w:history="1">
        <w:r w:rsidRPr="002F4589">
          <w:rPr>
            <w:rFonts w:ascii="inherit" w:eastAsia="Times New Roman" w:hAnsi="inherit" w:cs="Times New Roman"/>
            <w:i/>
            <w:iCs/>
            <w:color w:val="4D4D4D"/>
            <w:sz w:val="29"/>
            <w:szCs w:val="29"/>
            <w:u w:val="single"/>
            <w:bdr w:val="none" w:sz="0" w:space="0" w:color="auto" w:frame="1"/>
          </w:rPr>
          <w:t>single runaway season</w:t>
        </w:r>
      </w:hyperlink>
      <w:r w:rsidRPr="002F4589">
        <w:rPr>
          <w:rFonts w:ascii="inherit" w:eastAsia="Times New Roman" w:hAnsi="inherit" w:cs="Times New Roman"/>
          <w:i/>
          <w:iCs/>
          <w:color w:val="4D4D4D"/>
          <w:sz w:val="29"/>
          <w:szCs w:val="29"/>
          <w:bdr w:val="none" w:sz="0" w:space="0" w:color="auto" w:frame="1"/>
        </w:rPr>
        <w:t> can emit volumes of CO</w:t>
      </w:r>
      <w:r w:rsidRPr="002F4589">
        <w:rPr>
          <w:rFonts w:ascii="inherit" w:eastAsia="Times New Roman" w:hAnsi="inherit" w:cs="Times New Roman"/>
          <w:i/>
          <w:iCs/>
          <w:color w:val="4D4D4D"/>
          <w:sz w:val="21"/>
          <w:szCs w:val="21"/>
          <w:bdr w:val="none" w:sz="0" w:space="0" w:color="auto" w:frame="1"/>
          <w:vertAlign w:val="subscript"/>
        </w:rPr>
        <w:t>2</w:t>
      </w:r>
      <w:r w:rsidRPr="002F4589">
        <w:rPr>
          <w:rFonts w:ascii="inherit" w:eastAsia="Times New Roman" w:hAnsi="inherit" w:cs="Times New Roman"/>
          <w:i/>
          <w:iCs/>
          <w:color w:val="4D4D4D"/>
          <w:sz w:val="29"/>
          <w:szCs w:val="29"/>
          <w:bdr w:val="none" w:sz="0" w:space="0" w:color="auto" w:frame="1"/>
        </w:rPr>
        <w:t> that rival what the state can reduce in a decade.</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i/>
          <w:iCs/>
          <w:color w:val="4D4D4D"/>
          <w:sz w:val="29"/>
          <w:szCs w:val="29"/>
          <w:bdr w:val="none" w:sz="0" w:space="0" w:color="auto" w:frame="1"/>
        </w:rPr>
        <w:t>In this technical blog post, we analyze the role of forest biomass in the </w:t>
      </w:r>
      <w:hyperlink r:id="rId11" w:tgtFrame="_blank" w:history="1">
        <w:r w:rsidRPr="002F4589">
          <w:rPr>
            <w:rFonts w:ascii="inherit" w:eastAsia="Times New Roman" w:hAnsi="inherit" w:cs="Times New Roman"/>
            <w:i/>
            <w:iCs/>
            <w:color w:val="4D4D4D"/>
            <w:sz w:val="29"/>
            <w:szCs w:val="29"/>
            <w:u w:val="single"/>
            <w:bdr w:val="none" w:sz="0" w:space="0" w:color="auto" w:frame="1"/>
          </w:rPr>
          <w:t>Draft 2022 Scoping Plan</w:t>
        </w:r>
      </w:hyperlink>
      <w:r w:rsidRPr="002F4589">
        <w:rPr>
          <w:rFonts w:ascii="inherit" w:eastAsia="Times New Roman" w:hAnsi="inherit" w:cs="Times New Roman"/>
          <w:i/>
          <w:iCs/>
          <w:color w:val="4D4D4D"/>
          <w:sz w:val="29"/>
          <w:szCs w:val="29"/>
          <w:bdr w:val="none" w:sz="0" w:space="0" w:color="auto" w:frame="1"/>
        </w:rPr>
        <w:t>. We identify various modelling assumptions that bias residues towards being left in the forest. We provide recommendations to improve the treatment of forest biomass in the Plan, feasibly driving a host of co-benefits to watersheds and local communities. Finally, we highlight how biomass utilization could support California’s need for </w:t>
      </w:r>
      <w:hyperlink r:id="rId12" w:tgtFrame="_blank" w:history="1">
        <w:r w:rsidRPr="002F4589">
          <w:rPr>
            <w:rFonts w:ascii="inherit" w:eastAsia="Times New Roman" w:hAnsi="inherit" w:cs="Times New Roman"/>
            <w:i/>
            <w:iCs/>
            <w:color w:val="4D4D4D"/>
            <w:sz w:val="29"/>
            <w:szCs w:val="29"/>
            <w:u w:val="single"/>
            <w:bdr w:val="none" w:sz="0" w:space="0" w:color="auto" w:frame="1"/>
          </w:rPr>
          <w:t>carbon dioxide removal</w:t>
        </w:r>
      </w:hyperlink>
      <w:r w:rsidRPr="002F4589">
        <w:rPr>
          <w:rFonts w:ascii="inherit" w:eastAsia="Times New Roman" w:hAnsi="inherit" w:cs="Times New Roman"/>
          <w:i/>
          <w:iCs/>
          <w:color w:val="4D4D4D"/>
          <w:sz w:val="29"/>
          <w:szCs w:val="29"/>
          <w:bdr w:val="none" w:sz="0" w:space="0" w:color="auto" w:frame="1"/>
        </w:rPr>
        <w:t> to achieve net-zero emissions and below by 2045 or sooner.</w:t>
      </w:r>
    </w:p>
    <w:p w14:paraId="332C625A" w14:textId="77777777" w:rsidR="002F4589" w:rsidRPr="002F4589" w:rsidRDefault="002F4589" w:rsidP="002F4589">
      <w:pPr>
        <w:spacing w:after="750" w:line="384" w:lineRule="atLeast"/>
        <w:jc w:val="center"/>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color w:val="4D4D4D"/>
          <w:sz w:val="30"/>
          <w:szCs w:val="30"/>
          <w:bdr w:val="none" w:sz="0" w:space="0" w:color="auto" w:frame="1"/>
        </w:rPr>
        <w:t>***</w:t>
      </w:r>
    </w:p>
    <w:p w14:paraId="48C5DCC1" w14:textId="77777777" w:rsidR="002F4589" w:rsidRPr="002F4589" w:rsidRDefault="002F4589" w:rsidP="002F4589">
      <w:pPr>
        <w:spacing w:line="384" w:lineRule="atLeast"/>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color w:val="4D4D4D"/>
          <w:sz w:val="30"/>
          <w:szCs w:val="30"/>
          <w:bdr w:val="none" w:sz="0" w:space="0" w:color="auto" w:frame="1"/>
        </w:rPr>
        <w:t>The California Air Resources Board (CARB) recently released a draft version of its </w:t>
      </w:r>
      <w:hyperlink r:id="rId13" w:history="1">
        <w:r w:rsidRPr="002F4589">
          <w:rPr>
            <w:rFonts w:ascii="inherit" w:eastAsia="Times New Roman" w:hAnsi="inherit" w:cs="Times New Roman"/>
            <w:color w:val="4D4D4D"/>
            <w:sz w:val="29"/>
            <w:szCs w:val="29"/>
            <w:u w:val="single"/>
            <w:bdr w:val="none" w:sz="0" w:space="0" w:color="auto" w:frame="1"/>
          </w:rPr>
          <w:t>Scoping Plan</w:t>
        </w:r>
      </w:hyperlink>
      <w:r w:rsidRPr="002F4589">
        <w:rPr>
          <w:rFonts w:ascii="inherit" w:eastAsia="Times New Roman" w:hAnsi="inherit" w:cs="Times New Roman"/>
          <w:color w:val="4D4D4D"/>
          <w:sz w:val="30"/>
          <w:szCs w:val="30"/>
          <w:bdr w:val="none" w:sz="0" w:space="0" w:color="auto" w:frame="1"/>
        </w:rPr>
        <w:t xml:space="preserve">, which describes how the state could achieve net-zero emissions by 2045. The Plan covers all sectors of the economy. It also incorporates a substantial new component that assesses the carbon sequestration potential of the state’s Natural and Working Lands (NWLs), including forests, croplands, wetlands, and more. This is an important addition because of the increasing role NWLs are likely to play </w:t>
      </w:r>
      <w:r w:rsidRPr="002F4589">
        <w:rPr>
          <w:rFonts w:ascii="inherit" w:eastAsia="Times New Roman" w:hAnsi="inherit" w:cs="Times New Roman"/>
          <w:color w:val="4D4D4D"/>
          <w:sz w:val="30"/>
          <w:szCs w:val="30"/>
          <w:bdr w:val="none" w:sz="0" w:space="0" w:color="auto" w:frame="1"/>
        </w:rPr>
        <w:lastRenderedPageBreak/>
        <w:t>both as a carbon sink but also source of emissions, driven by impacts such as wildfire as well as the management of farm and forest biomass residues.</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One area where the Plan falls short, is in relation to forest biomass. Specifically, the proposed management of residues resulting from wildfire prevention treatments. These volumes are expected to increase substantially, as governments ramp up treatments to </w:t>
      </w:r>
      <w:hyperlink r:id="rId14" w:history="1">
        <w:r w:rsidRPr="002F4589">
          <w:rPr>
            <w:rFonts w:ascii="inherit" w:eastAsia="Times New Roman" w:hAnsi="inherit" w:cs="Times New Roman"/>
            <w:color w:val="4D4D4D"/>
            <w:sz w:val="29"/>
            <w:szCs w:val="29"/>
            <w:u w:val="single"/>
            <w:bdr w:val="none" w:sz="0" w:space="0" w:color="auto" w:frame="1"/>
          </w:rPr>
          <w:t>one million acres per year</w:t>
        </w:r>
      </w:hyperlink>
      <w:r w:rsidRPr="002F4589">
        <w:rPr>
          <w:rFonts w:ascii="inherit" w:eastAsia="Times New Roman" w:hAnsi="inherit" w:cs="Times New Roman"/>
          <w:color w:val="4D4D4D"/>
          <w:sz w:val="30"/>
          <w:szCs w:val="30"/>
          <w:bdr w:val="none" w:sz="0" w:space="0" w:color="auto" w:frame="1"/>
        </w:rPr>
        <w:t>. CARB models an even more ambitious level of treatments in the Plan, at 2.3 million acres per year.</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b/>
          <w:bCs/>
          <w:color w:val="4D4D4D"/>
          <w:sz w:val="29"/>
          <w:szCs w:val="29"/>
          <w:bdr w:val="none" w:sz="0" w:space="0" w:color="auto" w:frame="1"/>
        </w:rPr>
        <w:t>The biomass utilization imperative</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It is generally estimated that 10-15 dry tons of forest residues will accrue per acre treated,</w:t>
      </w:r>
      <w:hyperlink r:id="rId15" w:anchor="_ftn1" w:history="1">
        <w:r w:rsidRPr="002F4589">
          <w:rPr>
            <w:rFonts w:ascii="inherit" w:eastAsia="Times New Roman" w:hAnsi="inherit" w:cs="Times New Roman"/>
            <w:color w:val="4D4D4D"/>
            <w:sz w:val="29"/>
            <w:szCs w:val="29"/>
            <w:u w:val="single"/>
            <w:bdr w:val="none" w:sz="0" w:space="0" w:color="auto" w:frame="1"/>
          </w:rPr>
          <w:t>[1]</w:t>
        </w:r>
      </w:hyperlink>
      <w:r w:rsidRPr="002F4589">
        <w:rPr>
          <w:rFonts w:ascii="inherit" w:eastAsia="Times New Roman" w:hAnsi="inherit" w:cs="Times New Roman"/>
          <w:color w:val="4D4D4D"/>
          <w:sz w:val="30"/>
          <w:szCs w:val="30"/>
          <w:bdr w:val="none" w:sz="0" w:space="0" w:color="auto" w:frame="1"/>
        </w:rPr>
        <w:t>equal to 10-15 million new tons per year (at one million acres treated) and 23-34.5 million new tons (at 2.3 million acres treated). These huge volumes underscore the pressing need to expand product markets and progressively build out an infrastructure capable of managing them. A strategic focus on residue utilization can </w:t>
      </w:r>
      <w:hyperlink r:id="rId16" w:history="1">
        <w:r w:rsidRPr="002F4589">
          <w:rPr>
            <w:rFonts w:ascii="inherit" w:eastAsia="Times New Roman" w:hAnsi="inherit" w:cs="Times New Roman"/>
            <w:color w:val="4D4D4D"/>
            <w:sz w:val="29"/>
            <w:szCs w:val="29"/>
            <w:u w:val="single"/>
            <w:bdr w:val="none" w:sz="0" w:space="0" w:color="auto" w:frame="1"/>
          </w:rPr>
          <w:t>support</w:t>
        </w:r>
      </w:hyperlink>
      <w:r w:rsidRPr="002F4589">
        <w:rPr>
          <w:rFonts w:ascii="inherit" w:eastAsia="Times New Roman" w:hAnsi="inherit" w:cs="Times New Roman"/>
          <w:color w:val="4D4D4D"/>
          <w:sz w:val="30"/>
          <w:szCs w:val="30"/>
          <w:bdr w:val="none" w:sz="0" w:space="0" w:color="auto" w:frame="1"/>
        </w:rPr>
        <w:t> </w:t>
      </w:r>
      <w:hyperlink r:id="rId17" w:history="1">
        <w:r w:rsidRPr="002F4589">
          <w:rPr>
            <w:rFonts w:ascii="inherit" w:eastAsia="Times New Roman" w:hAnsi="inherit" w:cs="Times New Roman"/>
            <w:color w:val="4D4D4D"/>
            <w:sz w:val="29"/>
            <w:szCs w:val="29"/>
            <w:u w:val="single"/>
            <w:bdr w:val="none" w:sz="0" w:space="0" w:color="auto" w:frame="1"/>
          </w:rPr>
          <w:t>the cost</w:t>
        </w:r>
      </w:hyperlink>
      <w:r w:rsidRPr="002F4589">
        <w:rPr>
          <w:rFonts w:ascii="inherit" w:eastAsia="Times New Roman" w:hAnsi="inherit" w:cs="Times New Roman"/>
          <w:color w:val="4D4D4D"/>
          <w:sz w:val="30"/>
          <w:szCs w:val="30"/>
          <w:bdr w:val="none" w:sz="0" w:space="0" w:color="auto" w:frame="1"/>
        </w:rPr>
        <w:t> of forest treatments, provide </w:t>
      </w:r>
      <w:hyperlink r:id="rId18" w:history="1">
        <w:r w:rsidRPr="002F4589">
          <w:rPr>
            <w:rFonts w:ascii="inherit" w:eastAsia="Times New Roman" w:hAnsi="inherit" w:cs="Times New Roman"/>
            <w:color w:val="4D4D4D"/>
            <w:sz w:val="29"/>
            <w:szCs w:val="29"/>
            <w:u w:val="single"/>
            <w:bdr w:val="none" w:sz="0" w:space="0" w:color="auto" w:frame="1"/>
          </w:rPr>
          <w:t>economic opportunities</w:t>
        </w:r>
      </w:hyperlink>
      <w:r w:rsidRPr="002F4589">
        <w:rPr>
          <w:rFonts w:ascii="inherit" w:eastAsia="Times New Roman" w:hAnsi="inherit" w:cs="Times New Roman"/>
          <w:color w:val="4D4D4D"/>
          <w:sz w:val="30"/>
          <w:szCs w:val="30"/>
          <w:bdr w:val="none" w:sz="0" w:space="0" w:color="auto" w:frame="1"/>
        </w:rPr>
        <w:t> in rural communities, and avoid the </w:t>
      </w:r>
      <w:hyperlink r:id="rId19" w:history="1">
        <w:r w:rsidRPr="002F4589">
          <w:rPr>
            <w:rFonts w:ascii="inherit" w:eastAsia="Times New Roman" w:hAnsi="inherit" w:cs="Times New Roman"/>
            <w:color w:val="4D4D4D"/>
            <w:sz w:val="29"/>
            <w:szCs w:val="29"/>
            <w:u w:val="single"/>
            <w:bdr w:val="none" w:sz="0" w:space="0" w:color="auto" w:frame="1"/>
          </w:rPr>
          <w:t>alternate scenario</w:t>
        </w:r>
      </w:hyperlink>
      <w:r w:rsidRPr="002F4589">
        <w:rPr>
          <w:rFonts w:ascii="inherit" w:eastAsia="Times New Roman" w:hAnsi="inherit" w:cs="Times New Roman"/>
          <w:color w:val="4D4D4D"/>
          <w:sz w:val="30"/>
          <w:szCs w:val="30"/>
          <w:bdr w:val="none" w:sz="0" w:space="0" w:color="auto" w:frame="1"/>
        </w:rPr>
        <w:t> where forest biomass is piled and burned or left to decay, releasing CO2, PM2.5, and powerful short-lived climate pollutants such as methane. A rough calculation shows that this could result in an additional 63 Mt of CO2 emissions per year.</w:t>
      </w:r>
      <w:hyperlink r:id="rId20" w:anchor="_ftn2" w:history="1">
        <w:r w:rsidRPr="002F4589">
          <w:rPr>
            <w:rFonts w:ascii="inherit" w:eastAsia="Times New Roman" w:hAnsi="inherit" w:cs="Times New Roman"/>
            <w:color w:val="4D4D4D"/>
            <w:sz w:val="29"/>
            <w:szCs w:val="29"/>
            <w:u w:val="single"/>
            <w:bdr w:val="none" w:sz="0" w:space="0" w:color="auto" w:frame="1"/>
          </w:rPr>
          <w:t>[2]</w:t>
        </w:r>
      </w:hyperlink>
      <w:r w:rsidRPr="002F4589">
        <w:rPr>
          <w:rFonts w:ascii="inherit" w:eastAsia="Times New Roman" w:hAnsi="inherit" w:cs="Times New Roman"/>
          <w:color w:val="4D4D4D"/>
          <w:sz w:val="30"/>
          <w:szCs w:val="30"/>
          <w:bdr w:val="none" w:sz="0" w:space="0" w:color="auto" w:frame="1"/>
        </w:rPr>
        <w:t> </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b/>
          <w:bCs/>
          <w:color w:val="4D4D4D"/>
          <w:sz w:val="29"/>
          <w:szCs w:val="29"/>
          <w:bdr w:val="none" w:sz="0" w:space="0" w:color="auto" w:frame="1"/>
        </w:rPr>
        <w:t>Contentious assumptions adopted by CARB</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Despite the utilization imperative, CARB’s model is biased towards leaving biomass in the forest – not only generating emissions, but also maintaining a clear wildfire risk to communities. This follows certain assumptions adopted in the </w:t>
      </w:r>
      <w:hyperlink r:id="rId21" w:tgtFrame="_blank" w:history="1">
        <w:r w:rsidRPr="002F4589">
          <w:rPr>
            <w:rFonts w:ascii="inherit" w:eastAsia="Times New Roman" w:hAnsi="inherit" w:cs="Times New Roman"/>
            <w:color w:val="4D4D4D"/>
            <w:sz w:val="29"/>
            <w:szCs w:val="29"/>
            <w:u w:val="single"/>
            <w:bdr w:val="none" w:sz="0" w:space="0" w:color="auto" w:frame="1"/>
          </w:rPr>
          <w:t>underlying modeling</w:t>
        </w:r>
      </w:hyperlink>
      <w:r w:rsidRPr="002F4589">
        <w:rPr>
          <w:rFonts w:ascii="inherit" w:eastAsia="Times New Roman" w:hAnsi="inherit" w:cs="Times New Roman"/>
          <w:color w:val="4D4D4D"/>
          <w:sz w:val="30"/>
          <w:szCs w:val="30"/>
          <w:bdr w:val="none" w:sz="0" w:space="0" w:color="auto" w:frame="1"/>
        </w:rPr>
        <w:t>. We describe three of these below:</w:t>
      </w:r>
    </w:p>
    <w:p w14:paraId="69B2AB95" w14:textId="77777777" w:rsidR="002F4589" w:rsidRPr="002F4589" w:rsidRDefault="002F4589" w:rsidP="002F4589">
      <w:pPr>
        <w:numPr>
          <w:ilvl w:val="0"/>
          <w:numId w:val="1"/>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lastRenderedPageBreak/>
        <w:t>70% assumption</w:t>
      </w:r>
      <w:r w:rsidRPr="002F4589">
        <w:rPr>
          <w:rFonts w:ascii="inherit" w:eastAsia="Times New Roman" w:hAnsi="inherit" w:cs="Times New Roman"/>
          <w:color w:val="4D4D4D"/>
          <w:sz w:val="29"/>
          <w:szCs w:val="29"/>
          <w:bdr w:val="none" w:sz="0" w:space="0" w:color="auto" w:frame="1"/>
        </w:rPr>
        <w:t>: As a baseline assumption, a maximum of 70% of gross residues resulting from a fire prevention treatment can be collected, with at least 30% left in the forest. This is based on a 2011 </w:t>
      </w:r>
      <w:hyperlink r:id="rId22" w:history="1">
        <w:r w:rsidRPr="002F4589">
          <w:rPr>
            <w:rFonts w:ascii="inherit" w:eastAsia="Times New Roman" w:hAnsi="inherit" w:cs="Times New Roman"/>
            <w:color w:val="4D4D4D"/>
            <w:sz w:val="29"/>
            <w:szCs w:val="29"/>
            <w:u w:val="single"/>
            <w:bdr w:val="none" w:sz="0" w:space="0" w:color="auto" w:frame="1"/>
          </w:rPr>
          <w:t>national study</w:t>
        </w:r>
      </w:hyperlink>
      <w:r w:rsidRPr="002F4589">
        <w:rPr>
          <w:rFonts w:ascii="inherit" w:eastAsia="Times New Roman" w:hAnsi="inherit" w:cs="Times New Roman"/>
          <w:color w:val="4D4D4D"/>
          <w:sz w:val="29"/>
          <w:szCs w:val="29"/>
          <w:bdr w:val="none" w:sz="0" w:space="0" w:color="auto" w:frame="1"/>
        </w:rPr>
        <w:t> that arguably does not reflect the presently </w:t>
      </w:r>
      <w:hyperlink r:id="rId23" w:history="1">
        <w:r w:rsidRPr="002F4589">
          <w:rPr>
            <w:rFonts w:ascii="inherit" w:eastAsia="Times New Roman" w:hAnsi="inherit" w:cs="Times New Roman"/>
            <w:color w:val="4D4D4D"/>
            <w:sz w:val="29"/>
            <w:szCs w:val="29"/>
            <w:u w:val="single"/>
            <w:bdr w:val="none" w:sz="0" w:space="0" w:color="auto" w:frame="1"/>
          </w:rPr>
          <w:t>vulnerable state</w:t>
        </w:r>
      </w:hyperlink>
      <w:r w:rsidRPr="002F4589">
        <w:rPr>
          <w:rFonts w:ascii="inherit" w:eastAsia="Times New Roman" w:hAnsi="inherit" w:cs="Times New Roman"/>
          <w:color w:val="4D4D4D"/>
          <w:sz w:val="29"/>
          <w:szCs w:val="29"/>
          <w:bdr w:val="none" w:sz="0" w:space="0" w:color="auto" w:frame="1"/>
        </w:rPr>
        <w:t> of Western forests.</w:t>
      </w:r>
    </w:p>
    <w:p w14:paraId="066D5A4F" w14:textId="77777777" w:rsidR="002F4589" w:rsidRPr="002F4589" w:rsidRDefault="002F4589" w:rsidP="002F4589">
      <w:pPr>
        <w:numPr>
          <w:ilvl w:val="0"/>
          <w:numId w:val="2"/>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t>Indifference assumption</w:t>
      </w:r>
      <w:r w:rsidRPr="002F4589">
        <w:rPr>
          <w:rFonts w:ascii="inherit" w:eastAsia="Times New Roman" w:hAnsi="inherit" w:cs="Times New Roman"/>
          <w:color w:val="4D4D4D"/>
          <w:sz w:val="29"/>
          <w:szCs w:val="29"/>
          <w:bdr w:val="none" w:sz="0" w:space="0" w:color="auto" w:frame="1"/>
        </w:rPr>
        <w:t xml:space="preserve">: Relatedly, CARB assumes that regions are indifferent to collecting the available 70% of </w:t>
      </w:r>
      <w:proofErr w:type="gramStart"/>
      <w:r w:rsidRPr="002F4589">
        <w:rPr>
          <w:rFonts w:ascii="inherit" w:eastAsia="Times New Roman" w:hAnsi="inherit" w:cs="Times New Roman"/>
          <w:color w:val="4D4D4D"/>
          <w:sz w:val="29"/>
          <w:szCs w:val="29"/>
          <w:bdr w:val="none" w:sz="0" w:space="0" w:color="auto" w:frame="1"/>
        </w:rPr>
        <w:t>residues, and</w:t>
      </w:r>
      <w:proofErr w:type="gramEnd"/>
      <w:r w:rsidRPr="002F4589">
        <w:rPr>
          <w:rFonts w:ascii="inherit" w:eastAsia="Times New Roman" w:hAnsi="inherit" w:cs="Times New Roman"/>
          <w:color w:val="4D4D4D"/>
          <w:sz w:val="29"/>
          <w:szCs w:val="29"/>
          <w:bdr w:val="none" w:sz="0" w:space="0" w:color="auto" w:frame="1"/>
        </w:rPr>
        <w:t xml:space="preserve"> would (with equal probability) collect smaller portions, such as 50% or 30% of residues. CARB takes an average of possible collection scenarios to develop a final estimate of “mobilizable” residues (i.e., the volume of residues that the model says could technically be collected). By taking an average, this estimate is lower than if it was assumed that regions prioritized collecting all available residues that posed a wildfire risk to communities.</w:t>
      </w:r>
    </w:p>
    <w:p w14:paraId="2C2E40BF" w14:textId="77777777" w:rsidR="002F4589" w:rsidRPr="002F4589" w:rsidRDefault="002F4589" w:rsidP="002F4589">
      <w:pPr>
        <w:numPr>
          <w:ilvl w:val="0"/>
          <w:numId w:val="3"/>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t>Social cost assumption</w:t>
      </w:r>
      <w:r w:rsidRPr="002F4589">
        <w:rPr>
          <w:rFonts w:ascii="inherit" w:eastAsia="Times New Roman" w:hAnsi="inherit" w:cs="Times New Roman"/>
          <w:color w:val="4D4D4D"/>
          <w:sz w:val="29"/>
          <w:szCs w:val="29"/>
          <w:bdr w:val="none" w:sz="0" w:space="0" w:color="auto" w:frame="1"/>
        </w:rPr>
        <w:t xml:space="preserve">: As a final screen, CARB assumes that only a portion of the residues deemed “mobilizable” would be collected, based on the “social cost” of open burning or leaving the residues to decay. Social cost is measured as the criteria pollutant and CO2 emissions damages associated with open burning and decay. In </w:t>
      </w:r>
      <w:proofErr w:type="gramStart"/>
      <w:r w:rsidRPr="002F4589">
        <w:rPr>
          <w:rFonts w:ascii="inherit" w:eastAsia="Times New Roman" w:hAnsi="inherit" w:cs="Times New Roman"/>
          <w:color w:val="4D4D4D"/>
          <w:sz w:val="29"/>
          <w:szCs w:val="29"/>
          <w:bdr w:val="none" w:sz="0" w:space="0" w:color="auto" w:frame="1"/>
        </w:rPr>
        <w:t>a number of</w:t>
      </w:r>
      <w:proofErr w:type="gramEnd"/>
      <w:r w:rsidRPr="002F4589">
        <w:rPr>
          <w:rFonts w:ascii="inherit" w:eastAsia="Times New Roman" w:hAnsi="inherit" w:cs="Times New Roman"/>
          <w:color w:val="4D4D4D"/>
          <w:sz w:val="29"/>
          <w:szCs w:val="29"/>
          <w:bdr w:val="none" w:sz="0" w:space="0" w:color="auto" w:frame="1"/>
        </w:rPr>
        <w:t xml:space="preserve"> cases, including notably the North Coast the model concludes it is preferable to open burn or leave residues to decay because of the low value attributed to reducing air pollution and wildfire in those regions.</w:t>
      </w:r>
    </w:p>
    <w:p w14:paraId="0576B422" w14:textId="77777777" w:rsidR="002F4589" w:rsidRPr="002F4589" w:rsidRDefault="002F4589" w:rsidP="002F4589">
      <w:pPr>
        <w:spacing w:line="384" w:lineRule="atLeast"/>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color w:val="4D4D4D"/>
          <w:sz w:val="30"/>
          <w:szCs w:val="30"/>
          <w:bdr w:val="none" w:sz="0" w:space="0" w:color="auto" w:frame="1"/>
        </w:rPr>
        <w:t>The fallout of CARB’s modeling approach is that only a small volume of forest biomass is recovered – on average, 2 tons per acre – into </w:t>
      </w:r>
      <w:hyperlink r:id="rId24" w:history="1">
        <w:r w:rsidRPr="002F4589">
          <w:rPr>
            <w:rFonts w:ascii="inherit" w:eastAsia="Times New Roman" w:hAnsi="inherit" w:cs="Times New Roman"/>
            <w:color w:val="4D4D4D"/>
            <w:sz w:val="29"/>
            <w:szCs w:val="29"/>
            <w:u w:val="single"/>
            <w:bdr w:val="none" w:sz="0" w:space="0" w:color="auto" w:frame="1"/>
          </w:rPr>
          <w:t>hydrogen with carbon capture and storage</w:t>
        </w:r>
      </w:hyperlink>
      <w:r w:rsidRPr="002F4589">
        <w:rPr>
          <w:rFonts w:ascii="inherit" w:eastAsia="Times New Roman" w:hAnsi="inherit" w:cs="Times New Roman"/>
          <w:color w:val="4D4D4D"/>
          <w:sz w:val="30"/>
          <w:szCs w:val="30"/>
          <w:bdr w:val="none" w:sz="0" w:space="0" w:color="auto" w:frame="1"/>
        </w:rPr>
        <w:t>. Relative to estimates of 10-15 tons per acre, this suggests that 80-90% of what could be collected is burned or left to decay (Fig. 1).</w:t>
      </w:r>
    </w:p>
    <w:p w14:paraId="35E9408A" w14:textId="2D1DE4F3" w:rsidR="002F4589" w:rsidRPr="002F4589" w:rsidRDefault="002F4589" w:rsidP="002F4589">
      <w:pPr>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color w:val="4D4D4D"/>
          <w:sz w:val="30"/>
          <w:szCs w:val="30"/>
          <w:bdr w:val="none" w:sz="0" w:space="0" w:color="auto" w:frame="1"/>
        </w:rPr>
        <w:lastRenderedPageBreak/>
        <w:fldChar w:fldCharType="begin"/>
      </w:r>
      <w:r w:rsidRPr="002F4589">
        <w:rPr>
          <w:rFonts w:ascii="inherit" w:eastAsia="Times New Roman" w:hAnsi="inherit" w:cs="Times New Roman"/>
          <w:color w:val="4D4D4D"/>
          <w:sz w:val="30"/>
          <w:szCs w:val="30"/>
          <w:bdr w:val="none" w:sz="0" w:space="0" w:color="auto" w:frame="1"/>
        </w:rPr>
        <w:instrText xml:space="preserve"> INCLUDEPICTURE "https://i2.wp.com/www.csgcalifornia.com/blog/wp-content/uploads/2022/06/Stylistic-CARB-Modelled-residue-recovery-2-002.png?resize=580%2C303" \* MERGEFORMATINET </w:instrText>
      </w:r>
      <w:r w:rsidRPr="002F4589">
        <w:rPr>
          <w:rFonts w:ascii="inherit" w:eastAsia="Times New Roman" w:hAnsi="inherit" w:cs="Times New Roman"/>
          <w:color w:val="4D4D4D"/>
          <w:sz w:val="30"/>
          <w:szCs w:val="30"/>
          <w:bdr w:val="none" w:sz="0" w:space="0" w:color="auto" w:frame="1"/>
        </w:rPr>
        <w:fldChar w:fldCharType="separate"/>
      </w:r>
      <w:r w:rsidRPr="002F4589">
        <w:rPr>
          <w:rFonts w:ascii="inherit" w:eastAsia="Times New Roman" w:hAnsi="inherit" w:cs="Times New Roman"/>
          <w:noProof/>
          <w:color w:val="4D4D4D"/>
          <w:sz w:val="30"/>
          <w:szCs w:val="30"/>
          <w:bdr w:val="none" w:sz="0" w:space="0" w:color="auto" w:frame="1"/>
        </w:rPr>
        <w:drawing>
          <wp:inline distT="0" distB="0" distL="0" distR="0" wp14:anchorId="5FE096EF" wp14:editId="5FBE9318">
            <wp:extent cx="5943600" cy="310324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103245"/>
                    </a:xfrm>
                    <a:prstGeom prst="rect">
                      <a:avLst/>
                    </a:prstGeom>
                    <a:noFill/>
                    <a:ln>
                      <a:noFill/>
                    </a:ln>
                  </pic:spPr>
                </pic:pic>
              </a:graphicData>
            </a:graphic>
          </wp:inline>
        </w:drawing>
      </w:r>
      <w:r w:rsidRPr="002F4589">
        <w:rPr>
          <w:rFonts w:ascii="inherit" w:eastAsia="Times New Roman" w:hAnsi="inherit" w:cs="Times New Roman"/>
          <w:color w:val="4D4D4D"/>
          <w:sz w:val="30"/>
          <w:szCs w:val="30"/>
          <w:bdr w:val="none" w:sz="0" w:space="0" w:color="auto" w:frame="1"/>
        </w:rPr>
        <w:fldChar w:fldCharType="end"/>
      </w:r>
      <w:r w:rsidRPr="002F4589">
        <w:rPr>
          <w:rFonts w:ascii="inherit" w:eastAsia="Times New Roman" w:hAnsi="inherit" w:cs="Times New Roman"/>
          <w:b/>
          <w:bCs/>
          <w:color w:val="4D4D4D"/>
          <w:sz w:val="20"/>
          <w:szCs w:val="20"/>
          <w:bdr w:val="none" w:sz="0" w:space="0" w:color="auto" w:frame="1"/>
        </w:rPr>
        <w:t>Fig. 1 </w:t>
      </w:r>
      <w:r w:rsidRPr="002F4589">
        <w:rPr>
          <w:rFonts w:ascii="inherit" w:eastAsia="Times New Roman" w:hAnsi="inherit" w:cs="Times New Roman"/>
          <w:color w:val="4D4D4D"/>
          <w:sz w:val="30"/>
          <w:szCs w:val="30"/>
          <w:bdr w:val="none" w:sz="0" w:space="0" w:color="auto" w:frame="1"/>
        </w:rPr>
        <w:t>stylistically represents how model assumptions adopted by CARB limit the volume of residues recovered in the Scoping Plan (on average, 2 tons per acre) relative to the gross residue resource total. Note that this is not an exhaustive assessment of the assumptions and approach adopted by CARB. </w:t>
      </w:r>
    </w:p>
    <w:p w14:paraId="505DACD9" w14:textId="77777777" w:rsidR="002F4589" w:rsidRPr="002F4589" w:rsidRDefault="002F4589" w:rsidP="002F4589">
      <w:pPr>
        <w:spacing w:line="384" w:lineRule="atLeast"/>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b/>
          <w:bCs/>
          <w:color w:val="4D4D4D"/>
          <w:sz w:val="29"/>
          <w:szCs w:val="29"/>
          <w:bdr w:val="none" w:sz="0" w:space="0" w:color="auto" w:frame="1"/>
        </w:rPr>
        <w:t>Recommendations to improve the model</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The minimization of the role of forest biomass in the draft Plan is significant, as it could justify limited investments and policy support for climate-resilient California forests and local communities. CARB should consider the following strategies to improve the treatment of forest biomass in the Plan:</w:t>
      </w:r>
    </w:p>
    <w:p w14:paraId="34BCDBF2" w14:textId="77777777" w:rsidR="002F4589" w:rsidRPr="002F4589" w:rsidRDefault="002F4589" w:rsidP="002F4589">
      <w:pPr>
        <w:numPr>
          <w:ilvl w:val="0"/>
          <w:numId w:val="4"/>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t>Review 70% assumption</w:t>
      </w:r>
      <w:r w:rsidRPr="002F4589">
        <w:rPr>
          <w:rFonts w:ascii="inherit" w:eastAsia="Times New Roman" w:hAnsi="inherit" w:cs="Times New Roman"/>
          <w:color w:val="4D4D4D"/>
          <w:sz w:val="29"/>
          <w:szCs w:val="29"/>
          <w:bdr w:val="none" w:sz="0" w:space="0" w:color="auto" w:frame="1"/>
        </w:rPr>
        <w:t>: It is essential to retain some residues in the forest to meet ecological and operational needs, although 30% is arguably too high in water-scarce, fire-prone, vulnerable Western forests. CARB should engage forestry experts further to review this assumption.</w:t>
      </w:r>
    </w:p>
    <w:p w14:paraId="4C4EA7F5" w14:textId="77777777" w:rsidR="002F4589" w:rsidRPr="002F4589" w:rsidRDefault="002F4589" w:rsidP="002F4589">
      <w:pPr>
        <w:numPr>
          <w:ilvl w:val="0"/>
          <w:numId w:val="5"/>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t>Revise indifference assumption</w:t>
      </w:r>
      <w:r w:rsidRPr="002F4589">
        <w:rPr>
          <w:rFonts w:ascii="inherit" w:eastAsia="Times New Roman" w:hAnsi="inherit" w:cs="Times New Roman"/>
          <w:color w:val="4D4D4D"/>
          <w:sz w:val="29"/>
          <w:szCs w:val="29"/>
          <w:bdr w:val="none" w:sz="0" w:space="0" w:color="auto" w:frame="1"/>
        </w:rPr>
        <w:t xml:space="preserve">: It is reasonable to assume that, when faced with a choice of recovering all available residues or just a portion (the remainder of which would be burned or left in the forest), regions would prioritize full </w:t>
      </w:r>
      <w:r w:rsidRPr="002F4589">
        <w:rPr>
          <w:rFonts w:ascii="inherit" w:eastAsia="Times New Roman" w:hAnsi="inherit" w:cs="Times New Roman"/>
          <w:color w:val="4D4D4D"/>
          <w:sz w:val="29"/>
          <w:szCs w:val="29"/>
          <w:bdr w:val="none" w:sz="0" w:space="0" w:color="auto" w:frame="1"/>
        </w:rPr>
        <w:lastRenderedPageBreak/>
        <w:t>residue recovery. This reflects regional and state goals to reduce wildfire risk and CO2 emissions and support rural economic development.</w:t>
      </w:r>
    </w:p>
    <w:p w14:paraId="008E4211" w14:textId="77777777" w:rsidR="002F4589" w:rsidRPr="002F4589" w:rsidRDefault="002F4589" w:rsidP="002F4589">
      <w:pPr>
        <w:numPr>
          <w:ilvl w:val="0"/>
          <w:numId w:val="6"/>
        </w:numPr>
        <w:spacing w:line="384" w:lineRule="atLeast"/>
        <w:ind w:left="1440"/>
        <w:textAlignment w:val="baseline"/>
        <w:rPr>
          <w:rFonts w:ascii="inherit" w:eastAsia="Times New Roman" w:hAnsi="inherit" w:cs="Times New Roman"/>
          <w:color w:val="4D4D4D"/>
          <w:sz w:val="29"/>
          <w:szCs w:val="29"/>
          <w:bdr w:val="none" w:sz="0" w:space="0" w:color="auto" w:frame="1"/>
        </w:rPr>
      </w:pPr>
      <w:r w:rsidRPr="002F4589">
        <w:rPr>
          <w:rFonts w:ascii="inherit" w:eastAsia="Times New Roman" w:hAnsi="inherit" w:cs="Times New Roman"/>
          <w:b/>
          <w:bCs/>
          <w:color w:val="4D4D4D"/>
          <w:sz w:val="29"/>
          <w:szCs w:val="29"/>
          <w:bdr w:val="none" w:sz="0" w:space="0" w:color="auto" w:frame="1"/>
        </w:rPr>
        <w:t>Abandon social cost method</w:t>
      </w:r>
      <w:r w:rsidRPr="002F4589">
        <w:rPr>
          <w:rFonts w:ascii="inherit" w:eastAsia="Times New Roman" w:hAnsi="inherit" w:cs="Times New Roman"/>
          <w:color w:val="4D4D4D"/>
          <w:sz w:val="29"/>
          <w:szCs w:val="29"/>
          <w:bdr w:val="none" w:sz="0" w:space="0" w:color="auto" w:frame="1"/>
        </w:rPr>
        <w:t>: While we recognize CARB’s effort to develop this screening method, it is limited in that it fails to incorporate the benefits of collecting residues. These include improvements to downstream water supply, wildfire risk reduction for communities, and regional economic development associated with the creation of new manufacturing facilities and carbon management supply chains. Factoring-in these benefits would almost certainly increase the volume of residues deemed “mobilizable” in the model. However, to do so would be an extremely challenging (and frankly, unreliable) analytical exercise. Instead, CARB should abandon this method, recognizing that robust considerations regarding air quality and public health will always be made at the project level under CEQA and NEPA.</w:t>
      </w:r>
    </w:p>
    <w:p w14:paraId="5E3E7911" w14:textId="77777777" w:rsidR="00BA06FF" w:rsidRDefault="00BA06FF" w:rsidP="002F4589">
      <w:pPr>
        <w:spacing w:line="384" w:lineRule="atLeast"/>
        <w:textAlignment w:val="baseline"/>
        <w:rPr>
          <w:rFonts w:ascii="inherit" w:eastAsia="Times New Roman" w:hAnsi="inherit" w:cs="Times New Roman"/>
          <w:b/>
          <w:bCs/>
          <w:color w:val="4D4D4D"/>
          <w:sz w:val="29"/>
          <w:szCs w:val="29"/>
          <w:bdr w:val="none" w:sz="0" w:space="0" w:color="auto" w:frame="1"/>
        </w:rPr>
      </w:pPr>
    </w:p>
    <w:p w14:paraId="6C893467" w14:textId="07A19E31" w:rsidR="002F4589" w:rsidRPr="002F4589" w:rsidRDefault="002F4589" w:rsidP="002F4589">
      <w:pPr>
        <w:spacing w:line="384" w:lineRule="atLeast"/>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b/>
          <w:bCs/>
          <w:color w:val="4D4D4D"/>
          <w:sz w:val="29"/>
          <w:szCs w:val="29"/>
          <w:bdr w:val="none" w:sz="0" w:space="0" w:color="auto" w:frame="1"/>
        </w:rPr>
        <w:t>CARB should target the carbon dioxide removal opportunity</w:t>
      </w:r>
    </w:p>
    <w:p w14:paraId="66AC5664" w14:textId="77777777" w:rsidR="002F4589" w:rsidRPr="002F4589" w:rsidRDefault="002F4589" w:rsidP="002F4589">
      <w:pPr>
        <w:spacing w:line="384" w:lineRule="atLeast"/>
        <w:textAlignment w:val="baseline"/>
        <w:rPr>
          <w:rFonts w:ascii="inherit" w:eastAsia="Times New Roman" w:hAnsi="inherit" w:cs="Times New Roman"/>
          <w:color w:val="4D4D4D"/>
          <w:sz w:val="30"/>
          <w:szCs w:val="30"/>
          <w:bdr w:val="none" w:sz="0" w:space="0" w:color="auto" w:frame="1"/>
        </w:rPr>
      </w:pPr>
      <w:r w:rsidRPr="002F4589">
        <w:rPr>
          <w:rFonts w:ascii="inherit" w:eastAsia="Times New Roman" w:hAnsi="inherit" w:cs="Times New Roman"/>
          <w:color w:val="4D4D4D"/>
          <w:sz w:val="30"/>
          <w:szCs w:val="30"/>
          <w:bdr w:val="none" w:sz="0" w:space="0" w:color="auto" w:frame="1"/>
        </w:rPr>
        <w:t>A system that mobilizes forest waste into products will not only reduce fire risk and CO2 emissions, but could also help California achieve another objective: its need for </w:t>
      </w:r>
      <w:hyperlink r:id="rId26" w:history="1">
        <w:r w:rsidRPr="002F4589">
          <w:rPr>
            <w:rFonts w:ascii="inherit" w:eastAsia="Times New Roman" w:hAnsi="inherit" w:cs="Times New Roman"/>
            <w:color w:val="4D4D4D"/>
            <w:sz w:val="29"/>
            <w:szCs w:val="29"/>
            <w:u w:val="single"/>
            <w:bdr w:val="none" w:sz="0" w:space="0" w:color="auto" w:frame="1"/>
          </w:rPr>
          <w:t>carbon dioxide removal (CDR)</w:t>
        </w:r>
      </w:hyperlink>
      <w:r w:rsidRPr="002F4589">
        <w:rPr>
          <w:rFonts w:ascii="inherit" w:eastAsia="Times New Roman" w:hAnsi="inherit" w:cs="Times New Roman"/>
          <w:color w:val="4D4D4D"/>
          <w:sz w:val="30"/>
          <w:szCs w:val="30"/>
          <w:bdr w:val="none" w:sz="0" w:space="0" w:color="auto" w:frame="1"/>
        </w:rPr>
        <w:t>.</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CDR refers to actions that physically remove CO2 from the atmosphere. The Plan estimates that 100 Mt of CDR will be needed per year by 2045 to compensate for hard-to-abate emissions in the economy, such as animal agriculture, aviation, shipping, and some industrial processes, as well as to address legacy emissions. As NWLs are expected to be a net source of emissions, removals can only come in the form of direct air capture with carbon storage (DACCS) and bioenergy with carbon capture and storage (BECCS). As a </w:t>
      </w:r>
      <w:hyperlink r:id="rId27" w:history="1">
        <w:r w:rsidRPr="002F4589">
          <w:rPr>
            <w:rFonts w:ascii="inherit" w:eastAsia="Times New Roman" w:hAnsi="inherit" w:cs="Times New Roman"/>
            <w:color w:val="4D4D4D"/>
            <w:sz w:val="29"/>
            <w:szCs w:val="29"/>
            <w:u w:val="single"/>
            <w:bdr w:val="none" w:sz="0" w:space="0" w:color="auto" w:frame="1"/>
          </w:rPr>
          <w:t>relatively</w:t>
        </w:r>
      </w:hyperlink>
      <w:r w:rsidRPr="002F4589">
        <w:rPr>
          <w:rFonts w:ascii="inherit" w:eastAsia="Times New Roman" w:hAnsi="inherit" w:cs="Times New Roman"/>
          <w:color w:val="4D4D4D"/>
          <w:sz w:val="30"/>
          <w:szCs w:val="30"/>
          <w:bdr w:val="none" w:sz="0" w:space="0" w:color="auto" w:frame="1"/>
        </w:rPr>
        <w:t> </w:t>
      </w:r>
      <w:hyperlink r:id="rId28" w:history="1">
        <w:r w:rsidRPr="002F4589">
          <w:rPr>
            <w:rFonts w:ascii="inherit" w:eastAsia="Times New Roman" w:hAnsi="inherit" w:cs="Times New Roman"/>
            <w:color w:val="4D4D4D"/>
            <w:sz w:val="29"/>
            <w:szCs w:val="29"/>
            <w:u w:val="single"/>
            <w:bdr w:val="none" w:sz="0" w:space="0" w:color="auto" w:frame="1"/>
          </w:rPr>
          <w:t>low-cost</w:t>
        </w:r>
      </w:hyperlink>
      <w:r w:rsidRPr="002F4589">
        <w:rPr>
          <w:rFonts w:ascii="inherit" w:eastAsia="Times New Roman" w:hAnsi="inherit" w:cs="Times New Roman"/>
          <w:color w:val="4D4D4D"/>
          <w:sz w:val="30"/>
          <w:szCs w:val="30"/>
          <w:bdr w:val="none" w:sz="0" w:space="0" w:color="auto" w:frame="1"/>
        </w:rPr>
        <w:t> CDR option, CARB should target forest BECCS for the CDR opportunity it provides.  </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lastRenderedPageBreak/>
        <w:t>BECCS is routinely shown as the </w:t>
      </w:r>
      <w:hyperlink r:id="rId29" w:history="1">
        <w:r w:rsidRPr="002F4589">
          <w:rPr>
            <w:rFonts w:ascii="inherit" w:eastAsia="Times New Roman" w:hAnsi="inherit" w:cs="Times New Roman"/>
            <w:color w:val="4D4D4D"/>
            <w:sz w:val="29"/>
            <w:szCs w:val="29"/>
            <w:u w:val="single"/>
            <w:bdr w:val="none" w:sz="0" w:space="0" w:color="auto" w:frame="1"/>
          </w:rPr>
          <w:t>main CDR option</w:t>
        </w:r>
      </w:hyperlink>
      <w:r w:rsidRPr="002F4589">
        <w:rPr>
          <w:rFonts w:ascii="inherit" w:eastAsia="Times New Roman" w:hAnsi="inherit" w:cs="Times New Roman"/>
          <w:color w:val="4D4D4D"/>
          <w:sz w:val="30"/>
          <w:szCs w:val="30"/>
          <w:bdr w:val="none" w:sz="0" w:space="0" w:color="auto" w:frame="1"/>
        </w:rPr>
        <w:t> by the IPCC, and California is </w:t>
      </w:r>
      <w:hyperlink r:id="rId30" w:history="1">
        <w:r w:rsidRPr="002F4589">
          <w:rPr>
            <w:rFonts w:ascii="inherit" w:eastAsia="Times New Roman" w:hAnsi="inherit" w:cs="Times New Roman"/>
            <w:color w:val="4D4D4D"/>
            <w:sz w:val="29"/>
            <w:szCs w:val="29"/>
            <w:u w:val="single"/>
            <w:bdr w:val="none" w:sz="0" w:space="0" w:color="auto" w:frame="1"/>
          </w:rPr>
          <w:t>well-placed</w:t>
        </w:r>
      </w:hyperlink>
      <w:r w:rsidRPr="002F4589">
        <w:rPr>
          <w:rFonts w:ascii="inherit" w:eastAsia="Times New Roman" w:hAnsi="inherit" w:cs="Times New Roman"/>
          <w:color w:val="4D4D4D"/>
          <w:sz w:val="30"/>
          <w:szCs w:val="30"/>
          <w:bdr w:val="none" w:sz="0" w:space="0" w:color="auto" w:frame="1"/>
        </w:rPr>
        <w:t> to advance this technology for global benefit. Lawrence Livermore National Laboratory’s award-winning </w:t>
      </w:r>
      <w:hyperlink r:id="rId31" w:history="1">
        <w:r w:rsidRPr="002F4589">
          <w:rPr>
            <w:rFonts w:ascii="inherit" w:eastAsia="Times New Roman" w:hAnsi="inherit" w:cs="Times New Roman"/>
            <w:i/>
            <w:iCs/>
            <w:color w:val="4D4D4D"/>
            <w:sz w:val="29"/>
            <w:szCs w:val="29"/>
            <w:u w:val="single"/>
            <w:bdr w:val="none" w:sz="0" w:space="0" w:color="auto" w:frame="1"/>
          </w:rPr>
          <w:t>Getting to Neutral</w:t>
        </w:r>
      </w:hyperlink>
      <w:r w:rsidRPr="002F4589">
        <w:rPr>
          <w:rFonts w:ascii="inherit" w:eastAsia="Times New Roman" w:hAnsi="inherit" w:cs="Times New Roman"/>
          <w:color w:val="4D4D4D"/>
          <w:sz w:val="30"/>
          <w:szCs w:val="30"/>
          <w:bdr w:val="none" w:sz="0" w:space="0" w:color="auto" w:frame="1"/>
        </w:rPr>
        <w:t> report provides a helpful starting point by showing biomass waste availability on a county-by-county basis, including forest, agricultural and urban residues. The Low Carbon Fuel Standard is a </w:t>
      </w:r>
      <w:hyperlink r:id="rId32" w:history="1">
        <w:r w:rsidRPr="002F4589">
          <w:rPr>
            <w:rFonts w:ascii="inherit" w:eastAsia="Times New Roman" w:hAnsi="inherit" w:cs="Times New Roman"/>
            <w:color w:val="4D4D4D"/>
            <w:sz w:val="29"/>
            <w:szCs w:val="29"/>
            <w:u w:val="single"/>
            <w:bdr w:val="none" w:sz="0" w:space="0" w:color="auto" w:frame="1"/>
          </w:rPr>
          <w:t>policy mechanism</w:t>
        </w:r>
      </w:hyperlink>
      <w:r w:rsidRPr="002F4589">
        <w:rPr>
          <w:rFonts w:ascii="inherit" w:eastAsia="Times New Roman" w:hAnsi="inherit" w:cs="Times New Roman"/>
          <w:color w:val="4D4D4D"/>
          <w:sz w:val="30"/>
          <w:szCs w:val="30"/>
          <w:bdr w:val="none" w:sz="0" w:space="0" w:color="auto" w:frame="1"/>
        </w:rPr>
        <w:t> that can support sustainable forest BECCS (and fire prevention) in California. BECCS projects also qualify for $3.5 billion in forthcoming federal funding for </w:t>
      </w:r>
      <w:hyperlink r:id="rId33" w:history="1">
        <w:r w:rsidRPr="002F4589">
          <w:rPr>
            <w:rFonts w:ascii="inherit" w:eastAsia="Times New Roman" w:hAnsi="inherit" w:cs="Times New Roman"/>
            <w:color w:val="4D4D4D"/>
            <w:sz w:val="29"/>
            <w:szCs w:val="29"/>
            <w:u w:val="single"/>
            <w:bdr w:val="none" w:sz="0" w:space="0" w:color="auto" w:frame="1"/>
          </w:rPr>
          <w:t>Regional Direct Air Capture hubs</w:t>
        </w:r>
      </w:hyperlink>
      <w:r w:rsidRPr="002F4589">
        <w:rPr>
          <w:rFonts w:ascii="inherit" w:eastAsia="Times New Roman" w:hAnsi="inherit" w:cs="Times New Roman"/>
          <w:color w:val="4D4D4D"/>
          <w:sz w:val="30"/>
          <w:szCs w:val="30"/>
          <w:bdr w:val="none" w:sz="0" w:space="0" w:color="auto" w:frame="1"/>
        </w:rPr>
        <w:t>.</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b/>
          <w:bCs/>
          <w:color w:val="4D4D4D"/>
          <w:sz w:val="29"/>
          <w:szCs w:val="29"/>
          <w:bdr w:val="none" w:sz="0" w:space="0" w:color="auto" w:frame="1"/>
        </w:rPr>
        <w:t>Conclusion</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In 2020, wildfires </w:t>
      </w:r>
      <w:hyperlink r:id="rId34" w:history="1">
        <w:r w:rsidRPr="002F4589">
          <w:rPr>
            <w:rFonts w:ascii="inherit" w:eastAsia="Times New Roman" w:hAnsi="inherit" w:cs="Times New Roman"/>
            <w:color w:val="4D4D4D"/>
            <w:sz w:val="29"/>
            <w:szCs w:val="29"/>
            <w:u w:val="single"/>
            <w:bdr w:val="none" w:sz="0" w:space="0" w:color="auto" w:frame="1"/>
          </w:rPr>
          <w:t>emitted</w:t>
        </w:r>
      </w:hyperlink>
      <w:r w:rsidRPr="002F4589">
        <w:rPr>
          <w:rFonts w:ascii="inherit" w:eastAsia="Times New Roman" w:hAnsi="inherit" w:cs="Times New Roman"/>
          <w:color w:val="4D4D4D"/>
          <w:sz w:val="30"/>
          <w:szCs w:val="30"/>
          <w:bdr w:val="none" w:sz="0" w:space="0" w:color="auto" w:frame="1"/>
        </w:rPr>
        <w:t> over 100 Mt of CO2 in California. This amount alone is greater than the total emissions reductions achieved by the state since the passage of AB 32. Reducing the risk of high-severity fires and improving forest resilience is one of California’s most pressing climate problems.</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A robust forest biomass strategy that has the capacity to manage at, or near to, the gross resource total from ecological land management is essential to this. Moreover, a state biomass strategy that prioritizes CDR can help assure the negative emissions needed to achieve net-zero and below by 2045 or sooner.</w:t>
      </w:r>
      <w:r w:rsidRPr="002F4589">
        <w:rPr>
          <w:rFonts w:ascii="inherit" w:eastAsia="Times New Roman" w:hAnsi="inherit" w:cs="Times New Roman"/>
          <w:color w:val="4D4D4D"/>
          <w:sz w:val="30"/>
          <w:szCs w:val="30"/>
          <w:bdr w:val="none" w:sz="0" w:space="0" w:color="auto" w:frame="1"/>
        </w:rPr>
        <w:br/>
      </w:r>
      <w:r w:rsidRPr="002F4589">
        <w:rPr>
          <w:rFonts w:ascii="inherit" w:eastAsia="Times New Roman" w:hAnsi="inherit" w:cs="Times New Roman"/>
          <w:color w:val="4D4D4D"/>
          <w:sz w:val="30"/>
          <w:szCs w:val="30"/>
          <w:bdr w:val="none" w:sz="0" w:space="0" w:color="auto" w:frame="1"/>
        </w:rPr>
        <w:br/>
        <w:t xml:space="preserve">For more information on CSG’s research and policy initiatives in support of California’s clean energy transition, please contact Sam </w:t>
      </w:r>
      <w:proofErr w:type="spellStart"/>
      <w:r w:rsidRPr="002F4589">
        <w:rPr>
          <w:rFonts w:ascii="inherit" w:eastAsia="Times New Roman" w:hAnsi="inherit" w:cs="Times New Roman"/>
          <w:color w:val="4D4D4D"/>
          <w:sz w:val="30"/>
          <w:szCs w:val="30"/>
          <w:bdr w:val="none" w:sz="0" w:space="0" w:color="auto" w:frame="1"/>
        </w:rPr>
        <w:t>Uden</w:t>
      </w:r>
      <w:proofErr w:type="spellEnd"/>
      <w:r w:rsidRPr="002F4589">
        <w:rPr>
          <w:rFonts w:ascii="inherit" w:eastAsia="Times New Roman" w:hAnsi="inherit" w:cs="Times New Roman"/>
          <w:color w:val="4D4D4D"/>
          <w:sz w:val="30"/>
          <w:szCs w:val="30"/>
          <w:bdr w:val="none" w:sz="0" w:space="0" w:color="auto" w:frame="1"/>
        </w:rPr>
        <w:t xml:space="preserve"> (</w:t>
      </w:r>
      <w:hyperlink r:id="rId35" w:tgtFrame="_blank" w:history="1">
        <w:r w:rsidRPr="002F4589">
          <w:rPr>
            <w:rFonts w:ascii="inherit" w:eastAsia="Times New Roman" w:hAnsi="inherit" w:cs="Times New Roman"/>
            <w:color w:val="4D4D4D"/>
            <w:sz w:val="29"/>
            <w:szCs w:val="29"/>
            <w:u w:val="single"/>
            <w:bdr w:val="none" w:sz="0" w:space="0" w:color="auto" w:frame="1"/>
          </w:rPr>
          <w:t>sam@csgcalifornia.com</w:t>
        </w:r>
      </w:hyperlink>
      <w:r w:rsidRPr="002F4589">
        <w:rPr>
          <w:rFonts w:ascii="inherit" w:eastAsia="Times New Roman" w:hAnsi="inherit" w:cs="Times New Roman"/>
          <w:color w:val="4D4D4D"/>
          <w:sz w:val="30"/>
          <w:szCs w:val="30"/>
          <w:bdr w:val="none" w:sz="0" w:space="0" w:color="auto" w:frame="1"/>
        </w:rPr>
        <w:t>).</w:t>
      </w:r>
    </w:p>
    <w:p w14:paraId="69D4A636" w14:textId="77777777" w:rsidR="006D26D9" w:rsidRDefault="00000000"/>
    <w:sectPr w:rsidR="006D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800000AF" w:usb1="4000604A" w:usb2="00000000" w:usb3="00000000" w:csb0="00000093" w:csb1="00000000"/>
  </w:font>
  <w:font w:name="inherit">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A3"/>
    <w:multiLevelType w:val="multilevel"/>
    <w:tmpl w:val="9F3A0F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B4D23"/>
    <w:multiLevelType w:val="multilevel"/>
    <w:tmpl w:val="F3689A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90935"/>
    <w:multiLevelType w:val="multilevel"/>
    <w:tmpl w:val="F3583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A4CB0"/>
    <w:multiLevelType w:val="multilevel"/>
    <w:tmpl w:val="88D02A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0E5869"/>
    <w:multiLevelType w:val="multilevel"/>
    <w:tmpl w:val="E3A00C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F11F5"/>
    <w:multiLevelType w:val="multilevel"/>
    <w:tmpl w:val="4DF2AB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88377703">
    <w:abstractNumId w:val="5"/>
  </w:num>
  <w:num w:numId="2" w16cid:durableId="693069104">
    <w:abstractNumId w:val="3"/>
  </w:num>
  <w:num w:numId="3" w16cid:durableId="552154039">
    <w:abstractNumId w:val="0"/>
  </w:num>
  <w:num w:numId="4" w16cid:durableId="505440026">
    <w:abstractNumId w:val="1"/>
  </w:num>
  <w:num w:numId="5" w16cid:durableId="782506174">
    <w:abstractNumId w:val="4"/>
  </w:num>
  <w:num w:numId="6" w16cid:durableId="152386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89"/>
    <w:rsid w:val="00017CF0"/>
    <w:rsid w:val="00033FAB"/>
    <w:rsid w:val="0020710F"/>
    <w:rsid w:val="002B5BCA"/>
    <w:rsid w:val="002F4589"/>
    <w:rsid w:val="00A53D14"/>
    <w:rsid w:val="00BA06FF"/>
    <w:rsid w:val="00BF178C"/>
    <w:rsid w:val="00C20D02"/>
    <w:rsid w:val="00D25CE4"/>
    <w:rsid w:val="00E67B7E"/>
    <w:rsid w:val="00E971F9"/>
    <w:rsid w:val="00F0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02256"/>
  <w15:chartTrackingRefBased/>
  <w15:docId w15:val="{F5CEB9D6-D637-1641-84E3-9D900DF5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458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589"/>
    <w:rPr>
      <w:rFonts w:ascii="Times New Roman" w:eastAsia="Times New Roman" w:hAnsi="Times New Roman" w:cs="Times New Roman"/>
      <w:b/>
      <w:bCs/>
      <w:kern w:val="36"/>
      <w:sz w:val="48"/>
      <w:szCs w:val="48"/>
    </w:rPr>
  </w:style>
  <w:style w:type="character" w:customStyle="1" w:styleId="posted-on">
    <w:name w:val="posted-on"/>
    <w:basedOn w:val="DefaultParagraphFont"/>
    <w:rsid w:val="002F4589"/>
  </w:style>
  <w:style w:type="character" w:customStyle="1" w:styleId="byline">
    <w:name w:val="byline"/>
    <w:basedOn w:val="DefaultParagraphFont"/>
    <w:rsid w:val="002F4589"/>
  </w:style>
  <w:style w:type="character" w:customStyle="1" w:styleId="apple-converted-space">
    <w:name w:val="apple-converted-space"/>
    <w:basedOn w:val="DefaultParagraphFont"/>
    <w:rsid w:val="002F4589"/>
  </w:style>
  <w:style w:type="character" w:customStyle="1" w:styleId="author">
    <w:name w:val="author"/>
    <w:basedOn w:val="DefaultParagraphFont"/>
    <w:rsid w:val="002F4589"/>
  </w:style>
  <w:style w:type="character" w:styleId="Hyperlink">
    <w:name w:val="Hyperlink"/>
    <w:basedOn w:val="DefaultParagraphFont"/>
    <w:uiPriority w:val="99"/>
    <w:unhideWhenUsed/>
    <w:rsid w:val="002F4589"/>
    <w:rPr>
      <w:color w:val="0000FF"/>
      <w:u w:val="single"/>
    </w:rPr>
  </w:style>
  <w:style w:type="paragraph" w:styleId="NormalWeb">
    <w:name w:val="Normal (Web)"/>
    <w:basedOn w:val="Normal"/>
    <w:uiPriority w:val="99"/>
    <w:semiHidden/>
    <w:unhideWhenUsed/>
    <w:rsid w:val="002F458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F4589"/>
    <w:rPr>
      <w:i/>
      <w:iCs/>
    </w:rPr>
  </w:style>
  <w:style w:type="character" w:styleId="Strong">
    <w:name w:val="Strong"/>
    <w:basedOn w:val="DefaultParagraphFont"/>
    <w:uiPriority w:val="22"/>
    <w:qFormat/>
    <w:rsid w:val="002F4589"/>
    <w:rPr>
      <w:b/>
      <w:bCs/>
    </w:rPr>
  </w:style>
  <w:style w:type="character" w:styleId="UnresolvedMention">
    <w:name w:val="Unresolved Mention"/>
    <w:basedOn w:val="DefaultParagraphFont"/>
    <w:uiPriority w:val="99"/>
    <w:semiHidden/>
    <w:unhideWhenUsed/>
    <w:rsid w:val="00D2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670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59">
          <w:marLeft w:val="0"/>
          <w:marRight w:val="0"/>
          <w:marTop w:val="0"/>
          <w:marBottom w:val="0"/>
          <w:divBdr>
            <w:top w:val="none" w:sz="0" w:space="0" w:color="auto"/>
            <w:left w:val="none" w:sz="0" w:space="0" w:color="auto"/>
            <w:bottom w:val="none" w:sz="0" w:space="0" w:color="auto"/>
            <w:right w:val="none" w:sz="0" w:space="0" w:color="auto"/>
          </w:divBdr>
        </w:div>
        <w:div w:id="310988053">
          <w:marLeft w:val="0"/>
          <w:marRight w:val="0"/>
          <w:marTop w:val="0"/>
          <w:marBottom w:val="0"/>
          <w:divBdr>
            <w:top w:val="none" w:sz="0" w:space="0" w:color="auto"/>
            <w:left w:val="none" w:sz="0" w:space="0" w:color="auto"/>
            <w:bottom w:val="none" w:sz="0" w:space="0" w:color="auto"/>
            <w:right w:val="none" w:sz="0" w:space="0" w:color="auto"/>
          </w:divBdr>
          <w:divsChild>
            <w:div w:id="1702197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2.arb.ca.gov/sites/default/files/2022-05/2022-draft-sp.pdf" TargetMode="External"/><Relationship Id="rId18" Type="http://schemas.openxmlformats.org/officeDocument/2006/relationships/hyperlink" Target="https://www.sierrabusiness.org/archives/biomass-in-the-sierra-nevada-a-case-for-healthy-forests-and-rural-economies/" TargetMode="External"/><Relationship Id="rId26" Type="http://schemas.openxmlformats.org/officeDocument/2006/relationships/hyperlink" Target="https://www.csgcalifornia.com/blog/could-carbon-dioxide-removal-support-californias-climate-change-goals/" TargetMode="External"/><Relationship Id="rId21" Type="http://schemas.openxmlformats.org/officeDocument/2006/relationships/hyperlink" Target="https://ww2.arb.ca.gov/sites/default/files/2022-05/2022-draft-sp-appendix-i-nwl-modeling.pdf" TargetMode="External"/><Relationship Id="rId34" Type="http://schemas.openxmlformats.org/officeDocument/2006/relationships/hyperlink" Target="https://ww3.arb.ca.gov/cc/inventory/pubs/wildfire_emissions_faq.pdf" TargetMode="External"/><Relationship Id="rId7" Type="http://schemas.openxmlformats.org/officeDocument/2006/relationships/hyperlink" Target="https://www.pnas.org/doi/10.1073/pnas.2019073118" TargetMode="External"/><Relationship Id="rId12" Type="http://schemas.openxmlformats.org/officeDocument/2006/relationships/hyperlink" Target="https://www.csgcalifornia.com/blog/could-carbon-dioxide-removal-support-californias-climate-change-goals/" TargetMode="External"/><Relationship Id="rId17" Type="http://schemas.openxmlformats.org/officeDocument/2006/relationships/hyperlink" Target="https://www.scienceforconservation.org/assets/downloads/tnc_AFR_v9.pdf" TargetMode="External"/><Relationship Id="rId25" Type="http://schemas.openxmlformats.org/officeDocument/2006/relationships/image" Target="media/image1.png"/><Relationship Id="rId33" Type="http://schemas.openxmlformats.org/officeDocument/2006/relationships/hyperlink" Target="https://www.fedconnect.net/FedConnect/default.aspx?ReturnUrl=%2Ffedconnect%3Fdoc%3DDE-FOA-0002746%26agency%3DDOE&amp;doc=DE-FOA-0002746&amp;agency=DOE" TargetMode="External"/><Relationship Id="rId2" Type="http://schemas.openxmlformats.org/officeDocument/2006/relationships/styles" Target="styles.xml"/><Relationship Id="rId16" Type="http://schemas.openxmlformats.org/officeDocument/2006/relationships/hyperlink" Target="https://bof.fire.ca.gov/media/mn5gzmxv/joint-institute-forest-biofuels_final_2022_ada.pdf" TargetMode="External"/><Relationship Id="rId20" Type="http://schemas.openxmlformats.org/officeDocument/2006/relationships/hyperlink" Target="https://www.csgcalifornia.com/blog/missed-opportunity-draft-scoping-plan-fails-to-address-biomass-pile-burning-and-decay/" TargetMode="External"/><Relationship Id="rId29" Type="http://schemas.openxmlformats.org/officeDocument/2006/relationships/hyperlink" Target="https://report.ipcc.ch/ar6wg3/pdf/IPCC_AR6_WGIII_FinalDraft_TechnicalSummary.pdf" TargetMode="External"/><Relationship Id="rId1" Type="http://schemas.openxmlformats.org/officeDocument/2006/relationships/numbering" Target="numbering.xml"/><Relationship Id="rId6" Type="http://schemas.openxmlformats.org/officeDocument/2006/relationships/hyperlink" Target="https://www.csgcalifornia.com/blog/author/samcsgcalifornia-com/" TargetMode="External"/><Relationship Id="rId11" Type="http://schemas.openxmlformats.org/officeDocument/2006/relationships/hyperlink" Target="https://ww2.arb.ca.gov/sites/default/files/2022-05/2022-draft-sp.pdf" TargetMode="External"/><Relationship Id="rId24" Type="http://schemas.openxmlformats.org/officeDocument/2006/relationships/hyperlink" Target="https://gs.llnl.gov/sites/gs/files/2021-08/getting_to_neutral.pdf" TargetMode="External"/><Relationship Id="rId32" Type="http://schemas.openxmlformats.org/officeDocument/2006/relationships/hyperlink" Target="https://www.frontiersin.org/articles/10.3389/fclim.2021.665778/full" TargetMode="External"/><Relationship Id="rId37" Type="http://schemas.openxmlformats.org/officeDocument/2006/relationships/theme" Target="theme/theme1.xml"/><Relationship Id="rId5" Type="http://schemas.openxmlformats.org/officeDocument/2006/relationships/hyperlink" Target="https://www.csgcalifornia.com/blog/missed-opportunity-draft-scoping-plan-fails-to-address-biomass-pile-burning-and-decay/" TargetMode="External"/><Relationship Id="rId15" Type="http://schemas.openxmlformats.org/officeDocument/2006/relationships/hyperlink" Target="http://www.csgcalifornia.com/blog/wp-admin/post.php?post=360&amp;action=edit" TargetMode="External"/><Relationship Id="rId23" Type="http://schemas.openxmlformats.org/officeDocument/2006/relationships/hyperlink" Target="https://www.fire.ca.gov/media/ps4p2vck/californiawildfireandforestresilienceactionplan.pdf" TargetMode="External"/><Relationship Id="rId28" Type="http://schemas.openxmlformats.org/officeDocument/2006/relationships/hyperlink" Target="https://www.frontiersin.org/articles/10.3389/fclim.2020.618644/full" TargetMode="External"/><Relationship Id="rId36" Type="http://schemas.openxmlformats.org/officeDocument/2006/relationships/fontTable" Target="fontTable.xml"/><Relationship Id="rId10" Type="http://schemas.openxmlformats.org/officeDocument/2006/relationships/hyperlink" Target="https://ww2.arb.ca.gov/sites/default/files/2021-07/Wildfire%20Emission%20Estimates%20for%202020%20_Final.pdf" TargetMode="External"/><Relationship Id="rId19" Type="http://schemas.openxmlformats.org/officeDocument/2006/relationships/hyperlink" Target="https://escholarship.org/content/qt29d705xw/qt29d705xw.pdf?t=nwtotz" TargetMode="External"/><Relationship Id="rId31" Type="http://schemas.openxmlformats.org/officeDocument/2006/relationships/hyperlink" Target="https://gs.llnl.gov/sites/gs/files/2021-08/getting_to_neutral.pdf" TargetMode="External"/><Relationship Id="rId4" Type="http://schemas.openxmlformats.org/officeDocument/2006/relationships/webSettings" Target="webSettings.xml"/><Relationship Id="rId9" Type="http://schemas.openxmlformats.org/officeDocument/2006/relationships/hyperlink" Target="https://www.gov.ca.gov/wp-content/uploads/2020/08/8.12.20-CA-Shared-Stewardship-MOU.pdf" TargetMode="External"/><Relationship Id="rId14" Type="http://schemas.openxmlformats.org/officeDocument/2006/relationships/hyperlink" Target="https://www.gov.ca.gov/wp-content/uploads/2020/08/8.12.20-CA-Shared-Stewardship-MOU.pdf" TargetMode="External"/><Relationship Id="rId22" Type="http://schemas.openxmlformats.org/officeDocument/2006/relationships/hyperlink" Target="https://dr.lib.iastate.edu/entities/publication/bc6bb2b0-9280-4b13-940b-4804a3bdb8f6" TargetMode="External"/><Relationship Id="rId27" Type="http://schemas.openxmlformats.org/officeDocument/2006/relationships/hyperlink" Target="https://netzeroamerica.princeton.edu/the-report" TargetMode="External"/><Relationship Id="rId30" Type="http://schemas.openxmlformats.org/officeDocument/2006/relationships/hyperlink" Target="https://www.cell.com/joule/pdf/S2542-4351(21)00301-9.pdf" TargetMode="External"/><Relationship Id="rId35" Type="http://schemas.openxmlformats.org/officeDocument/2006/relationships/hyperlink" Target="http://sam@csgcalifornia.com" TargetMode="External"/><Relationship Id="rId8" Type="http://schemas.openxmlformats.org/officeDocument/2006/relationships/hyperlink" Target="https://www.scienceforconservation.org/assets/downloads/tnc_AFR_v9.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Jackson</dc:creator>
  <cp:keywords/>
  <dc:description/>
  <cp:lastModifiedBy>Noah  Jackson</cp:lastModifiedBy>
  <cp:revision>3</cp:revision>
  <dcterms:created xsi:type="dcterms:W3CDTF">2022-06-23T22:40:00Z</dcterms:created>
  <dcterms:modified xsi:type="dcterms:W3CDTF">2022-06-23T22:41:00Z</dcterms:modified>
</cp:coreProperties>
</file>