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389B" w14:textId="77777777" w:rsidR="00510F67" w:rsidRPr="00510F67" w:rsidRDefault="00510F67" w:rsidP="00510F67">
      <w:pPr>
        <w:spacing w:after="160" w:line="259" w:lineRule="auto"/>
        <w:rPr>
          <w:rFonts w:ascii="Proxima Nova Alt Rg" w:hAnsi="Proxima Nova Alt Rg"/>
          <w:lang w:val="en-US"/>
        </w:rPr>
      </w:pPr>
      <w:r>
        <w:rPr>
          <w:rFonts w:ascii="Proxima Nova Alt Rg" w:hAnsi="Proxima Nova Alt Rg"/>
          <w:lang w:val="en-US"/>
        </w:rPr>
        <w:tab/>
      </w:r>
      <w:r>
        <w:rPr>
          <w:rFonts w:ascii="Proxima Nova Alt Rg" w:hAnsi="Proxima Nova Alt Rg"/>
          <w:lang w:val="en-US"/>
        </w:rPr>
        <w:tab/>
      </w:r>
      <w:r>
        <w:rPr>
          <w:rFonts w:ascii="Proxima Nova Alt Rg" w:hAnsi="Proxima Nova Alt Rg"/>
          <w:lang w:val="en-US"/>
        </w:rPr>
        <w:tab/>
      </w:r>
      <w:r>
        <w:rPr>
          <w:rFonts w:ascii="Proxima Nova Alt Rg" w:hAnsi="Proxima Nova Alt Rg"/>
          <w:lang w:val="en-US"/>
        </w:rPr>
        <w:tab/>
      </w:r>
      <w:r>
        <w:rPr>
          <w:rFonts w:ascii="Proxima Nova Alt Rg" w:hAnsi="Proxima Nova Alt Rg"/>
          <w:lang w:val="en-US"/>
        </w:rPr>
        <w:tab/>
      </w:r>
      <w:r>
        <w:rPr>
          <w:rFonts w:ascii="Proxima Nova Alt Rg" w:hAnsi="Proxima Nova Alt Rg"/>
          <w:lang w:val="en-US"/>
        </w:rPr>
        <w:tab/>
      </w:r>
      <w:r>
        <w:rPr>
          <w:rFonts w:ascii="Proxima Nova Alt Rg" w:hAnsi="Proxima Nova Alt Rg"/>
          <w:lang w:val="en-US"/>
        </w:rPr>
        <w:tab/>
      </w:r>
      <w:r>
        <w:rPr>
          <w:rFonts w:ascii="Proxima Nova Alt Rg" w:hAnsi="Proxima Nova Alt Rg"/>
          <w:lang w:val="en-US"/>
        </w:rPr>
        <w:tab/>
      </w:r>
      <w:r>
        <w:rPr>
          <w:rFonts w:ascii="Proxima Nova Alt Rg" w:hAnsi="Proxima Nova Alt Rg"/>
          <w:lang w:val="en-US"/>
        </w:rPr>
        <w:tab/>
      </w:r>
      <w:r>
        <w:rPr>
          <w:rFonts w:ascii="Proxima Nova Alt Rg" w:hAnsi="Proxima Nova Alt Rg"/>
          <w:lang w:val="en-US"/>
        </w:rPr>
        <w:tab/>
        <w:t>June 24, 2022</w:t>
      </w:r>
    </w:p>
    <w:p w14:paraId="55154F73" w14:textId="77777777" w:rsidR="00510F67" w:rsidRDefault="00510F67" w:rsidP="00510F67">
      <w:pPr>
        <w:spacing w:after="160" w:line="259" w:lineRule="auto"/>
        <w:rPr>
          <w:rFonts w:ascii="Proxima Nova Alt Rg" w:hAnsi="Proxima Nova Alt Rg" w:cstheme="minorHAnsi"/>
          <w:lang w:val="en-US"/>
        </w:rPr>
      </w:pPr>
    </w:p>
    <w:p w14:paraId="2D95D103" w14:textId="77777777" w:rsidR="00510F67" w:rsidRPr="00510F67" w:rsidRDefault="00510F67" w:rsidP="00510F67">
      <w:pPr>
        <w:spacing w:after="160" w:line="259" w:lineRule="auto"/>
        <w:rPr>
          <w:rFonts w:ascii="Proxima Nova Alt Rg" w:eastAsia="Times New Roman" w:hAnsi="Proxima Nova Alt Rg" w:cstheme="minorHAnsi"/>
          <w:color w:val="0E101A"/>
          <w:lang w:val="en-US"/>
        </w:rPr>
      </w:pPr>
      <w:r w:rsidRPr="00510F67">
        <w:rPr>
          <w:rFonts w:ascii="Proxima Nova Alt Rg" w:hAnsi="Proxima Nova Alt Rg" w:cstheme="minorHAnsi"/>
          <w:lang w:val="en-US"/>
        </w:rPr>
        <w:t xml:space="preserve">RE: Comments on </w:t>
      </w:r>
      <w:r w:rsidRPr="00510F67">
        <w:rPr>
          <w:rFonts w:ascii="Proxima Nova Alt Rg" w:eastAsia="Times New Roman" w:hAnsi="Proxima Nova Alt Rg" w:cstheme="minorHAnsi"/>
          <w:color w:val="0E101A"/>
          <w:lang w:val="en-US"/>
        </w:rPr>
        <w:t>California Air Resources Board (CARB) 2022 Draft Climate Change Scoping Plan</w:t>
      </w:r>
    </w:p>
    <w:p w14:paraId="67801895" w14:textId="77777777" w:rsidR="00510F67" w:rsidRPr="00510F67" w:rsidRDefault="00083DFD" w:rsidP="00510F67">
      <w:pPr>
        <w:rPr>
          <w:rFonts w:ascii="Proxima Nova Alt Rg" w:eastAsia="Times New Roman" w:hAnsi="Proxima Nova Alt Rg" w:cs="Times New Roman"/>
          <w:color w:val="0E101A"/>
          <w:lang w:val="en-US"/>
        </w:rPr>
      </w:pPr>
      <w:hyperlink r:id="rId10" w:tgtFrame="_blank" w:history="1">
        <w:r w:rsidR="00510F67" w:rsidRPr="00510F67">
          <w:rPr>
            <w:rFonts w:ascii="Proxima Nova Alt Rg" w:eastAsia="Times New Roman" w:hAnsi="Proxima Nova Alt Rg" w:cs="Times New Roman"/>
            <w:color w:val="4A6EE0"/>
            <w:u w:val="single"/>
            <w:lang w:val="en-US"/>
          </w:rPr>
          <w:t>The Global Carbon Capture and Storage</w:t>
        </w:r>
      </w:hyperlink>
      <w:r w:rsidR="00510F67" w:rsidRPr="00510F67">
        <w:rPr>
          <w:rFonts w:ascii="Proxima Nova Alt Rg" w:eastAsia="Times New Roman" w:hAnsi="Proxima Nova Alt Rg" w:cs="Times New Roman"/>
          <w:color w:val="0E101A"/>
          <w:lang w:val="en-US"/>
        </w:rPr>
        <w:t> Institute (GCCSI or Institute) is a leading international think tank whose mission is to accelerate the deployment of carbon capture and storage (CCS), a vital technology to tackle climate change and deliver climate neutrality. The Institute's international membership includes governments, global corporations, private companies, research bodies, and non-governmental organizations committed to CCS as an integral part of a net-zero emissions future. The Institute produces an unparalleled source of research, data, and information on all aspects of CCS deployment, offering expertise and knowledge across every aspect of CCS. We appreciate the opportunity to comment on the CARB 2022 Draft Climate Change Scoping Plan.</w:t>
      </w:r>
    </w:p>
    <w:p w14:paraId="383C0AAF" w14:textId="77777777" w:rsidR="00510F67" w:rsidRPr="00510F67" w:rsidRDefault="00510F67" w:rsidP="00510F67">
      <w:pPr>
        <w:rPr>
          <w:rFonts w:ascii="Proxima Nova Alt Rg" w:eastAsia="Times New Roman" w:hAnsi="Proxima Nova Alt Rg" w:cs="Times New Roman"/>
          <w:color w:val="0E101A"/>
          <w:lang w:val="en-US"/>
        </w:rPr>
      </w:pPr>
    </w:p>
    <w:p w14:paraId="7272AD65"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The Institute applauds CARB's recognition that CCS is a necessary climate change mitigation tool to transition to net-zero. The Institute also appreciates CARB integrating environmental justice into the plan to ensure no community is left behind. The accelerated deployment of CCS is critical for reaching carbon neutrality in the timeframe required. Deployment of CCS cannot happen without frontline community engagement and consultation. But there remains a significant amount of misinformation circulating about CCS. The Institute addresses a few misconceptions by providing some critical facts about CCS.</w:t>
      </w:r>
    </w:p>
    <w:p w14:paraId="3472E305" w14:textId="77777777" w:rsidR="00510F67" w:rsidRPr="00510F67" w:rsidRDefault="00510F67" w:rsidP="00510F67">
      <w:pPr>
        <w:rPr>
          <w:rFonts w:ascii="Proxima Nova Alt Rg" w:eastAsia="Times New Roman" w:hAnsi="Proxima Nova Alt Rg" w:cs="Times New Roman"/>
          <w:color w:val="0E101A"/>
          <w:lang w:val="en-US"/>
        </w:rPr>
      </w:pPr>
    </w:p>
    <w:p w14:paraId="367BFCE0"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b/>
          <w:bCs/>
          <w:color w:val="0E101A"/>
          <w:lang w:val="en-US"/>
        </w:rPr>
        <w:t>CCS is a proven technology</w:t>
      </w:r>
    </w:p>
    <w:p w14:paraId="4DA0F0D8"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All components of the CCS chain -capture, transport, and storage - deploy proven technology that has been used for decades commercially. Based on the Institute's internal estimation, approximately 300 million tons of CO</w:t>
      </w:r>
      <w:r w:rsidRPr="00510F67">
        <w:rPr>
          <w:rFonts w:ascii="Proxima Nova Alt Rg" w:eastAsia="Times New Roman" w:hAnsi="Proxima Nova Alt Rg" w:cs="Times New Roman"/>
          <w:color w:val="0E101A"/>
          <w:vertAlign w:val="subscript"/>
          <w:lang w:val="en-US"/>
        </w:rPr>
        <w:t>2</w:t>
      </w:r>
      <w:r w:rsidRPr="00510F67">
        <w:rPr>
          <w:rFonts w:ascii="Proxima Nova Alt Rg" w:eastAsia="Times New Roman" w:hAnsi="Proxima Nova Alt Rg" w:cs="Times New Roman"/>
          <w:color w:val="0E101A"/>
          <w:lang w:val="en-US"/>
        </w:rPr>
        <w:t xml:space="preserve"> have been captured and injected underground. Currently, at least 29 CCS facilities are in operation worldwide, with the capacity to capture and store 40 million tons of CO</w:t>
      </w:r>
      <w:r w:rsidRPr="00510F67">
        <w:rPr>
          <w:rFonts w:ascii="Proxima Nova Alt Rg" w:eastAsia="Times New Roman" w:hAnsi="Proxima Nova Alt Rg" w:cs="Times New Roman"/>
          <w:color w:val="0E101A"/>
          <w:vertAlign w:val="subscript"/>
          <w:lang w:val="en-US"/>
        </w:rPr>
        <w:t>2</w:t>
      </w:r>
      <w:r w:rsidRPr="00510F67">
        <w:rPr>
          <w:rFonts w:ascii="Proxima Nova Alt Rg" w:eastAsia="Times New Roman" w:hAnsi="Proxima Nova Alt Rg" w:cs="Times New Roman"/>
          <w:color w:val="0E101A"/>
          <w:lang w:val="en-US"/>
        </w:rPr>
        <w:t xml:space="preserve"> per year. These facilities capture CO</w:t>
      </w:r>
      <w:r w:rsidRPr="00510F67">
        <w:rPr>
          <w:rFonts w:ascii="Proxima Nova Alt Rg" w:eastAsia="Times New Roman" w:hAnsi="Proxima Nova Alt Rg" w:cs="Times New Roman"/>
          <w:color w:val="0E101A"/>
          <w:vertAlign w:val="subscript"/>
          <w:lang w:val="en-US"/>
        </w:rPr>
        <w:t>2</w:t>
      </w:r>
      <w:r w:rsidRPr="00510F67">
        <w:rPr>
          <w:rFonts w:ascii="Proxima Nova Alt Rg" w:eastAsia="Times New Roman" w:hAnsi="Proxima Nova Alt Rg" w:cs="Times New Roman"/>
          <w:color w:val="0E101A"/>
          <w:lang w:val="en-US"/>
        </w:rPr>
        <w:t xml:space="preserve"> from a wide range of emission sources, including gas processing, ethanol, fertilizer, steel, hydrogen production, and power generation facilities. While there have been some setbacks on individual CCS projects, these are on the same level as those facing other large industrial projects. Overall, CCS has proven to be technically and economically viable.</w:t>
      </w:r>
    </w:p>
    <w:p w14:paraId="324475A5" w14:textId="77777777" w:rsidR="00510F67" w:rsidRDefault="00510F67" w:rsidP="00510F67">
      <w:pPr>
        <w:rPr>
          <w:rFonts w:ascii="Proxima Nova Alt Rg" w:eastAsia="Times New Roman" w:hAnsi="Proxima Nova Alt Rg" w:cs="Times New Roman"/>
          <w:color w:val="0E101A"/>
          <w:lang w:val="en-US"/>
        </w:rPr>
      </w:pPr>
    </w:p>
    <w:p w14:paraId="0762195B" w14:textId="77777777" w:rsidR="00510F67" w:rsidRPr="00510F67" w:rsidRDefault="00510F67" w:rsidP="00510F67">
      <w:pPr>
        <w:rPr>
          <w:rFonts w:ascii="Proxima Nova Alt Rg" w:eastAsia="Times New Roman" w:hAnsi="Proxima Nova Alt Rg" w:cs="Times New Roman"/>
          <w:color w:val="0E101A"/>
          <w:lang w:val="en-US"/>
        </w:rPr>
      </w:pPr>
    </w:p>
    <w:p w14:paraId="59736670" w14:textId="77777777" w:rsidR="00510F67" w:rsidRPr="00510F67" w:rsidRDefault="00510F67" w:rsidP="00510F67">
      <w:pPr>
        <w:rPr>
          <w:rFonts w:ascii="Proxima Nova Alt Rg" w:eastAsia="Times New Roman" w:hAnsi="Proxima Nova Alt Rg" w:cs="Times New Roman"/>
          <w:color w:val="0E101A"/>
          <w:lang w:val="en-US"/>
        </w:rPr>
      </w:pPr>
    </w:p>
    <w:p w14:paraId="3B2DC13C"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b/>
          <w:bCs/>
          <w:color w:val="0E101A"/>
          <w:lang w:val="en-US"/>
        </w:rPr>
        <w:lastRenderedPageBreak/>
        <w:t>CCS is safe and reliable.</w:t>
      </w:r>
    </w:p>
    <w:p w14:paraId="655AFFE0"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Carbon dioxide has been safely and reliably transported in the United States since 1972, with zero fatalities over its 50-year history. Even in the unlikely event of a leak occurring during transport, there is a minimal human health risk when pure CO</w:t>
      </w:r>
      <w:r w:rsidRPr="00510F67">
        <w:rPr>
          <w:rFonts w:ascii="Proxima Nova Alt Rg" w:eastAsia="Times New Roman" w:hAnsi="Proxima Nova Alt Rg" w:cs="Times New Roman"/>
          <w:color w:val="0E101A"/>
          <w:vertAlign w:val="subscript"/>
          <w:lang w:val="en-US"/>
        </w:rPr>
        <w:t xml:space="preserve">2 </w:t>
      </w:r>
      <w:r w:rsidRPr="00510F67">
        <w:rPr>
          <w:rFonts w:ascii="Proxima Nova Alt Rg" w:eastAsia="Times New Roman" w:hAnsi="Proxima Nova Alt Rg" w:cs="Times New Roman"/>
          <w:color w:val="0E101A"/>
          <w:lang w:val="en-US"/>
        </w:rPr>
        <w:t>is released into ambient air because it is not flammable or explosive, nor is it toxic to humans unless the release is catastrophic – very rapid and in extremely high quantities. In addition, CO</w:t>
      </w:r>
      <w:r w:rsidRPr="00510F67">
        <w:rPr>
          <w:rFonts w:ascii="Proxima Nova Alt Rg" w:eastAsia="Times New Roman" w:hAnsi="Proxima Nova Alt Rg" w:cs="Times New Roman"/>
          <w:color w:val="0E101A"/>
          <w:vertAlign w:val="subscript"/>
          <w:lang w:val="en-US"/>
        </w:rPr>
        <w:t xml:space="preserve">2 </w:t>
      </w:r>
      <w:r w:rsidRPr="00510F67">
        <w:rPr>
          <w:rFonts w:ascii="Proxima Nova Alt Rg" w:eastAsia="Times New Roman" w:hAnsi="Proxima Nova Alt Rg" w:cs="Times New Roman"/>
          <w:color w:val="0E101A"/>
          <w:lang w:val="en-US"/>
        </w:rPr>
        <w:t>pipelines and other transportation methods are safe and closely regulatorily managed. In the United States, CO</w:t>
      </w:r>
      <w:r w:rsidRPr="00510F67">
        <w:rPr>
          <w:rFonts w:ascii="Proxima Nova Alt Rg" w:eastAsia="Times New Roman" w:hAnsi="Proxima Nova Alt Rg" w:cs="Times New Roman"/>
          <w:color w:val="0E101A"/>
          <w:vertAlign w:val="subscript"/>
          <w:lang w:val="en-US"/>
        </w:rPr>
        <w:t>2</w:t>
      </w:r>
      <w:r w:rsidRPr="00510F67">
        <w:rPr>
          <w:rFonts w:ascii="Proxima Nova Alt Rg" w:eastAsia="Times New Roman" w:hAnsi="Proxima Nova Alt Rg" w:cs="Times New Roman"/>
          <w:color w:val="0E101A"/>
          <w:lang w:val="en-US"/>
        </w:rPr>
        <w:t xml:space="preserve"> pipeline safety is regulated by the federal Pipeline and Hazardous Materials Safety Administration.</w:t>
      </w:r>
    </w:p>
    <w:p w14:paraId="6F170F7C" w14:textId="77777777" w:rsidR="00510F67" w:rsidRPr="00510F67" w:rsidRDefault="00510F67" w:rsidP="00510F67">
      <w:pPr>
        <w:rPr>
          <w:rFonts w:ascii="Proxima Nova Alt Rg" w:eastAsia="Times New Roman" w:hAnsi="Proxima Nova Alt Rg" w:cs="Times New Roman"/>
          <w:color w:val="0E101A"/>
          <w:lang w:val="en-US"/>
        </w:rPr>
      </w:pPr>
    </w:p>
    <w:p w14:paraId="62BA0374"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Additionally, the likelihood of a leak occurring once the CO</w:t>
      </w:r>
      <w:r w:rsidRPr="00510F67">
        <w:rPr>
          <w:rFonts w:ascii="Proxima Nova Alt Rg" w:eastAsia="Times New Roman" w:hAnsi="Proxima Nova Alt Rg" w:cs="Times New Roman"/>
          <w:color w:val="0E101A"/>
          <w:vertAlign w:val="subscript"/>
          <w:lang w:val="en-US"/>
        </w:rPr>
        <w:t>2</w:t>
      </w:r>
      <w:r w:rsidRPr="00510F67">
        <w:rPr>
          <w:rFonts w:ascii="Proxima Nova Alt Rg" w:eastAsia="Times New Roman" w:hAnsi="Proxima Nova Alt Rg" w:cs="Times New Roman"/>
          <w:color w:val="0E101A"/>
          <w:lang w:val="en-US"/>
        </w:rPr>
        <w:t xml:space="preserve"> is underground is very low. According to the Intergovernmental Panel on Climate Change (IPCC), CO2 stored in appropriately selected and managed geological reservoirs is 99% likely to remain there for over 1,000 years.</w:t>
      </w:r>
    </w:p>
    <w:p w14:paraId="15235947" w14:textId="77777777" w:rsidR="00510F67" w:rsidRPr="00510F67" w:rsidRDefault="00510F67" w:rsidP="00510F67">
      <w:pPr>
        <w:rPr>
          <w:rFonts w:ascii="Proxima Nova Alt Rg" w:eastAsia="Times New Roman" w:hAnsi="Proxima Nova Alt Rg" w:cs="Times New Roman"/>
          <w:color w:val="0E101A"/>
          <w:lang w:val="en-US"/>
        </w:rPr>
      </w:pPr>
    </w:p>
    <w:p w14:paraId="0824ADFF"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b/>
          <w:bCs/>
          <w:color w:val="0E101A"/>
          <w:lang w:val="en-US"/>
        </w:rPr>
        <w:t>The cost of CCS is quickly declining. </w:t>
      </w:r>
    </w:p>
    <w:p w14:paraId="0233C1C5"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 There is a range of costs depending upon the sector application of CCS.</w:t>
      </w:r>
      <w:r w:rsidRPr="00510F67">
        <w:rPr>
          <w:rFonts w:ascii="Proxima Nova Alt Rg" w:eastAsia="Times New Roman" w:hAnsi="Proxima Nova Alt Rg" w:cs="Times New Roman"/>
          <w:b/>
          <w:bCs/>
          <w:color w:val="0E101A"/>
          <w:lang w:val="en-US"/>
        </w:rPr>
        <w:t>  </w:t>
      </w:r>
      <w:r w:rsidRPr="00510F67">
        <w:rPr>
          <w:rFonts w:ascii="Proxima Nova Alt Rg" w:eastAsia="Times New Roman" w:hAnsi="Proxima Nova Alt Rg" w:cs="Times New Roman"/>
          <w:color w:val="0E101A"/>
          <w:lang w:val="en-US"/>
        </w:rPr>
        <w:t xml:space="preserve"> The CCS costs are decreasing as the breadth of deployment increases, and additional policy and financial incentives are made available. CCS has seen rapid growth and reduced costs in recent years thanks to new business models and increased government and private sector R&amp;D. The evolving business models include the development of CCS networks (the hub and cluster approach), </w:t>
      </w:r>
      <w:proofErr w:type="gramStart"/>
      <w:r w:rsidRPr="00510F67">
        <w:rPr>
          <w:rFonts w:ascii="Proxima Nova Alt Rg" w:eastAsia="Times New Roman" w:hAnsi="Proxima Nova Alt Rg" w:cs="Times New Roman"/>
          <w:color w:val="0E101A"/>
          <w:lang w:val="en-US"/>
        </w:rPr>
        <w:t>where</w:t>
      </w:r>
      <w:proofErr w:type="gramEnd"/>
      <w:r w:rsidRPr="00510F67">
        <w:rPr>
          <w:rFonts w:ascii="Proxima Nova Alt Rg" w:eastAsia="Times New Roman" w:hAnsi="Proxima Nova Alt Rg" w:cs="Times New Roman"/>
          <w:color w:val="0E101A"/>
          <w:lang w:val="en-US"/>
        </w:rPr>
        <w:t xml:space="preserve"> multiple sources of CO</w:t>
      </w:r>
      <w:r w:rsidRPr="00510F67">
        <w:rPr>
          <w:rFonts w:ascii="Proxima Nova Alt Rg" w:eastAsia="Times New Roman" w:hAnsi="Proxima Nova Alt Rg" w:cs="Times New Roman"/>
          <w:color w:val="0E101A"/>
          <w:vertAlign w:val="subscript"/>
          <w:lang w:val="en-US"/>
        </w:rPr>
        <w:t>2</w:t>
      </w:r>
      <w:r w:rsidRPr="00510F67">
        <w:rPr>
          <w:rFonts w:ascii="Proxima Nova Alt Rg" w:eastAsia="Times New Roman" w:hAnsi="Proxima Nova Alt Rg" w:cs="Times New Roman"/>
          <w:color w:val="0E101A"/>
          <w:lang w:val="en-US"/>
        </w:rPr>
        <w:t xml:space="preserve"> share transportation and geologic storage infrastructure.</w:t>
      </w:r>
    </w:p>
    <w:p w14:paraId="169D438A" w14:textId="77777777" w:rsidR="00510F67" w:rsidRPr="00510F67" w:rsidRDefault="00510F67" w:rsidP="00510F67">
      <w:pPr>
        <w:rPr>
          <w:rFonts w:ascii="Proxima Nova Alt Rg" w:eastAsia="Times New Roman" w:hAnsi="Proxima Nova Alt Rg" w:cs="Times New Roman"/>
          <w:color w:val="0E101A"/>
          <w:lang w:val="en-US"/>
        </w:rPr>
      </w:pPr>
    </w:p>
    <w:p w14:paraId="2A34B59E"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With more than 140 CCS facilities developing globally, costs are projected to decline even further with economies of scale. The IPCC found that it would be, on average, 138% more expensive to reach global climate goals without the deployment of CCS being part of the mitigation approach.</w:t>
      </w:r>
    </w:p>
    <w:p w14:paraId="43282685" w14:textId="77777777" w:rsidR="00510F67" w:rsidRPr="00510F67" w:rsidRDefault="00510F67" w:rsidP="00510F67">
      <w:pPr>
        <w:rPr>
          <w:rFonts w:ascii="Proxima Nova Alt Rg" w:eastAsia="Times New Roman" w:hAnsi="Proxima Nova Alt Rg" w:cs="Times New Roman"/>
          <w:color w:val="0E101A"/>
          <w:lang w:val="en-US"/>
        </w:rPr>
      </w:pPr>
    </w:p>
    <w:p w14:paraId="765A9807"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b/>
          <w:bCs/>
          <w:color w:val="0E101A"/>
          <w:lang w:val="en-US"/>
        </w:rPr>
        <w:t>CCS is a necessary tool for reducing the emissions of hard-to-decarbonize sectors. </w:t>
      </w:r>
    </w:p>
    <w:p w14:paraId="0C872AF9"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Even in a best-case scenario where the world rapidly reduces fossil fuel consumption and halts any additional development, the IPCC, and the International Energy Agency (IEA) both agree that CCS will still play an essential role in reaching climate targets because it is the only option for decarbonizing several non-energy sectors that are fundamental to modern society, such as cement, steel, chemical, and fertilizer production. </w:t>
      </w:r>
    </w:p>
    <w:p w14:paraId="3888519F" w14:textId="77777777" w:rsidR="00510F67" w:rsidRPr="00510F67" w:rsidRDefault="00510F67" w:rsidP="00510F67">
      <w:pPr>
        <w:rPr>
          <w:rFonts w:ascii="Proxima Nova Alt Rg" w:eastAsia="Times New Roman" w:hAnsi="Proxima Nova Alt Rg" w:cs="Times New Roman"/>
          <w:color w:val="0E101A"/>
          <w:lang w:val="en-US"/>
        </w:rPr>
      </w:pPr>
    </w:p>
    <w:p w14:paraId="60B01F52"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b/>
          <w:bCs/>
          <w:color w:val="0E101A"/>
          <w:lang w:val="en-US"/>
        </w:rPr>
        <w:t>Consultation with Communities is essential.</w:t>
      </w:r>
    </w:p>
    <w:p w14:paraId="5FAE6F78"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 xml:space="preserve">Combating the climate crisis requires accelerating the deployment of decarbonizing technologies such as CCS for the hard-to-abate industries. This deployment must be </w:t>
      </w:r>
      <w:r w:rsidRPr="00510F67">
        <w:rPr>
          <w:rFonts w:ascii="Proxima Nova Alt Rg" w:eastAsia="Times New Roman" w:hAnsi="Proxima Nova Alt Rg" w:cs="Times New Roman"/>
          <w:color w:val="0E101A"/>
          <w:lang w:val="en-US"/>
        </w:rPr>
        <w:lastRenderedPageBreak/>
        <w:t>multi-pronged and cross-sectorial, involving financial entities, scientists, engineers, labor, NGOs, policymakers, youth, and frontline communities. Involvement of frontline and environmental justice communities, Native Americans, and low-wealth communities must be front and center in all phases of climate mitigation utilizing CCS if reaching net-zero within the required timeframe will be achieved. A just transition to a carbon-neutral society requires this intentional engagement such that there are no stranded individuals or communities.</w:t>
      </w:r>
    </w:p>
    <w:p w14:paraId="41F730E6" w14:textId="77777777" w:rsidR="00510F67" w:rsidRPr="00510F67" w:rsidRDefault="00510F67" w:rsidP="00510F67">
      <w:pPr>
        <w:rPr>
          <w:rFonts w:ascii="Proxima Nova Alt Rg" w:eastAsia="Times New Roman" w:hAnsi="Proxima Nova Alt Rg" w:cs="Times New Roman"/>
          <w:color w:val="0E101A"/>
          <w:lang w:val="en-US"/>
        </w:rPr>
      </w:pPr>
    </w:p>
    <w:p w14:paraId="431BCD62" w14:textId="77777777" w:rsidR="00510F67" w:rsidRPr="00510F67" w:rsidRDefault="00510F67" w:rsidP="00510F67">
      <w:pPr>
        <w:rPr>
          <w:rFonts w:ascii="Proxima Nova Alt Rg" w:eastAsia="Times New Roman" w:hAnsi="Proxima Nova Alt Rg" w:cs="Times New Roman"/>
          <w:color w:val="0E101A"/>
          <w:lang w:val="en-US"/>
        </w:rPr>
      </w:pPr>
    </w:p>
    <w:p w14:paraId="1CA2FCAC"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b/>
          <w:bCs/>
          <w:color w:val="0E101A"/>
          <w:lang w:val="en-US"/>
        </w:rPr>
        <w:t>Conclusion</w:t>
      </w:r>
    </w:p>
    <w:p w14:paraId="33C424AF"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The accelerated deployment of carbon capture and storage is a critical piece of the solution to addressing climate change and transitioning towards net-zero. </w:t>
      </w:r>
    </w:p>
    <w:p w14:paraId="06C00B05" w14:textId="77777777" w:rsidR="00510F67" w:rsidRPr="00510F67" w:rsidRDefault="00510F67" w:rsidP="00510F67">
      <w:pPr>
        <w:numPr>
          <w:ilvl w:val="0"/>
          <w:numId w:val="1"/>
        </w:numPr>
        <w:spacing w:after="160" w:line="259" w:lineRule="auto"/>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CCS is a proven technology and is safe.</w:t>
      </w:r>
    </w:p>
    <w:p w14:paraId="10737033" w14:textId="77777777" w:rsidR="00510F67" w:rsidRPr="00510F67" w:rsidRDefault="00510F67" w:rsidP="00510F67">
      <w:pPr>
        <w:numPr>
          <w:ilvl w:val="0"/>
          <w:numId w:val="1"/>
        </w:numPr>
        <w:spacing w:after="160" w:line="259" w:lineRule="auto"/>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The cost for deployment is declining.</w:t>
      </w:r>
    </w:p>
    <w:p w14:paraId="37A3FC8A" w14:textId="77777777" w:rsidR="00510F67" w:rsidRPr="00510F67" w:rsidRDefault="00510F67" w:rsidP="00510F67">
      <w:pPr>
        <w:numPr>
          <w:ilvl w:val="0"/>
          <w:numId w:val="1"/>
        </w:numPr>
        <w:spacing w:after="160" w:line="259" w:lineRule="auto"/>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Inclusion of frontline, environmental justice, and low-wealth communities during all phases of planning and deployment of CCS is essential.</w:t>
      </w:r>
    </w:p>
    <w:p w14:paraId="291C13D3" w14:textId="77777777" w:rsidR="00510F67" w:rsidRPr="00510F67" w:rsidRDefault="00510F67" w:rsidP="00510F67">
      <w:pPr>
        <w:ind w:left="720"/>
        <w:rPr>
          <w:rFonts w:ascii="Proxima Nova Alt Rg" w:eastAsia="Times New Roman" w:hAnsi="Proxima Nova Alt Rg" w:cs="Times New Roman"/>
          <w:color w:val="0E101A"/>
          <w:lang w:val="en-US"/>
        </w:rPr>
      </w:pPr>
    </w:p>
    <w:p w14:paraId="35314963"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Misinformation about CCS must be dispelled and replaced with science, and the evidence derived from operating facilities. Time is running out.  Future generations and just transitions to carbon neutral economies depend upon the  implementation of  sound policies today.</w:t>
      </w:r>
    </w:p>
    <w:p w14:paraId="3ED93C99" w14:textId="77777777" w:rsidR="00510F67" w:rsidRPr="00510F67" w:rsidRDefault="00510F67" w:rsidP="00510F67">
      <w:pPr>
        <w:rPr>
          <w:rFonts w:ascii="Proxima Nova Alt Rg" w:eastAsia="Times New Roman" w:hAnsi="Proxima Nova Alt Rg" w:cs="Times New Roman"/>
          <w:color w:val="0E101A"/>
          <w:lang w:val="en-US"/>
        </w:rPr>
      </w:pPr>
    </w:p>
    <w:p w14:paraId="2EF6870F" w14:textId="77777777" w:rsidR="00510F67" w:rsidRPr="00510F67" w:rsidRDefault="00510F67" w:rsidP="00510F67">
      <w:pPr>
        <w:rPr>
          <w:rFonts w:ascii="Proxima Nova Alt Rg" w:eastAsia="Times New Roman" w:hAnsi="Proxima Nova Alt Rg" w:cs="Times New Roman"/>
          <w:color w:val="0E101A"/>
          <w:lang w:val="en-US"/>
        </w:rPr>
      </w:pPr>
      <w:r w:rsidRPr="00510F67">
        <w:rPr>
          <w:rFonts w:ascii="Proxima Nova Alt Rg" w:eastAsia="Times New Roman" w:hAnsi="Proxima Nova Alt Rg" w:cs="Times New Roman"/>
          <w:color w:val="0E101A"/>
          <w:lang w:val="en-US"/>
        </w:rPr>
        <w:t>The Institute appreciates the opportunity to comment on CARB's 2022 Draft Climate Change Scoping Plan. Please contact Ruth Ivory-Moore at </w:t>
      </w:r>
      <w:hyperlink r:id="rId11" w:tgtFrame="_blank" w:history="1">
        <w:r w:rsidRPr="00510F67">
          <w:rPr>
            <w:rFonts w:ascii="Proxima Nova Alt Rg" w:eastAsia="Times New Roman" w:hAnsi="Proxima Nova Alt Rg" w:cs="Times New Roman"/>
            <w:color w:val="4A6EE0"/>
            <w:u w:val="single"/>
            <w:lang w:val="en-US"/>
          </w:rPr>
          <w:t>ruth.ivory-moore@globalccsinstitute.com</w:t>
        </w:r>
      </w:hyperlink>
      <w:r w:rsidRPr="00510F67">
        <w:rPr>
          <w:rFonts w:ascii="Proxima Nova Alt Rg" w:eastAsia="Times New Roman" w:hAnsi="Proxima Nova Alt Rg" w:cs="Times New Roman"/>
          <w:color w:val="0E101A"/>
          <w:lang w:val="en-US"/>
        </w:rPr>
        <w:t>  with any questions.</w:t>
      </w:r>
    </w:p>
    <w:p w14:paraId="42A81D3F" w14:textId="77777777" w:rsidR="00510F67" w:rsidRPr="00510F67" w:rsidRDefault="00510F67" w:rsidP="00510F67">
      <w:pPr>
        <w:autoSpaceDE w:val="0"/>
        <w:autoSpaceDN w:val="0"/>
        <w:adjustRightInd w:val="0"/>
        <w:rPr>
          <w:rFonts w:ascii="Proxima Nova Alt Rg" w:hAnsi="Proxima Nova Alt Rg" w:cstheme="minorHAnsi"/>
          <w:lang w:val="en-US"/>
        </w:rPr>
      </w:pPr>
    </w:p>
    <w:p w14:paraId="4676C8B6" w14:textId="77777777" w:rsidR="00B048E2" w:rsidRDefault="00B048E2"/>
    <w:sectPr w:rsidR="00B048E2" w:rsidSect="00006FC1">
      <w:headerReference w:type="default" r:id="rId12"/>
      <w:pgSz w:w="12240" w:h="15840" w:code="1"/>
      <w:pgMar w:top="2112" w:right="1440" w:bottom="193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27F6" w14:textId="77777777" w:rsidR="00083DFD" w:rsidRDefault="00083DFD" w:rsidP="00B048E2">
      <w:r>
        <w:separator/>
      </w:r>
    </w:p>
  </w:endnote>
  <w:endnote w:type="continuationSeparator" w:id="0">
    <w:p w14:paraId="7F004CC6" w14:textId="77777777" w:rsidR="00083DFD" w:rsidRDefault="00083DFD" w:rsidP="00B0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Alt Rg">
    <w:panose1 w:val="02000506030000020004"/>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15FD" w14:textId="77777777" w:rsidR="00083DFD" w:rsidRDefault="00083DFD" w:rsidP="00B048E2">
      <w:r>
        <w:separator/>
      </w:r>
    </w:p>
  </w:footnote>
  <w:footnote w:type="continuationSeparator" w:id="0">
    <w:p w14:paraId="5D24C719" w14:textId="77777777" w:rsidR="00083DFD" w:rsidRDefault="00083DFD" w:rsidP="00B0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76B4" w14:textId="77777777" w:rsidR="00B048E2" w:rsidRDefault="0088241D">
    <w:pPr>
      <w:pStyle w:val="Header"/>
    </w:pPr>
    <w:r>
      <w:rPr>
        <w:noProof/>
      </w:rPr>
      <w:drawing>
        <wp:anchor distT="0" distB="0" distL="114300" distR="114300" simplePos="0" relativeHeight="251658240" behindDoc="1" locked="0" layoutInCell="1" allowOverlap="1" wp14:anchorId="498F95C8" wp14:editId="2471F658">
          <wp:simplePos x="0" y="0"/>
          <wp:positionH relativeFrom="column">
            <wp:posOffset>-900545</wp:posOffset>
          </wp:positionH>
          <wp:positionV relativeFrom="paragraph">
            <wp:posOffset>-436360</wp:posOffset>
          </wp:positionV>
          <wp:extent cx="7772979" cy="1005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and Follow-on_6.eps"/>
                  <pic:cNvPicPr/>
                </pic:nvPicPr>
                <pic:blipFill>
                  <a:blip r:embed="rId1">
                    <a:extLst>
                      <a:ext uri="{28A0092B-C50C-407E-A947-70E740481C1C}">
                        <a14:useLocalDpi xmlns:a14="http://schemas.microsoft.com/office/drawing/2010/main" val="0"/>
                      </a:ext>
                    </a:extLst>
                  </a:blip>
                  <a:stretch>
                    <a:fillRect/>
                  </a:stretch>
                </pic:blipFill>
                <pic:spPr>
                  <a:xfrm>
                    <a:off x="0" y="0"/>
                    <a:ext cx="7772979" cy="1005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7777"/>
    <w:multiLevelType w:val="multilevel"/>
    <w:tmpl w:val="EA58E7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F6"/>
    <w:rsid w:val="00006FC1"/>
    <w:rsid w:val="0004434C"/>
    <w:rsid w:val="00083DFD"/>
    <w:rsid w:val="00132F60"/>
    <w:rsid w:val="002B2045"/>
    <w:rsid w:val="002C0BD5"/>
    <w:rsid w:val="004853E1"/>
    <w:rsid w:val="00510F67"/>
    <w:rsid w:val="0088241D"/>
    <w:rsid w:val="00914D64"/>
    <w:rsid w:val="009E50B4"/>
    <w:rsid w:val="009F0614"/>
    <w:rsid w:val="00B01672"/>
    <w:rsid w:val="00B048E2"/>
    <w:rsid w:val="00C21C03"/>
    <w:rsid w:val="00C270F6"/>
    <w:rsid w:val="00FE0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3670"/>
  <w15:chartTrackingRefBased/>
  <w15:docId w15:val="{5DDFA3E7-4207-475E-A4CE-90E6580D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8E2"/>
    <w:pPr>
      <w:tabs>
        <w:tab w:val="center" w:pos="4680"/>
        <w:tab w:val="right" w:pos="9360"/>
      </w:tabs>
    </w:pPr>
  </w:style>
  <w:style w:type="character" w:customStyle="1" w:styleId="HeaderChar">
    <w:name w:val="Header Char"/>
    <w:basedOn w:val="DefaultParagraphFont"/>
    <w:link w:val="Header"/>
    <w:uiPriority w:val="99"/>
    <w:rsid w:val="00B048E2"/>
  </w:style>
  <w:style w:type="paragraph" w:styleId="Footer">
    <w:name w:val="footer"/>
    <w:basedOn w:val="Normal"/>
    <w:link w:val="FooterChar"/>
    <w:uiPriority w:val="99"/>
    <w:unhideWhenUsed/>
    <w:rsid w:val="00B048E2"/>
    <w:pPr>
      <w:tabs>
        <w:tab w:val="center" w:pos="4680"/>
        <w:tab w:val="right" w:pos="9360"/>
      </w:tabs>
    </w:pPr>
  </w:style>
  <w:style w:type="character" w:customStyle="1" w:styleId="FooterChar">
    <w:name w:val="Footer Char"/>
    <w:basedOn w:val="DefaultParagraphFont"/>
    <w:link w:val="Footer"/>
    <w:uiPriority w:val="99"/>
    <w:rsid w:val="00B0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th.ivory-moore@globalccsinstitute.com" TargetMode="External"/><Relationship Id="rId5" Type="http://schemas.openxmlformats.org/officeDocument/2006/relationships/styles" Target="styles.xml"/><Relationship Id="rId10" Type="http://schemas.openxmlformats.org/officeDocument/2006/relationships/hyperlink" Target="https://www.globalccsinstitute.com/wp-content/uploads/2022/06/Thought-Leadership-ESG-Reporting-Methodology-to-Support-Invest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Ivory-Moore\AppData\Local\Microsoft\Windows\INetCache\Content.Outlook\SB4ET8PK\Letterhead%20-Washingt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lobal CCS Institute Document" ma:contentTypeID="0x010100E8C2E3643C86A945BD85CDF7C05E4AD10001D77C4FF94CCC4EBAF297C5688AE78D" ma:contentTypeVersion="11" ma:contentTypeDescription="" ma:contentTypeScope="" ma:versionID="941e3d2c4d034c65a69a8f71194bc683">
  <xsd:schema xmlns:xsd="http://www.w3.org/2001/XMLSchema" xmlns:xs="http://www.w3.org/2001/XMLSchema" xmlns:p="http://schemas.microsoft.com/office/2006/metadata/properties" xmlns:ns2="09ae4737-8c2b-4235-9e87-b405573634ae" xmlns:ns3="2d76bea9-2581-425b-8239-ac3e5f8124bd" targetNamespace="http://schemas.microsoft.com/office/2006/metadata/properties" ma:root="true" ma:fieldsID="bf5e68b9153727df00f1bfbe1c019664" ns2:_="" ns3:_="">
    <xsd:import namespace="09ae4737-8c2b-4235-9e87-b405573634ae"/>
    <xsd:import namespace="2d76bea9-2581-425b-8239-ac3e5f8124bd"/>
    <xsd:element name="properties">
      <xsd:complexType>
        <xsd:sequence>
          <xsd:element name="documentManagement">
            <xsd:complexType>
              <xsd:all>
                <xsd:element ref="ns2:c49628f1ed014027b07e12eeee46372e" minOccurs="0"/>
                <xsd:element ref="ns2:TaxCatchAll" minOccurs="0"/>
                <xsd:element ref="ns2:TaxCatchAllLabel" minOccurs="0"/>
                <xsd:element ref="ns2:b0a746751c6a45358a5b39d9a4555505" minOccurs="0"/>
                <xsd:element ref="ns2:d681c9991eb24e819417f45efd7520da" minOccurs="0"/>
                <xsd:element ref="ns2:cdbba9dd12a24aaca6e1e53ee231b78a"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e4737-8c2b-4235-9e87-b405573634ae" elementFormDefault="qualified">
    <xsd:import namespace="http://schemas.microsoft.com/office/2006/documentManagement/types"/>
    <xsd:import namespace="http://schemas.microsoft.com/office/infopath/2007/PartnerControls"/>
    <xsd:element name="c49628f1ed014027b07e12eeee46372e" ma:index="8" nillable="true" ma:taxonomy="true" ma:internalName="c49628f1ed014027b07e12eeee46372e" ma:taxonomyFieldName="Region" ma:displayName="Region" ma:readOnly="false" ma:default="" ma:fieldId="{c49628f1-ed01-4027-b07e-12eeee46372e}" ma:sspId="11ee2b8d-9ea8-43bb-9f4f-fee1e52ff97e" ma:termSetId="fa1ba7bb-25ed-4cab-897f-5bcd32e0f7e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5e08cf3-a182-4752-bc18-b0ebe72d1e1b}" ma:internalName="TaxCatchAll" ma:showField="CatchAllData" ma:web="09ae4737-8c2b-4235-9e87-b405573634a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e08cf3-a182-4752-bc18-b0ebe72d1e1b}" ma:internalName="TaxCatchAllLabel" ma:readOnly="true" ma:showField="CatchAllDataLabel" ma:web="09ae4737-8c2b-4235-9e87-b405573634ae">
      <xsd:complexType>
        <xsd:complexContent>
          <xsd:extension base="dms:MultiChoiceLookup">
            <xsd:sequence>
              <xsd:element name="Value" type="dms:Lookup" maxOccurs="unbounded" minOccurs="0" nillable="true"/>
            </xsd:sequence>
          </xsd:extension>
        </xsd:complexContent>
      </xsd:complexType>
    </xsd:element>
    <xsd:element name="b0a746751c6a45358a5b39d9a4555505" ma:index="12" nillable="true" ma:taxonomy="true" ma:internalName="b0a746751c6a45358a5b39d9a4555505" ma:taxonomyFieldName="Practice" ma:displayName="Practice" ma:readOnly="false" ma:default="" ma:fieldId="{b0a74675-1c6a-4535-8a5b-39d9a4555505}" ma:sspId="11ee2b8d-9ea8-43bb-9f4f-fee1e52ff97e" ma:termSetId="db02c312-cb06-4ee9-a072-a27356101adf" ma:anchorId="00000000-0000-0000-0000-000000000000" ma:open="false" ma:isKeyword="false">
      <xsd:complexType>
        <xsd:sequence>
          <xsd:element ref="pc:Terms" minOccurs="0" maxOccurs="1"/>
        </xsd:sequence>
      </xsd:complexType>
    </xsd:element>
    <xsd:element name="d681c9991eb24e819417f45efd7520da" ma:index="14" nillable="true" ma:taxonomy="true" ma:internalName="d681c9991eb24e819417f45efd7520da" ma:taxonomyFieldName="Document_x0020_Type" ma:displayName="Document Type" ma:default="" ma:fieldId="{d681c999-1eb2-4e81-9417-f45efd7520da}" ma:sspId="11ee2b8d-9ea8-43bb-9f4f-fee1e52ff97e" ma:termSetId="1cc0a1ab-3e52-44cc-81f8-1bb23f2fd09e" ma:anchorId="00000000-0000-0000-0000-000000000000" ma:open="false" ma:isKeyword="false">
      <xsd:complexType>
        <xsd:sequence>
          <xsd:element ref="pc:Terms" minOccurs="0" maxOccurs="1"/>
        </xsd:sequence>
      </xsd:complexType>
    </xsd:element>
    <xsd:element name="cdbba9dd12a24aaca6e1e53ee231b78a" ma:index="16" nillable="true" ma:taxonomy="true" ma:internalName="cdbba9dd12a24aaca6e1e53ee231b78a" ma:taxonomyFieldName="DocumentSite" ma:displayName="Document Site" ma:readOnly="false" ma:default="" ma:fieldId="{cdbba9dd-12a2-4aac-a6e1-e53ee231b78a}" ma:sspId="11ee2b8d-9ea8-43bb-9f4f-fee1e52ff97e" ma:termSetId="0a28ce65-8c13-49b3-a2e0-4931d19948b0" ma:anchorId="00000000-0000-0000-0000-000000000000" ma:open="fals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6bea9-2581-425b-8239-ac3e5f8124bd"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MediaServiceAutoTags" ma:description="" ma:internalName="MediaServiceAutoTags" ma:readOnly="true">
      <xsd:simpleType>
        <xsd:restriction base="dms:Text"/>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681c9991eb24e819417f45efd7520da xmlns="09ae4737-8c2b-4235-9e87-b405573634ae">
      <Terms xmlns="http://schemas.microsoft.com/office/infopath/2007/PartnerControls"/>
    </d681c9991eb24e819417f45efd7520da>
    <TaxCatchAll xmlns="09ae4737-8c2b-4235-9e87-b405573634ae"/>
    <cdbba9dd12a24aaca6e1e53ee231b78a xmlns="09ae4737-8c2b-4235-9e87-b405573634ae">
      <Terms xmlns="http://schemas.microsoft.com/office/infopath/2007/PartnerControls"/>
    </cdbba9dd12a24aaca6e1e53ee231b78a>
    <c49628f1ed014027b07e12eeee46372e xmlns="09ae4737-8c2b-4235-9e87-b405573634ae">
      <Terms xmlns="http://schemas.microsoft.com/office/infopath/2007/PartnerControls"/>
    </c49628f1ed014027b07e12eeee46372e>
    <b0a746751c6a45358a5b39d9a4555505 xmlns="09ae4737-8c2b-4235-9e87-b405573634ae">
      <Terms xmlns="http://schemas.microsoft.com/office/infopath/2007/PartnerControls"/>
    </b0a746751c6a45358a5b39d9a4555505>
  </documentManagement>
</p:properties>
</file>

<file path=customXml/itemProps1.xml><?xml version="1.0" encoding="utf-8"?>
<ds:datastoreItem xmlns:ds="http://schemas.openxmlformats.org/officeDocument/2006/customXml" ds:itemID="{9EEF5103-ACA6-4CF5-B77F-105214581B91}">
  <ds:schemaRefs>
    <ds:schemaRef ds:uri="http://schemas.microsoft.com/sharepoint/v3/contenttype/forms"/>
  </ds:schemaRefs>
</ds:datastoreItem>
</file>

<file path=customXml/itemProps2.xml><?xml version="1.0" encoding="utf-8"?>
<ds:datastoreItem xmlns:ds="http://schemas.openxmlformats.org/officeDocument/2006/customXml" ds:itemID="{FB469055-B1BA-4600-AC35-E988DFBF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e4737-8c2b-4235-9e87-b405573634ae"/>
    <ds:schemaRef ds:uri="2d76bea9-2581-425b-8239-ac3e5f81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CF29B-4EE7-49B9-A2D0-6993BC4EC6DD}">
  <ds:schemaRefs>
    <ds:schemaRef ds:uri="http://schemas.microsoft.com/office/2006/metadata/properties"/>
    <ds:schemaRef ds:uri="http://schemas.microsoft.com/office/infopath/2007/PartnerControls"/>
    <ds:schemaRef ds:uri="09ae4737-8c2b-4235-9e87-b405573634ae"/>
  </ds:schemaRefs>
</ds:datastoreItem>
</file>

<file path=docProps/app.xml><?xml version="1.0" encoding="utf-8"?>
<Properties xmlns="http://schemas.openxmlformats.org/officeDocument/2006/extended-properties" xmlns:vt="http://schemas.openxmlformats.org/officeDocument/2006/docPropsVTypes">
  <Template>Letterhead -Washington</Template>
  <TotalTime>1</TotalTime>
  <Pages>3</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Ivory-Moore</dc:creator>
  <cp:keywords/>
  <dc:description/>
  <cp:lastModifiedBy>Ruth Ivory-Moore</cp:lastModifiedBy>
  <cp:revision>2</cp:revision>
  <dcterms:created xsi:type="dcterms:W3CDTF">2022-06-24T14:01:00Z</dcterms:created>
  <dcterms:modified xsi:type="dcterms:W3CDTF">2022-06-24T14:01:00Z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0x010100E8C2E3643C86A945BD85CDF7C05E4AD10001D77C4FF94CCC4EBAF297C5688AE78D</vt:lpwstr>
  </property>
  <property fmtid="{D5CDD505-2E9C-101B-9397-08002B2CF9AE}" pid="3" name="Region">
    <vt:lpwstr/>
  </property>
  <property fmtid="{D5CDD505-2E9C-101B-9397-08002B2CF9AE}" pid="4" name="Practice">
    <vt:lpwstr/>
  </property>
  <property fmtid="{D5CDD505-2E9C-101B-9397-08002B2CF9AE}" pid="5" name="DocumentSite">
    <vt:lpwstr/>
  </property>
  <property fmtid="{D5CDD505-2E9C-101B-9397-08002B2CF9AE}" pid="6" name="Document Type">
    <vt:lpwstr/>
  </property>
</Properties>
</file>