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8D" w:rsidRPr="00D01D3C" w:rsidRDefault="00657187" w:rsidP="00E40C8D">
      <w:pPr>
        <w:pBdr>
          <w:top w:val="single" w:sz="4" w:space="1" w:color="auto"/>
        </w:pBdr>
        <w:ind w:left="720"/>
        <w:rPr>
          <w:rFonts w:asciiTheme="minorHAnsi" w:hAnsiTheme="minorHAnsi"/>
          <w:sz w:val="20"/>
          <w:szCs w:val="20"/>
          <w:vertAlign w:val="superscript"/>
        </w:rPr>
      </w:pPr>
      <w:r w:rsidRPr="00D01D3C">
        <w:rPr>
          <w:rFonts w:asciiTheme="minorHAnsi" w:hAnsiTheme="minorHAnsi"/>
          <w:noProof/>
          <w:sz w:val="20"/>
          <w:szCs w:val="20"/>
        </w:rPr>
        <w:drawing>
          <wp:inline distT="0" distB="0" distL="0" distR="0">
            <wp:extent cx="1791335" cy="681355"/>
            <wp:effectExtent l="19050" t="0" r="0" b="0"/>
            <wp:docPr id="1" name="Picture 1" descr="150316-it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316-itw_logo"/>
                    <pic:cNvPicPr>
                      <a:picLocks noChangeAspect="1" noChangeArrowheads="1"/>
                    </pic:cNvPicPr>
                  </pic:nvPicPr>
                  <pic:blipFill>
                    <a:blip r:embed="rId7" cstate="print"/>
                    <a:srcRect/>
                    <a:stretch>
                      <a:fillRect/>
                    </a:stretch>
                  </pic:blipFill>
                  <pic:spPr bwMode="auto">
                    <a:xfrm>
                      <a:off x="0" y="0"/>
                      <a:ext cx="1791335" cy="681355"/>
                    </a:xfrm>
                    <a:prstGeom prst="rect">
                      <a:avLst/>
                    </a:prstGeom>
                    <a:noFill/>
                    <a:ln w="9525">
                      <a:noFill/>
                      <a:miter lim="800000"/>
                      <a:headEnd/>
                      <a:tailEnd/>
                    </a:ln>
                  </pic:spPr>
                </pic:pic>
              </a:graphicData>
            </a:graphic>
          </wp:inline>
        </w:drawing>
      </w:r>
    </w:p>
    <w:p w:rsidR="00E40C8D" w:rsidRPr="00D01D3C" w:rsidRDefault="00E40C8D" w:rsidP="00E40C8D">
      <w:pPr>
        <w:pBdr>
          <w:top w:val="single" w:sz="4" w:space="1" w:color="auto"/>
        </w:pBdr>
        <w:ind w:left="720"/>
        <w:rPr>
          <w:rFonts w:asciiTheme="minorHAnsi" w:hAnsiTheme="minorHAnsi"/>
          <w:sz w:val="20"/>
          <w:szCs w:val="20"/>
        </w:rPr>
      </w:pPr>
    </w:p>
    <w:p w:rsidR="00E40C8D" w:rsidRPr="00D01D3C" w:rsidRDefault="00982197" w:rsidP="00E40C8D">
      <w:pPr>
        <w:pBdr>
          <w:top w:val="single" w:sz="4" w:space="1" w:color="auto"/>
        </w:pBdr>
        <w:ind w:left="720"/>
        <w:rPr>
          <w:rFonts w:asciiTheme="minorHAnsi" w:hAnsiTheme="minorHAnsi"/>
          <w:sz w:val="20"/>
          <w:szCs w:val="20"/>
        </w:rPr>
      </w:pPr>
      <w:r w:rsidRPr="00D01D3C">
        <w:rPr>
          <w:rFonts w:asciiTheme="minorHAnsi" w:hAnsiTheme="minorHAnsi"/>
          <w:sz w:val="20"/>
          <w:szCs w:val="20"/>
        </w:rPr>
        <w:t xml:space="preserve">Government Affairs </w:t>
      </w:r>
      <w:r w:rsidRPr="00D01D3C">
        <w:rPr>
          <w:rFonts w:asciiTheme="minorHAnsi" w:hAnsiTheme="minorHAnsi"/>
          <w:sz w:val="20"/>
          <w:szCs w:val="20"/>
        </w:rPr>
        <w:tab/>
      </w:r>
      <w:r w:rsidRPr="00D01D3C">
        <w:rPr>
          <w:rFonts w:asciiTheme="minorHAnsi" w:hAnsiTheme="minorHAnsi"/>
          <w:sz w:val="20"/>
          <w:szCs w:val="20"/>
        </w:rPr>
        <w:tab/>
      </w:r>
      <w:r w:rsidRPr="00D01D3C">
        <w:rPr>
          <w:rFonts w:asciiTheme="minorHAnsi" w:hAnsiTheme="minorHAnsi"/>
          <w:sz w:val="20"/>
          <w:szCs w:val="20"/>
        </w:rPr>
        <w:tab/>
        <w:t>Corporate Headquarters</w:t>
      </w:r>
      <w:r w:rsidR="00E40C8D" w:rsidRPr="00D01D3C">
        <w:rPr>
          <w:rFonts w:asciiTheme="minorHAnsi" w:hAnsiTheme="minorHAnsi"/>
          <w:sz w:val="20"/>
          <w:szCs w:val="20"/>
        </w:rPr>
        <w:tab/>
      </w:r>
      <w:r w:rsidRPr="00D01D3C">
        <w:rPr>
          <w:rFonts w:asciiTheme="minorHAnsi" w:hAnsiTheme="minorHAnsi"/>
          <w:sz w:val="20"/>
          <w:szCs w:val="20"/>
        </w:rPr>
        <w:tab/>
      </w:r>
    </w:p>
    <w:p w:rsidR="00E40C8D" w:rsidRPr="00D01D3C" w:rsidRDefault="00982197" w:rsidP="00E40C8D">
      <w:pPr>
        <w:ind w:firstLine="720"/>
        <w:rPr>
          <w:rFonts w:asciiTheme="minorHAnsi" w:hAnsiTheme="minorHAnsi"/>
          <w:sz w:val="20"/>
          <w:szCs w:val="20"/>
        </w:rPr>
      </w:pPr>
      <w:r w:rsidRPr="00D01D3C">
        <w:rPr>
          <w:rFonts w:asciiTheme="minorHAnsi" w:hAnsiTheme="minorHAnsi"/>
          <w:sz w:val="20"/>
          <w:szCs w:val="20"/>
        </w:rPr>
        <w:t xml:space="preserve">1725 </w:t>
      </w:r>
      <w:r w:rsidR="00C86372" w:rsidRPr="00D01D3C">
        <w:rPr>
          <w:rFonts w:asciiTheme="minorHAnsi" w:hAnsiTheme="minorHAnsi"/>
          <w:sz w:val="20"/>
          <w:szCs w:val="20"/>
        </w:rPr>
        <w:t xml:space="preserve">I </w:t>
      </w:r>
      <w:r w:rsidRPr="00D01D3C">
        <w:rPr>
          <w:rFonts w:asciiTheme="minorHAnsi" w:hAnsiTheme="minorHAnsi"/>
          <w:sz w:val="20"/>
          <w:szCs w:val="20"/>
        </w:rPr>
        <w:t xml:space="preserve">Street, NW, Suite 300 </w:t>
      </w:r>
      <w:r w:rsidRPr="00D01D3C">
        <w:rPr>
          <w:rFonts w:asciiTheme="minorHAnsi" w:hAnsiTheme="minorHAnsi"/>
          <w:sz w:val="20"/>
          <w:szCs w:val="20"/>
        </w:rPr>
        <w:tab/>
      </w:r>
      <w:r w:rsidRPr="00D01D3C">
        <w:rPr>
          <w:rFonts w:asciiTheme="minorHAnsi" w:hAnsiTheme="minorHAnsi"/>
          <w:sz w:val="20"/>
          <w:szCs w:val="20"/>
        </w:rPr>
        <w:tab/>
        <w:t>155 Harlem Avenue</w:t>
      </w:r>
      <w:r w:rsidR="00E40C8D" w:rsidRPr="00D01D3C">
        <w:rPr>
          <w:rFonts w:asciiTheme="minorHAnsi" w:hAnsiTheme="minorHAnsi"/>
          <w:sz w:val="20"/>
          <w:szCs w:val="20"/>
        </w:rPr>
        <w:tab/>
      </w:r>
      <w:r w:rsidR="00E40C8D" w:rsidRPr="00D01D3C">
        <w:rPr>
          <w:rFonts w:asciiTheme="minorHAnsi" w:hAnsiTheme="minorHAnsi"/>
          <w:sz w:val="20"/>
          <w:szCs w:val="20"/>
        </w:rPr>
        <w:tab/>
      </w:r>
      <w:r w:rsidRPr="00D01D3C">
        <w:rPr>
          <w:rFonts w:asciiTheme="minorHAnsi" w:hAnsiTheme="minorHAnsi"/>
          <w:sz w:val="20"/>
          <w:szCs w:val="20"/>
        </w:rPr>
        <w:tab/>
      </w:r>
      <w:r w:rsidRPr="00D01D3C">
        <w:rPr>
          <w:rFonts w:asciiTheme="minorHAnsi" w:hAnsiTheme="minorHAnsi"/>
          <w:sz w:val="20"/>
          <w:szCs w:val="20"/>
        </w:rPr>
        <w:tab/>
        <w:t>Washington, DC 20006</w:t>
      </w:r>
      <w:r w:rsidRPr="00D01D3C">
        <w:rPr>
          <w:rFonts w:asciiTheme="minorHAnsi" w:hAnsiTheme="minorHAnsi"/>
          <w:sz w:val="20"/>
          <w:szCs w:val="20"/>
        </w:rPr>
        <w:tab/>
      </w:r>
      <w:r w:rsidRPr="00D01D3C">
        <w:rPr>
          <w:rFonts w:asciiTheme="minorHAnsi" w:hAnsiTheme="minorHAnsi"/>
          <w:sz w:val="20"/>
          <w:szCs w:val="20"/>
        </w:rPr>
        <w:tab/>
      </w:r>
      <w:r w:rsidRPr="00D01D3C">
        <w:rPr>
          <w:rFonts w:asciiTheme="minorHAnsi" w:hAnsiTheme="minorHAnsi"/>
          <w:sz w:val="20"/>
          <w:szCs w:val="20"/>
        </w:rPr>
        <w:tab/>
        <w:t xml:space="preserve">Glenview, </w:t>
      </w:r>
      <w:r w:rsidR="0023349F" w:rsidRPr="00D01D3C">
        <w:rPr>
          <w:rFonts w:asciiTheme="minorHAnsi" w:hAnsiTheme="minorHAnsi"/>
          <w:sz w:val="20"/>
          <w:szCs w:val="20"/>
        </w:rPr>
        <w:t xml:space="preserve">IL </w:t>
      </w:r>
      <w:r w:rsidRPr="00D01D3C">
        <w:rPr>
          <w:rFonts w:asciiTheme="minorHAnsi" w:hAnsiTheme="minorHAnsi"/>
          <w:sz w:val="20"/>
          <w:szCs w:val="20"/>
        </w:rPr>
        <w:t>60025</w:t>
      </w:r>
      <w:r w:rsidRPr="00D01D3C">
        <w:rPr>
          <w:rFonts w:asciiTheme="minorHAnsi" w:hAnsiTheme="minorHAnsi"/>
          <w:sz w:val="20"/>
          <w:szCs w:val="20"/>
        </w:rPr>
        <w:tab/>
      </w:r>
      <w:r w:rsidR="00E40C8D" w:rsidRPr="00D01D3C">
        <w:rPr>
          <w:rFonts w:asciiTheme="minorHAnsi" w:hAnsiTheme="minorHAnsi"/>
          <w:sz w:val="20"/>
          <w:szCs w:val="20"/>
        </w:rPr>
        <w:tab/>
      </w:r>
      <w:r w:rsidR="00E40C8D" w:rsidRPr="00D01D3C">
        <w:rPr>
          <w:rFonts w:asciiTheme="minorHAnsi" w:hAnsiTheme="minorHAnsi"/>
          <w:sz w:val="20"/>
          <w:szCs w:val="20"/>
        </w:rPr>
        <w:tab/>
      </w:r>
    </w:p>
    <w:p w:rsidR="0018742F" w:rsidRPr="00D01D3C" w:rsidRDefault="002F7ECC" w:rsidP="00E33DF6">
      <w:pPr>
        <w:ind w:firstLine="720"/>
        <w:rPr>
          <w:rFonts w:asciiTheme="minorHAnsi" w:hAnsiTheme="minorHAnsi"/>
          <w:sz w:val="20"/>
          <w:szCs w:val="20"/>
        </w:rPr>
      </w:pPr>
      <w:r w:rsidRPr="00D01D3C">
        <w:rPr>
          <w:rFonts w:asciiTheme="minorHAnsi" w:hAnsiTheme="minorHAnsi"/>
          <w:sz w:val="20"/>
          <w:szCs w:val="20"/>
        </w:rPr>
        <w:t>______________________________________________________________________________________</w:t>
      </w:r>
    </w:p>
    <w:p w:rsidR="00183F35" w:rsidRPr="00D01D3C" w:rsidRDefault="00183F35" w:rsidP="00183F35">
      <w:pPr>
        <w:rPr>
          <w:rFonts w:asciiTheme="minorHAnsi" w:hAnsiTheme="minorHAnsi"/>
          <w:sz w:val="20"/>
          <w:szCs w:val="20"/>
        </w:rPr>
      </w:pPr>
    </w:p>
    <w:p w:rsidR="00183F35" w:rsidRPr="00D01D3C" w:rsidRDefault="00224AB5" w:rsidP="00183F35">
      <w:pPr>
        <w:rPr>
          <w:rFonts w:asciiTheme="minorHAnsi" w:hAnsiTheme="minorHAnsi"/>
          <w:sz w:val="20"/>
          <w:szCs w:val="20"/>
        </w:rPr>
      </w:pPr>
      <w:r w:rsidRPr="00D01D3C">
        <w:rPr>
          <w:rFonts w:asciiTheme="minorHAnsi" w:hAnsiTheme="minorHAnsi"/>
          <w:sz w:val="20"/>
          <w:szCs w:val="20"/>
        </w:rPr>
        <w:t>June 12</w:t>
      </w:r>
      <w:r w:rsidR="00183F35" w:rsidRPr="00D01D3C">
        <w:rPr>
          <w:rFonts w:asciiTheme="minorHAnsi" w:hAnsiTheme="minorHAnsi"/>
          <w:sz w:val="20"/>
          <w:szCs w:val="20"/>
        </w:rPr>
        <w:t>, 2015</w:t>
      </w:r>
    </w:p>
    <w:p w:rsidR="00183F35" w:rsidRPr="00D01D3C" w:rsidRDefault="00183F35" w:rsidP="00183F35">
      <w:pPr>
        <w:rPr>
          <w:rFonts w:asciiTheme="minorHAnsi" w:hAnsiTheme="minorHAnsi"/>
          <w:sz w:val="20"/>
          <w:szCs w:val="20"/>
        </w:rPr>
      </w:pPr>
    </w:p>
    <w:p w:rsidR="00183F35" w:rsidRPr="00D01D3C" w:rsidRDefault="00183F35" w:rsidP="00183F35">
      <w:pPr>
        <w:rPr>
          <w:rFonts w:asciiTheme="minorHAnsi" w:hAnsiTheme="minorHAnsi"/>
          <w:sz w:val="20"/>
          <w:szCs w:val="20"/>
        </w:rPr>
      </w:pPr>
    </w:p>
    <w:p w:rsidR="007A15A8" w:rsidRPr="00D01D3C" w:rsidRDefault="007A15A8" w:rsidP="007A15A8">
      <w:pPr>
        <w:pStyle w:val="Default"/>
        <w:rPr>
          <w:rFonts w:asciiTheme="minorHAnsi" w:hAnsiTheme="minorHAnsi"/>
          <w:sz w:val="20"/>
          <w:szCs w:val="20"/>
        </w:rPr>
      </w:pPr>
      <w:r w:rsidRPr="00D01D3C">
        <w:rPr>
          <w:rFonts w:asciiTheme="minorHAnsi" w:hAnsiTheme="minorHAnsi"/>
          <w:sz w:val="20"/>
          <w:szCs w:val="20"/>
        </w:rPr>
        <w:t xml:space="preserve">Ms. Marcelle Surovik </w:t>
      </w:r>
    </w:p>
    <w:p w:rsidR="007A15A8" w:rsidRPr="00D01D3C" w:rsidRDefault="007A15A8" w:rsidP="007A15A8">
      <w:pPr>
        <w:pStyle w:val="Default"/>
        <w:rPr>
          <w:rFonts w:asciiTheme="minorHAnsi" w:hAnsiTheme="minorHAnsi"/>
          <w:sz w:val="20"/>
          <w:szCs w:val="20"/>
        </w:rPr>
      </w:pPr>
      <w:r w:rsidRPr="00D01D3C">
        <w:rPr>
          <w:rFonts w:asciiTheme="minorHAnsi" w:hAnsiTheme="minorHAnsi"/>
          <w:sz w:val="20"/>
          <w:szCs w:val="20"/>
        </w:rPr>
        <w:t xml:space="preserve">Energy Section </w:t>
      </w:r>
    </w:p>
    <w:p w:rsidR="007A15A8" w:rsidRPr="00D01D3C" w:rsidRDefault="007A15A8" w:rsidP="007A15A8">
      <w:pPr>
        <w:rPr>
          <w:rFonts w:asciiTheme="minorHAnsi" w:hAnsiTheme="minorHAnsi"/>
          <w:sz w:val="20"/>
          <w:szCs w:val="20"/>
        </w:rPr>
      </w:pPr>
      <w:r w:rsidRPr="00D01D3C">
        <w:rPr>
          <w:rFonts w:asciiTheme="minorHAnsi" w:hAnsiTheme="minorHAnsi"/>
          <w:sz w:val="20"/>
          <w:szCs w:val="20"/>
        </w:rPr>
        <w:t>Industrial Strategies Division</w:t>
      </w:r>
    </w:p>
    <w:p w:rsidR="007A15A8" w:rsidRPr="00D01D3C" w:rsidRDefault="007A15A8" w:rsidP="007A15A8">
      <w:pPr>
        <w:rPr>
          <w:rFonts w:asciiTheme="minorHAnsi" w:hAnsiTheme="minorHAnsi"/>
          <w:sz w:val="20"/>
          <w:szCs w:val="20"/>
        </w:rPr>
      </w:pPr>
      <w:r w:rsidRPr="00D01D3C">
        <w:rPr>
          <w:rFonts w:asciiTheme="minorHAnsi" w:hAnsiTheme="minorHAnsi"/>
          <w:sz w:val="20"/>
          <w:szCs w:val="20"/>
        </w:rPr>
        <w:t>California Air Resources Board</w:t>
      </w:r>
    </w:p>
    <w:p w:rsidR="007A15A8" w:rsidRPr="00D01D3C" w:rsidRDefault="007A15A8" w:rsidP="007A15A8">
      <w:pPr>
        <w:rPr>
          <w:rFonts w:asciiTheme="minorHAnsi" w:hAnsiTheme="minorHAnsi"/>
          <w:sz w:val="20"/>
          <w:szCs w:val="20"/>
        </w:rPr>
      </w:pPr>
      <w:r w:rsidRPr="00D01D3C">
        <w:rPr>
          <w:rFonts w:asciiTheme="minorHAnsi" w:hAnsiTheme="minorHAnsi"/>
          <w:sz w:val="20"/>
          <w:szCs w:val="20"/>
        </w:rPr>
        <w:t>1001 I Street</w:t>
      </w:r>
    </w:p>
    <w:p w:rsidR="007A15A8" w:rsidRPr="00D01D3C" w:rsidRDefault="007A15A8" w:rsidP="007A15A8">
      <w:pPr>
        <w:rPr>
          <w:rFonts w:asciiTheme="minorHAnsi" w:hAnsiTheme="minorHAnsi"/>
          <w:sz w:val="20"/>
          <w:szCs w:val="20"/>
        </w:rPr>
      </w:pPr>
      <w:r w:rsidRPr="00D01D3C">
        <w:rPr>
          <w:rFonts w:asciiTheme="minorHAnsi" w:hAnsiTheme="minorHAnsi"/>
          <w:sz w:val="20"/>
          <w:szCs w:val="20"/>
        </w:rPr>
        <w:t>Sacramento, CA</w:t>
      </w:r>
      <w:r w:rsidR="00F73463" w:rsidRPr="00D01D3C">
        <w:rPr>
          <w:rFonts w:asciiTheme="minorHAnsi" w:hAnsiTheme="minorHAnsi"/>
          <w:sz w:val="20"/>
          <w:szCs w:val="20"/>
        </w:rPr>
        <w:t xml:space="preserve"> 95812</w:t>
      </w:r>
    </w:p>
    <w:p w:rsidR="00183F35" w:rsidRPr="00D01D3C" w:rsidRDefault="00183F35" w:rsidP="00183F35">
      <w:pPr>
        <w:rPr>
          <w:rFonts w:asciiTheme="minorHAnsi" w:hAnsiTheme="minorHAnsi"/>
          <w:sz w:val="20"/>
          <w:szCs w:val="20"/>
        </w:rPr>
      </w:pPr>
    </w:p>
    <w:p w:rsidR="00183F35" w:rsidRPr="00D01D3C" w:rsidRDefault="00183F35" w:rsidP="00183F35">
      <w:pPr>
        <w:rPr>
          <w:rFonts w:asciiTheme="minorHAnsi" w:hAnsiTheme="minorHAnsi"/>
          <w:b/>
          <w:sz w:val="20"/>
          <w:szCs w:val="20"/>
        </w:rPr>
      </w:pPr>
      <w:r w:rsidRPr="00D01D3C">
        <w:rPr>
          <w:rFonts w:asciiTheme="minorHAnsi" w:hAnsiTheme="minorHAnsi"/>
          <w:b/>
          <w:sz w:val="20"/>
          <w:szCs w:val="20"/>
        </w:rPr>
        <w:t xml:space="preserve">RE: </w:t>
      </w:r>
      <w:r w:rsidR="00224AB5" w:rsidRPr="00D01D3C">
        <w:rPr>
          <w:rFonts w:asciiTheme="minorHAnsi" w:hAnsiTheme="minorHAnsi"/>
          <w:b/>
          <w:sz w:val="20"/>
          <w:szCs w:val="20"/>
        </w:rPr>
        <w:t>CARB Short-Lived Climate Pollutant Reduction (SLCP) Strategy Concept Paper</w:t>
      </w:r>
    </w:p>
    <w:p w:rsidR="00183F35" w:rsidRPr="00D01D3C" w:rsidRDefault="00183F35" w:rsidP="00183F35">
      <w:pPr>
        <w:rPr>
          <w:rFonts w:asciiTheme="minorHAnsi" w:hAnsiTheme="minorHAnsi"/>
          <w:sz w:val="20"/>
          <w:szCs w:val="20"/>
        </w:rPr>
      </w:pPr>
    </w:p>
    <w:p w:rsidR="00183F35" w:rsidRPr="00D01D3C" w:rsidRDefault="00183F35" w:rsidP="00183F35">
      <w:pPr>
        <w:rPr>
          <w:rFonts w:asciiTheme="minorHAnsi" w:hAnsiTheme="minorHAnsi"/>
          <w:sz w:val="20"/>
          <w:szCs w:val="20"/>
        </w:rPr>
      </w:pPr>
      <w:r w:rsidRPr="00D01D3C">
        <w:rPr>
          <w:rFonts w:asciiTheme="minorHAnsi" w:hAnsiTheme="minorHAnsi"/>
          <w:sz w:val="20"/>
          <w:szCs w:val="20"/>
        </w:rPr>
        <w:t xml:space="preserve">Dear Ms. </w:t>
      </w:r>
      <w:r w:rsidR="00F73463" w:rsidRPr="00D01D3C">
        <w:rPr>
          <w:rFonts w:asciiTheme="minorHAnsi" w:hAnsiTheme="minorHAnsi"/>
          <w:sz w:val="20"/>
          <w:szCs w:val="20"/>
        </w:rPr>
        <w:t>Surovik</w:t>
      </w:r>
      <w:r w:rsidRPr="00D01D3C">
        <w:rPr>
          <w:rFonts w:asciiTheme="minorHAnsi" w:hAnsiTheme="minorHAnsi"/>
          <w:sz w:val="20"/>
          <w:szCs w:val="20"/>
        </w:rPr>
        <w:t>:</w:t>
      </w:r>
    </w:p>
    <w:p w:rsidR="00183F35" w:rsidRPr="00D01D3C" w:rsidRDefault="00183F35" w:rsidP="00183F35">
      <w:pPr>
        <w:rPr>
          <w:rFonts w:asciiTheme="minorHAnsi" w:hAnsiTheme="minorHAnsi"/>
          <w:sz w:val="20"/>
          <w:szCs w:val="20"/>
        </w:rPr>
      </w:pPr>
    </w:p>
    <w:p w:rsidR="00B448DE" w:rsidRPr="00D01D3C" w:rsidRDefault="00183F35" w:rsidP="00183F35">
      <w:pPr>
        <w:jc w:val="both"/>
        <w:rPr>
          <w:rFonts w:asciiTheme="minorHAnsi" w:hAnsiTheme="minorHAnsi"/>
          <w:sz w:val="20"/>
          <w:szCs w:val="20"/>
        </w:rPr>
      </w:pPr>
      <w:r w:rsidRPr="00D01D3C">
        <w:rPr>
          <w:rFonts w:asciiTheme="minorHAnsi" w:hAnsiTheme="minorHAnsi"/>
          <w:sz w:val="20"/>
          <w:szCs w:val="20"/>
        </w:rPr>
        <w:t xml:space="preserve">Illinois Tool Works Inc. (“ITW”) is a U.S. manufacturer of a variety of value-added commercial and industrial-use products, components and systems. ITW greatly appreciates the opportunity to </w:t>
      </w:r>
      <w:r w:rsidR="00503D8D" w:rsidRPr="00D01D3C">
        <w:rPr>
          <w:rFonts w:asciiTheme="minorHAnsi" w:hAnsiTheme="minorHAnsi"/>
          <w:sz w:val="20"/>
          <w:szCs w:val="20"/>
        </w:rPr>
        <w:t xml:space="preserve">provide </w:t>
      </w:r>
      <w:r w:rsidRPr="00D01D3C">
        <w:rPr>
          <w:rFonts w:asciiTheme="minorHAnsi" w:hAnsiTheme="minorHAnsi"/>
          <w:sz w:val="20"/>
          <w:szCs w:val="20"/>
        </w:rPr>
        <w:t xml:space="preserve">comments </w:t>
      </w:r>
      <w:r w:rsidR="00F73463" w:rsidRPr="00D01D3C">
        <w:rPr>
          <w:rFonts w:asciiTheme="minorHAnsi" w:hAnsiTheme="minorHAnsi"/>
          <w:sz w:val="20"/>
          <w:szCs w:val="20"/>
        </w:rPr>
        <w:t>to the Air</w:t>
      </w:r>
      <w:r w:rsidR="00224AB5" w:rsidRPr="00D01D3C">
        <w:rPr>
          <w:rFonts w:asciiTheme="minorHAnsi" w:hAnsiTheme="minorHAnsi"/>
          <w:sz w:val="20"/>
          <w:szCs w:val="20"/>
        </w:rPr>
        <w:t xml:space="preserve"> Resources Board’s Short-Lived Climate Pollutant Reduction (SLCP) Strategy Concept Paper of May </w:t>
      </w:r>
      <w:r w:rsidR="00D01D3C">
        <w:rPr>
          <w:rFonts w:asciiTheme="minorHAnsi" w:hAnsiTheme="minorHAnsi"/>
          <w:sz w:val="20"/>
          <w:szCs w:val="20"/>
        </w:rPr>
        <w:t xml:space="preserve">7, </w:t>
      </w:r>
      <w:r w:rsidR="00224AB5" w:rsidRPr="00D01D3C">
        <w:rPr>
          <w:rFonts w:asciiTheme="minorHAnsi" w:hAnsiTheme="minorHAnsi"/>
          <w:sz w:val="20"/>
          <w:szCs w:val="20"/>
        </w:rPr>
        <w:t xml:space="preserve">2015. </w:t>
      </w:r>
    </w:p>
    <w:p w:rsidR="00F73463" w:rsidRPr="00D01D3C" w:rsidRDefault="00F73463" w:rsidP="00F73463">
      <w:pPr>
        <w:jc w:val="both"/>
        <w:rPr>
          <w:rFonts w:asciiTheme="minorHAnsi" w:hAnsiTheme="minorHAnsi"/>
          <w:sz w:val="20"/>
          <w:szCs w:val="20"/>
        </w:rPr>
      </w:pPr>
    </w:p>
    <w:p w:rsidR="00F73463" w:rsidRPr="00D01D3C" w:rsidRDefault="00F73463" w:rsidP="00F73463">
      <w:pPr>
        <w:jc w:val="both"/>
        <w:rPr>
          <w:rFonts w:asciiTheme="minorHAnsi" w:hAnsiTheme="minorHAnsi"/>
          <w:sz w:val="20"/>
          <w:szCs w:val="20"/>
        </w:rPr>
      </w:pPr>
      <w:r w:rsidRPr="00D01D3C">
        <w:rPr>
          <w:rFonts w:asciiTheme="minorHAnsi" w:hAnsiTheme="minorHAnsi"/>
          <w:sz w:val="20"/>
          <w:szCs w:val="20"/>
        </w:rPr>
        <w:t xml:space="preserve">ITW is </w:t>
      </w:r>
      <w:r w:rsidR="00B448DE" w:rsidRPr="00D01D3C">
        <w:rPr>
          <w:rFonts w:asciiTheme="minorHAnsi" w:hAnsiTheme="minorHAnsi"/>
          <w:sz w:val="20"/>
          <w:szCs w:val="20"/>
        </w:rPr>
        <w:t xml:space="preserve">a Fortune 200 company </w:t>
      </w:r>
      <w:r w:rsidR="00B448DE" w:rsidRPr="007B69DD">
        <w:rPr>
          <w:rFonts w:asciiTheme="minorHAnsi" w:hAnsiTheme="minorHAnsi"/>
          <w:sz w:val="20"/>
          <w:szCs w:val="20"/>
        </w:rPr>
        <w:t xml:space="preserve">operating 89 divisions globally, </w:t>
      </w:r>
      <w:r w:rsidRPr="007B69DD">
        <w:rPr>
          <w:rFonts w:asciiTheme="minorHAnsi" w:hAnsiTheme="minorHAnsi"/>
          <w:sz w:val="20"/>
          <w:szCs w:val="20"/>
        </w:rPr>
        <w:t xml:space="preserve">including </w:t>
      </w:r>
      <w:r w:rsidR="008459AF" w:rsidRPr="007B69DD">
        <w:rPr>
          <w:rFonts w:asciiTheme="minorHAnsi" w:hAnsiTheme="minorHAnsi"/>
          <w:sz w:val="20"/>
          <w:szCs w:val="20"/>
        </w:rPr>
        <w:t>over 300 California residents through a diverse portfolio of businesses</w:t>
      </w:r>
      <w:r w:rsidR="00780E08" w:rsidRPr="007B69DD">
        <w:rPr>
          <w:rFonts w:asciiTheme="minorHAnsi" w:hAnsiTheme="minorHAnsi"/>
          <w:sz w:val="20"/>
          <w:szCs w:val="20"/>
        </w:rPr>
        <w:t xml:space="preserve"> </w:t>
      </w:r>
      <w:r w:rsidR="007B69DD" w:rsidRPr="007B69DD">
        <w:rPr>
          <w:rFonts w:asciiTheme="minorHAnsi" w:hAnsiTheme="minorHAnsi"/>
          <w:sz w:val="20"/>
          <w:szCs w:val="20"/>
        </w:rPr>
        <w:t>encompassing commercial</w:t>
      </w:r>
      <w:r w:rsidR="008459AF" w:rsidRPr="007B69DD">
        <w:rPr>
          <w:rFonts w:asciiTheme="minorHAnsi" w:hAnsiTheme="minorHAnsi"/>
          <w:sz w:val="20"/>
          <w:szCs w:val="20"/>
        </w:rPr>
        <w:t xml:space="preserve"> foodservice</w:t>
      </w:r>
      <w:r w:rsidR="008459AF" w:rsidRPr="00D01D3C">
        <w:rPr>
          <w:rFonts w:asciiTheme="minorHAnsi" w:hAnsiTheme="minorHAnsi"/>
          <w:sz w:val="20"/>
          <w:szCs w:val="20"/>
        </w:rPr>
        <w:t xml:space="preserve"> equipment, automotive aftermarket and emergency roadside service products</w:t>
      </w:r>
      <w:r w:rsidR="00DF6900">
        <w:rPr>
          <w:rFonts w:asciiTheme="minorHAnsi" w:hAnsiTheme="minorHAnsi"/>
          <w:sz w:val="20"/>
          <w:szCs w:val="20"/>
        </w:rPr>
        <w:t>,</w:t>
      </w:r>
      <w:r w:rsidR="008459AF" w:rsidRPr="00D01D3C">
        <w:rPr>
          <w:rFonts w:asciiTheme="minorHAnsi" w:hAnsiTheme="minorHAnsi"/>
          <w:sz w:val="20"/>
          <w:szCs w:val="20"/>
        </w:rPr>
        <w:t xml:space="preserve"> and welding equipment. </w:t>
      </w:r>
      <w:r w:rsidR="00224AB5" w:rsidRPr="00D01D3C">
        <w:rPr>
          <w:rFonts w:asciiTheme="minorHAnsi" w:hAnsiTheme="minorHAnsi"/>
          <w:sz w:val="20"/>
          <w:szCs w:val="20"/>
        </w:rPr>
        <w:t xml:space="preserve">ITW further has </w:t>
      </w:r>
      <w:r w:rsidR="00B448DE" w:rsidRPr="00D01D3C">
        <w:rPr>
          <w:rFonts w:asciiTheme="minorHAnsi" w:hAnsiTheme="minorHAnsi"/>
          <w:sz w:val="20"/>
          <w:szCs w:val="20"/>
        </w:rPr>
        <w:t xml:space="preserve">hundreds of </w:t>
      </w:r>
      <w:r w:rsidR="009E1013" w:rsidRPr="00D01D3C">
        <w:rPr>
          <w:rFonts w:asciiTheme="minorHAnsi" w:hAnsiTheme="minorHAnsi"/>
          <w:sz w:val="20"/>
          <w:szCs w:val="20"/>
        </w:rPr>
        <w:t xml:space="preserve">additional </w:t>
      </w:r>
      <w:r w:rsidR="00224AB5" w:rsidRPr="00D01D3C">
        <w:rPr>
          <w:rFonts w:asciiTheme="minorHAnsi" w:hAnsiTheme="minorHAnsi"/>
          <w:sz w:val="20"/>
          <w:szCs w:val="20"/>
        </w:rPr>
        <w:t xml:space="preserve">US </w:t>
      </w:r>
      <w:r w:rsidR="00B448DE" w:rsidRPr="00D01D3C">
        <w:rPr>
          <w:rFonts w:asciiTheme="minorHAnsi" w:hAnsiTheme="minorHAnsi"/>
          <w:sz w:val="20"/>
          <w:szCs w:val="20"/>
        </w:rPr>
        <w:t xml:space="preserve">business operations </w:t>
      </w:r>
      <w:r w:rsidR="00503D8D" w:rsidRPr="00D01D3C">
        <w:rPr>
          <w:rFonts w:asciiTheme="minorHAnsi" w:hAnsiTheme="minorHAnsi"/>
          <w:sz w:val="20"/>
          <w:szCs w:val="20"/>
        </w:rPr>
        <w:t xml:space="preserve">making and selling </w:t>
      </w:r>
      <w:r w:rsidR="00B448DE" w:rsidRPr="00D01D3C">
        <w:rPr>
          <w:rFonts w:asciiTheme="minorHAnsi" w:hAnsiTheme="minorHAnsi"/>
          <w:sz w:val="20"/>
          <w:szCs w:val="20"/>
        </w:rPr>
        <w:t xml:space="preserve">products into California through countless commerce channels. </w:t>
      </w:r>
    </w:p>
    <w:p w:rsidR="00F73463" w:rsidRPr="00D01D3C" w:rsidRDefault="00F73463" w:rsidP="00F73463">
      <w:pPr>
        <w:jc w:val="both"/>
        <w:rPr>
          <w:rFonts w:asciiTheme="minorHAnsi" w:hAnsiTheme="minorHAnsi"/>
          <w:sz w:val="20"/>
          <w:szCs w:val="20"/>
        </w:rPr>
      </w:pPr>
    </w:p>
    <w:p w:rsidR="00973EA2" w:rsidRDefault="0008474C" w:rsidP="00AB6E0D">
      <w:pPr>
        <w:pStyle w:val="ListParagraph"/>
        <w:ind w:left="0"/>
        <w:jc w:val="both"/>
        <w:rPr>
          <w:rFonts w:asciiTheme="minorHAnsi" w:hAnsiTheme="minorHAnsi" w:cs="Myriad Pro"/>
          <w:color w:val="000000"/>
          <w:sz w:val="20"/>
          <w:szCs w:val="20"/>
        </w:rPr>
      </w:pPr>
      <w:r w:rsidRPr="00D01D3C">
        <w:rPr>
          <w:rFonts w:asciiTheme="minorHAnsi" w:hAnsiTheme="minorHAnsi"/>
          <w:sz w:val="20"/>
          <w:szCs w:val="20"/>
        </w:rPr>
        <w:t>Our</w:t>
      </w:r>
      <w:r w:rsidR="00F73463" w:rsidRPr="00D01D3C">
        <w:rPr>
          <w:rFonts w:asciiTheme="minorHAnsi" w:hAnsiTheme="minorHAnsi"/>
          <w:sz w:val="20"/>
          <w:szCs w:val="20"/>
        </w:rPr>
        <w:t xml:space="preserve"> </w:t>
      </w:r>
      <w:r w:rsidR="00DF6900">
        <w:rPr>
          <w:rFonts w:asciiTheme="minorHAnsi" w:hAnsiTheme="minorHAnsi"/>
          <w:sz w:val="20"/>
          <w:szCs w:val="20"/>
        </w:rPr>
        <w:t>company</w:t>
      </w:r>
      <w:r w:rsidR="00D32F35">
        <w:rPr>
          <w:rFonts w:asciiTheme="minorHAnsi" w:hAnsiTheme="minorHAnsi"/>
          <w:sz w:val="20"/>
          <w:szCs w:val="20"/>
        </w:rPr>
        <w:t>’s</w:t>
      </w:r>
      <w:r w:rsidR="00DF6900">
        <w:rPr>
          <w:rFonts w:asciiTheme="minorHAnsi" w:hAnsiTheme="minorHAnsi"/>
          <w:sz w:val="20"/>
          <w:szCs w:val="20"/>
        </w:rPr>
        <w:t xml:space="preserve"> </w:t>
      </w:r>
      <w:r w:rsidR="00224AB5" w:rsidRPr="00D01D3C">
        <w:rPr>
          <w:rFonts w:asciiTheme="minorHAnsi" w:hAnsiTheme="minorHAnsi"/>
          <w:sz w:val="20"/>
          <w:szCs w:val="20"/>
        </w:rPr>
        <w:t xml:space="preserve">growth and future rely on a healthy planet and sustainable practices. </w:t>
      </w:r>
      <w:r w:rsidR="00D32F35">
        <w:rPr>
          <w:rFonts w:asciiTheme="minorHAnsi" w:hAnsiTheme="minorHAnsi"/>
          <w:sz w:val="20"/>
          <w:szCs w:val="20"/>
        </w:rPr>
        <w:t xml:space="preserve">To that end, ITW </w:t>
      </w:r>
      <w:r w:rsidR="00224AB5" w:rsidRPr="00D01D3C">
        <w:rPr>
          <w:rFonts w:asciiTheme="minorHAnsi" w:hAnsiTheme="minorHAnsi"/>
          <w:sz w:val="20"/>
          <w:szCs w:val="20"/>
        </w:rPr>
        <w:t xml:space="preserve">believes environmental responsibility and sustainability </w:t>
      </w:r>
      <w:r w:rsidR="00D32F35">
        <w:rPr>
          <w:rFonts w:asciiTheme="minorHAnsi" w:hAnsiTheme="minorHAnsi"/>
          <w:sz w:val="20"/>
          <w:szCs w:val="20"/>
        </w:rPr>
        <w:t xml:space="preserve">generally </w:t>
      </w:r>
      <w:r w:rsidR="00224AB5" w:rsidRPr="00D01D3C">
        <w:rPr>
          <w:rFonts w:asciiTheme="minorHAnsi" w:hAnsiTheme="minorHAnsi"/>
          <w:sz w:val="20"/>
          <w:szCs w:val="20"/>
        </w:rPr>
        <w:t xml:space="preserve">merit ongoing evaluation and continuous improvement. </w:t>
      </w:r>
      <w:r w:rsidR="00F73463" w:rsidRPr="00D01D3C">
        <w:rPr>
          <w:rFonts w:asciiTheme="minorHAnsi" w:hAnsiTheme="minorHAnsi"/>
          <w:sz w:val="20"/>
          <w:szCs w:val="20"/>
        </w:rPr>
        <w:t xml:space="preserve">Yet, in recent </w:t>
      </w:r>
      <w:r w:rsidR="00D32F35">
        <w:rPr>
          <w:rFonts w:asciiTheme="minorHAnsi" w:hAnsiTheme="minorHAnsi"/>
          <w:sz w:val="20"/>
          <w:szCs w:val="20"/>
        </w:rPr>
        <w:t xml:space="preserve">history </w:t>
      </w:r>
      <w:r w:rsidR="00F73463" w:rsidRPr="00D01D3C">
        <w:rPr>
          <w:rFonts w:asciiTheme="minorHAnsi" w:hAnsiTheme="minorHAnsi"/>
          <w:sz w:val="20"/>
          <w:szCs w:val="20"/>
        </w:rPr>
        <w:t xml:space="preserve">we have witnessed </w:t>
      </w:r>
      <w:r w:rsidR="00D32F35">
        <w:rPr>
          <w:rFonts w:asciiTheme="minorHAnsi" w:hAnsiTheme="minorHAnsi"/>
          <w:sz w:val="20"/>
          <w:szCs w:val="20"/>
        </w:rPr>
        <w:t xml:space="preserve">many </w:t>
      </w:r>
      <w:r w:rsidR="00F73463" w:rsidRPr="00D01D3C">
        <w:rPr>
          <w:rFonts w:asciiTheme="minorHAnsi" w:hAnsiTheme="minorHAnsi"/>
          <w:sz w:val="20"/>
          <w:szCs w:val="20"/>
        </w:rPr>
        <w:t xml:space="preserve">examples where </w:t>
      </w:r>
      <w:r w:rsidR="00D32F35">
        <w:rPr>
          <w:rFonts w:asciiTheme="minorHAnsi" w:hAnsiTheme="minorHAnsi"/>
          <w:sz w:val="20"/>
          <w:szCs w:val="20"/>
        </w:rPr>
        <w:t xml:space="preserve">these </w:t>
      </w:r>
      <w:r w:rsidR="00F73463" w:rsidRPr="00D01D3C">
        <w:rPr>
          <w:rFonts w:asciiTheme="minorHAnsi" w:hAnsiTheme="minorHAnsi"/>
          <w:sz w:val="20"/>
          <w:szCs w:val="20"/>
        </w:rPr>
        <w:t xml:space="preserve">shared objectives </w:t>
      </w:r>
      <w:r w:rsidR="00D32F35">
        <w:rPr>
          <w:rFonts w:asciiTheme="minorHAnsi" w:hAnsiTheme="minorHAnsi"/>
          <w:sz w:val="20"/>
          <w:szCs w:val="20"/>
        </w:rPr>
        <w:t xml:space="preserve">were left unfulfilled </w:t>
      </w:r>
      <w:r w:rsidR="00F73463" w:rsidRPr="00D01D3C">
        <w:rPr>
          <w:rFonts w:asciiTheme="minorHAnsi" w:hAnsiTheme="minorHAnsi"/>
          <w:sz w:val="20"/>
          <w:szCs w:val="20"/>
        </w:rPr>
        <w:t xml:space="preserve">by poorly executed policy. </w:t>
      </w:r>
      <w:r w:rsidR="00973EA2" w:rsidRPr="00D01D3C">
        <w:rPr>
          <w:rFonts w:asciiTheme="minorHAnsi" w:hAnsiTheme="minorHAnsi"/>
          <w:sz w:val="20"/>
          <w:szCs w:val="20"/>
        </w:rPr>
        <w:t xml:space="preserve">We recognize and appreciate </w:t>
      </w:r>
      <w:r w:rsidR="00973EA2">
        <w:rPr>
          <w:rFonts w:asciiTheme="minorHAnsi" w:hAnsiTheme="minorHAnsi"/>
          <w:sz w:val="20"/>
          <w:szCs w:val="20"/>
        </w:rPr>
        <w:t>CARB’s</w:t>
      </w:r>
      <w:r w:rsidR="00973EA2" w:rsidRPr="00D01D3C">
        <w:rPr>
          <w:rFonts w:asciiTheme="minorHAnsi" w:hAnsiTheme="minorHAnsi"/>
          <w:sz w:val="20"/>
          <w:szCs w:val="20"/>
        </w:rPr>
        <w:t xml:space="preserve"> stakeholder engagement</w:t>
      </w:r>
      <w:r w:rsidR="000A453F">
        <w:rPr>
          <w:rFonts w:asciiTheme="minorHAnsi" w:hAnsiTheme="minorHAnsi"/>
          <w:sz w:val="20"/>
          <w:szCs w:val="20"/>
        </w:rPr>
        <w:t>; we hope</w:t>
      </w:r>
      <w:r w:rsidR="00973EA2">
        <w:rPr>
          <w:rFonts w:asciiTheme="minorHAnsi" w:hAnsiTheme="minorHAnsi"/>
          <w:sz w:val="20"/>
          <w:szCs w:val="20"/>
        </w:rPr>
        <w:t xml:space="preserve"> </w:t>
      </w:r>
      <w:r w:rsidR="000A453F">
        <w:rPr>
          <w:rFonts w:asciiTheme="minorHAnsi" w:hAnsiTheme="minorHAnsi"/>
          <w:sz w:val="20"/>
          <w:szCs w:val="20"/>
        </w:rPr>
        <w:t xml:space="preserve">that </w:t>
      </w:r>
      <w:r w:rsidR="00973EA2">
        <w:rPr>
          <w:rFonts w:asciiTheme="minorHAnsi" w:hAnsiTheme="minorHAnsi"/>
          <w:sz w:val="20"/>
          <w:szCs w:val="20"/>
        </w:rPr>
        <w:t xml:space="preserve">it </w:t>
      </w:r>
      <w:r w:rsidR="000A453F">
        <w:rPr>
          <w:rFonts w:asciiTheme="minorHAnsi" w:hAnsiTheme="minorHAnsi"/>
          <w:sz w:val="20"/>
          <w:szCs w:val="20"/>
        </w:rPr>
        <w:t xml:space="preserve">will </w:t>
      </w:r>
      <w:r w:rsidR="007B69DD">
        <w:rPr>
          <w:rFonts w:asciiTheme="minorHAnsi" w:hAnsiTheme="minorHAnsi"/>
          <w:sz w:val="20"/>
          <w:szCs w:val="20"/>
        </w:rPr>
        <w:t>model what</w:t>
      </w:r>
      <w:r w:rsidR="00973EA2" w:rsidRPr="00D01D3C">
        <w:rPr>
          <w:rFonts w:asciiTheme="minorHAnsi" w:hAnsiTheme="minorHAnsi" w:cs="Myriad Pro"/>
          <w:color w:val="000000"/>
          <w:sz w:val="20"/>
          <w:szCs w:val="20"/>
        </w:rPr>
        <w:t xml:space="preserve"> the US-Canada Regulatory Cooperation Council expressed in its 2011 Joint Action Plan: “There is an opportunity for regulators to work more closely </w:t>
      </w:r>
      <w:r w:rsidR="00973EA2" w:rsidRPr="00D01D3C">
        <w:rPr>
          <w:rFonts w:asciiTheme="minorHAnsi" w:hAnsiTheme="minorHAnsi" w:cs="Myriad Pro"/>
          <w:i/>
          <w:color w:val="000000"/>
          <w:sz w:val="20"/>
          <w:szCs w:val="20"/>
          <w:u w:val="single"/>
        </w:rPr>
        <w:t>with the aim of better synchronizing implementation of regulations</w:t>
      </w:r>
      <w:r w:rsidR="00973EA2" w:rsidRPr="00D01D3C">
        <w:rPr>
          <w:rFonts w:asciiTheme="minorHAnsi" w:hAnsiTheme="minorHAnsi" w:cs="Myriad Pro"/>
          <w:color w:val="000000"/>
          <w:sz w:val="20"/>
          <w:szCs w:val="20"/>
        </w:rPr>
        <w:t xml:space="preserve"> and leveraging existing expertise” (emphasis added).</w:t>
      </w:r>
    </w:p>
    <w:p w:rsidR="00D16E82" w:rsidRPr="00D01D3C" w:rsidRDefault="00D16E82" w:rsidP="00F73463">
      <w:pPr>
        <w:jc w:val="both"/>
        <w:rPr>
          <w:rFonts w:asciiTheme="minorHAnsi" w:hAnsiTheme="minorHAnsi"/>
          <w:sz w:val="20"/>
          <w:szCs w:val="20"/>
        </w:rPr>
      </w:pPr>
    </w:p>
    <w:p w:rsidR="00D16E82" w:rsidRDefault="00D16E82" w:rsidP="00F73463">
      <w:pPr>
        <w:jc w:val="both"/>
        <w:rPr>
          <w:rFonts w:asciiTheme="minorHAnsi" w:hAnsiTheme="minorHAnsi"/>
          <w:sz w:val="20"/>
          <w:szCs w:val="20"/>
        </w:rPr>
      </w:pPr>
    </w:p>
    <w:p w:rsidR="00D01D3C" w:rsidRPr="00D01D3C" w:rsidRDefault="00D32F35" w:rsidP="00D01D3C">
      <w:pPr>
        <w:pStyle w:val="ListParagraph"/>
        <w:numPr>
          <w:ilvl w:val="0"/>
          <w:numId w:val="9"/>
          <w:numberingChange w:id="0" w:author="skw" w:date="2015-06-12T20:38:00Z" w:original="%1:1:1:."/>
        </w:numPr>
        <w:ind w:left="360"/>
        <w:jc w:val="both"/>
        <w:rPr>
          <w:rFonts w:asciiTheme="minorHAnsi" w:hAnsiTheme="minorHAnsi"/>
          <w:b/>
          <w:sz w:val="20"/>
          <w:szCs w:val="20"/>
        </w:rPr>
      </w:pPr>
      <w:r>
        <w:rPr>
          <w:rFonts w:asciiTheme="minorHAnsi" w:hAnsiTheme="minorHAnsi"/>
          <w:b/>
          <w:sz w:val="20"/>
          <w:szCs w:val="20"/>
        </w:rPr>
        <w:t>Stakeholder Engagement for the Proceeding</w:t>
      </w:r>
    </w:p>
    <w:p w:rsidR="00D32F35" w:rsidRPr="00D01D3C" w:rsidRDefault="00D32F35" w:rsidP="00F73463">
      <w:pPr>
        <w:jc w:val="both"/>
        <w:rPr>
          <w:rFonts w:asciiTheme="minorHAnsi" w:hAnsiTheme="minorHAnsi"/>
          <w:sz w:val="20"/>
          <w:szCs w:val="20"/>
        </w:rPr>
      </w:pPr>
    </w:p>
    <w:p w:rsidR="00973EA2" w:rsidRDefault="00D16E82" w:rsidP="00F73463">
      <w:pPr>
        <w:jc w:val="both"/>
        <w:rPr>
          <w:rFonts w:asciiTheme="minorHAnsi" w:hAnsiTheme="minorHAnsi"/>
          <w:sz w:val="20"/>
          <w:szCs w:val="20"/>
        </w:rPr>
      </w:pPr>
      <w:r w:rsidRPr="00D01D3C">
        <w:rPr>
          <w:rFonts w:asciiTheme="minorHAnsi" w:hAnsiTheme="minorHAnsi"/>
          <w:sz w:val="20"/>
          <w:szCs w:val="20"/>
        </w:rPr>
        <w:t xml:space="preserve">During the May 27, 2015, public meeting presentation, CARB staff expressed a desire to find “simple solutions” to achieve the objectives of the Plan. We agree that needless complexity is to be avoided whenever possible. However, in the case of manufactured finished goods, ITW finds that it is impossible to avoid complexity with much of what we make. </w:t>
      </w:r>
    </w:p>
    <w:p w:rsidR="00973EA2" w:rsidRDefault="00973EA2" w:rsidP="00F73463">
      <w:pPr>
        <w:jc w:val="both"/>
        <w:rPr>
          <w:rFonts w:asciiTheme="minorHAnsi" w:hAnsiTheme="minorHAnsi"/>
          <w:sz w:val="20"/>
          <w:szCs w:val="20"/>
        </w:rPr>
      </w:pPr>
    </w:p>
    <w:p w:rsidR="000A453F" w:rsidRDefault="00D16E82" w:rsidP="00F73463">
      <w:pPr>
        <w:jc w:val="both"/>
        <w:rPr>
          <w:rFonts w:asciiTheme="minorHAnsi" w:hAnsiTheme="minorHAnsi"/>
          <w:sz w:val="20"/>
          <w:szCs w:val="20"/>
        </w:rPr>
      </w:pPr>
      <w:r w:rsidRPr="00D01D3C">
        <w:rPr>
          <w:rFonts w:asciiTheme="minorHAnsi" w:hAnsiTheme="minorHAnsi"/>
          <w:sz w:val="20"/>
          <w:szCs w:val="20"/>
        </w:rPr>
        <w:t xml:space="preserve">For example, </w:t>
      </w:r>
      <w:r w:rsidR="00973EA2">
        <w:rPr>
          <w:rFonts w:asciiTheme="minorHAnsi" w:hAnsiTheme="minorHAnsi"/>
          <w:sz w:val="20"/>
          <w:szCs w:val="20"/>
        </w:rPr>
        <w:t xml:space="preserve">products throughout ITW’s Food Equipment Group (FEG) </w:t>
      </w:r>
      <w:r w:rsidRPr="00D01D3C">
        <w:rPr>
          <w:rFonts w:asciiTheme="minorHAnsi" w:hAnsiTheme="minorHAnsi"/>
          <w:sz w:val="20"/>
          <w:szCs w:val="20"/>
        </w:rPr>
        <w:t xml:space="preserve">are highly engineered </w:t>
      </w:r>
      <w:r w:rsidR="00973EA2">
        <w:rPr>
          <w:rFonts w:asciiTheme="minorHAnsi" w:hAnsiTheme="minorHAnsi"/>
          <w:sz w:val="20"/>
          <w:szCs w:val="20"/>
        </w:rPr>
        <w:t xml:space="preserve">and </w:t>
      </w:r>
      <w:r w:rsidRPr="00D01D3C">
        <w:rPr>
          <w:rFonts w:asciiTheme="minorHAnsi" w:hAnsiTheme="minorHAnsi"/>
          <w:sz w:val="20"/>
          <w:szCs w:val="20"/>
        </w:rPr>
        <w:t xml:space="preserve">often manufactured to meet specific customer needs. </w:t>
      </w:r>
      <w:r w:rsidR="000A453F">
        <w:rPr>
          <w:rFonts w:asciiTheme="minorHAnsi" w:hAnsiTheme="minorHAnsi"/>
          <w:sz w:val="20"/>
          <w:szCs w:val="20"/>
        </w:rPr>
        <w:t xml:space="preserve">In </w:t>
      </w:r>
      <w:r w:rsidR="00973EA2">
        <w:rPr>
          <w:rFonts w:asciiTheme="minorHAnsi" w:hAnsiTheme="minorHAnsi"/>
          <w:sz w:val="20"/>
          <w:szCs w:val="20"/>
        </w:rPr>
        <w:t xml:space="preserve">some businesses, such as Traulsen Refrigeration, </w:t>
      </w:r>
      <w:r w:rsidR="007B69DD">
        <w:rPr>
          <w:rFonts w:asciiTheme="minorHAnsi" w:hAnsiTheme="minorHAnsi"/>
          <w:sz w:val="20"/>
          <w:szCs w:val="20"/>
        </w:rPr>
        <w:t>a significant portion of their product offerings is</w:t>
      </w:r>
      <w:r w:rsidR="00973EA2">
        <w:rPr>
          <w:rFonts w:asciiTheme="minorHAnsi" w:hAnsiTheme="minorHAnsi"/>
          <w:sz w:val="20"/>
          <w:szCs w:val="20"/>
        </w:rPr>
        <w:t xml:space="preserve"> highly customizable – if not altogether customized – for specific end-users</w:t>
      </w:r>
      <w:r w:rsidRPr="00D01D3C">
        <w:rPr>
          <w:rFonts w:asciiTheme="minorHAnsi" w:hAnsiTheme="minorHAnsi"/>
          <w:sz w:val="20"/>
          <w:szCs w:val="20"/>
        </w:rPr>
        <w:t xml:space="preserve">. It is for products like these where ITW </w:t>
      </w:r>
      <w:r w:rsidR="00973EA2">
        <w:rPr>
          <w:rFonts w:asciiTheme="minorHAnsi" w:hAnsiTheme="minorHAnsi"/>
          <w:sz w:val="20"/>
          <w:szCs w:val="20"/>
        </w:rPr>
        <w:t>i</w:t>
      </w:r>
      <w:r w:rsidR="000A453F">
        <w:rPr>
          <w:rFonts w:asciiTheme="minorHAnsi" w:hAnsiTheme="minorHAnsi"/>
          <w:sz w:val="20"/>
          <w:szCs w:val="20"/>
        </w:rPr>
        <w:t>s</w:t>
      </w:r>
      <w:r w:rsidR="00973EA2">
        <w:rPr>
          <w:rFonts w:asciiTheme="minorHAnsi" w:hAnsiTheme="minorHAnsi"/>
          <w:sz w:val="20"/>
          <w:szCs w:val="20"/>
        </w:rPr>
        <w:t xml:space="preserve"> facing </w:t>
      </w:r>
      <w:r w:rsidRPr="00D01D3C">
        <w:rPr>
          <w:rFonts w:asciiTheme="minorHAnsi" w:hAnsiTheme="minorHAnsi"/>
          <w:sz w:val="20"/>
          <w:szCs w:val="20"/>
        </w:rPr>
        <w:t xml:space="preserve">great trouble from </w:t>
      </w:r>
      <w:r w:rsidR="007B69DD">
        <w:rPr>
          <w:rFonts w:asciiTheme="minorHAnsi" w:hAnsiTheme="minorHAnsi"/>
          <w:sz w:val="20"/>
          <w:szCs w:val="20"/>
        </w:rPr>
        <w:t>ill conceived</w:t>
      </w:r>
      <w:r w:rsidR="00973EA2">
        <w:rPr>
          <w:rFonts w:asciiTheme="minorHAnsi" w:hAnsiTheme="minorHAnsi"/>
          <w:sz w:val="20"/>
          <w:szCs w:val="20"/>
        </w:rPr>
        <w:t xml:space="preserve"> and implemented </w:t>
      </w:r>
      <w:r w:rsidRPr="00D01D3C">
        <w:rPr>
          <w:rFonts w:asciiTheme="minorHAnsi" w:hAnsiTheme="minorHAnsi"/>
          <w:sz w:val="20"/>
          <w:szCs w:val="20"/>
        </w:rPr>
        <w:t xml:space="preserve">regulatory </w:t>
      </w:r>
      <w:r w:rsidR="00973EA2">
        <w:rPr>
          <w:rFonts w:asciiTheme="minorHAnsi" w:hAnsiTheme="minorHAnsi"/>
          <w:sz w:val="20"/>
          <w:szCs w:val="20"/>
        </w:rPr>
        <w:t xml:space="preserve">proposals that presume refrigerators are substantially similar because they share functionalities. Just the opposite is true. </w:t>
      </w:r>
    </w:p>
    <w:p w:rsidR="000A453F" w:rsidRDefault="000A453F" w:rsidP="00F73463">
      <w:pPr>
        <w:jc w:val="both"/>
        <w:rPr>
          <w:rFonts w:asciiTheme="minorHAnsi" w:hAnsiTheme="minorHAnsi"/>
          <w:sz w:val="20"/>
          <w:szCs w:val="20"/>
        </w:rPr>
      </w:pPr>
    </w:p>
    <w:p w:rsidR="00D16E82" w:rsidRPr="00A514D1" w:rsidRDefault="00973EA2" w:rsidP="00F73463">
      <w:pPr>
        <w:jc w:val="both"/>
        <w:rPr>
          <w:rFonts w:asciiTheme="minorHAnsi" w:hAnsiTheme="minorHAnsi"/>
          <w:sz w:val="20"/>
          <w:szCs w:val="20"/>
        </w:rPr>
      </w:pPr>
      <w:r>
        <w:rPr>
          <w:rFonts w:asciiTheme="minorHAnsi" w:hAnsiTheme="minorHAnsi"/>
          <w:sz w:val="20"/>
          <w:szCs w:val="20"/>
        </w:rPr>
        <w:t xml:space="preserve">As one of the largest commercial refrigeration product manufacturers, Traulsen’s product scope exceeds 500 basic products with refrigeration and/or freezing capabilities; and each has distinct – and collectively disparate - timelines </w:t>
      </w:r>
      <w:r w:rsidR="000A453F">
        <w:rPr>
          <w:rFonts w:asciiTheme="minorHAnsi" w:hAnsiTheme="minorHAnsi"/>
          <w:sz w:val="20"/>
          <w:szCs w:val="20"/>
        </w:rPr>
        <w:t xml:space="preserve">to </w:t>
      </w:r>
      <w:r>
        <w:rPr>
          <w:rFonts w:asciiTheme="minorHAnsi" w:hAnsiTheme="minorHAnsi"/>
          <w:sz w:val="20"/>
          <w:szCs w:val="20"/>
        </w:rPr>
        <w:t xml:space="preserve">which any changes can result in </w:t>
      </w:r>
      <w:proofErr w:type="gramStart"/>
      <w:r>
        <w:rPr>
          <w:rFonts w:asciiTheme="minorHAnsi" w:hAnsiTheme="minorHAnsi"/>
          <w:sz w:val="20"/>
          <w:szCs w:val="20"/>
        </w:rPr>
        <w:t>a new</w:t>
      </w:r>
      <w:proofErr w:type="gramEnd"/>
      <w:r>
        <w:rPr>
          <w:rFonts w:asciiTheme="minorHAnsi" w:hAnsiTheme="minorHAnsi"/>
          <w:sz w:val="20"/>
          <w:szCs w:val="20"/>
        </w:rPr>
        <w:t xml:space="preserve"> market iteration. A similar story is true throughout ITW FEG’s US businesses. Multiply that impact by the hundreds of </w:t>
      </w:r>
      <w:r w:rsidR="00A514D1">
        <w:rPr>
          <w:rFonts w:asciiTheme="minorHAnsi" w:hAnsiTheme="minorHAnsi"/>
          <w:sz w:val="20"/>
          <w:szCs w:val="20"/>
        </w:rPr>
        <w:t xml:space="preserve">Traulsen </w:t>
      </w:r>
      <w:r w:rsidR="000A453F">
        <w:rPr>
          <w:rFonts w:asciiTheme="minorHAnsi" w:hAnsiTheme="minorHAnsi"/>
          <w:sz w:val="20"/>
          <w:szCs w:val="20"/>
        </w:rPr>
        <w:t xml:space="preserve">peer </w:t>
      </w:r>
      <w:r w:rsidR="00A514D1">
        <w:rPr>
          <w:rFonts w:asciiTheme="minorHAnsi" w:hAnsiTheme="minorHAnsi"/>
          <w:sz w:val="20"/>
          <w:szCs w:val="20"/>
        </w:rPr>
        <w:t xml:space="preserve">competitors nationwide and it quickly becomes clear the incredible amount of due diligence and stakeholder collaboration </w:t>
      </w:r>
      <w:bookmarkStart w:id="1" w:name="_GoBack"/>
      <w:bookmarkEnd w:id="1"/>
      <w:r w:rsidR="00A514D1">
        <w:rPr>
          <w:rFonts w:asciiTheme="minorHAnsi" w:hAnsiTheme="minorHAnsi"/>
          <w:sz w:val="20"/>
          <w:szCs w:val="20"/>
        </w:rPr>
        <w:t xml:space="preserve">necessary to </w:t>
      </w:r>
      <w:r w:rsidR="00A514D1">
        <w:rPr>
          <w:rFonts w:asciiTheme="minorHAnsi" w:hAnsiTheme="minorHAnsi"/>
          <w:sz w:val="20"/>
          <w:szCs w:val="20"/>
          <w:u w:val="single"/>
        </w:rPr>
        <w:t>correctly</w:t>
      </w:r>
      <w:r w:rsidR="00A514D1">
        <w:rPr>
          <w:rFonts w:asciiTheme="minorHAnsi" w:hAnsiTheme="minorHAnsi"/>
          <w:sz w:val="20"/>
          <w:szCs w:val="20"/>
        </w:rPr>
        <w:t xml:space="preserve"> promulgate industry-wide changes.</w:t>
      </w:r>
    </w:p>
    <w:p w:rsidR="007539D6" w:rsidRPr="00D01D3C" w:rsidRDefault="007539D6" w:rsidP="00F73463">
      <w:pPr>
        <w:jc w:val="both"/>
        <w:rPr>
          <w:rFonts w:asciiTheme="minorHAnsi" w:hAnsiTheme="minorHAnsi"/>
          <w:sz w:val="20"/>
          <w:szCs w:val="20"/>
        </w:rPr>
      </w:pPr>
    </w:p>
    <w:p w:rsidR="007539D6" w:rsidRPr="00D01D3C" w:rsidRDefault="007539D6" w:rsidP="00D01D3C">
      <w:pPr>
        <w:pStyle w:val="ListParagraph"/>
        <w:numPr>
          <w:ilvl w:val="0"/>
          <w:numId w:val="9"/>
          <w:numberingChange w:id="2" w:author="skw" w:date="2015-06-12T20:38:00Z" w:original="%1:2:1:."/>
        </w:numPr>
        <w:ind w:left="360"/>
        <w:jc w:val="both"/>
        <w:rPr>
          <w:rFonts w:asciiTheme="minorHAnsi" w:hAnsiTheme="minorHAnsi"/>
          <w:sz w:val="20"/>
          <w:szCs w:val="20"/>
        </w:rPr>
      </w:pPr>
      <w:r w:rsidRPr="00D01D3C">
        <w:rPr>
          <w:rFonts w:asciiTheme="minorHAnsi" w:hAnsiTheme="minorHAnsi"/>
          <w:sz w:val="20"/>
          <w:szCs w:val="20"/>
        </w:rPr>
        <w:t>HFC reduction</w:t>
      </w:r>
    </w:p>
    <w:p w:rsidR="007539D6" w:rsidRPr="00D01D3C" w:rsidRDefault="007539D6" w:rsidP="00F73463">
      <w:pPr>
        <w:jc w:val="both"/>
        <w:rPr>
          <w:rFonts w:asciiTheme="minorHAnsi" w:hAnsiTheme="minorHAnsi"/>
          <w:sz w:val="20"/>
          <w:szCs w:val="20"/>
        </w:rPr>
      </w:pPr>
    </w:p>
    <w:p w:rsidR="007539D6" w:rsidRPr="00D01D3C" w:rsidRDefault="007539D6" w:rsidP="00F73463">
      <w:pPr>
        <w:jc w:val="both"/>
        <w:rPr>
          <w:rFonts w:asciiTheme="minorHAnsi" w:hAnsiTheme="minorHAnsi"/>
          <w:sz w:val="20"/>
          <w:szCs w:val="20"/>
        </w:rPr>
      </w:pPr>
      <w:r w:rsidRPr="00D01D3C">
        <w:rPr>
          <w:rFonts w:asciiTheme="minorHAnsi" w:hAnsiTheme="minorHAnsi"/>
          <w:sz w:val="20"/>
          <w:szCs w:val="20"/>
        </w:rPr>
        <w:t xml:space="preserve">The Concept Plan reiterates the goal of HFC reduction statewide, and specifies an 80 percent “phase-down [of] HFC production and import . . . by 2030” objective that aligns with regional and global commitments under the Montreal Protocol (Strategy Concept Paper at page 27). This provision goes on to espouse further HFC reductions in California alone “as quickly as possible.” ITW is aware that the May 27 public meeting outlined the Board’s broad vision, expecting to create a working outline in its </w:t>
      </w:r>
      <w:r w:rsidR="00C86372" w:rsidRPr="00D01D3C">
        <w:rPr>
          <w:rFonts w:asciiTheme="minorHAnsi" w:hAnsiTheme="minorHAnsi"/>
          <w:sz w:val="20"/>
          <w:szCs w:val="20"/>
        </w:rPr>
        <w:t>upcoming</w:t>
      </w:r>
      <w:r w:rsidRPr="00D01D3C">
        <w:rPr>
          <w:rFonts w:asciiTheme="minorHAnsi" w:hAnsiTheme="minorHAnsi"/>
          <w:sz w:val="20"/>
          <w:szCs w:val="20"/>
        </w:rPr>
        <w:t xml:space="preserve"> Draft Strategy. We would strong</w:t>
      </w:r>
      <w:r w:rsidR="0031186C" w:rsidRPr="00D01D3C">
        <w:rPr>
          <w:rFonts w:asciiTheme="minorHAnsi" w:hAnsiTheme="minorHAnsi"/>
          <w:sz w:val="20"/>
          <w:szCs w:val="20"/>
        </w:rPr>
        <w:t xml:space="preserve">ly encourage the Board to craft its Draft Strategy so as not to further complicate already disparate compliance proposals for HFC reduction in North America and the </w:t>
      </w:r>
      <w:r w:rsidR="000A453F">
        <w:rPr>
          <w:rFonts w:asciiTheme="minorHAnsi" w:hAnsiTheme="minorHAnsi"/>
          <w:sz w:val="20"/>
          <w:szCs w:val="20"/>
        </w:rPr>
        <w:t>European Union (EU)</w:t>
      </w:r>
      <w:r w:rsidR="0031186C" w:rsidRPr="00D01D3C">
        <w:rPr>
          <w:rFonts w:asciiTheme="minorHAnsi" w:hAnsiTheme="minorHAnsi"/>
          <w:sz w:val="20"/>
          <w:szCs w:val="20"/>
        </w:rPr>
        <w:t xml:space="preserve">. </w:t>
      </w:r>
    </w:p>
    <w:p w:rsidR="0031186C" w:rsidRPr="00D01D3C" w:rsidRDefault="0031186C" w:rsidP="00F73463">
      <w:pPr>
        <w:jc w:val="both"/>
        <w:rPr>
          <w:rFonts w:asciiTheme="minorHAnsi" w:hAnsiTheme="minorHAnsi"/>
          <w:sz w:val="20"/>
          <w:szCs w:val="20"/>
        </w:rPr>
      </w:pPr>
    </w:p>
    <w:p w:rsidR="000A453F" w:rsidRDefault="0031186C" w:rsidP="00C86372">
      <w:pPr>
        <w:jc w:val="both"/>
        <w:rPr>
          <w:rFonts w:asciiTheme="minorHAnsi" w:hAnsiTheme="minorHAnsi"/>
          <w:sz w:val="20"/>
          <w:szCs w:val="20"/>
        </w:rPr>
      </w:pPr>
      <w:r w:rsidRPr="00D01D3C">
        <w:rPr>
          <w:rFonts w:asciiTheme="minorHAnsi" w:hAnsiTheme="minorHAnsi"/>
          <w:sz w:val="20"/>
          <w:szCs w:val="20"/>
        </w:rPr>
        <w:t>As you know, the US EPA, EU and Canada have all introduced (or finalized in the EU’s case) F-gas reduction proposals applying a range of compliance dates according to product categories</w:t>
      </w:r>
      <w:r w:rsidR="000A453F">
        <w:rPr>
          <w:rFonts w:asciiTheme="minorHAnsi" w:hAnsiTheme="minorHAnsi"/>
          <w:sz w:val="20"/>
          <w:szCs w:val="20"/>
        </w:rPr>
        <w:t xml:space="preserve"> or indexed to specific chemical global warming potential (GWP) values</w:t>
      </w:r>
      <w:r w:rsidRPr="00D01D3C">
        <w:rPr>
          <w:rFonts w:asciiTheme="minorHAnsi" w:hAnsiTheme="minorHAnsi"/>
          <w:sz w:val="20"/>
          <w:szCs w:val="20"/>
        </w:rPr>
        <w:t xml:space="preserve">. We offer two observations on these approaches. </w:t>
      </w:r>
    </w:p>
    <w:p w:rsidR="000A453F" w:rsidRDefault="000A453F" w:rsidP="00C86372">
      <w:pPr>
        <w:jc w:val="both"/>
        <w:rPr>
          <w:rFonts w:asciiTheme="minorHAnsi" w:hAnsiTheme="minorHAnsi"/>
          <w:sz w:val="20"/>
          <w:szCs w:val="20"/>
        </w:rPr>
      </w:pPr>
    </w:p>
    <w:p w:rsidR="00546B67" w:rsidRPr="00D01D3C" w:rsidRDefault="0031186C" w:rsidP="00C86372">
      <w:pPr>
        <w:jc w:val="both"/>
        <w:rPr>
          <w:rFonts w:asciiTheme="minorHAnsi" w:hAnsiTheme="minorHAnsi"/>
          <w:sz w:val="20"/>
          <w:szCs w:val="20"/>
        </w:rPr>
      </w:pPr>
      <w:r w:rsidRPr="00D01D3C">
        <w:rPr>
          <w:rFonts w:asciiTheme="minorHAnsi" w:hAnsiTheme="minorHAnsi"/>
          <w:sz w:val="20"/>
          <w:szCs w:val="20"/>
        </w:rPr>
        <w:t xml:space="preserve">First, there is discordance among the </w:t>
      </w:r>
      <w:r w:rsidR="00C86372" w:rsidRPr="00D01D3C">
        <w:rPr>
          <w:rFonts w:asciiTheme="minorHAnsi" w:hAnsiTheme="minorHAnsi"/>
          <w:sz w:val="20"/>
          <w:szCs w:val="20"/>
        </w:rPr>
        <w:t>proposals</w:t>
      </w:r>
      <w:r w:rsidRPr="00D01D3C">
        <w:rPr>
          <w:rFonts w:asciiTheme="minorHAnsi" w:hAnsiTheme="minorHAnsi"/>
          <w:sz w:val="20"/>
          <w:szCs w:val="20"/>
        </w:rPr>
        <w:t xml:space="preserve"> about product categories. For example, within commercial refrigeration, the EPA’s </w:t>
      </w:r>
      <w:r w:rsidR="000A453F">
        <w:rPr>
          <w:rFonts w:asciiTheme="minorHAnsi" w:hAnsiTheme="minorHAnsi"/>
          <w:sz w:val="20"/>
          <w:szCs w:val="20"/>
        </w:rPr>
        <w:t xml:space="preserve">stakeholder discussions and </w:t>
      </w:r>
      <w:r w:rsidRPr="00D01D3C">
        <w:rPr>
          <w:rFonts w:asciiTheme="minorHAnsi" w:hAnsiTheme="minorHAnsi"/>
          <w:sz w:val="20"/>
          <w:szCs w:val="20"/>
        </w:rPr>
        <w:t xml:space="preserve">pending HFC regulation </w:t>
      </w:r>
      <w:r w:rsidR="000A453F">
        <w:rPr>
          <w:rFonts w:asciiTheme="minorHAnsi" w:hAnsiTheme="minorHAnsi"/>
          <w:sz w:val="20"/>
          <w:szCs w:val="20"/>
        </w:rPr>
        <w:t>propose</w:t>
      </w:r>
      <w:r w:rsidRPr="00D01D3C">
        <w:rPr>
          <w:rFonts w:asciiTheme="minorHAnsi" w:hAnsiTheme="minorHAnsi"/>
          <w:sz w:val="20"/>
          <w:szCs w:val="20"/>
        </w:rPr>
        <w:t xml:space="preserve"> compliance date</w:t>
      </w:r>
      <w:r w:rsidR="000A453F">
        <w:rPr>
          <w:rFonts w:asciiTheme="minorHAnsi" w:hAnsiTheme="minorHAnsi"/>
          <w:sz w:val="20"/>
          <w:szCs w:val="20"/>
        </w:rPr>
        <w:t>s</w:t>
      </w:r>
      <w:r w:rsidRPr="00D01D3C">
        <w:rPr>
          <w:rFonts w:asciiTheme="minorHAnsi" w:hAnsiTheme="minorHAnsi"/>
          <w:sz w:val="20"/>
          <w:szCs w:val="20"/>
        </w:rPr>
        <w:t xml:space="preserve"> to categor</w:t>
      </w:r>
      <w:r w:rsidR="000A453F">
        <w:rPr>
          <w:rFonts w:asciiTheme="minorHAnsi" w:hAnsiTheme="minorHAnsi"/>
          <w:sz w:val="20"/>
          <w:szCs w:val="20"/>
        </w:rPr>
        <w:t>ies</w:t>
      </w:r>
      <w:r w:rsidRPr="00D01D3C">
        <w:rPr>
          <w:rFonts w:asciiTheme="minorHAnsi" w:hAnsiTheme="minorHAnsi"/>
          <w:sz w:val="20"/>
          <w:szCs w:val="20"/>
        </w:rPr>
        <w:t xml:space="preserve"> of “stand alone” commercial products. However, across the commercial refrigeration product manufacturing industry, a unit that “stands alone” can vary widely in size, function, engineering, component content and, ultimately, refrigerant </w:t>
      </w:r>
      <w:r w:rsidR="000A453F">
        <w:rPr>
          <w:rFonts w:asciiTheme="minorHAnsi" w:hAnsiTheme="minorHAnsi"/>
          <w:sz w:val="20"/>
          <w:szCs w:val="20"/>
        </w:rPr>
        <w:t xml:space="preserve">and foam / foam blowing agent </w:t>
      </w:r>
      <w:r w:rsidRPr="00D01D3C">
        <w:rPr>
          <w:rFonts w:asciiTheme="minorHAnsi" w:hAnsiTheme="minorHAnsi"/>
          <w:sz w:val="20"/>
          <w:szCs w:val="20"/>
        </w:rPr>
        <w:t xml:space="preserve">usage. ITW and other companies in our space repeatedly shared this </w:t>
      </w:r>
      <w:r w:rsidR="000A453F">
        <w:rPr>
          <w:rFonts w:asciiTheme="minorHAnsi" w:hAnsiTheme="minorHAnsi"/>
          <w:sz w:val="20"/>
          <w:szCs w:val="20"/>
        </w:rPr>
        <w:t>industry insight</w:t>
      </w:r>
      <w:r w:rsidR="000A453F" w:rsidRPr="00D01D3C">
        <w:rPr>
          <w:rFonts w:asciiTheme="minorHAnsi" w:hAnsiTheme="minorHAnsi"/>
          <w:sz w:val="20"/>
          <w:szCs w:val="20"/>
        </w:rPr>
        <w:t xml:space="preserve"> </w:t>
      </w:r>
      <w:r w:rsidRPr="00D01D3C">
        <w:rPr>
          <w:rFonts w:asciiTheme="minorHAnsi" w:hAnsiTheme="minorHAnsi"/>
          <w:sz w:val="20"/>
          <w:szCs w:val="20"/>
        </w:rPr>
        <w:t xml:space="preserve">and caution with EPA so as to promote uniformity and prevent confusion in how the Agency’s rule would ultimately be written. Nevertheless, once published, the rule proceeded to preserve “stand alone” language that raises </w:t>
      </w:r>
      <w:r w:rsidR="00546B67" w:rsidRPr="00D01D3C">
        <w:rPr>
          <w:rFonts w:asciiTheme="minorHAnsi" w:hAnsiTheme="minorHAnsi"/>
          <w:sz w:val="20"/>
          <w:szCs w:val="20"/>
        </w:rPr>
        <w:t>questions. Second, EPA has – like CARB – recognized its efforts to reduce HFCs are shaped by the US’ participation in the Montreal Protocol. In that vein, the EPA’s proposed rule calls for a new product manufacture compliance date of January 1, 2016. Interestingly, its rule and this date were not officially revealed publicly until August 6, 2014. At most, the rule would allow less than 18 months from first proposal</w:t>
      </w:r>
      <w:r w:rsidR="000A453F">
        <w:rPr>
          <w:rFonts w:asciiTheme="minorHAnsi" w:hAnsiTheme="minorHAnsi"/>
          <w:sz w:val="20"/>
          <w:szCs w:val="20"/>
        </w:rPr>
        <w:t xml:space="preserve"> – </w:t>
      </w:r>
      <w:r w:rsidR="0035363C">
        <w:rPr>
          <w:rFonts w:asciiTheme="minorHAnsi" w:hAnsiTheme="minorHAnsi"/>
          <w:sz w:val="20"/>
          <w:szCs w:val="20"/>
        </w:rPr>
        <w:t>and currently</w:t>
      </w:r>
      <w:r w:rsidR="000A453F">
        <w:rPr>
          <w:rFonts w:asciiTheme="minorHAnsi" w:hAnsiTheme="minorHAnsi"/>
          <w:sz w:val="20"/>
          <w:szCs w:val="20"/>
        </w:rPr>
        <w:t xml:space="preserve"> </w:t>
      </w:r>
      <w:r w:rsidR="0035363C">
        <w:rPr>
          <w:rFonts w:asciiTheme="minorHAnsi" w:hAnsiTheme="minorHAnsi"/>
          <w:sz w:val="20"/>
          <w:szCs w:val="20"/>
        </w:rPr>
        <w:t xml:space="preserve">seven months </w:t>
      </w:r>
      <w:proofErr w:type="gramStart"/>
      <w:r w:rsidR="0035363C">
        <w:rPr>
          <w:rFonts w:asciiTheme="minorHAnsi" w:hAnsiTheme="minorHAnsi"/>
          <w:sz w:val="20"/>
          <w:szCs w:val="20"/>
        </w:rPr>
        <w:t xml:space="preserve">- </w:t>
      </w:r>
      <w:r w:rsidR="00546B67" w:rsidRPr="00D01D3C">
        <w:rPr>
          <w:rFonts w:asciiTheme="minorHAnsi" w:hAnsiTheme="minorHAnsi"/>
          <w:sz w:val="20"/>
          <w:szCs w:val="20"/>
        </w:rPr>
        <w:t xml:space="preserve"> which</w:t>
      </w:r>
      <w:proofErr w:type="gramEnd"/>
      <w:r w:rsidR="00546B67" w:rsidRPr="00D01D3C">
        <w:rPr>
          <w:rFonts w:asciiTheme="minorHAnsi" w:hAnsiTheme="minorHAnsi"/>
          <w:sz w:val="20"/>
          <w:szCs w:val="20"/>
        </w:rPr>
        <w:t xml:space="preserve"> is woefully inadequate to re-engineer complex</w:t>
      </w:r>
      <w:r w:rsidR="0035363C">
        <w:rPr>
          <w:rFonts w:asciiTheme="minorHAnsi" w:hAnsiTheme="minorHAnsi"/>
          <w:sz w:val="20"/>
          <w:szCs w:val="20"/>
        </w:rPr>
        <w:t xml:space="preserve">, large-scale </w:t>
      </w:r>
      <w:r w:rsidR="00546B67" w:rsidRPr="00D01D3C">
        <w:rPr>
          <w:rFonts w:asciiTheme="minorHAnsi" w:hAnsiTheme="minorHAnsi"/>
          <w:sz w:val="20"/>
          <w:szCs w:val="20"/>
        </w:rPr>
        <w:t xml:space="preserve">refrigeration products and does not give manufacturers the certainty needed to begin making products accounting for how the rule will look in its final form. Yet, at its “simplest” look, policymakers argued that EPA’s “publicly discussing” its intentions should have provided signal enough to conduct all activities needed to comply in time. </w:t>
      </w:r>
      <w:r w:rsidR="00C86372" w:rsidRPr="00D01D3C">
        <w:rPr>
          <w:rFonts w:asciiTheme="minorHAnsi" w:hAnsiTheme="minorHAnsi"/>
          <w:sz w:val="20"/>
          <w:szCs w:val="20"/>
        </w:rPr>
        <w:t xml:space="preserve">ITW counters, however, that the EPA HFC restrictions rule prompted </w:t>
      </w:r>
      <w:r w:rsidR="0035363C">
        <w:rPr>
          <w:rFonts w:asciiTheme="minorHAnsi" w:hAnsiTheme="minorHAnsi"/>
          <w:sz w:val="20"/>
          <w:szCs w:val="20"/>
        </w:rPr>
        <w:t>several thousand</w:t>
      </w:r>
      <w:r w:rsidR="00C86372" w:rsidRPr="00D01D3C">
        <w:rPr>
          <w:rFonts w:asciiTheme="minorHAnsi" w:hAnsiTheme="minorHAnsi"/>
          <w:sz w:val="20"/>
          <w:szCs w:val="20"/>
        </w:rPr>
        <w:t xml:space="preserve"> written comments, the disproportionate number of which came from manufacturers excoriating the Agency for short-sighting industry’s needs for an effective and thorough product transition away from HFC use.</w:t>
      </w:r>
    </w:p>
    <w:p w:rsidR="00546B67" w:rsidRPr="00D01D3C" w:rsidRDefault="00546B67" w:rsidP="00C86372">
      <w:pPr>
        <w:jc w:val="both"/>
        <w:rPr>
          <w:rFonts w:asciiTheme="minorHAnsi" w:hAnsiTheme="minorHAnsi"/>
          <w:sz w:val="20"/>
          <w:szCs w:val="20"/>
        </w:rPr>
      </w:pPr>
    </w:p>
    <w:p w:rsidR="00B11284" w:rsidRDefault="00BD0D18" w:rsidP="00C86372">
      <w:pPr>
        <w:rPr>
          <w:rFonts w:asciiTheme="minorHAnsi" w:hAnsiTheme="minorHAnsi"/>
          <w:sz w:val="20"/>
          <w:szCs w:val="20"/>
        </w:rPr>
      </w:pPr>
      <w:r w:rsidRPr="00D01D3C">
        <w:rPr>
          <w:rFonts w:asciiTheme="minorHAnsi" w:hAnsiTheme="minorHAnsi"/>
          <w:sz w:val="20"/>
          <w:szCs w:val="20"/>
        </w:rPr>
        <w:t>In addition to EPA-proposed compliance are offerings from the Canada and the EU, which provide compliance dates of 2019 (Canada proposed), 2020 (EU final – refrigerant use) and 2022 (EU final – foam use) for self-contained</w:t>
      </w:r>
      <w:r w:rsidR="0035363C">
        <w:rPr>
          <w:rFonts w:asciiTheme="minorHAnsi" w:hAnsiTheme="minorHAnsi"/>
          <w:sz w:val="20"/>
          <w:szCs w:val="20"/>
        </w:rPr>
        <w:t xml:space="preserve"> (in industry parlance), or</w:t>
      </w:r>
      <w:r w:rsidRPr="00D01D3C">
        <w:rPr>
          <w:rFonts w:asciiTheme="minorHAnsi" w:hAnsiTheme="minorHAnsi"/>
          <w:sz w:val="20"/>
          <w:szCs w:val="20"/>
        </w:rPr>
        <w:t xml:space="preserve"> “stand alone,” commercial refrigeration. On the one hand, ITW welcomes the more reasonable compliance dates offered under these rules. What the texts alone do not fully reflect, though, is the difference in approach</w:t>
      </w:r>
      <w:r w:rsidR="00B11284" w:rsidRPr="00D01D3C">
        <w:rPr>
          <w:rFonts w:asciiTheme="minorHAnsi" w:hAnsiTheme="minorHAnsi"/>
          <w:sz w:val="20"/>
          <w:szCs w:val="20"/>
        </w:rPr>
        <w:t xml:space="preserve">es among the three regulations. </w:t>
      </w:r>
    </w:p>
    <w:p w:rsidR="0035363C" w:rsidRPr="00D01D3C" w:rsidRDefault="0035363C" w:rsidP="00C86372">
      <w:pPr>
        <w:rPr>
          <w:rFonts w:asciiTheme="minorHAnsi" w:hAnsiTheme="minorHAnsi"/>
          <w:sz w:val="20"/>
          <w:szCs w:val="20"/>
        </w:rPr>
      </w:pPr>
    </w:p>
    <w:p w:rsidR="00546B67" w:rsidRPr="00D01D3C" w:rsidRDefault="00B11284" w:rsidP="00C86372">
      <w:pPr>
        <w:rPr>
          <w:rFonts w:asciiTheme="minorHAnsi" w:hAnsiTheme="minorHAnsi"/>
          <w:sz w:val="20"/>
          <w:szCs w:val="20"/>
        </w:rPr>
      </w:pPr>
      <w:r w:rsidRPr="00D01D3C">
        <w:rPr>
          <w:rFonts w:asciiTheme="minorHAnsi" w:hAnsiTheme="minorHAnsi"/>
          <w:sz w:val="20"/>
          <w:szCs w:val="20"/>
        </w:rPr>
        <w:t xml:space="preserve">The EU’s F-gas directive was finalized after at least seven years of active and collaborative work among all stakeholders – government, manufacturers, other industry, and advocates. Moreover, the EU’s approach began even earlier, in the early 2000s, to </w:t>
      </w:r>
      <w:r w:rsidR="0035363C">
        <w:rPr>
          <w:rFonts w:asciiTheme="minorHAnsi" w:hAnsiTheme="minorHAnsi"/>
          <w:sz w:val="20"/>
          <w:szCs w:val="20"/>
        </w:rPr>
        <w:t xml:space="preserve">first </w:t>
      </w:r>
      <w:r w:rsidRPr="00D01D3C">
        <w:rPr>
          <w:rFonts w:asciiTheme="minorHAnsi" w:hAnsiTheme="minorHAnsi"/>
          <w:sz w:val="20"/>
          <w:szCs w:val="20"/>
        </w:rPr>
        <w:t xml:space="preserve">examine the volume of presence of HFCs broadly in the marketplace, then to institute regulations to stem leakage in marketplace equipment – all of which preceded attempts to reduce/remove HFCs from use in the marketplace. Thus, the EU’s collaborative and progressive policy advancement not only promotes stakeholder goal ownership, </w:t>
      </w:r>
      <w:r w:rsidR="007B69DD" w:rsidRPr="00D01D3C">
        <w:rPr>
          <w:rFonts w:asciiTheme="minorHAnsi" w:hAnsiTheme="minorHAnsi"/>
          <w:sz w:val="20"/>
          <w:szCs w:val="20"/>
        </w:rPr>
        <w:t>but also</w:t>
      </w:r>
      <w:r w:rsidRPr="00D01D3C">
        <w:rPr>
          <w:rFonts w:asciiTheme="minorHAnsi" w:hAnsiTheme="minorHAnsi"/>
          <w:sz w:val="20"/>
          <w:szCs w:val="20"/>
        </w:rPr>
        <w:t xml:space="preserve"> is proven to be effective given the relative ease with which the F-gas directive has been adopted and manufacturers are </w:t>
      </w:r>
      <w:r w:rsidR="0035363C">
        <w:rPr>
          <w:rFonts w:asciiTheme="minorHAnsi" w:hAnsiTheme="minorHAnsi"/>
          <w:sz w:val="20"/>
          <w:szCs w:val="20"/>
        </w:rPr>
        <w:t>already in compliance</w:t>
      </w:r>
      <w:r w:rsidRPr="00D01D3C">
        <w:rPr>
          <w:rFonts w:asciiTheme="minorHAnsi" w:hAnsiTheme="minorHAnsi"/>
          <w:sz w:val="20"/>
          <w:szCs w:val="20"/>
        </w:rPr>
        <w:t xml:space="preserve">. </w:t>
      </w:r>
      <w:r w:rsidR="0035363C">
        <w:rPr>
          <w:rFonts w:asciiTheme="minorHAnsi" w:hAnsiTheme="minorHAnsi"/>
          <w:sz w:val="20"/>
          <w:szCs w:val="20"/>
        </w:rPr>
        <w:t>F</w:t>
      </w:r>
      <w:r w:rsidRPr="00D01D3C">
        <w:rPr>
          <w:rFonts w:asciiTheme="minorHAnsi" w:hAnsiTheme="minorHAnsi"/>
          <w:sz w:val="20"/>
          <w:szCs w:val="20"/>
        </w:rPr>
        <w:t>inally, European regulators recognize product complexities and transition timelines needed by manufacturers even though the EU’s HFC transition has been under discussions for almost 15 years. Taken together, ITW would note the enhanced chances of success that California and CARB could realize with the proper approach and time taken to pursue HFC reduction goals.</w:t>
      </w:r>
    </w:p>
    <w:p w:rsidR="00B11284" w:rsidRPr="00D01D3C" w:rsidRDefault="00B11284" w:rsidP="00C86372">
      <w:pPr>
        <w:rPr>
          <w:rFonts w:asciiTheme="minorHAnsi" w:hAnsiTheme="minorHAnsi"/>
          <w:sz w:val="20"/>
          <w:szCs w:val="20"/>
        </w:rPr>
      </w:pPr>
    </w:p>
    <w:p w:rsidR="00B11284" w:rsidRDefault="00B11284" w:rsidP="00C86372">
      <w:pPr>
        <w:rPr>
          <w:rFonts w:asciiTheme="minorHAnsi" w:hAnsiTheme="minorHAnsi"/>
          <w:sz w:val="20"/>
          <w:szCs w:val="20"/>
          <w:u w:val="single"/>
        </w:rPr>
      </w:pPr>
      <w:r w:rsidRPr="00D01D3C">
        <w:rPr>
          <w:rFonts w:asciiTheme="minorHAnsi" w:hAnsiTheme="minorHAnsi"/>
          <w:sz w:val="20"/>
          <w:szCs w:val="20"/>
          <w:u w:val="single"/>
        </w:rPr>
        <w:t>Market readiness/commercial availability</w:t>
      </w:r>
    </w:p>
    <w:p w:rsidR="0035363C" w:rsidRPr="00D01D3C" w:rsidRDefault="0035363C" w:rsidP="00C86372">
      <w:pPr>
        <w:rPr>
          <w:rFonts w:asciiTheme="minorHAnsi" w:hAnsiTheme="minorHAnsi"/>
          <w:sz w:val="20"/>
          <w:szCs w:val="20"/>
          <w:u w:val="single"/>
        </w:rPr>
      </w:pPr>
    </w:p>
    <w:p w:rsidR="0035363C" w:rsidRDefault="00E84A33" w:rsidP="00C86372">
      <w:pPr>
        <w:rPr>
          <w:rFonts w:asciiTheme="minorHAnsi" w:hAnsiTheme="minorHAnsi"/>
          <w:sz w:val="20"/>
          <w:szCs w:val="20"/>
        </w:rPr>
      </w:pPr>
      <w:r w:rsidRPr="00D01D3C">
        <w:rPr>
          <w:rFonts w:asciiTheme="minorHAnsi" w:hAnsiTheme="minorHAnsi"/>
          <w:sz w:val="20"/>
          <w:szCs w:val="20"/>
        </w:rPr>
        <w:t xml:space="preserve">The stand-alone refrigeration industry first became aware of a focus on R134a during an EPA meeting in February 2014. Manufacturers had to rapidly begin talks with refrigerant alternative vendors for test supplies while they re-engineered products to contemplate EPA’s HFC changes. In the year-plus since that EPA stakeholder meeting, there have been widespread reports of alternatives’ shortages from, what seemingly </w:t>
      </w:r>
      <w:proofErr w:type="gramStart"/>
      <w:r w:rsidR="007B69DD">
        <w:rPr>
          <w:rFonts w:asciiTheme="minorHAnsi" w:hAnsiTheme="minorHAnsi"/>
          <w:sz w:val="20"/>
          <w:szCs w:val="20"/>
        </w:rPr>
        <w:t>is</w:t>
      </w:r>
      <w:proofErr w:type="gramEnd"/>
      <w:r w:rsidR="0035363C">
        <w:rPr>
          <w:rFonts w:asciiTheme="minorHAnsi" w:hAnsiTheme="minorHAnsi"/>
          <w:sz w:val="20"/>
          <w:szCs w:val="20"/>
        </w:rPr>
        <w:t>,</w:t>
      </w:r>
      <w:r w:rsidRPr="00D01D3C">
        <w:rPr>
          <w:rFonts w:asciiTheme="minorHAnsi" w:hAnsiTheme="minorHAnsi"/>
          <w:sz w:val="20"/>
          <w:szCs w:val="20"/>
        </w:rPr>
        <w:t xml:space="preserve"> a lone developer and supplier of lower-GWP refrigerants and foam blowing agents. In fact, several manufacturers have reported in private and public meetings their difficulties obtaining sample supplies of alternative refrigerants or foam blowing agents to test with prototype products</w:t>
      </w:r>
      <w:r w:rsidR="0035363C">
        <w:rPr>
          <w:rFonts w:asciiTheme="minorHAnsi" w:hAnsiTheme="minorHAnsi"/>
          <w:sz w:val="20"/>
          <w:szCs w:val="20"/>
        </w:rPr>
        <w:t>, which directly contradicts some of the comments offered during CARB’s May 27 public meeting by supporters of the state’s HFC reduction objective.</w:t>
      </w:r>
      <w:r w:rsidRPr="00D01D3C">
        <w:rPr>
          <w:rFonts w:asciiTheme="minorHAnsi" w:hAnsiTheme="minorHAnsi"/>
          <w:sz w:val="20"/>
          <w:szCs w:val="20"/>
        </w:rPr>
        <w:t xml:space="preserve"> </w:t>
      </w:r>
    </w:p>
    <w:p w:rsidR="0035363C" w:rsidRDefault="0035363C" w:rsidP="00C86372">
      <w:pPr>
        <w:rPr>
          <w:rFonts w:asciiTheme="minorHAnsi" w:hAnsiTheme="minorHAnsi"/>
          <w:sz w:val="20"/>
          <w:szCs w:val="20"/>
        </w:rPr>
      </w:pPr>
    </w:p>
    <w:p w:rsidR="00E84A33" w:rsidRPr="00D01D3C" w:rsidRDefault="00E84A33" w:rsidP="00C86372">
      <w:pPr>
        <w:rPr>
          <w:rFonts w:asciiTheme="minorHAnsi" w:hAnsiTheme="minorHAnsi"/>
          <w:sz w:val="20"/>
          <w:szCs w:val="20"/>
        </w:rPr>
      </w:pPr>
      <w:r w:rsidRPr="00D01D3C">
        <w:rPr>
          <w:rFonts w:asciiTheme="minorHAnsi" w:hAnsiTheme="minorHAnsi"/>
          <w:sz w:val="20"/>
          <w:szCs w:val="20"/>
        </w:rPr>
        <w:t xml:space="preserve">Within the stand-alone refrigeration sector itself, suppliers have conceded that our product marketplace is not ready for a </w:t>
      </w:r>
      <w:r w:rsidR="0035363C">
        <w:rPr>
          <w:rFonts w:asciiTheme="minorHAnsi" w:hAnsiTheme="minorHAnsi"/>
          <w:sz w:val="20"/>
          <w:szCs w:val="20"/>
        </w:rPr>
        <w:t>near-term</w:t>
      </w:r>
      <w:r w:rsidR="0035363C" w:rsidRPr="00D01D3C">
        <w:rPr>
          <w:rFonts w:asciiTheme="minorHAnsi" w:hAnsiTheme="minorHAnsi"/>
          <w:sz w:val="20"/>
          <w:szCs w:val="20"/>
        </w:rPr>
        <w:t xml:space="preserve"> </w:t>
      </w:r>
      <w:r w:rsidRPr="00D01D3C">
        <w:rPr>
          <w:rFonts w:asciiTheme="minorHAnsi" w:hAnsiTheme="minorHAnsi"/>
          <w:sz w:val="20"/>
          <w:szCs w:val="20"/>
        </w:rPr>
        <w:t>substance transition, as the EPA would dictate, because – among other reasons – there is a</w:t>
      </w:r>
      <w:r w:rsidR="0035363C">
        <w:rPr>
          <w:rFonts w:asciiTheme="minorHAnsi" w:hAnsiTheme="minorHAnsi"/>
          <w:sz w:val="20"/>
          <w:szCs w:val="20"/>
        </w:rPr>
        <w:t xml:space="preserve">n abject </w:t>
      </w:r>
      <w:r w:rsidRPr="00D01D3C">
        <w:rPr>
          <w:rFonts w:asciiTheme="minorHAnsi" w:hAnsiTheme="minorHAnsi"/>
          <w:sz w:val="20"/>
          <w:szCs w:val="20"/>
        </w:rPr>
        <w:t xml:space="preserve">lack of substitute </w:t>
      </w:r>
      <w:r w:rsidR="00701136" w:rsidRPr="00D01D3C">
        <w:rPr>
          <w:rFonts w:asciiTheme="minorHAnsi" w:hAnsiTheme="minorHAnsi"/>
          <w:sz w:val="20"/>
          <w:szCs w:val="20"/>
        </w:rPr>
        <w:t xml:space="preserve">inventory to serve the majority of our industry. What makes this revelation worse </w:t>
      </w:r>
      <w:proofErr w:type="gramStart"/>
      <w:r w:rsidR="00701136" w:rsidRPr="00D01D3C">
        <w:rPr>
          <w:rFonts w:asciiTheme="minorHAnsi" w:hAnsiTheme="minorHAnsi"/>
          <w:sz w:val="20"/>
          <w:szCs w:val="20"/>
        </w:rPr>
        <w:t>is understanding</w:t>
      </w:r>
      <w:proofErr w:type="gramEnd"/>
      <w:r w:rsidR="00701136" w:rsidRPr="00D01D3C">
        <w:rPr>
          <w:rFonts w:asciiTheme="minorHAnsi" w:hAnsiTheme="minorHAnsi"/>
          <w:sz w:val="20"/>
          <w:szCs w:val="20"/>
        </w:rPr>
        <w:t xml:space="preserve"> our sector’s HFC consumption relative to other </w:t>
      </w:r>
      <w:r w:rsidR="0035363C">
        <w:rPr>
          <w:rFonts w:asciiTheme="minorHAnsi" w:hAnsiTheme="minorHAnsi"/>
          <w:sz w:val="20"/>
          <w:szCs w:val="20"/>
        </w:rPr>
        <w:t>manufactured goods, such as the motor vehicles and HVAC</w:t>
      </w:r>
      <w:r w:rsidR="00701136" w:rsidRPr="00D01D3C">
        <w:rPr>
          <w:rFonts w:asciiTheme="minorHAnsi" w:hAnsiTheme="minorHAnsi"/>
          <w:sz w:val="20"/>
          <w:szCs w:val="20"/>
        </w:rPr>
        <w:t>. So, the calculation many self-contained refrigeration manufacturers currently face – particularly the many small and medium-sized businesses relative to ITW – is the percentage of their product lines</w:t>
      </w:r>
      <w:r w:rsidR="007B69DD">
        <w:rPr>
          <w:rFonts w:asciiTheme="minorHAnsi" w:hAnsiTheme="minorHAnsi"/>
          <w:sz w:val="20"/>
          <w:szCs w:val="20"/>
        </w:rPr>
        <w:t>, and attendant revenue, jobs and economic development,</w:t>
      </w:r>
      <w:r w:rsidR="00701136" w:rsidRPr="00D01D3C">
        <w:rPr>
          <w:rFonts w:asciiTheme="minorHAnsi" w:hAnsiTheme="minorHAnsi"/>
          <w:sz w:val="20"/>
          <w:szCs w:val="20"/>
        </w:rPr>
        <w:t xml:space="preserve"> that </w:t>
      </w:r>
      <w:r w:rsidR="007B69DD">
        <w:rPr>
          <w:rFonts w:asciiTheme="minorHAnsi" w:hAnsiTheme="minorHAnsi"/>
          <w:sz w:val="20"/>
          <w:szCs w:val="20"/>
        </w:rPr>
        <w:t>would disappear</w:t>
      </w:r>
      <w:r w:rsidR="00701136" w:rsidRPr="00D01D3C">
        <w:rPr>
          <w:rFonts w:asciiTheme="minorHAnsi" w:hAnsiTheme="minorHAnsi"/>
          <w:sz w:val="20"/>
          <w:szCs w:val="20"/>
        </w:rPr>
        <w:t xml:space="preserve"> as of the EPA’s 2016 effective date because the alternative refrigerant makers simply cannot supply our industry – much less the broader refrigerant customer base –with adequate supplies </w:t>
      </w:r>
      <w:r w:rsidR="007B69DD">
        <w:rPr>
          <w:rFonts w:asciiTheme="minorHAnsi" w:hAnsiTheme="minorHAnsi"/>
          <w:sz w:val="20"/>
          <w:szCs w:val="20"/>
        </w:rPr>
        <w:t>under an overly aggressive schedule</w:t>
      </w:r>
      <w:r w:rsidR="00701136" w:rsidRPr="00D01D3C">
        <w:rPr>
          <w:rFonts w:asciiTheme="minorHAnsi" w:hAnsiTheme="minorHAnsi"/>
          <w:sz w:val="20"/>
          <w:szCs w:val="20"/>
        </w:rPr>
        <w:t>.</w:t>
      </w:r>
    </w:p>
    <w:p w:rsidR="00B11284" w:rsidRPr="00D01D3C" w:rsidRDefault="00B11284" w:rsidP="00C86372">
      <w:pPr>
        <w:rPr>
          <w:rFonts w:asciiTheme="minorHAnsi" w:hAnsiTheme="minorHAnsi"/>
          <w:sz w:val="20"/>
          <w:szCs w:val="20"/>
        </w:rPr>
      </w:pPr>
    </w:p>
    <w:p w:rsidR="00B11284" w:rsidRPr="00D01D3C" w:rsidRDefault="00B11284" w:rsidP="00C86372">
      <w:pPr>
        <w:rPr>
          <w:rFonts w:asciiTheme="minorHAnsi" w:hAnsiTheme="minorHAnsi"/>
          <w:sz w:val="20"/>
          <w:szCs w:val="20"/>
          <w:u w:val="single"/>
        </w:rPr>
      </w:pPr>
      <w:r w:rsidRPr="00D01D3C">
        <w:rPr>
          <w:rFonts w:asciiTheme="minorHAnsi" w:hAnsiTheme="minorHAnsi"/>
          <w:sz w:val="20"/>
          <w:szCs w:val="20"/>
          <w:u w:val="single"/>
        </w:rPr>
        <w:t>Retrofit for stand alone</w:t>
      </w:r>
    </w:p>
    <w:p w:rsidR="00546B67" w:rsidRPr="00D01D3C" w:rsidRDefault="00546B67" w:rsidP="00C86372">
      <w:pPr>
        <w:rPr>
          <w:rFonts w:asciiTheme="minorHAnsi" w:hAnsiTheme="minorHAnsi"/>
          <w:sz w:val="20"/>
          <w:szCs w:val="20"/>
        </w:rPr>
      </w:pPr>
    </w:p>
    <w:p w:rsidR="007B69DD" w:rsidRDefault="003378CB" w:rsidP="00C86372">
      <w:pPr>
        <w:rPr>
          <w:rFonts w:asciiTheme="minorHAnsi" w:hAnsiTheme="minorHAnsi"/>
          <w:sz w:val="20"/>
          <w:szCs w:val="20"/>
        </w:rPr>
      </w:pPr>
      <w:r w:rsidRPr="00D01D3C">
        <w:rPr>
          <w:rFonts w:asciiTheme="minorHAnsi" w:hAnsiTheme="minorHAnsi"/>
          <w:sz w:val="20"/>
          <w:szCs w:val="20"/>
        </w:rPr>
        <w:t>In the May 2015 Concept Note, CARB expresses concerns about in-use and end-o</w:t>
      </w:r>
      <w:r w:rsidR="007B69DD">
        <w:rPr>
          <w:rFonts w:asciiTheme="minorHAnsi" w:hAnsiTheme="minorHAnsi"/>
          <w:sz w:val="20"/>
          <w:szCs w:val="20"/>
        </w:rPr>
        <w:t>f</w:t>
      </w:r>
      <w:r w:rsidRPr="00D01D3C">
        <w:rPr>
          <w:rFonts w:asciiTheme="minorHAnsi" w:hAnsiTheme="minorHAnsi"/>
          <w:sz w:val="20"/>
          <w:szCs w:val="20"/>
        </w:rPr>
        <w:t>-life equipment that may leak refrigerant, thus contributing to California’s F-gas concerns</w:t>
      </w:r>
      <w:r w:rsidR="00551B45" w:rsidRPr="00D01D3C">
        <w:rPr>
          <w:rFonts w:asciiTheme="minorHAnsi" w:hAnsiTheme="minorHAnsi"/>
          <w:sz w:val="20"/>
          <w:szCs w:val="20"/>
        </w:rPr>
        <w:t xml:space="preserve"> (at page 28)</w:t>
      </w:r>
      <w:r w:rsidRPr="00D01D3C">
        <w:rPr>
          <w:rFonts w:asciiTheme="minorHAnsi" w:hAnsiTheme="minorHAnsi"/>
          <w:sz w:val="20"/>
          <w:szCs w:val="20"/>
        </w:rPr>
        <w:t xml:space="preserve">. ITW merely would caution that CARB should refine its leakage reduction objective to understand those refrigerant-using products holding greatest risk or actual data to show leakage. </w:t>
      </w:r>
    </w:p>
    <w:p w:rsidR="007B69DD" w:rsidRDefault="007B69DD" w:rsidP="00C86372">
      <w:pPr>
        <w:rPr>
          <w:rFonts w:asciiTheme="minorHAnsi" w:hAnsiTheme="minorHAnsi"/>
          <w:sz w:val="20"/>
          <w:szCs w:val="20"/>
        </w:rPr>
      </w:pPr>
    </w:p>
    <w:p w:rsidR="00701136" w:rsidRPr="00D01D3C" w:rsidRDefault="007B69DD" w:rsidP="00C86372">
      <w:pPr>
        <w:rPr>
          <w:rFonts w:asciiTheme="minorHAnsi" w:hAnsiTheme="minorHAnsi"/>
          <w:sz w:val="20"/>
          <w:szCs w:val="20"/>
        </w:rPr>
      </w:pPr>
      <w:r>
        <w:rPr>
          <w:rFonts w:asciiTheme="minorHAnsi" w:hAnsiTheme="minorHAnsi"/>
          <w:sz w:val="20"/>
          <w:szCs w:val="20"/>
        </w:rPr>
        <w:t>As</w:t>
      </w:r>
      <w:r w:rsidR="003378CB" w:rsidRPr="00D01D3C">
        <w:rPr>
          <w:rFonts w:asciiTheme="minorHAnsi" w:hAnsiTheme="minorHAnsi"/>
          <w:sz w:val="20"/>
          <w:szCs w:val="20"/>
        </w:rPr>
        <w:t xml:space="preserve"> a general matter “plug-ready” products are manufactured in a single location then shipped for </w:t>
      </w:r>
      <w:r w:rsidR="00C86372" w:rsidRPr="00D01D3C">
        <w:rPr>
          <w:rFonts w:asciiTheme="minorHAnsi" w:hAnsiTheme="minorHAnsi"/>
          <w:sz w:val="20"/>
          <w:szCs w:val="20"/>
        </w:rPr>
        <w:t>customer</w:t>
      </w:r>
      <w:r w:rsidR="003378CB" w:rsidRPr="00D01D3C">
        <w:rPr>
          <w:rFonts w:asciiTheme="minorHAnsi" w:hAnsiTheme="minorHAnsi"/>
          <w:sz w:val="20"/>
          <w:szCs w:val="20"/>
        </w:rPr>
        <w:t xml:space="preserve"> use without any need for assembly or additional engineering at a customer site. </w:t>
      </w:r>
      <w:r w:rsidR="00551B45" w:rsidRPr="00D01D3C">
        <w:rPr>
          <w:rFonts w:asciiTheme="minorHAnsi" w:hAnsiTheme="minorHAnsi"/>
          <w:sz w:val="20"/>
          <w:szCs w:val="20"/>
        </w:rPr>
        <w:t xml:space="preserve">Stand-alone refrigeration products are plug-ready and, by designed, are “stand alone” because they contain in a singular equipment body all components and requirements to perform, doing so once they are plugged in </w:t>
      </w:r>
      <w:r>
        <w:rPr>
          <w:rFonts w:asciiTheme="minorHAnsi" w:hAnsiTheme="minorHAnsi"/>
          <w:sz w:val="20"/>
          <w:szCs w:val="20"/>
        </w:rPr>
        <w:t>for use</w:t>
      </w:r>
      <w:r w:rsidR="00551B45" w:rsidRPr="00D01D3C">
        <w:rPr>
          <w:rFonts w:asciiTheme="minorHAnsi" w:hAnsiTheme="minorHAnsi"/>
          <w:sz w:val="20"/>
          <w:szCs w:val="20"/>
        </w:rPr>
        <w:t xml:space="preserve">. </w:t>
      </w:r>
      <w:r>
        <w:rPr>
          <w:rFonts w:asciiTheme="minorHAnsi" w:hAnsiTheme="minorHAnsi"/>
          <w:sz w:val="20"/>
          <w:szCs w:val="20"/>
        </w:rPr>
        <w:t>Think of r</w:t>
      </w:r>
      <w:r w:rsidR="00551B45" w:rsidRPr="00D01D3C">
        <w:rPr>
          <w:rFonts w:asciiTheme="minorHAnsi" w:hAnsiTheme="minorHAnsi"/>
          <w:sz w:val="20"/>
          <w:szCs w:val="20"/>
        </w:rPr>
        <w:t xml:space="preserve">esidential and commercial kitchen refrigerators and freezers are examples. In contrast, refrigeration systems that are larger, such as HVAC or “remote” refrigeration systems (where the refrigerated display is in one location, but it’s engineering system is elsewhere, such as a </w:t>
      </w:r>
      <w:r>
        <w:rPr>
          <w:rFonts w:asciiTheme="minorHAnsi" w:hAnsiTheme="minorHAnsi"/>
          <w:sz w:val="20"/>
          <w:szCs w:val="20"/>
        </w:rPr>
        <w:t xml:space="preserve">supermarket </w:t>
      </w:r>
      <w:r w:rsidR="00551B45" w:rsidRPr="00D01D3C">
        <w:rPr>
          <w:rFonts w:asciiTheme="minorHAnsi" w:hAnsiTheme="minorHAnsi"/>
          <w:sz w:val="20"/>
          <w:szCs w:val="20"/>
        </w:rPr>
        <w:t xml:space="preserve">rooftop) usually require assembly or engineering once delivered to an end-user site, through which chances to create leakage increase significantly. Thus, it would be important not to think similarly about these refrigeration products because </w:t>
      </w:r>
      <w:r>
        <w:rPr>
          <w:rFonts w:asciiTheme="minorHAnsi" w:hAnsiTheme="minorHAnsi"/>
          <w:sz w:val="20"/>
          <w:szCs w:val="20"/>
        </w:rPr>
        <w:t xml:space="preserve">their varying </w:t>
      </w:r>
      <w:proofErr w:type="spellStart"/>
      <w:r>
        <w:rPr>
          <w:rFonts w:asciiTheme="minorHAnsi" w:hAnsiTheme="minorHAnsi"/>
          <w:sz w:val="20"/>
          <w:szCs w:val="20"/>
        </w:rPr>
        <w:t>makeups</w:t>
      </w:r>
      <w:proofErr w:type="spellEnd"/>
      <w:r>
        <w:rPr>
          <w:rFonts w:asciiTheme="minorHAnsi" w:hAnsiTheme="minorHAnsi"/>
          <w:sz w:val="20"/>
          <w:szCs w:val="20"/>
        </w:rPr>
        <w:t xml:space="preserve"> establish vastly different inherent </w:t>
      </w:r>
      <w:r w:rsidR="00551B45" w:rsidRPr="00D01D3C">
        <w:rPr>
          <w:rFonts w:asciiTheme="minorHAnsi" w:hAnsiTheme="minorHAnsi"/>
          <w:sz w:val="20"/>
          <w:szCs w:val="20"/>
        </w:rPr>
        <w:t>environmental risks</w:t>
      </w:r>
      <w:r>
        <w:rPr>
          <w:rFonts w:asciiTheme="minorHAnsi" w:hAnsiTheme="minorHAnsi"/>
          <w:sz w:val="20"/>
          <w:szCs w:val="20"/>
        </w:rPr>
        <w:t>.</w:t>
      </w:r>
    </w:p>
    <w:p w:rsidR="00546B67" w:rsidRPr="00D01D3C" w:rsidRDefault="00546B67" w:rsidP="00C86372">
      <w:pPr>
        <w:rPr>
          <w:rFonts w:asciiTheme="minorHAnsi" w:hAnsiTheme="minorHAnsi"/>
          <w:sz w:val="20"/>
          <w:szCs w:val="20"/>
        </w:rPr>
      </w:pPr>
    </w:p>
    <w:p w:rsidR="000F77B9" w:rsidRPr="00D01D3C" w:rsidRDefault="000F77B9" w:rsidP="00C86372">
      <w:pPr>
        <w:rPr>
          <w:rFonts w:asciiTheme="minorHAnsi" w:hAnsiTheme="minorHAnsi"/>
          <w:sz w:val="20"/>
          <w:szCs w:val="20"/>
        </w:rPr>
      </w:pPr>
      <w:r w:rsidRPr="00D01D3C">
        <w:rPr>
          <w:rFonts w:asciiTheme="minorHAnsi" w:hAnsiTheme="minorHAnsi"/>
          <w:sz w:val="20"/>
          <w:szCs w:val="20"/>
        </w:rPr>
        <w:t xml:space="preserve">We also want to ensure CARB knows of the responsible reclamation efforts that occur at the appliance service end. ITW’s Hobart Service provides </w:t>
      </w:r>
      <w:r w:rsidR="007B69DD">
        <w:rPr>
          <w:rFonts w:asciiTheme="minorHAnsi" w:hAnsiTheme="minorHAnsi"/>
          <w:sz w:val="20"/>
          <w:szCs w:val="20"/>
        </w:rPr>
        <w:t xml:space="preserve">trained and federally certified </w:t>
      </w:r>
      <w:r w:rsidRPr="00D01D3C">
        <w:rPr>
          <w:rFonts w:asciiTheme="minorHAnsi" w:hAnsiTheme="minorHAnsi"/>
          <w:sz w:val="20"/>
          <w:szCs w:val="20"/>
        </w:rPr>
        <w:t>on-site and off-site maintenance and service for all ITW customer equipment brands, including Traulsen refrigerator and freezer equipment.</w:t>
      </w:r>
      <w:r w:rsidR="00A131A1" w:rsidRPr="00D01D3C">
        <w:rPr>
          <w:rFonts w:asciiTheme="minorHAnsi" w:hAnsiTheme="minorHAnsi"/>
          <w:sz w:val="20"/>
          <w:szCs w:val="20"/>
        </w:rPr>
        <w:t xml:space="preserve"> </w:t>
      </w:r>
    </w:p>
    <w:p w:rsidR="007B69DD" w:rsidRDefault="007B69DD" w:rsidP="00D01D3C">
      <w:pPr>
        <w:rPr>
          <w:rFonts w:asciiTheme="minorHAnsi" w:hAnsiTheme="minorHAnsi"/>
          <w:sz w:val="20"/>
          <w:szCs w:val="20"/>
        </w:rPr>
      </w:pPr>
    </w:p>
    <w:p w:rsidR="007B69DD" w:rsidRPr="00D01D3C" w:rsidDel="007B69DD" w:rsidRDefault="007B69DD" w:rsidP="00D01D3C">
      <w:pPr>
        <w:rPr>
          <w:rFonts w:asciiTheme="minorHAnsi" w:hAnsiTheme="minorHAnsi"/>
          <w:sz w:val="20"/>
          <w:szCs w:val="20"/>
        </w:rPr>
      </w:pPr>
    </w:p>
    <w:p w:rsidR="00D01D3C" w:rsidRDefault="00D01D3C" w:rsidP="00AB6E0D">
      <w:pPr>
        <w:pStyle w:val="ListParagraph"/>
        <w:ind w:left="360"/>
        <w:rPr>
          <w:rFonts w:asciiTheme="minorHAnsi" w:hAnsiTheme="minorHAnsi"/>
          <w:sz w:val="20"/>
          <w:szCs w:val="20"/>
        </w:rPr>
      </w:pPr>
    </w:p>
    <w:p w:rsidR="00224AB5" w:rsidRPr="00D01D3C" w:rsidRDefault="00224AB5" w:rsidP="00AB6E0D">
      <w:pPr>
        <w:pStyle w:val="ListParagraph"/>
        <w:numPr>
          <w:ilvl w:val="0"/>
          <w:numId w:val="9"/>
          <w:numberingChange w:id="3" w:author="skw" w:date="2015-06-12T20:38:00Z" w:original="%1:3:1:."/>
        </w:numPr>
        <w:ind w:left="360"/>
        <w:rPr>
          <w:rFonts w:asciiTheme="minorHAnsi" w:hAnsiTheme="minorHAnsi"/>
          <w:sz w:val="20"/>
          <w:szCs w:val="20"/>
        </w:rPr>
      </w:pPr>
      <w:r w:rsidRPr="00D01D3C">
        <w:rPr>
          <w:rFonts w:asciiTheme="minorHAnsi" w:hAnsiTheme="minorHAnsi"/>
          <w:sz w:val="20"/>
          <w:szCs w:val="20"/>
        </w:rPr>
        <w:t>Black carbon</w:t>
      </w:r>
    </w:p>
    <w:p w:rsidR="007B69DD" w:rsidRDefault="007B69DD" w:rsidP="00183F35">
      <w:pPr>
        <w:rPr>
          <w:rFonts w:asciiTheme="minorHAnsi" w:hAnsiTheme="minorHAnsi"/>
          <w:sz w:val="20"/>
          <w:szCs w:val="20"/>
        </w:rPr>
      </w:pPr>
    </w:p>
    <w:p w:rsidR="00B609CE" w:rsidRDefault="00B609CE" w:rsidP="00183F35">
      <w:pPr>
        <w:rPr>
          <w:rFonts w:asciiTheme="minorHAnsi" w:hAnsiTheme="minorHAnsi"/>
          <w:sz w:val="20"/>
          <w:szCs w:val="20"/>
        </w:rPr>
      </w:pPr>
      <w:r w:rsidRPr="00D01D3C">
        <w:rPr>
          <w:rFonts w:asciiTheme="minorHAnsi" w:hAnsiTheme="minorHAnsi"/>
          <w:sz w:val="20"/>
          <w:szCs w:val="20"/>
        </w:rPr>
        <w:t xml:space="preserve">ITW notes with interest the SLCP focus on black carbon attributed to commercial cooking. According to the Concept Paper, black carbon emissions remain low under existing air district rules governing commercial cooking and related equipment. ITW’s commercial cooking equipment businesses will gladly provide </w:t>
      </w:r>
      <w:r w:rsidR="00C86372" w:rsidRPr="00D01D3C">
        <w:rPr>
          <w:rFonts w:asciiTheme="minorHAnsi" w:hAnsiTheme="minorHAnsi"/>
          <w:sz w:val="20"/>
          <w:szCs w:val="20"/>
        </w:rPr>
        <w:t>expertise as</w:t>
      </w:r>
      <w:r w:rsidRPr="00D01D3C">
        <w:rPr>
          <w:rFonts w:asciiTheme="minorHAnsi" w:hAnsiTheme="minorHAnsi"/>
          <w:sz w:val="20"/>
          <w:szCs w:val="20"/>
        </w:rPr>
        <w:t xml:space="preserve"> helpful to inform CARB’s Strategy development going forward.</w:t>
      </w:r>
    </w:p>
    <w:p w:rsidR="002373AD" w:rsidRDefault="002373AD" w:rsidP="00183F35">
      <w:pPr>
        <w:rPr>
          <w:rFonts w:asciiTheme="minorHAnsi" w:hAnsiTheme="minorHAnsi"/>
          <w:sz w:val="20"/>
          <w:szCs w:val="20"/>
        </w:rPr>
      </w:pPr>
    </w:p>
    <w:p w:rsidR="002373AD" w:rsidRPr="00D01D3C" w:rsidRDefault="002373AD" w:rsidP="00183F35">
      <w:pPr>
        <w:rPr>
          <w:rFonts w:asciiTheme="minorHAnsi" w:hAnsiTheme="minorHAnsi"/>
          <w:sz w:val="20"/>
          <w:szCs w:val="20"/>
        </w:rPr>
      </w:pPr>
      <w:r>
        <w:rPr>
          <w:rFonts w:asciiTheme="minorHAnsi" w:hAnsiTheme="minorHAnsi"/>
          <w:sz w:val="20"/>
          <w:szCs w:val="20"/>
        </w:rPr>
        <w:t>In conclusion, ITW appreciates this opportunity to offer comments to CARB</w:t>
      </w:r>
      <w:r>
        <w:rPr>
          <w:rFonts w:asciiTheme="minorHAnsi" w:hAnsiTheme="minorHAnsi"/>
          <w:sz w:val="20"/>
          <w:szCs w:val="20"/>
        </w:rPr>
        <w:t>’</w:t>
      </w:r>
      <w:r>
        <w:rPr>
          <w:rFonts w:asciiTheme="minorHAnsi" w:hAnsiTheme="minorHAnsi"/>
          <w:sz w:val="20"/>
          <w:szCs w:val="20"/>
        </w:rPr>
        <w:t>s Concept Paper. We look very forward to participating further as this regulatory effort continues.</w:t>
      </w:r>
    </w:p>
    <w:p w:rsidR="00B609CE" w:rsidRPr="00D01D3C" w:rsidRDefault="00B609CE" w:rsidP="00183F35">
      <w:pPr>
        <w:rPr>
          <w:rFonts w:asciiTheme="minorHAnsi" w:hAnsiTheme="minorHAnsi"/>
          <w:sz w:val="20"/>
          <w:szCs w:val="20"/>
        </w:rPr>
      </w:pPr>
    </w:p>
    <w:p w:rsidR="00545E1E" w:rsidRPr="00D01D3C" w:rsidRDefault="00224AB5" w:rsidP="00183F35">
      <w:pPr>
        <w:rPr>
          <w:rFonts w:asciiTheme="minorHAnsi" w:hAnsiTheme="minorHAnsi"/>
          <w:sz w:val="20"/>
          <w:szCs w:val="20"/>
        </w:rPr>
      </w:pPr>
      <w:r w:rsidRPr="00D01D3C">
        <w:rPr>
          <w:rFonts w:asciiTheme="minorHAnsi" w:hAnsiTheme="minorHAnsi"/>
          <w:sz w:val="20"/>
          <w:szCs w:val="20"/>
        </w:rPr>
        <w:t>Respectfully submitted</w:t>
      </w:r>
      <w:r w:rsidR="00545E1E" w:rsidRPr="00D01D3C">
        <w:rPr>
          <w:rFonts w:asciiTheme="minorHAnsi" w:hAnsiTheme="minorHAnsi"/>
          <w:sz w:val="20"/>
          <w:szCs w:val="20"/>
        </w:rPr>
        <w:t>,</w:t>
      </w:r>
    </w:p>
    <w:p w:rsidR="00545E1E" w:rsidRPr="00D01D3C" w:rsidRDefault="00545E1E" w:rsidP="00183F35">
      <w:pPr>
        <w:rPr>
          <w:rFonts w:asciiTheme="minorHAnsi" w:hAnsiTheme="minorHAnsi"/>
          <w:sz w:val="20"/>
          <w:szCs w:val="20"/>
        </w:rPr>
      </w:pPr>
    </w:p>
    <w:p w:rsidR="00545E1E" w:rsidRPr="00D01D3C" w:rsidRDefault="00545E1E" w:rsidP="00183F35">
      <w:pPr>
        <w:rPr>
          <w:rFonts w:asciiTheme="minorHAnsi" w:hAnsiTheme="minorHAnsi"/>
          <w:sz w:val="20"/>
          <w:szCs w:val="20"/>
        </w:rPr>
      </w:pPr>
    </w:p>
    <w:p w:rsidR="00545E1E" w:rsidRPr="00D01D3C" w:rsidRDefault="00545E1E" w:rsidP="00183F35">
      <w:pPr>
        <w:rPr>
          <w:rFonts w:asciiTheme="minorHAnsi" w:hAnsiTheme="minorHAnsi"/>
          <w:sz w:val="20"/>
          <w:szCs w:val="20"/>
        </w:rPr>
      </w:pPr>
      <w:r w:rsidRPr="00D01D3C">
        <w:rPr>
          <w:rFonts w:asciiTheme="minorHAnsi" w:hAnsiTheme="minorHAnsi"/>
          <w:sz w:val="20"/>
          <w:szCs w:val="20"/>
        </w:rPr>
        <w:t>Kevin Washington</w:t>
      </w:r>
    </w:p>
    <w:p w:rsidR="00545E1E" w:rsidRPr="00D01D3C" w:rsidRDefault="00545E1E" w:rsidP="00183F35">
      <w:pPr>
        <w:rPr>
          <w:rFonts w:asciiTheme="minorHAnsi" w:hAnsiTheme="minorHAnsi"/>
          <w:sz w:val="20"/>
          <w:szCs w:val="20"/>
        </w:rPr>
      </w:pPr>
      <w:r w:rsidRPr="00D01D3C">
        <w:rPr>
          <w:rFonts w:asciiTheme="minorHAnsi" w:hAnsiTheme="minorHAnsi"/>
          <w:sz w:val="20"/>
          <w:szCs w:val="20"/>
        </w:rPr>
        <w:t>Government Affairs</w:t>
      </w:r>
    </w:p>
    <w:p w:rsidR="00D6518A" w:rsidRPr="00D01D3C" w:rsidRDefault="00545E1E" w:rsidP="00183F35">
      <w:pPr>
        <w:jc w:val="both"/>
        <w:rPr>
          <w:rFonts w:asciiTheme="minorHAnsi" w:hAnsiTheme="minorHAnsi"/>
          <w:sz w:val="20"/>
          <w:szCs w:val="20"/>
        </w:rPr>
      </w:pPr>
      <w:r w:rsidRPr="00D01D3C">
        <w:rPr>
          <w:rFonts w:asciiTheme="minorHAnsi" w:hAnsiTheme="minorHAnsi"/>
          <w:sz w:val="20"/>
          <w:szCs w:val="20"/>
        </w:rPr>
        <w:t>Illinois Tool Works Inc.</w:t>
      </w:r>
    </w:p>
    <w:sectPr w:rsidR="00D6518A" w:rsidRPr="00D01D3C" w:rsidSect="00763A21">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9DD" w:rsidRDefault="007B69DD">
      <w:r>
        <w:separator/>
      </w:r>
    </w:p>
  </w:endnote>
  <w:endnote w:type="continuationSeparator" w:id="0">
    <w:p w:rsidR="007B69DD" w:rsidRDefault="007B69D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9DD" w:rsidRDefault="007B69DD">
      <w:r>
        <w:separator/>
      </w:r>
    </w:p>
  </w:footnote>
  <w:footnote w:type="continuationSeparator" w:id="0">
    <w:p w:rsidR="007B69DD" w:rsidRDefault="007B69D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DD" w:rsidRDefault="007B69DD">
    <w:pPr>
      <w:pStyle w:val="Header"/>
      <w:contextualSpacing/>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B24"/>
    <w:multiLevelType w:val="hybridMultilevel"/>
    <w:tmpl w:val="E376C672"/>
    <w:lvl w:ilvl="0" w:tplc="B31A7DB4">
      <w:start w:val="2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A1507"/>
    <w:multiLevelType w:val="hybridMultilevel"/>
    <w:tmpl w:val="97E6C5E0"/>
    <w:lvl w:ilvl="0" w:tplc="706C6A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024ABA"/>
    <w:multiLevelType w:val="hybridMultilevel"/>
    <w:tmpl w:val="04020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E216DB"/>
    <w:multiLevelType w:val="hybridMultilevel"/>
    <w:tmpl w:val="F80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67670"/>
    <w:multiLevelType w:val="hybridMultilevel"/>
    <w:tmpl w:val="35CAD068"/>
    <w:lvl w:ilvl="0" w:tplc="8CB8DBE8">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9493E"/>
    <w:multiLevelType w:val="hybridMultilevel"/>
    <w:tmpl w:val="385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85139"/>
    <w:multiLevelType w:val="hybridMultilevel"/>
    <w:tmpl w:val="9BFC9394"/>
    <w:lvl w:ilvl="0" w:tplc="0FF48956">
      <w:start w:val="1"/>
      <w:numFmt w:val="bullet"/>
      <w:lvlText w:val=""/>
      <w:lvlJc w:val="left"/>
      <w:pPr>
        <w:ind w:left="1800" w:hanging="360"/>
      </w:pPr>
      <w:rPr>
        <w:rFonts w:ascii="Symbol" w:hAnsi="Symbol" w:hint="default"/>
        <w:i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E14025C"/>
    <w:multiLevelType w:val="hybridMultilevel"/>
    <w:tmpl w:val="8304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F690A"/>
    <w:multiLevelType w:val="hybridMultilevel"/>
    <w:tmpl w:val="6EB81B9E"/>
    <w:lvl w:ilvl="0" w:tplc="706C6A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A624D"/>
    <w:multiLevelType w:val="hybridMultilevel"/>
    <w:tmpl w:val="99C0E252"/>
    <w:lvl w:ilvl="0" w:tplc="459622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9"/>
  </w:num>
  <w:num w:numId="6">
    <w:abstractNumId w:val="1"/>
  </w:num>
  <w:num w:numId="7">
    <w:abstractNumId w:val="4"/>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footnotePr>
    <w:footnote w:id="-1"/>
    <w:footnote w:id="0"/>
  </w:footnotePr>
  <w:endnotePr>
    <w:endnote w:id="-1"/>
    <w:endnote w:id="0"/>
  </w:endnotePr>
  <w:compat/>
  <w:rsids>
    <w:rsidRoot w:val="00763A21"/>
    <w:rsid w:val="00025B11"/>
    <w:rsid w:val="00066A25"/>
    <w:rsid w:val="0008474C"/>
    <w:rsid w:val="000A453F"/>
    <w:rsid w:val="000B4D59"/>
    <w:rsid w:val="000B7DEA"/>
    <w:rsid w:val="000F77B9"/>
    <w:rsid w:val="001031DB"/>
    <w:rsid w:val="00107084"/>
    <w:rsid w:val="00111747"/>
    <w:rsid w:val="00183F35"/>
    <w:rsid w:val="0018742F"/>
    <w:rsid w:val="001C40F1"/>
    <w:rsid w:val="001D1FF3"/>
    <w:rsid w:val="001D3AE1"/>
    <w:rsid w:val="00204C21"/>
    <w:rsid w:val="0021018C"/>
    <w:rsid w:val="00224AB5"/>
    <w:rsid w:val="0023349F"/>
    <w:rsid w:val="002373AD"/>
    <w:rsid w:val="002871E9"/>
    <w:rsid w:val="002964F6"/>
    <w:rsid w:val="002F2164"/>
    <w:rsid w:val="002F7027"/>
    <w:rsid w:val="002F7ECC"/>
    <w:rsid w:val="0031186C"/>
    <w:rsid w:val="0031679A"/>
    <w:rsid w:val="00325A54"/>
    <w:rsid w:val="003309C0"/>
    <w:rsid w:val="003378CB"/>
    <w:rsid w:val="00346007"/>
    <w:rsid w:val="0035363C"/>
    <w:rsid w:val="0035421E"/>
    <w:rsid w:val="003613D0"/>
    <w:rsid w:val="00374452"/>
    <w:rsid w:val="00375F2E"/>
    <w:rsid w:val="003C0C96"/>
    <w:rsid w:val="003C1492"/>
    <w:rsid w:val="003F4AB2"/>
    <w:rsid w:val="004374C4"/>
    <w:rsid w:val="00445B8E"/>
    <w:rsid w:val="00445CF4"/>
    <w:rsid w:val="00446E42"/>
    <w:rsid w:val="00475E57"/>
    <w:rsid w:val="00494102"/>
    <w:rsid w:val="00495571"/>
    <w:rsid w:val="004A018A"/>
    <w:rsid w:val="004D300E"/>
    <w:rsid w:val="00500AEE"/>
    <w:rsid w:val="00503D8D"/>
    <w:rsid w:val="005101EE"/>
    <w:rsid w:val="00511371"/>
    <w:rsid w:val="005308B5"/>
    <w:rsid w:val="00545E1E"/>
    <w:rsid w:val="00546B67"/>
    <w:rsid w:val="00551B45"/>
    <w:rsid w:val="0059166C"/>
    <w:rsid w:val="005A04CB"/>
    <w:rsid w:val="005B0DC1"/>
    <w:rsid w:val="005D034D"/>
    <w:rsid w:val="005D3037"/>
    <w:rsid w:val="005D56CD"/>
    <w:rsid w:val="005F52C4"/>
    <w:rsid w:val="005F59FC"/>
    <w:rsid w:val="006172FA"/>
    <w:rsid w:val="006343B8"/>
    <w:rsid w:val="00657187"/>
    <w:rsid w:val="00665528"/>
    <w:rsid w:val="00665736"/>
    <w:rsid w:val="006B53E7"/>
    <w:rsid w:val="006E22FC"/>
    <w:rsid w:val="006F1339"/>
    <w:rsid w:val="00701136"/>
    <w:rsid w:val="00715569"/>
    <w:rsid w:val="00731DAA"/>
    <w:rsid w:val="007539D6"/>
    <w:rsid w:val="00753B0A"/>
    <w:rsid w:val="00763A21"/>
    <w:rsid w:val="0076662C"/>
    <w:rsid w:val="00780E08"/>
    <w:rsid w:val="00780FF4"/>
    <w:rsid w:val="007920F5"/>
    <w:rsid w:val="007A15A8"/>
    <w:rsid w:val="007B1452"/>
    <w:rsid w:val="007B69DD"/>
    <w:rsid w:val="007F597A"/>
    <w:rsid w:val="00810653"/>
    <w:rsid w:val="0081638F"/>
    <w:rsid w:val="00817886"/>
    <w:rsid w:val="008271EF"/>
    <w:rsid w:val="008459AF"/>
    <w:rsid w:val="008770D1"/>
    <w:rsid w:val="0088579E"/>
    <w:rsid w:val="00887ADC"/>
    <w:rsid w:val="00897AD6"/>
    <w:rsid w:val="008A412E"/>
    <w:rsid w:val="008B437C"/>
    <w:rsid w:val="00915B46"/>
    <w:rsid w:val="00930B6C"/>
    <w:rsid w:val="00973EA2"/>
    <w:rsid w:val="00982197"/>
    <w:rsid w:val="009C0DDF"/>
    <w:rsid w:val="009E1013"/>
    <w:rsid w:val="009F788E"/>
    <w:rsid w:val="00A023C6"/>
    <w:rsid w:val="00A07981"/>
    <w:rsid w:val="00A131A1"/>
    <w:rsid w:val="00A2276F"/>
    <w:rsid w:val="00A514D1"/>
    <w:rsid w:val="00A6432E"/>
    <w:rsid w:val="00A65847"/>
    <w:rsid w:val="00AB6E0D"/>
    <w:rsid w:val="00AC60C1"/>
    <w:rsid w:val="00AD0324"/>
    <w:rsid w:val="00B11284"/>
    <w:rsid w:val="00B162D5"/>
    <w:rsid w:val="00B33F47"/>
    <w:rsid w:val="00B448DE"/>
    <w:rsid w:val="00B525C9"/>
    <w:rsid w:val="00B5341F"/>
    <w:rsid w:val="00B609CE"/>
    <w:rsid w:val="00BB12A1"/>
    <w:rsid w:val="00BD0D18"/>
    <w:rsid w:val="00BE1A79"/>
    <w:rsid w:val="00BE1BD6"/>
    <w:rsid w:val="00BE30E9"/>
    <w:rsid w:val="00BF734F"/>
    <w:rsid w:val="00C2396E"/>
    <w:rsid w:val="00C77A1C"/>
    <w:rsid w:val="00C80C57"/>
    <w:rsid w:val="00C86372"/>
    <w:rsid w:val="00C939D5"/>
    <w:rsid w:val="00CD257E"/>
    <w:rsid w:val="00D01D3C"/>
    <w:rsid w:val="00D03547"/>
    <w:rsid w:val="00D16E82"/>
    <w:rsid w:val="00D32F35"/>
    <w:rsid w:val="00D361D0"/>
    <w:rsid w:val="00D40285"/>
    <w:rsid w:val="00D565DB"/>
    <w:rsid w:val="00D6518A"/>
    <w:rsid w:val="00D90A98"/>
    <w:rsid w:val="00DB4C76"/>
    <w:rsid w:val="00DE169A"/>
    <w:rsid w:val="00DE4E18"/>
    <w:rsid w:val="00DF3753"/>
    <w:rsid w:val="00DF6900"/>
    <w:rsid w:val="00E042F0"/>
    <w:rsid w:val="00E07547"/>
    <w:rsid w:val="00E33DF6"/>
    <w:rsid w:val="00E40C8D"/>
    <w:rsid w:val="00E663B5"/>
    <w:rsid w:val="00E84A33"/>
    <w:rsid w:val="00E95E72"/>
    <w:rsid w:val="00EB47F3"/>
    <w:rsid w:val="00EE4C73"/>
    <w:rsid w:val="00F135C7"/>
    <w:rsid w:val="00F24170"/>
    <w:rsid w:val="00F3052C"/>
    <w:rsid w:val="00F73463"/>
    <w:rsid w:val="00F7439C"/>
    <w:rsid w:val="00F84969"/>
    <w:rsid w:val="00FD3BF8"/>
    <w:rsid w:val="00FD4B26"/>
    <w:rsid w:val="00FD7FAF"/>
    <w:rsid w:val="00FF226D"/>
    <w:rsid w:val="00FF2F77"/>
  </w:rsids>
  <m:mathPr>
    <m:mathFont m:val="Myriad Pr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2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63A21"/>
    <w:pPr>
      <w:ind w:left="720"/>
      <w:contextualSpacing/>
    </w:pPr>
  </w:style>
  <w:style w:type="paragraph" w:styleId="Header">
    <w:name w:val="header"/>
    <w:basedOn w:val="Normal"/>
    <w:link w:val="HeaderChar"/>
    <w:uiPriority w:val="99"/>
    <w:unhideWhenUsed/>
    <w:rsid w:val="00763A21"/>
    <w:pPr>
      <w:tabs>
        <w:tab w:val="center" w:pos="4680"/>
        <w:tab w:val="right" w:pos="9360"/>
      </w:tabs>
    </w:pPr>
  </w:style>
  <w:style w:type="character" w:customStyle="1" w:styleId="HeaderChar">
    <w:name w:val="Header Char"/>
    <w:basedOn w:val="DefaultParagraphFont"/>
    <w:link w:val="Header"/>
    <w:uiPriority w:val="99"/>
    <w:rsid w:val="00763A21"/>
    <w:rPr>
      <w:szCs w:val="24"/>
    </w:rPr>
  </w:style>
  <w:style w:type="paragraph" w:styleId="Footer">
    <w:name w:val="footer"/>
    <w:basedOn w:val="Normal"/>
    <w:link w:val="FooterChar"/>
    <w:uiPriority w:val="99"/>
    <w:unhideWhenUsed/>
    <w:rsid w:val="00915B46"/>
    <w:pPr>
      <w:tabs>
        <w:tab w:val="center" w:pos="4680"/>
        <w:tab w:val="right" w:pos="9360"/>
      </w:tabs>
    </w:pPr>
  </w:style>
  <w:style w:type="character" w:customStyle="1" w:styleId="FooterChar">
    <w:name w:val="Footer Char"/>
    <w:basedOn w:val="DefaultParagraphFont"/>
    <w:link w:val="Footer"/>
    <w:uiPriority w:val="99"/>
    <w:rsid w:val="00915B46"/>
    <w:rPr>
      <w:sz w:val="24"/>
      <w:szCs w:val="24"/>
    </w:rPr>
  </w:style>
  <w:style w:type="paragraph" w:styleId="BalloonText">
    <w:name w:val="Balloon Text"/>
    <w:basedOn w:val="Normal"/>
    <w:link w:val="BalloonTextChar"/>
    <w:uiPriority w:val="99"/>
    <w:semiHidden/>
    <w:unhideWhenUsed/>
    <w:rsid w:val="00657187"/>
    <w:rPr>
      <w:rFonts w:ascii="Tahoma" w:hAnsi="Tahoma" w:cs="Tahoma"/>
      <w:sz w:val="16"/>
      <w:szCs w:val="16"/>
    </w:rPr>
  </w:style>
  <w:style w:type="character" w:customStyle="1" w:styleId="BalloonTextChar">
    <w:name w:val="Balloon Text Char"/>
    <w:basedOn w:val="DefaultParagraphFont"/>
    <w:link w:val="BalloonText"/>
    <w:uiPriority w:val="99"/>
    <w:semiHidden/>
    <w:rsid w:val="00657187"/>
    <w:rPr>
      <w:rFonts w:ascii="Tahoma" w:hAnsi="Tahoma" w:cs="Tahoma"/>
      <w:sz w:val="16"/>
      <w:szCs w:val="16"/>
    </w:rPr>
  </w:style>
  <w:style w:type="character" w:styleId="CommentReference">
    <w:name w:val="annotation reference"/>
    <w:basedOn w:val="DefaultParagraphFont"/>
    <w:uiPriority w:val="99"/>
    <w:semiHidden/>
    <w:unhideWhenUsed/>
    <w:rsid w:val="00503D8D"/>
    <w:rPr>
      <w:sz w:val="16"/>
      <w:szCs w:val="16"/>
    </w:rPr>
  </w:style>
  <w:style w:type="paragraph" w:styleId="CommentText">
    <w:name w:val="annotation text"/>
    <w:basedOn w:val="Normal"/>
    <w:link w:val="CommentTextChar"/>
    <w:uiPriority w:val="99"/>
    <w:semiHidden/>
    <w:unhideWhenUsed/>
    <w:rsid w:val="00503D8D"/>
    <w:rPr>
      <w:sz w:val="20"/>
      <w:szCs w:val="20"/>
    </w:rPr>
  </w:style>
  <w:style w:type="character" w:customStyle="1" w:styleId="CommentTextChar">
    <w:name w:val="Comment Text Char"/>
    <w:basedOn w:val="DefaultParagraphFont"/>
    <w:link w:val="CommentText"/>
    <w:uiPriority w:val="99"/>
    <w:semiHidden/>
    <w:rsid w:val="00503D8D"/>
  </w:style>
  <w:style w:type="paragraph" w:styleId="CommentSubject">
    <w:name w:val="annotation subject"/>
    <w:basedOn w:val="CommentText"/>
    <w:next w:val="CommentText"/>
    <w:link w:val="CommentSubjectChar"/>
    <w:uiPriority w:val="99"/>
    <w:semiHidden/>
    <w:unhideWhenUsed/>
    <w:rsid w:val="00503D8D"/>
    <w:rPr>
      <w:b/>
      <w:bCs/>
    </w:rPr>
  </w:style>
  <w:style w:type="character" w:customStyle="1" w:styleId="CommentSubjectChar">
    <w:name w:val="Comment Subject Char"/>
    <w:basedOn w:val="CommentTextChar"/>
    <w:link w:val="CommentSubject"/>
    <w:uiPriority w:val="99"/>
    <w:semiHidden/>
    <w:rsid w:val="00503D8D"/>
    <w:rPr>
      <w:b/>
      <w:bCs/>
    </w:rPr>
  </w:style>
  <w:style w:type="paragraph" w:customStyle="1" w:styleId="Default">
    <w:name w:val="Default"/>
    <w:rsid w:val="007A15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21"/>
    <w:pPr>
      <w:ind w:left="720"/>
      <w:contextualSpacing/>
    </w:pPr>
  </w:style>
  <w:style w:type="paragraph" w:styleId="Header">
    <w:name w:val="header"/>
    <w:basedOn w:val="Normal"/>
    <w:link w:val="HeaderChar"/>
    <w:uiPriority w:val="99"/>
    <w:unhideWhenUsed/>
    <w:rsid w:val="00763A21"/>
    <w:pPr>
      <w:tabs>
        <w:tab w:val="center" w:pos="4680"/>
        <w:tab w:val="right" w:pos="9360"/>
      </w:tabs>
    </w:pPr>
  </w:style>
  <w:style w:type="character" w:customStyle="1" w:styleId="HeaderChar">
    <w:name w:val="Header Char"/>
    <w:basedOn w:val="DefaultParagraphFont"/>
    <w:link w:val="Header"/>
    <w:uiPriority w:val="99"/>
    <w:rsid w:val="00763A21"/>
    <w:rPr>
      <w:szCs w:val="24"/>
    </w:rPr>
  </w:style>
  <w:style w:type="paragraph" w:styleId="Footer">
    <w:name w:val="footer"/>
    <w:basedOn w:val="Normal"/>
    <w:link w:val="FooterChar"/>
    <w:uiPriority w:val="99"/>
    <w:unhideWhenUsed/>
    <w:rsid w:val="00915B46"/>
    <w:pPr>
      <w:tabs>
        <w:tab w:val="center" w:pos="4680"/>
        <w:tab w:val="right" w:pos="9360"/>
      </w:tabs>
    </w:pPr>
  </w:style>
  <w:style w:type="character" w:customStyle="1" w:styleId="FooterChar">
    <w:name w:val="Footer Char"/>
    <w:basedOn w:val="DefaultParagraphFont"/>
    <w:link w:val="Footer"/>
    <w:uiPriority w:val="99"/>
    <w:rsid w:val="00915B46"/>
    <w:rPr>
      <w:sz w:val="24"/>
      <w:szCs w:val="24"/>
    </w:rPr>
  </w:style>
  <w:style w:type="paragraph" w:styleId="BalloonText">
    <w:name w:val="Balloon Text"/>
    <w:basedOn w:val="Normal"/>
    <w:link w:val="BalloonTextChar"/>
    <w:uiPriority w:val="99"/>
    <w:semiHidden/>
    <w:unhideWhenUsed/>
    <w:rsid w:val="00657187"/>
    <w:rPr>
      <w:rFonts w:ascii="Tahoma" w:hAnsi="Tahoma" w:cs="Tahoma"/>
      <w:sz w:val="16"/>
      <w:szCs w:val="16"/>
    </w:rPr>
  </w:style>
  <w:style w:type="character" w:customStyle="1" w:styleId="BalloonTextChar">
    <w:name w:val="Balloon Text Char"/>
    <w:basedOn w:val="DefaultParagraphFont"/>
    <w:link w:val="BalloonText"/>
    <w:uiPriority w:val="99"/>
    <w:semiHidden/>
    <w:rsid w:val="00657187"/>
    <w:rPr>
      <w:rFonts w:ascii="Tahoma" w:hAnsi="Tahoma" w:cs="Tahoma"/>
      <w:sz w:val="16"/>
      <w:szCs w:val="16"/>
    </w:rPr>
  </w:style>
  <w:style w:type="character" w:styleId="CommentReference">
    <w:name w:val="annotation reference"/>
    <w:basedOn w:val="DefaultParagraphFont"/>
    <w:uiPriority w:val="99"/>
    <w:semiHidden/>
    <w:unhideWhenUsed/>
    <w:rsid w:val="00503D8D"/>
    <w:rPr>
      <w:sz w:val="16"/>
      <w:szCs w:val="16"/>
    </w:rPr>
  </w:style>
  <w:style w:type="paragraph" w:styleId="CommentText">
    <w:name w:val="annotation text"/>
    <w:basedOn w:val="Normal"/>
    <w:link w:val="CommentTextChar"/>
    <w:uiPriority w:val="99"/>
    <w:semiHidden/>
    <w:unhideWhenUsed/>
    <w:rsid w:val="00503D8D"/>
    <w:rPr>
      <w:sz w:val="20"/>
      <w:szCs w:val="20"/>
    </w:rPr>
  </w:style>
  <w:style w:type="character" w:customStyle="1" w:styleId="CommentTextChar">
    <w:name w:val="Comment Text Char"/>
    <w:basedOn w:val="DefaultParagraphFont"/>
    <w:link w:val="CommentText"/>
    <w:uiPriority w:val="99"/>
    <w:semiHidden/>
    <w:rsid w:val="00503D8D"/>
  </w:style>
  <w:style w:type="paragraph" w:styleId="CommentSubject">
    <w:name w:val="annotation subject"/>
    <w:basedOn w:val="CommentText"/>
    <w:next w:val="CommentText"/>
    <w:link w:val="CommentSubjectChar"/>
    <w:uiPriority w:val="99"/>
    <w:semiHidden/>
    <w:unhideWhenUsed/>
    <w:rsid w:val="00503D8D"/>
    <w:rPr>
      <w:b/>
      <w:bCs/>
    </w:rPr>
  </w:style>
  <w:style w:type="character" w:customStyle="1" w:styleId="CommentSubjectChar">
    <w:name w:val="Comment Subject Char"/>
    <w:basedOn w:val="CommentTextChar"/>
    <w:link w:val="CommentSubject"/>
    <w:uiPriority w:val="99"/>
    <w:semiHidden/>
    <w:rsid w:val="00503D8D"/>
    <w:rPr>
      <w:b/>
      <w:bCs/>
    </w:rPr>
  </w:style>
  <w:style w:type="paragraph" w:customStyle="1" w:styleId="Default">
    <w:name w:val="Default"/>
    <w:rsid w:val="007A15A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3377822">
      <w:bodyDiv w:val="1"/>
      <w:marLeft w:val="0"/>
      <w:marRight w:val="0"/>
      <w:marTop w:val="0"/>
      <w:marBottom w:val="0"/>
      <w:divBdr>
        <w:top w:val="none" w:sz="0" w:space="0" w:color="auto"/>
        <w:left w:val="none" w:sz="0" w:space="0" w:color="auto"/>
        <w:bottom w:val="none" w:sz="0" w:space="0" w:color="auto"/>
        <w:right w:val="none" w:sz="0" w:space="0" w:color="auto"/>
      </w:divBdr>
      <w:divsChild>
        <w:div w:id="953168796">
          <w:marLeft w:val="0"/>
          <w:marRight w:val="0"/>
          <w:marTop w:val="0"/>
          <w:marBottom w:val="0"/>
          <w:divBdr>
            <w:top w:val="none" w:sz="0" w:space="0" w:color="auto"/>
            <w:left w:val="none" w:sz="0" w:space="0" w:color="auto"/>
            <w:bottom w:val="none" w:sz="0" w:space="0" w:color="auto"/>
            <w:right w:val="none" w:sz="0" w:space="0" w:color="auto"/>
          </w:divBdr>
          <w:divsChild>
            <w:div w:id="17388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image" Target="media/image1.jpeg"/><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1760</Words>
  <Characters>10037</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syandell</dc:creator>
  <cp:lastModifiedBy>skw</cp:lastModifiedBy>
  <cp:revision>2</cp:revision>
  <cp:lastPrinted>2015-04-07T19:57:00Z</cp:lastPrinted>
  <dcterms:created xsi:type="dcterms:W3CDTF">2015-06-13T00:39:00Z</dcterms:created>
  <dcterms:modified xsi:type="dcterms:W3CDTF">2015-06-13T00:39:00Z</dcterms:modified>
</cp:coreProperties>
</file>