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5E" w:rsidRDefault="00DA4BFE">
      <w:bookmarkStart w:id="0" w:name="_GoBack"/>
      <w:bookmarkEnd w:id="0"/>
    </w:p>
    <w:p w:rsidR="00B224C4" w:rsidRDefault="00B224C4"/>
    <w:p w:rsidR="00B224C4" w:rsidRPr="00B224C4" w:rsidRDefault="001F3458">
      <w:pPr>
        <w:rPr>
          <w:rFonts w:ascii="Arial" w:hAnsi="Arial" w:cs="Arial"/>
          <w:b/>
          <w:sz w:val="20"/>
          <w:szCs w:val="20"/>
        </w:rPr>
      </w:pPr>
      <w:r>
        <w:rPr>
          <w:rFonts w:ascii="Arial" w:hAnsi="Arial" w:cs="Arial"/>
          <w:b/>
          <w:sz w:val="20"/>
          <w:szCs w:val="20"/>
        </w:rPr>
        <w:t>November 5</w:t>
      </w:r>
      <w:r w:rsidR="001E4A64">
        <w:rPr>
          <w:rFonts w:ascii="Arial" w:hAnsi="Arial" w:cs="Arial"/>
          <w:b/>
          <w:sz w:val="20"/>
          <w:szCs w:val="20"/>
        </w:rPr>
        <w:t>, 2020</w:t>
      </w:r>
    </w:p>
    <w:p w:rsidR="001E4A64" w:rsidRDefault="001E4A64" w:rsidP="001E4A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California </w:t>
      </w:r>
      <w:r w:rsidR="001F3458">
        <w:rPr>
          <w:rFonts w:ascii="Times New Roman" w:hAnsi="Times New Roman" w:cs="Times New Roman"/>
          <w:sz w:val="24"/>
          <w:szCs w:val="24"/>
        </w:rPr>
        <w:t>Air Resources Board</w:t>
      </w:r>
    </w:p>
    <w:p w:rsidR="001F3458" w:rsidRDefault="001F3458" w:rsidP="001E4A64">
      <w:pPr>
        <w:spacing w:after="0" w:line="240" w:lineRule="auto"/>
        <w:rPr>
          <w:rFonts w:ascii="Times New Roman" w:hAnsi="Times New Roman" w:cs="Times New Roman"/>
          <w:sz w:val="24"/>
          <w:szCs w:val="24"/>
        </w:rPr>
      </w:pPr>
      <w:r>
        <w:rPr>
          <w:rFonts w:ascii="Times New Roman" w:hAnsi="Times New Roman" w:cs="Times New Roman"/>
          <w:sz w:val="24"/>
          <w:szCs w:val="24"/>
        </w:rPr>
        <w:t>1001 I Street</w:t>
      </w:r>
    </w:p>
    <w:p w:rsidR="001F3458" w:rsidRDefault="001F3458" w:rsidP="001E4A64">
      <w:pPr>
        <w:spacing w:after="0" w:line="240" w:lineRule="auto"/>
        <w:rPr>
          <w:rFonts w:ascii="Times New Roman" w:hAnsi="Times New Roman" w:cs="Times New Roman"/>
          <w:sz w:val="24"/>
          <w:szCs w:val="24"/>
        </w:rPr>
      </w:pPr>
      <w:r>
        <w:rPr>
          <w:rFonts w:ascii="Times New Roman" w:hAnsi="Times New Roman" w:cs="Times New Roman"/>
          <w:sz w:val="24"/>
          <w:szCs w:val="24"/>
        </w:rPr>
        <w:t>P.O. Box 2815</w:t>
      </w:r>
    </w:p>
    <w:p w:rsidR="001F3458" w:rsidRDefault="001F3458" w:rsidP="001E4A64">
      <w:pPr>
        <w:spacing w:after="0" w:line="240" w:lineRule="auto"/>
        <w:rPr>
          <w:rFonts w:ascii="Times New Roman" w:hAnsi="Times New Roman" w:cs="Times New Roman"/>
          <w:sz w:val="24"/>
          <w:szCs w:val="24"/>
        </w:rPr>
      </w:pPr>
      <w:r>
        <w:rPr>
          <w:rFonts w:ascii="Times New Roman" w:hAnsi="Times New Roman" w:cs="Times New Roman"/>
          <w:sz w:val="24"/>
          <w:szCs w:val="24"/>
        </w:rPr>
        <w:t>Sacramento</w:t>
      </w:r>
    </w:p>
    <w:p w:rsidR="001E4A64" w:rsidRDefault="001F3458" w:rsidP="001E4A64">
      <w:pPr>
        <w:spacing w:after="0" w:line="240" w:lineRule="auto"/>
        <w:rPr>
          <w:rFonts w:ascii="Times New Roman" w:hAnsi="Times New Roman" w:cs="Times New Roman"/>
          <w:sz w:val="24"/>
          <w:szCs w:val="24"/>
        </w:rPr>
      </w:pPr>
      <w:r>
        <w:rPr>
          <w:rFonts w:ascii="Times New Roman" w:hAnsi="Times New Roman" w:cs="Times New Roman"/>
          <w:sz w:val="24"/>
          <w:szCs w:val="24"/>
        </w:rPr>
        <w:t>California 95812</w:t>
      </w:r>
    </w:p>
    <w:p w:rsidR="001E4A64" w:rsidRDefault="001E4A64" w:rsidP="001E4A64">
      <w:pPr>
        <w:spacing w:after="0" w:line="240" w:lineRule="auto"/>
        <w:rPr>
          <w:rFonts w:ascii="Times New Roman" w:hAnsi="Times New Roman" w:cs="Times New Roman"/>
          <w:sz w:val="24"/>
          <w:szCs w:val="24"/>
        </w:rPr>
      </w:pPr>
    </w:p>
    <w:p w:rsidR="001E4A64" w:rsidRDefault="00417CD5" w:rsidP="001F3458">
      <w:pPr>
        <w:spacing w:after="0" w:line="240" w:lineRule="auto"/>
        <w:ind w:left="720" w:hanging="450"/>
        <w:rPr>
          <w:rFonts w:ascii="Times New Roman" w:hAnsi="Times New Roman" w:cs="Times New Roman"/>
          <w:sz w:val="24"/>
          <w:szCs w:val="24"/>
        </w:rPr>
      </w:pPr>
      <w:r>
        <w:rPr>
          <w:rFonts w:ascii="Times New Roman" w:hAnsi="Times New Roman" w:cs="Times New Roman"/>
          <w:sz w:val="24"/>
          <w:szCs w:val="24"/>
        </w:rPr>
        <w:t xml:space="preserve">Re: </w:t>
      </w:r>
      <w:r w:rsidR="00AB020C">
        <w:rPr>
          <w:rFonts w:ascii="Times New Roman" w:hAnsi="Times New Roman" w:cs="Times New Roman"/>
          <w:sz w:val="24"/>
          <w:szCs w:val="24"/>
        </w:rPr>
        <w:t xml:space="preserve"> </w:t>
      </w:r>
      <w:r w:rsidR="001F3458">
        <w:rPr>
          <w:rFonts w:ascii="Times New Roman" w:hAnsi="Times New Roman" w:cs="Times New Roman"/>
          <w:sz w:val="24"/>
          <w:szCs w:val="24"/>
        </w:rPr>
        <w:t>Low Carbon Fuel Standard Public Workshop to Discuss Potential Regulation Revisions</w:t>
      </w:r>
    </w:p>
    <w:p w:rsidR="001E4A64" w:rsidRDefault="001E4A64" w:rsidP="001E4A64">
      <w:pPr>
        <w:spacing w:after="0" w:line="240" w:lineRule="auto"/>
        <w:rPr>
          <w:rFonts w:ascii="Times New Roman" w:hAnsi="Times New Roman" w:cs="Times New Roman"/>
          <w:sz w:val="24"/>
          <w:szCs w:val="24"/>
        </w:rPr>
      </w:pPr>
    </w:p>
    <w:p w:rsidR="001E4A64" w:rsidRDefault="001E4A64" w:rsidP="001E4A6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Dear California </w:t>
      </w:r>
      <w:r w:rsidR="001F3458">
        <w:rPr>
          <w:rFonts w:ascii="Times New Roman" w:hAnsi="Times New Roman" w:cs="Times New Roman"/>
          <w:sz w:val="24"/>
          <w:szCs w:val="24"/>
        </w:rPr>
        <w:t>Air Resources Board</w:t>
      </w:r>
      <w:r>
        <w:rPr>
          <w:rFonts w:ascii="Times New Roman" w:hAnsi="Times New Roman" w:cs="Times New Roman"/>
          <w:sz w:val="24"/>
          <w:szCs w:val="24"/>
        </w:rPr>
        <w:t>:</w:t>
      </w:r>
    </w:p>
    <w:p w:rsidR="001E4A64" w:rsidRDefault="001E4A64" w:rsidP="001E4A64">
      <w:pPr>
        <w:spacing w:after="0" w:line="240" w:lineRule="auto"/>
        <w:rPr>
          <w:rFonts w:ascii="Times New Roman" w:hAnsi="Times New Roman" w:cs="Times New Roman"/>
          <w:sz w:val="24"/>
          <w:szCs w:val="24"/>
        </w:rPr>
      </w:pPr>
    </w:p>
    <w:p w:rsidR="00A11958" w:rsidRDefault="00F24440" w:rsidP="00F24440">
      <w:pPr>
        <w:spacing w:after="0" w:line="240" w:lineRule="auto"/>
        <w:rPr>
          <w:rFonts w:ascii="Times New Roman" w:hAnsi="Times New Roman" w:cs="Times New Roman"/>
          <w:sz w:val="24"/>
          <w:szCs w:val="24"/>
        </w:rPr>
      </w:pPr>
      <w:r>
        <w:rPr>
          <w:rFonts w:ascii="Times New Roman" w:hAnsi="Times New Roman" w:cs="Times New Roman"/>
          <w:sz w:val="24"/>
          <w:szCs w:val="24"/>
        </w:rPr>
        <w:t>The Wyoming Energy Authority (WEA) is pleased to submit these comments o</w:t>
      </w:r>
      <w:r w:rsidR="00AF5CF3">
        <w:rPr>
          <w:rFonts w:ascii="Times New Roman" w:hAnsi="Times New Roman" w:cs="Times New Roman"/>
          <w:sz w:val="24"/>
          <w:szCs w:val="24"/>
        </w:rPr>
        <w:t>n the referenced matter</w:t>
      </w:r>
      <w:r>
        <w:rPr>
          <w:rFonts w:ascii="Times New Roman" w:hAnsi="Times New Roman" w:cs="Times New Roman"/>
          <w:sz w:val="24"/>
          <w:szCs w:val="24"/>
        </w:rPr>
        <w:t xml:space="preserve">. </w:t>
      </w:r>
      <w:r w:rsidR="00A11958">
        <w:rPr>
          <w:rFonts w:ascii="Times New Roman" w:hAnsi="Times New Roman" w:cs="Times New Roman"/>
          <w:sz w:val="24"/>
          <w:szCs w:val="24"/>
        </w:rPr>
        <w:t>On July 1, 2020, the Wyoming Infrastructure Authority merged with the Wyoming Pipeline Authority to create WEA. WEA serves as a unifying organization for Wyoming’s energy industries and is also the new home of State Energy Office. WEA’s mission is to advance Wyoming’s energy strategy by driving data, technology, and infrastructure investments. WEA’s vision is to support and promote Wyoming’s energy sector by implementing the state’s energy strategy; delivering positive economic impact and jobs for Wyoming; fostering an environment for the sustainability and growth of Wyoming’s economy; and ensuring Wyoming continues to power the nation.</w:t>
      </w:r>
    </w:p>
    <w:p w:rsidR="00A11958" w:rsidRDefault="00A11958" w:rsidP="00F24440">
      <w:pPr>
        <w:spacing w:after="0" w:line="240" w:lineRule="auto"/>
        <w:rPr>
          <w:rFonts w:ascii="Times New Roman" w:hAnsi="Times New Roman" w:cs="Times New Roman"/>
          <w:sz w:val="24"/>
          <w:szCs w:val="24"/>
        </w:rPr>
      </w:pPr>
    </w:p>
    <w:p w:rsidR="00C142A9" w:rsidRDefault="00A11958" w:rsidP="00F24440">
      <w:pPr>
        <w:spacing w:after="0" w:line="240" w:lineRule="auto"/>
        <w:rPr>
          <w:rFonts w:ascii="Times New Roman" w:hAnsi="Times New Roman" w:cs="Times New Roman"/>
          <w:sz w:val="24"/>
          <w:szCs w:val="24"/>
        </w:rPr>
      </w:pPr>
      <w:r>
        <w:rPr>
          <w:rFonts w:ascii="Times New Roman" w:hAnsi="Times New Roman" w:cs="Times New Roman"/>
          <w:sz w:val="24"/>
          <w:szCs w:val="24"/>
        </w:rPr>
        <w:t>These comments are</w:t>
      </w:r>
      <w:r w:rsidR="00C142A9">
        <w:rPr>
          <w:rFonts w:ascii="Times New Roman" w:hAnsi="Times New Roman" w:cs="Times New Roman"/>
          <w:sz w:val="24"/>
          <w:szCs w:val="24"/>
        </w:rPr>
        <w:t xml:space="preserve"> focused on “[a]reas for additional clarity or potential changes</w:t>
      </w:r>
      <w:r w:rsidR="007B50F8">
        <w:rPr>
          <w:rFonts w:ascii="Times New Roman" w:hAnsi="Times New Roman" w:cs="Times New Roman"/>
          <w:sz w:val="24"/>
          <w:szCs w:val="24"/>
        </w:rPr>
        <w:t xml:space="preserve"> to the [CCS] protocol</w:t>
      </w:r>
      <w:r w:rsidR="00C142A9">
        <w:rPr>
          <w:rFonts w:ascii="Times New Roman" w:hAnsi="Times New Roman" w:cs="Times New Roman"/>
          <w:sz w:val="24"/>
          <w:szCs w:val="24"/>
        </w:rPr>
        <w:t>” (</w:t>
      </w:r>
      <w:hyperlink r:id="rId8" w:history="1">
        <w:r w:rsidR="00C142A9" w:rsidRPr="002E2B25">
          <w:rPr>
            <w:rStyle w:val="Hyperlink"/>
            <w:rFonts w:ascii="Times New Roman" w:hAnsi="Times New Roman" w:cs="Times New Roman"/>
            <w:sz w:val="24"/>
            <w:szCs w:val="24"/>
          </w:rPr>
          <w:t>https://ww2.arb.ca.gov/sites/default/files/2020-10/101420presentation_carb.pdf</w:t>
        </w:r>
      </w:hyperlink>
      <w:r w:rsidR="00C142A9">
        <w:rPr>
          <w:rFonts w:ascii="Times New Roman" w:hAnsi="Times New Roman" w:cs="Times New Roman"/>
          <w:sz w:val="24"/>
          <w:szCs w:val="24"/>
        </w:rPr>
        <w:t>, slide</w:t>
      </w:r>
      <w:r w:rsidR="0018466F">
        <w:rPr>
          <w:rFonts w:ascii="Times New Roman" w:hAnsi="Times New Roman" w:cs="Times New Roman"/>
          <w:sz w:val="24"/>
          <w:szCs w:val="24"/>
        </w:rPr>
        <w:t> </w:t>
      </w:r>
      <w:r w:rsidR="00C142A9">
        <w:rPr>
          <w:rFonts w:ascii="Times New Roman" w:hAnsi="Times New Roman" w:cs="Times New Roman"/>
          <w:sz w:val="24"/>
          <w:szCs w:val="24"/>
        </w:rPr>
        <w:t xml:space="preserve">43). </w:t>
      </w:r>
    </w:p>
    <w:p w:rsidR="00F24440" w:rsidRDefault="00F24440" w:rsidP="00F24440">
      <w:pPr>
        <w:spacing w:after="0" w:line="240" w:lineRule="auto"/>
        <w:rPr>
          <w:rFonts w:ascii="Times New Roman" w:hAnsi="Times New Roman" w:cs="Times New Roman"/>
          <w:sz w:val="24"/>
          <w:szCs w:val="24"/>
        </w:rPr>
      </w:pPr>
    </w:p>
    <w:p w:rsidR="00F24440" w:rsidRPr="007F7743" w:rsidRDefault="00BF313F" w:rsidP="00F2444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Comments</w:t>
      </w:r>
    </w:p>
    <w:p w:rsidR="00F24440" w:rsidRDefault="00F24440" w:rsidP="00F24440">
      <w:pPr>
        <w:spacing w:after="0" w:line="240" w:lineRule="auto"/>
        <w:jc w:val="center"/>
        <w:rPr>
          <w:rFonts w:ascii="Times New Roman" w:hAnsi="Times New Roman" w:cs="Times New Roman"/>
          <w:sz w:val="24"/>
          <w:szCs w:val="24"/>
        </w:rPr>
      </w:pPr>
    </w:p>
    <w:p w:rsidR="004A3A2F" w:rsidRDefault="00F24440" w:rsidP="00A119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State of Wyoming is vitally interested in </w:t>
      </w:r>
      <w:r w:rsidR="00A11958">
        <w:rPr>
          <w:rFonts w:ascii="Times New Roman" w:hAnsi="Times New Roman" w:cs="Times New Roman"/>
          <w:sz w:val="24"/>
          <w:szCs w:val="24"/>
        </w:rPr>
        <w:t>the California Air Resources Board’s (CARB) implementation</w:t>
      </w:r>
      <w:r w:rsidR="00C605E5">
        <w:rPr>
          <w:rFonts w:ascii="Times New Roman" w:hAnsi="Times New Roman" w:cs="Times New Roman"/>
          <w:sz w:val="24"/>
          <w:szCs w:val="24"/>
        </w:rPr>
        <w:t xml:space="preserve"> of </w:t>
      </w:r>
      <w:r w:rsidR="00A11958">
        <w:rPr>
          <w:rFonts w:ascii="Times New Roman" w:hAnsi="Times New Roman" w:cs="Times New Roman"/>
          <w:sz w:val="24"/>
          <w:szCs w:val="24"/>
        </w:rPr>
        <w:t xml:space="preserve">the Low Carbon Fuel Standard (LCFS). </w:t>
      </w:r>
      <w:r>
        <w:rPr>
          <w:rFonts w:ascii="Times New Roman" w:hAnsi="Times New Roman" w:cs="Times New Roman"/>
          <w:sz w:val="24"/>
          <w:szCs w:val="24"/>
        </w:rPr>
        <w:t>Wyoming produces prodigious amounts of both fossil and renewable energy. Wyoming produces fifteen times more energy than it consumes, which means it is the largest net energy supplier among the states.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Wyoming sends almost three-fifths of the electricity</w:t>
      </w:r>
      <w:r w:rsidR="00A837EF">
        <w:rPr>
          <w:rFonts w:ascii="Times New Roman" w:hAnsi="Times New Roman" w:cs="Times New Roman"/>
          <w:sz w:val="24"/>
          <w:szCs w:val="24"/>
        </w:rPr>
        <w:t xml:space="preserve"> – a transportation fuel --</w:t>
      </w:r>
      <w:r>
        <w:rPr>
          <w:rFonts w:ascii="Times New Roman" w:hAnsi="Times New Roman" w:cs="Times New Roman"/>
          <w:sz w:val="24"/>
          <w:szCs w:val="24"/>
        </w:rPr>
        <w:t xml:space="preserve"> it generates out of state</w:t>
      </w:r>
      <w:r w:rsidR="00A11958">
        <w:rPr>
          <w:rFonts w:ascii="Times New Roman" w:hAnsi="Times New Roman" w:cs="Times New Roman"/>
          <w:sz w:val="24"/>
          <w:szCs w:val="24"/>
        </w:rPr>
        <w:t xml:space="preserve">, including California. </w:t>
      </w:r>
    </w:p>
    <w:p w:rsidR="004A3A2F" w:rsidRDefault="004A3A2F" w:rsidP="00A11958">
      <w:pPr>
        <w:spacing w:after="0" w:line="240" w:lineRule="auto"/>
        <w:rPr>
          <w:rFonts w:ascii="Times New Roman" w:hAnsi="Times New Roman" w:cs="Times New Roman"/>
          <w:sz w:val="24"/>
          <w:szCs w:val="24"/>
        </w:rPr>
      </w:pPr>
    </w:p>
    <w:p w:rsidR="004A3A2F" w:rsidRDefault="004A3A2F" w:rsidP="004A3A2F">
      <w:pPr>
        <w:spacing w:after="0" w:line="240" w:lineRule="auto"/>
        <w:rPr>
          <w:rFonts w:ascii="Times New Roman" w:hAnsi="Times New Roman" w:cs="Times New Roman"/>
          <w:sz w:val="24"/>
          <w:szCs w:val="24"/>
        </w:rPr>
      </w:pPr>
      <w:r>
        <w:rPr>
          <w:rFonts w:ascii="Times New Roman" w:hAnsi="Times New Roman" w:cs="Times New Roman"/>
          <w:sz w:val="24"/>
          <w:szCs w:val="24"/>
        </w:rPr>
        <w:t>Wyoming exports the bulk of the crude oil and natural gas its produces, and is working diligently to decarbonize those fossil resources. The State of Wyoming is a leader in low-carbon energy technologies. Wyoming Governor Gordon has emphasized that the end goal should be reducing atmospheric concentrations of carbon dioxide (CO</w:t>
      </w:r>
      <w:r w:rsidRPr="001F163B">
        <w:rPr>
          <w:rFonts w:ascii="Times New Roman" w:hAnsi="Times New Roman" w:cs="Times New Roman"/>
          <w:sz w:val="24"/>
          <w:szCs w:val="24"/>
          <w:vertAlign w:val="subscript"/>
        </w:rPr>
        <w:t>2</w:t>
      </w:r>
      <w:r>
        <w:rPr>
          <w:rFonts w:ascii="Times New Roman" w:hAnsi="Times New Roman" w:cs="Times New Roman"/>
          <w:sz w:val="24"/>
          <w:szCs w:val="24"/>
        </w:rPr>
        <w:t xml:space="preserve">) as opposed to penalizing the use of any </w:t>
      </w:r>
    </w:p>
    <w:p w:rsidR="004A3A2F" w:rsidRDefault="004A3A2F" w:rsidP="004A3A2F">
      <w:pPr>
        <w:spacing w:after="0" w:line="240" w:lineRule="auto"/>
        <w:rPr>
          <w:rFonts w:ascii="Times New Roman" w:hAnsi="Times New Roman" w:cs="Times New Roman"/>
          <w:sz w:val="24"/>
          <w:szCs w:val="24"/>
        </w:rPr>
      </w:pPr>
    </w:p>
    <w:p w:rsidR="004A3A2F" w:rsidRDefault="004A3A2F" w:rsidP="004A3A2F">
      <w:pPr>
        <w:spacing w:after="0" w:line="240" w:lineRule="auto"/>
        <w:rPr>
          <w:rFonts w:ascii="Times New Roman" w:hAnsi="Times New Roman" w:cs="Times New Roman"/>
          <w:sz w:val="24"/>
          <w:szCs w:val="24"/>
        </w:rPr>
      </w:pPr>
    </w:p>
    <w:p w:rsidR="004A3A2F" w:rsidRDefault="004A3A2F" w:rsidP="004A3A2F">
      <w:pPr>
        <w:spacing w:after="0" w:line="240" w:lineRule="auto"/>
        <w:rPr>
          <w:rFonts w:ascii="Times New Roman" w:hAnsi="Times New Roman" w:cs="Times New Roman"/>
          <w:sz w:val="24"/>
          <w:szCs w:val="24"/>
        </w:rPr>
      </w:pPr>
    </w:p>
    <w:p w:rsidR="00DF1026" w:rsidRDefault="004A3A2F" w:rsidP="00DF1026">
      <w:pPr>
        <w:spacing w:after="0" w:line="240" w:lineRule="auto"/>
        <w:rPr>
          <w:rFonts w:ascii="Times New Roman" w:hAnsi="Times New Roman" w:cs="Times New Roman"/>
          <w:sz w:val="24"/>
          <w:szCs w:val="24"/>
        </w:rPr>
      </w:pPr>
      <w:r>
        <w:rPr>
          <w:rFonts w:ascii="Times New Roman" w:hAnsi="Times New Roman" w:cs="Times New Roman"/>
          <w:sz w:val="24"/>
          <w:szCs w:val="24"/>
        </w:rPr>
        <w:t>specific fuel without considering the climate impacts of that policy decision.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DF1026">
        <w:rPr>
          <w:rFonts w:ascii="Times New Roman" w:hAnsi="Times New Roman" w:cs="Times New Roman"/>
          <w:sz w:val="24"/>
          <w:szCs w:val="24"/>
        </w:rPr>
        <w:t>Wyoming’s leadership on CCS/CCUS is notable on several fronts. Wyoming is:</w:t>
      </w:r>
    </w:p>
    <w:p w:rsidR="00DF1026" w:rsidRDefault="00DF1026" w:rsidP="00DF1026">
      <w:pPr>
        <w:spacing w:after="0" w:line="240" w:lineRule="auto"/>
        <w:rPr>
          <w:rFonts w:ascii="Times New Roman" w:hAnsi="Times New Roman" w:cs="Times New Roman"/>
          <w:sz w:val="24"/>
          <w:szCs w:val="24"/>
        </w:rPr>
      </w:pPr>
    </w:p>
    <w:p w:rsidR="00DF1026" w:rsidRDefault="00DF1026" w:rsidP="00CB2150">
      <w:pPr>
        <w:pStyle w:val="ListParagraph"/>
        <w:numPr>
          <w:ilvl w:val="0"/>
          <w:numId w:val="1"/>
        </w:numPr>
        <w:spacing w:after="0" w:line="240" w:lineRule="auto"/>
        <w:contextualSpacing w:val="0"/>
        <w:rPr>
          <w:rFonts w:ascii="Times New Roman" w:hAnsi="Times New Roman" w:cs="Times New Roman"/>
          <w:sz w:val="24"/>
          <w:szCs w:val="24"/>
        </w:rPr>
      </w:pPr>
      <w:r w:rsidRPr="00DF1026">
        <w:rPr>
          <w:rFonts w:ascii="Times New Roman" w:hAnsi="Times New Roman" w:cs="Times New Roman"/>
          <w:sz w:val="24"/>
          <w:szCs w:val="24"/>
        </w:rPr>
        <w:t>One of the only states that has enacted a suite of CCS/CCUS laws</w:t>
      </w:r>
      <w:r w:rsidR="0018466F">
        <w:rPr>
          <w:rFonts w:ascii="Times New Roman" w:hAnsi="Times New Roman" w:cs="Times New Roman"/>
          <w:sz w:val="24"/>
          <w:szCs w:val="24"/>
        </w:rPr>
        <w:t>, which individually and collectively reduce risks for project investors</w:t>
      </w:r>
      <w:r w:rsidRPr="00DF1026">
        <w:rPr>
          <w:rFonts w:ascii="Times New Roman" w:hAnsi="Times New Roman" w:cs="Times New Roman"/>
          <w:sz w:val="24"/>
          <w:szCs w:val="24"/>
        </w:rPr>
        <w:t xml:space="preserve">. Wyoming law: </w:t>
      </w:r>
    </w:p>
    <w:p w:rsidR="0018466F" w:rsidRPr="00DF1026" w:rsidRDefault="0018466F" w:rsidP="0018466F">
      <w:pPr>
        <w:pStyle w:val="ListParagraph"/>
        <w:spacing w:after="0" w:line="240" w:lineRule="auto"/>
        <w:contextualSpacing w:val="0"/>
        <w:rPr>
          <w:rFonts w:ascii="Times New Roman" w:hAnsi="Times New Roman" w:cs="Times New Roman"/>
          <w:sz w:val="24"/>
          <w:szCs w:val="24"/>
        </w:rPr>
      </w:pPr>
    </w:p>
    <w:p w:rsidR="004A3A2F"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Specifies who owns the pore space (Wyo. Stat. § 34-1-152 (2019))</w:t>
      </w:r>
      <w:r w:rsidR="00DF1026">
        <w:rPr>
          <w:rFonts w:ascii="Times New Roman" w:eastAsiaTheme="minorEastAsia" w:hAnsi="Times New Roman" w:cs="Times New Roman"/>
          <w:color w:val="000000" w:themeColor="text1"/>
          <w:kern w:val="24"/>
          <w:sz w:val="24"/>
          <w:szCs w:val="24"/>
        </w:rPr>
        <w:t>;</w:t>
      </w:r>
    </w:p>
    <w:p w:rsidR="004A3A2F" w:rsidRPr="004A3A2F" w:rsidRDefault="004A3A2F" w:rsidP="0018466F">
      <w:pPr>
        <w:pStyle w:val="ListParagraph"/>
        <w:spacing w:after="0" w:line="240" w:lineRule="auto"/>
        <w:ind w:left="1080"/>
        <w:rPr>
          <w:rFonts w:ascii="Times New Roman" w:eastAsia="Times New Roman" w:hAnsi="Times New Roman" w:cs="Times New Roman"/>
          <w:sz w:val="24"/>
          <w:szCs w:val="24"/>
        </w:rPr>
      </w:pPr>
    </w:p>
    <w:p w:rsidR="004A3A2F"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Establishes permitting procedures and requirements for CCS sites, including permits for time-limited researc</w:t>
      </w:r>
      <w:r w:rsidR="0018466F">
        <w:rPr>
          <w:rFonts w:ascii="Times New Roman" w:eastAsiaTheme="minorEastAsia" w:hAnsi="Times New Roman" w:cs="Times New Roman"/>
          <w:color w:val="000000" w:themeColor="text1"/>
          <w:kern w:val="24"/>
          <w:sz w:val="24"/>
          <w:szCs w:val="24"/>
        </w:rPr>
        <w:t>h (</w:t>
      </w:r>
      <w:r w:rsidR="0018466F" w:rsidRPr="0018466F">
        <w:rPr>
          <w:rFonts w:ascii="Times New Roman" w:eastAsiaTheme="minorEastAsia" w:hAnsi="Times New Roman" w:cs="Times New Roman"/>
          <w:color w:val="000000" w:themeColor="text1"/>
          <w:kern w:val="24"/>
          <w:sz w:val="24"/>
          <w:szCs w:val="24"/>
          <w:u w:val="single"/>
        </w:rPr>
        <w:t>i</w:t>
      </w:r>
      <w:r w:rsidR="00DF1026" w:rsidRPr="0018466F">
        <w:rPr>
          <w:rFonts w:ascii="Times New Roman" w:eastAsiaTheme="minorEastAsia" w:hAnsi="Times New Roman" w:cs="Times New Roman"/>
          <w:color w:val="000000" w:themeColor="text1"/>
          <w:kern w:val="24"/>
          <w:sz w:val="24"/>
          <w:szCs w:val="24"/>
          <w:u w:val="single"/>
        </w:rPr>
        <w:t>d</w:t>
      </w:r>
      <w:r w:rsidR="00DF1026">
        <w:rPr>
          <w:rFonts w:ascii="Times New Roman" w:eastAsiaTheme="minorEastAsia" w:hAnsi="Times New Roman" w:cs="Times New Roman"/>
          <w:color w:val="000000" w:themeColor="text1"/>
          <w:kern w:val="24"/>
          <w:sz w:val="24"/>
          <w:szCs w:val="24"/>
        </w:rPr>
        <w:t>. § 35-11-313</w:t>
      </w:r>
      <w:r w:rsidRPr="004A3A2F">
        <w:rPr>
          <w:rFonts w:ascii="Times New Roman" w:eastAsiaTheme="minorEastAsia" w:hAnsi="Times New Roman" w:cs="Times New Roman"/>
          <w:color w:val="000000" w:themeColor="text1"/>
          <w:kern w:val="24"/>
          <w:sz w:val="24"/>
          <w:szCs w:val="24"/>
        </w:rPr>
        <w:t>)</w:t>
      </w:r>
      <w:r w:rsidR="00DF1026">
        <w:rPr>
          <w:rFonts w:ascii="Times New Roman" w:eastAsiaTheme="minorEastAsia" w:hAnsi="Times New Roman" w:cs="Times New Roman"/>
          <w:color w:val="000000" w:themeColor="text1"/>
          <w:kern w:val="24"/>
          <w:sz w:val="24"/>
          <w:szCs w:val="24"/>
        </w:rPr>
        <w:t>;</w:t>
      </w:r>
    </w:p>
    <w:p w:rsidR="0018466F" w:rsidRPr="0018466F" w:rsidRDefault="0018466F" w:rsidP="0018466F">
      <w:pPr>
        <w:pStyle w:val="ListParagraph"/>
        <w:rPr>
          <w:rFonts w:ascii="Times New Roman" w:eastAsia="Times New Roman" w:hAnsi="Times New Roman" w:cs="Times New Roman"/>
          <w:sz w:val="24"/>
          <w:szCs w:val="24"/>
        </w:rPr>
      </w:pPr>
    </w:p>
    <w:p w:rsidR="004A3A2F"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Provides a mechanism for post-closure MRV via a trust fund approac</w:t>
      </w:r>
      <w:r w:rsidR="0018466F">
        <w:rPr>
          <w:rFonts w:ascii="Times New Roman" w:eastAsiaTheme="minorEastAsia" w:hAnsi="Times New Roman" w:cs="Times New Roman"/>
          <w:color w:val="000000" w:themeColor="text1"/>
          <w:kern w:val="24"/>
          <w:sz w:val="24"/>
          <w:szCs w:val="24"/>
        </w:rPr>
        <w:t>h (</w:t>
      </w:r>
      <w:r w:rsidR="0018466F" w:rsidRPr="0018466F">
        <w:rPr>
          <w:rFonts w:ascii="Times New Roman" w:eastAsiaTheme="minorEastAsia" w:hAnsi="Times New Roman" w:cs="Times New Roman"/>
          <w:color w:val="000000" w:themeColor="text1"/>
          <w:kern w:val="24"/>
          <w:sz w:val="24"/>
          <w:szCs w:val="24"/>
          <w:u w:val="single"/>
        </w:rPr>
        <w:t>i</w:t>
      </w:r>
      <w:r w:rsidR="00DF1026" w:rsidRPr="0018466F">
        <w:rPr>
          <w:rFonts w:ascii="Times New Roman" w:eastAsiaTheme="minorEastAsia" w:hAnsi="Times New Roman" w:cs="Times New Roman"/>
          <w:color w:val="000000" w:themeColor="text1"/>
          <w:kern w:val="24"/>
          <w:sz w:val="24"/>
          <w:szCs w:val="24"/>
          <w:u w:val="single"/>
        </w:rPr>
        <w:t>d</w:t>
      </w:r>
      <w:r w:rsidR="00DF1026">
        <w:rPr>
          <w:rFonts w:ascii="Times New Roman" w:eastAsiaTheme="minorEastAsia" w:hAnsi="Times New Roman" w:cs="Times New Roman"/>
          <w:color w:val="000000" w:themeColor="text1"/>
          <w:kern w:val="24"/>
          <w:sz w:val="24"/>
          <w:szCs w:val="24"/>
        </w:rPr>
        <w:t>. § 35-11-318</w:t>
      </w:r>
      <w:r w:rsidRPr="004A3A2F">
        <w:rPr>
          <w:rFonts w:ascii="Times New Roman" w:eastAsiaTheme="minorEastAsia" w:hAnsi="Times New Roman" w:cs="Times New Roman"/>
          <w:color w:val="000000" w:themeColor="text1"/>
          <w:kern w:val="24"/>
          <w:sz w:val="24"/>
          <w:szCs w:val="24"/>
        </w:rPr>
        <w:t>)</w:t>
      </w:r>
      <w:r w:rsidR="00DF1026">
        <w:rPr>
          <w:rFonts w:ascii="Times New Roman" w:eastAsiaTheme="minorEastAsia" w:hAnsi="Times New Roman" w:cs="Times New Roman"/>
          <w:color w:val="000000" w:themeColor="text1"/>
          <w:kern w:val="24"/>
          <w:sz w:val="24"/>
          <w:szCs w:val="24"/>
        </w:rPr>
        <w:t>;</w:t>
      </w:r>
    </w:p>
    <w:p w:rsidR="0018466F" w:rsidRPr="0018466F" w:rsidRDefault="0018466F" w:rsidP="0018466F">
      <w:pPr>
        <w:pStyle w:val="ListParagraph"/>
        <w:rPr>
          <w:rFonts w:ascii="Times New Roman" w:eastAsia="Times New Roman" w:hAnsi="Times New Roman" w:cs="Times New Roman"/>
          <w:sz w:val="24"/>
          <w:szCs w:val="24"/>
        </w:rPr>
      </w:pPr>
    </w:p>
    <w:p w:rsidR="004A3A2F"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Provides a mechanism for unitization</w:t>
      </w:r>
      <w:r w:rsidR="0018466F">
        <w:rPr>
          <w:rFonts w:ascii="Times New Roman" w:eastAsiaTheme="minorEastAsia" w:hAnsi="Times New Roman" w:cs="Times New Roman"/>
          <w:color w:val="000000" w:themeColor="text1"/>
          <w:kern w:val="24"/>
          <w:sz w:val="24"/>
          <w:szCs w:val="24"/>
        </w:rPr>
        <w:t xml:space="preserve"> of storage interests (</w:t>
      </w:r>
      <w:r w:rsidR="0018466F" w:rsidRPr="0018466F">
        <w:rPr>
          <w:rFonts w:ascii="Times New Roman" w:eastAsiaTheme="minorEastAsia" w:hAnsi="Times New Roman" w:cs="Times New Roman"/>
          <w:color w:val="000000" w:themeColor="text1"/>
          <w:kern w:val="24"/>
          <w:sz w:val="24"/>
          <w:szCs w:val="24"/>
          <w:u w:val="single"/>
        </w:rPr>
        <w:t>i</w:t>
      </w:r>
      <w:r w:rsidR="00DF1026" w:rsidRPr="0018466F">
        <w:rPr>
          <w:rFonts w:ascii="Times New Roman" w:eastAsiaTheme="minorEastAsia" w:hAnsi="Times New Roman" w:cs="Times New Roman"/>
          <w:color w:val="000000" w:themeColor="text1"/>
          <w:kern w:val="24"/>
          <w:sz w:val="24"/>
          <w:szCs w:val="24"/>
          <w:u w:val="single"/>
        </w:rPr>
        <w:t>d</w:t>
      </w:r>
      <w:r w:rsidRPr="004A3A2F">
        <w:rPr>
          <w:rFonts w:ascii="Times New Roman" w:eastAsiaTheme="minorEastAsia" w:hAnsi="Times New Roman" w:cs="Times New Roman"/>
          <w:color w:val="000000" w:themeColor="text1"/>
          <w:kern w:val="24"/>
          <w:sz w:val="24"/>
          <w:szCs w:val="24"/>
        </w:rPr>
        <w:t>. §</w:t>
      </w:r>
      <w:r w:rsidR="00DF1026">
        <w:rPr>
          <w:rFonts w:ascii="Times New Roman" w:eastAsiaTheme="minorEastAsia" w:hAnsi="Times New Roman" w:cs="Times New Roman"/>
          <w:color w:val="000000" w:themeColor="text1"/>
          <w:kern w:val="24"/>
          <w:sz w:val="24"/>
          <w:szCs w:val="24"/>
        </w:rPr>
        <w:t xml:space="preserve"> 35-11-315</w:t>
      </w:r>
      <w:r w:rsidRPr="004A3A2F">
        <w:rPr>
          <w:rFonts w:ascii="Times New Roman" w:eastAsiaTheme="minorEastAsia" w:hAnsi="Times New Roman" w:cs="Times New Roman"/>
          <w:color w:val="000000" w:themeColor="text1"/>
          <w:kern w:val="24"/>
          <w:sz w:val="24"/>
          <w:szCs w:val="24"/>
        </w:rPr>
        <w:t>)</w:t>
      </w:r>
      <w:r w:rsidR="0018466F">
        <w:rPr>
          <w:rFonts w:ascii="Times New Roman" w:eastAsiaTheme="minorEastAsia" w:hAnsi="Times New Roman" w:cs="Times New Roman"/>
          <w:color w:val="000000" w:themeColor="text1"/>
          <w:kern w:val="24"/>
          <w:sz w:val="24"/>
          <w:szCs w:val="24"/>
        </w:rPr>
        <w:t>;</w:t>
      </w:r>
    </w:p>
    <w:p w:rsidR="0018466F" w:rsidRPr="0018466F" w:rsidRDefault="0018466F" w:rsidP="0018466F">
      <w:pPr>
        <w:pStyle w:val="ListParagraph"/>
        <w:rPr>
          <w:rFonts w:ascii="Times New Roman" w:eastAsia="Times New Roman" w:hAnsi="Times New Roman" w:cs="Times New Roman"/>
          <w:sz w:val="24"/>
          <w:szCs w:val="24"/>
        </w:rPr>
      </w:pPr>
    </w:p>
    <w:p w:rsidR="004A3A2F"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Specifies that the injector, not the owner of pore space, is generally liab</w:t>
      </w:r>
      <w:r w:rsidR="0018466F">
        <w:rPr>
          <w:rFonts w:ascii="Times New Roman" w:eastAsiaTheme="minorEastAsia" w:hAnsi="Times New Roman" w:cs="Times New Roman"/>
          <w:color w:val="000000" w:themeColor="text1"/>
          <w:kern w:val="24"/>
          <w:sz w:val="24"/>
          <w:szCs w:val="24"/>
        </w:rPr>
        <w:t>le (</w:t>
      </w:r>
      <w:r w:rsidR="0018466F" w:rsidRPr="0018466F">
        <w:rPr>
          <w:rFonts w:ascii="Times New Roman" w:eastAsiaTheme="minorEastAsia" w:hAnsi="Times New Roman" w:cs="Times New Roman"/>
          <w:color w:val="000000" w:themeColor="text1"/>
          <w:kern w:val="24"/>
          <w:sz w:val="24"/>
          <w:szCs w:val="24"/>
          <w:u w:val="single"/>
        </w:rPr>
        <w:t>i</w:t>
      </w:r>
      <w:r w:rsidR="00DF1026" w:rsidRPr="0018466F">
        <w:rPr>
          <w:rFonts w:ascii="Times New Roman" w:eastAsiaTheme="minorEastAsia" w:hAnsi="Times New Roman" w:cs="Times New Roman"/>
          <w:color w:val="000000" w:themeColor="text1"/>
          <w:kern w:val="24"/>
          <w:sz w:val="24"/>
          <w:szCs w:val="24"/>
          <w:u w:val="single"/>
        </w:rPr>
        <w:t>d</w:t>
      </w:r>
      <w:r w:rsidR="00DF1026">
        <w:rPr>
          <w:rFonts w:ascii="Times New Roman" w:eastAsiaTheme="minorEastAsia" w:hAnsi="Times New Roman" w:cs="Times New Roman"/>
          <w:color w:val="000000" w:themeColor="text1"/>
          <w:kern w:val="24"/>
          <w:sz w:val="24"/>
          <w:szCs w:val="24"/>
        </w:rPr>
        <w:t>. § 34-1-513</w:t>
      </w:r>
      <w:r w:rsidRPr="004A3A2F">
        <w:rPr>
          <w:rFonts w:ascii="Times New Roman" w:eastAsiaTheme="minorEastAsia" w:hAnsi="Times New Roman" w:cs="Times New Roman"/>
          <w:color w:val="000000" w:themeColor="text1"/>
          <w:kern w:val="24"/>
          <w:sz w:val="24"/>
          <w:szCs w:val="24"/>
        </w:rPr>
        <w:t>)</w:t>
      </w:r>
      <w:r w:rsidR="00DF1026">
        <w:rPr>
          <w:rFonts w:ascii="Times New Roman" w:eastAsiaTheme="minorEastAsia" w:hAnsi="Times New Roman" w:cs="Times New Roman"/>
          <w:color w:val="000000" w:themeColor="text1"/>
          <w:kern w:val="24"/>
          <w:sz w:val="24"/>
          <w:szCs w:val="24"/>
        </w:rPr>
        <w:t>;</w:t>
      </w:r>
    </w:p>
    <w:p w:rsidR="0018466F" w:rsidRPr="0018466F" w:rsidRDefault="0018466F" w:rsidP="0018466F">
      <w:pPr>
        <w:pStyle w:val="ListParagraph"/>
        <w:rPr>
          <w:rFonts w:ascii="Times New Roman" w:eastAsia="Times New Roman" w:hAnsi="Times New Roman" w:cs="Times New Roman"/>
          <w:sz w:val="24"/>
          <w:szCs w:val="24"/>
        </w:rPr>
      </w:pPr>
    </w:p>
    <w:p w:rsidR="004A3A2F"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Clarifies that vis-à-vis storage rights, production rights are dominant but cannot interfere with stora</w:t>
      </w:r>
      <w:r w:rsidR="0018466F">
        <w:rPr>
          <w:rFonts w:ascii="Times New Roman" w:eastAsiaTheme="minorEastAsia" w:hAnsi="Times New Roman" w:cs="Times New Roman"/>
          <w:color w:val="000000" w:themeColor="text1"/>
          <w:kern w:val="24"/>
          <w:sz w:val="24"/>
          <w:szCs w:val="24"/>
        </w:rPr>
        <w:t>ge (</w:t>
      </w:r>
      <w:r w:rsidR="0018466F" w:rsidRPr="0018466F">
        <w:rPr>
          <w:rFonts w:ascii="Times New Roman" w:eastAsiaTheme="minorEastAsia" w:hAnsi="Times New Roman" w:cs="Times New Roman"/>
          <w:color w:val="000000" w:themeColor="text1"/>
          <w:kern w:val="24"/>
          <w:sz w:val="24"/>
          <w:szCs w:val="24"/>
          <w:u w:val="single"/>
        </w:rPr>
        <w:t>i</w:t>
      </w:r>
      <w:r w:rsidR="00DF1026" w:rsidRPr="0018466F">
        <w:rPr>
          <w:rFonts w:ascii="Times New Roman" w:eastAsiaTheme="minorEastAsia" w:hAnsi="Times New Roman" w:cs="Times New Roman"/>
          <w:color w:val="000000" w:themeColor="text1"/>
          <w:kern w:val="24"/>
          <w:sz w:val="24"/>
          <w:szCs w:val="24"/>
          <w:u w:val="single"/>
        </w:rPr>
        <w:t>d</w:t>
      </w:r>
      <w:r w:rsidR="00DF1026">
        <w:rPr>
          <w:rFonts w:ascii="Times New Roman" w:eastAsiaTheme="minorEastAsia" w:hAnsi="Times New Roman" w:cs="Times New Roman"/>
          <w:color w:val="000000" w:themeColor="text1"/>
          <w:kern w:val="24"/>
          <w:sz w:val="24"/>
          <w:szCs w:val="24"/>
        </w:rPr>
        <w:t>. § 30-5-501</w:t>
      </w:r>
      <w:r w:rsidRPr="004A3A2F">
        <w:rPr>
          <w:rFonts w:ascii="Times New Roman" w:eastAsiaTheme="minorEastAsia" w:hAnsi="Times New Roman" w:cs="Times New Roman"/>
          <w:color w:val="000000" w:themeColor="text1"/>
          <w:kern w:val="24"/>
          <w:sz w:val="24"/>
          <w:szCs w:val="24"/>
        </w:rPr>
        <w:t>)</w:t>
      </w:r>
      <w:r w:rsidR="00DF1026">
        <w:rPr>
          <w:rFonts w:ascii="Times New Roman" w:eastAsiaTheme="minorEastAsia" w:hAnsi="Times New Roman" w:cs="Times New Roman"/>
          <w:color w:val="000000" w:themeColor="text1"/>
          <w:kern w:val="24"/>
          <w:sz w:val="24"/>
          <w:szCs w:val="24"/>
        </w:rPr>
        <w:t>; and</w:t>
      </w:r>
    </w:p>
    <w:p w:rsidR="0018466F" w:rsidRPr="0018466F" w:rsidRDefault="0018466F" w:rsidP="0018466F">
      <w:pPr>
        <w:pStyle w:val="ListParagraph"/>
        <w:rPr>
          <w:rFonts w:ascii="Times New Roman" w:eastAsia="Times New Roman" w:hAnsi="Times New Roman" w:cs="Times New Roman"/>
          <w:sz w:val="24"/>
          <w:szCs w:val="24"/>
        </w:rPr>
      </w:pPr>
    </w:p>
    <w:p w:rsidR="00DF1026" w:rsidRPr="0018466F" w:rsidRDefault="004A3A2F" w:rsidP="00DF1026">
      <w:pPr>
        <w:pStyle w:val="ListParagraph"/>
        <w:numPr>
          <w:ilvl w:val="0"/>
          <w:numId w:val="3"/>
        </w:numPr>
        <w:spacing w:after="0" w:line="240" w:lineRule="auto"/>
        <w:rPr>
          <w:rFonts w:ascii="Times New Roman" w:eastAsia="Times New Roman" w:hAnsi="Times New Roman" w:cs="Times New Roman"/>
          <w:sz w:val="24"/>
          <w:szCs w:val="24"/>
        </w:rPr>
      </w:pPr>
      <w:r w:rsidRPr="004A3A2F">
        <w:rPr>
          <w:rFonts w:ascii="Times New Roman" w:eastAsiaTheme="minorEastAsia" w:hAnsi="Times New Roman" w:cs="Times New Roman"/>
          <w:color w:val="000000" w:themeColor="text1"/>
          <w:kern w:val="24"/>
          <w:sz w:val="24"/>
          <w:szCs w:val="24"/>
        </w:rPr>
        <w:t>Provides a certification procedure for CO</w:t>
      </w:r>
      <w:r w:rsidRPr="004A3A2F">
        <w:rPr>
          <w:rFonts w:ascii="Times New Roman" w:eastAsiaTheme="minorEastAsia" w:hAnsi="Times New Roman" w:cs="Times New Roman"/>
          <w:color w:val="000000" w:themeColor="text1"/>
          <w:kern w:val="24"/>
          <w:position w:val="-8"/>
          <w:sz w:val="24"/>
          <w:szCs w:val="24"/>
          <w:vertAlign w:val="subscript"/>
        </w:rPr>
        <w:t>2</w:t>
      </w:r>
      <w:r w:rsidRPr="004A3A2F">
        <w:rPr>
          <w:rFonts w:ascii="Times New Roman" w:eastAsiaTheme="minorEastAsia" w:hAnsi="Times New Roman" w:cs="Times New Roman"/>
          <w:color w:val="000000" w:themeColor="text1"/>
          <w:kern w:val="24"/>
          <w:sz w:val="24"/>
          <w:szCs w:val="24"/>
        </w:rPr>
        <w:t xml:space="preserve"> incidenta</w:t>
      </w:r>
      <w:r w:rsidR="00DF1026">
        <w:rPr>
          <w:rFonts w:ascii="Times New Roman" w:eastAsiaTheme="minorEastAsia" w:hAnsi="Times New Roman" w:cs="Times New Roman"/>
          <w:color w:val="000000" w:themeColor="text1"/>
          <w:kern w:val="24"/>
          <w:sz w:val="24"/>
          <w:szCs w:val="24"/>
        </w:rPr>
        <w:t>lly s</w:t>
      </w:r>
      <w:r w:rsidR="0018466F">
        <w:rPr>
          <w:rFonts w:ascii="Times New Roman" w:eastAsiaTheme="minorEastAsia" w:hAnsi="Times New Roman" w:cs="Times New Roman"/>
          <w:color w:val="000000" w:themeColor="text1"/>
          <w:kern w:val="24"/>
          <w:sz w:val="24"/>
          <w:szCs w:val="24"/>
        </w:rPr>
        <w:t>tored during EOR (</w:t>
      </w:r>
      <w:r w:rsidR="0018466F" w:rsidRPr="0018466F">
        <w:rPr>
          <w:rFonts w:ascii="Times New Roman" w:eastAsiaTheme="minorEastAsia" w:hAnsi="Times New Roman" w:cs="Times New Roman"/>
          <w:color w:val="000000" w:themeColor="text1"/>
          <w:kern w:val="24"/>
          <w:sz w:val="24"/>
          <w:szCs w:val="24"/>
          <w:u w:val="single"/>
        </w:rPr>
        <w:t>i</w:t>
      </w:r>
      <w:r w:rsidR="00DF1026" w:rsidRPr="0018466F">
        <w:rPr>
          <w:rFonts w:ascii="Times New Roman" w:eastAsiaTheme="minorEastAsia" w:hAnsi="Times New Roman" w:cs="Times New Roman"/>
          <w:color w:val="000000" w:themeColor="text1"/>
          <w:kern w:val="24"/>
          <w:sz w:val="24"/>
          <w:szCs w:val="24"/>
          <w:u w:val="single"/>
        </w:rPr>
        <w:t>d</w:t>
      </w:r>
      <w:r w:rsidR="00DF1026">
        <w:rPr>
          <w:rFonts w:ascii="Times New Roman" w:eastAsiaTheme="minorEastAsia" w:hAnsi="Times New Roman" w:cs="Times New Roman"/>
          <w:color w:val="000000" w:themeColor="text1"/>
          <w:kern w:val="24"/>
          <w:sz w:val="24"/>
          <w:szCs w:val="24"/>
        </w:rPr>
        <w:t>. § 30-5-502.</w:t>
      </w:r>
    </w:p>
    <w:p w:rsidR="0018466F" w:rsidRPr="0018466F" w:rsidRDefault="0018466F" w:rsidP="0018466F">
      <w:pPr>
        <w:spacing w:after="0" w:line="240" w:lineRule="auto"/>
        <w:rPr>
          <w:rFonts w:ascii="Times New Roman" w:eastAsia="Times New Roman" w:hAnsi="Times New Roman" w:cs="Times New Roman"/>
          <w:sz w:val="24"/>
          <w:szCs w:val="24"/>
        </w:rPr>
      </w:pPr>
    </w:p>
    <w:p w:rsidR="00DF1026" w:rsidRDefault="0018466F" w:rsidP="00DF1026">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T</w:t>
      </w:r>
      <w:r w:rsidR="00DF1026">
        <w:rPr>
          <w:rFonts w:ascii="Times New Roman" w:hAnsi="Times New Roman" w:cs="Times New Roman"/>
          <w:sz w:val="24"/>
          <w:szCs w:val="24"/>
        </w:rPr>
        <w:t>he only state</w:t>
      </w:r>
      <w:r>
        <w:rPr>
          <w:rFonts w:ascii="Times New Roman" w:hAnsi="Times New Roman" w:cs="Times New Roman"/>
          <w:sz w:val="24"/>
          <w:szCs w:val="24"/>
        </w:rPr>
        <w:t xml:space="preserve"> to enact </w:t>
      </w:r>
      <w:r w:rsidR="00DF1026">
        <w:rPr>
          <w:rFonts w:ascii="Times New Roman" w:hAnsi="Times New Roman" w:cs="Times New Roman"/>
          <w:sz w:val="24"/>
          <w:szCs w:val="24"/>
        </w:rPr>
        <w:t xml:space="preserve">a low-carbon/CCUS-based standard </w:t>
      </w:r>
      <w:r>
        <w:rPr>
          <w:rFonts w:ascii="Times New Roman" w:hAnsi="Times New Roman" w:cs="Times New Roman"/>
          <w:sz w:val="24"/>
          <w:szCs w:val="24"/>
        </w:rPr>
        <w:t xml:space="preserve">(H.B. 200) </w:t>
      </w:r>
      <w:r w:rsidR="00DF1026">
        <w:rPr>
          <w:rFonts w:ascii="Times New Roman" w:hAnsi="Times New Roman" w:cs="Times New Roman"/>
          <w:sz w:val="24"/>
          <w:szCs w:val="24"/>
        </w:rPr>
        <w:t xml:space="preserve">for coal-fired power plants that are regulated as public utilities. </w:t>
      </w:r>
      <w:r>
        <w:rPr>
          <w:rFonts w:ascii="Times New Roman" w:hAnsi="Times New Roman" w:cs="Times New Roman"/>
          <w:sz w:val="24"/>
          <w:szCs w:val="24"/>
        </w:rPr>
        <w:t>And again, electricity is a transportation fuel.</w:t>
      </w:r>
    </w:p>
    <w:p w:rsidR="00DF1026" w:rsidRDefault="00DF1026" w:rsidP="00DF1026">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Now only</w:t>
      </w:r>
      <w:r w:rsidR="0018466F">
        <w:rPr>
          <w:rFonts w:ascii="Times New Roman" w:hAnsi="Times New Roman" w:cs="Times New Roman"/>
          <w:sz w:val="24"/>
          <w:szCs w:val="24"/>
        </w:rPr>
        <w:t xml:space="preserve"> the second state </w:t>
      </w:r>
      <w:r>
        <w:rPr>
          <w:rFonts w:ascii="Times New Roman" w:hAnsi="Times New Roman" w:cs="Times New Roman"/>
          <w:sz w:val="24"/>
          <w:szCs w:val="24"/>
        </w:rPr>
        <w:t xml:space="preserve">to be granted </w:t>
      </w:r>
      <w:r w:rsidRPr="000B0F6A">
        <w:rPr>
          <w:rFonts w:ascii="Times New Roman" w:hAnsi="Times New Roman" w:cs="Times New Roman"/>
          <w:sz w:val="24"/>
          <w:szCs w:val="24"/>
        </w:rPr>
        <w:t xml:space="preserve">primacy from the U.S. Environmental Protection Agency </w:t>
      </w:r>
      <w:r>
        <w:rPr>
          <w:rFonts w:ascii="Times New Roman" w:hAnsi="Times New Roman" w:cs="Times New Roman"/>
          <w:sz w:val="24"/>
          <w:szCs w:val="24"/>
        </w:rPr>
        <w:t xml:space="preserve">(EPA) </w:t>
      </w:r>
      <w:r w:rsidRPr="000B0F6A">
        <w:rPr>
          <w:rFonts w:ascii="Times New Roman" w:hAnsi="Times New Roman" w:cs="Times New Roman"/>
          <w:sz w:val="24"/>
          <w:szCs w:val="24"/>
        </w:rPr>
        <w:t>for implem</w:t>
      </w:r>
      <w:r>
        <w:rPr>
          <w:rFonts w:ascii="Times New Roman" w:hAnsi="Times New Roman" w:cs="Times New Roman"/>
          <w:sz w:val="24"/>
          <w:szCs w:val="24"/>
        </w:rPr>
        <w:t xml:space="preserve">entation of the </w:t>
      </w:r>
      <w:r w:rsidRPr="000B0F6A">
        <w:rPr>
          <w:rFonts w:ascii="Times New Roman" w:hAnsi="Times New Roman" w:cs="Times New Roman"/>
          <w:sz w:val="24"/>
          <w:szCs w:val="24"/>
        </w:rPr>
        <w:t>CO</w:t>
      </w:r>
      <w:r w:rsidRPr="00E465C8">
        <w:rPr>
          <w:rFonts w:ascii="Times New Roman" w:hAnsi="Times New Roman" w:cs="Times New Roman"/>
          <w:sz w:val="24"/>
          <w:szCs w:val="24"/>
          <w:vertAlign w:val="subscript"/>
        </w:rPr>
        <w:t>2</w:t>
      </w:r>
      <w:r w:rsidRPr="000B0F6A">
        <w:rPr>
          <w:rFonts w:ascii="Times New Roman" w:hAnsi="Times New Roman" w:cs="Times New Roman"/>
          <w:sz w:val="24"/>
          <w:szCs w:val="24"/>
        </w:rPr>
        <w:t xml:space="preserve"> injection regulations under the Class VI of the Safe Drinking Water Act’s Underground Injection Control program</w:t>
      </w:r>
      <w:r w:rsidR="0018466F">
        <w:rPr>
          <w:rFonts w:ascii="Times New Roman" w:hAnsi="Times New Roman" w:cs="Times New Roman"/>
          <w:sz w:val="24"/>
          <w:szCs w:val="24"/>
        </w:rPr>
        <w:t xml:space="preserve"> (</w:t>
      </w:r>
      <w:r w:rsidR="0018466F">
        <w:rPr>
          <w:rFonts w:ascii="Times New Roman" w:eastAsia="Times New Roman" w:hAnsi="Times New Roman" w:cs="Times New Roman"/>
          <w:sz w:val="24"/>
          <w:szCs w:val="24"/>
        </w:rPr>
        <w:t>(85 Fed. Reg. 64053 (2020))</w:t>
      </w:r>
      <w:r w:rsidRPr="000B0F6A">
        <w:rPr>
          <w:rFonts w:ascii="Times New Roman" w:hAnsi="Times New Roman" w:cs="Times New Roman"/>
          <w:sz w:val="24"/>
          <w:szCs w:val="24"/>
        </w:rPr>
        <w:t>.</w:t>
      </w:r>
      <w:r>
        <w:rPr>
          <w:rFonts w:ascii="Times New Roman" w:hAnsi="Times New Roman" w:cs="Times New Roman"/>
          <w:sz w:val="24"/>
          <w:szCs w:val="24"/>
        </w:rPr>
        <w:t xml:space="preserve">  </w:t>
      </w:r>
    </w:p>
    <w:p w:rsidR="00DF1026" w:rsidRPr="0018466F" w:rsidRDefault="00DF1026" w:rsidP="00B975D5">
      <w:pPr>
        <w:pStyle w:val="ListParagraph"/>
        <w:numPr>
          <w:ilvl w:val="0"/>
          <w:numId w:val="1"/>
        </w:numPr>
        <w:spacing w:after="240" w:line="240" w:lineRule="auto"/>
        <w:contextualSpacing w:val="0"/>
        <w:rPr>
          <w:rFonts w:ascii="Times New Roman" w:hAnsi="Times New Roman" w:cs="Times New Roman"/>
          <w:sz w:val="24"/>
          <w:szCs w:val="24"/>
        </w:rPr>
      </w:pPr>
      <w:r w:rsidRPr="0018466F">
        <w:rPr>
          <w:rFonts w:ascii="Times New Roman" w:hAnsi="Times New Roman" w:cs="Times New Roman"/>
          <w:sz w:val="24"/>
          <w:szCs w:val="24"/>
        </w:rPr>
        <w:t>An international leader in many aspects of CCUS technology. Researchers at UW, for example, are currently funded by the U.S. Department of Energy (DOE) to advance a potential large-scale integrated CO</w:t>
      </w:r>
      <w:r w:rsidRPr="0018466F">
        <w:rPr>
          <w:rFonts w:ascii="Times New Roman" w:hAnsi="Times New Roman" w:cs="Times New Roman"/>
          <w:sz w:val="24"/>
          <w:szCs w:val="24"/>
          <w:vertAlign w:val="subscript"/>
        </w:rPr>
        <w:t>2</w:t>
      </w:r>
      <w:r w:rsidRPr="0018466F">
        <w:rPr>
          <w:rFonts w:ascii="Times New Roman" w:hAnsi="Times New Roman" w:cs="Times New Roman"/>
          <w:sz w:val="24"/>
          <w:szCs w:val="24"/>
        </w:rPr>
        <w:t xml:space="preserve"> storage project in Gillette, Wyoming.</w:t>
      </w:r>
      <w:r>
        <w:rPr>
          <w:rStyle w:val="FootnoteReference"/>
          <w:rFonts w:ascii="Times New Roman" w:hAnsi="Times New Roman" w:cs="Times New Roman"/>
          <w:sz w:val="24"/>
          <w:szCs w:val="24"/>
        </w:rPr>
        <w:footnoteReference w:id="3"/>
      </w:r>
      <w:r w:rsidRPr="0018466F">
        <w:rPr>
          <w:rFonts w:ascii="Times New Roman" w:hAnsi="Times New Roman" w:cs="Times New Roman"/>
          <w:sz w:val="24"/>
          <w:szCs w:val="24"/>
        </w:rPr>
        <w:t xml:space="preserve"> Several years ago, comparable geologic assessments were conducted at another site in the state.</w:t>
      </w:r>
      <w:r>
        <w:rPr>
          <w:rStyle w:val="FootnoteReference"/>
          <w:rFonts w:ascii="Times New Roman" w:hAnsi="Times New Roman" w:cs="Times New Roman"/>
          <w:sz w:val="24"/>
          <w:szCs w:val="24"/>
        </w:rPr>
        <w:footnoteReference w:id="4"/>
      </w:r>
      <w:r w:rsidRPr="0018466F">
        <w:rPr>
          <w:rFonts w:ascii="Times New Roman" w:hAnsi="Times New Roman" w:cs="Times New Roman"/>
          <w:sz w:val="24"/>
          <w:szCs w:val="24"/>
        </w:rPr>
        <w:t xml:space="preserve"> UW is part of the Montana State University-led WAFERx project, which is funded by the </w:t>
      </w:r>
      <w:r w:rsidRPr="0018466F">
        <w:rPr>
          <w:rFonts w:ascii="Times New Roman" w:hAnsi="Times New Roman" w:cs="Times New Roman"/>
          <w:sz w:val="24"/>
          <w:szCs w:val="24"/>
        </w:rPr>
        <w:lastRenderedPageBreak/>
        <w:t>National Science Foundation to evaluate the feasibility of the widespread adoption of BECCS in the Upper Missouri River Basin.</w:t>
      </w:r>
      <w:r>
        <w:rPr>
          <w:rStyle w:val="FootnoteReference"/>
          <w:rFonts w:ascii="Times New Roman" w:hAnsi="Times New Roman" w:cs="Times New Roman"/>
          <w:sz w:val="24"/>
          <w:szCs w:val="24"/>
        </w:rPr>
        <w:footnoteReference w:id="5"/>
      </w:r>
    </w:p>
    <w:p w:rsidR="00DF1026" w:rsidRDefault="00DF1026" w:rsidP="00DF1026">
      <w:pPr>
        <w:pStyle w:val="ListParagraph"/>
        <w:numPr>
          <w:ilvl w:val="0"/>
          <w:numId w:val="1"/>
        </w:numPr>
        <w:spacing w:after="240" w:line="240" w:lineRule="auto"/>
        <w:contextualSpacing w:val="0"/>
        <w:rPr>
          <w:rFonts w:ascii="Times New Roman" w:hAnsi="Times New Roman" w:cs="Times New Roman"/>
          <w:sz w:val="24"/>
          <w:szCs w:val="24"/>
        </w:rPr>
      </w:pPr>
      <w:r>
        <w:rPr>
          <w:rFonts w:ascii="Times New Roman" w:hAnsi="Times New Roman" w:cs="Times New Roman"/>
          <w:sz w:val="24"/>
          <w:szCs w:val="24"/>
        </w:rPr>
        <w:t>Home to the Wyoming Integrated Test Center, where researchers test the utilization and management of CO</w:t>
      </w:r>
      <w:r w:rsidRPr="007F7743">
        <w:rPr>
          <w:rFonts w:ascii="Times New Roman" w:hAnsi="Times New Roman" w:cs="Times New Roman"/>
          <w:sz w:val="24"/>
          <w:szCs w:val="24"/>
          <w:vertAlign w:val="subscript"/>
        </w:rPr>
        <w:t>2</w:t>
      </w:r>
      <w:r>
        <w:rPr>
          <w:rFonts w:ascii="Times New Roman" w:hAnsi="Times New Roman" w:cs="Times New Roman"/>
          <w:sz w:val="24"/>
          <w:szCs w:val="24"/>
        </w:rPr>
        <w:t xml:space="preserve"> that is sourced from a coal-fired power plant.</w:t>
      </w:r>
      <w:r>
        <w:rPr>
          <w:rStyle w:val="FootnoteReference"/>
          <w:rFonts w:ascii="Times New Roman" w:hAnsi="Times New Roman" w:cs="Times New Roman"/>
          <w:sz w:val="24"/>
          <w:szCs w:val="24"/>
        </w:rPr>
        <w:footnoteReference w:id="6"/>
      </w:r>
    </w:p>
    <w:p w:rsidR="00D858D4" w:rsidRDefault="000F1D3B"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California </w:t>
      </w:r>
      <w:r w:rsidR="002A03B9">
        <w:rPr>
          <w:rFonts w:ascii="Times New Roman" w:hAnsi="Times New Roman" w:cs="Times New Roman"/>
          <w:sz w:val="24"/>
          <w:szCs w:val="24"/>
        </w:rPr>
        <w:t xml:space="preserve">almost certainly </w:t>
      </w:r>
      <w:r>
        <w:rPr>
          <w:rFonts w:ascii="Times New Roman" w:hAnsi="Times New Roman" w:cs="Times New Roman"/>
          <w:sz w:val="24"/>
          <w:szCs w:val="24"/>
        </w:rPr>
        <w:t xml:space="preserve">will continue to rely upon fossil fuels which, going forward, will have to be decarbonized in compliance with California’s stringent GHG reduction goals and requirements that span the production and/or usage of all manner of fuels, from transportation to home heating to electricity. </w:t>
      </w:r>
      <w:r w:rsidR="002A03B9">
        <w:rPr>
          <w:rFonts w:ascii="Times New Roman" w:hAnsi="Times New Roman" w:cs="Times New Roman"/>
          <w:sz w:val="24"/>
          <w:szCs w:val="24"/>
        </w:rPr>
        <w:t xml:space="preserve">California additionally is likely to </w:t>
      </w:r>
      <w:r>
        <w:rPr>
          <w:rFonts w:ascii="Times New Roman" w:hAnsi="Times New Roman" w:cs="Times New Roman"/>
          <w:sz w:val="24"/>
          <w:szCs w:val="24"/>
        </w:rPr>
        <w:t>continue to rely upon out-of-state energy sources.</w:t>
      </w:r>
      <w:r w:rsidR="002A03B9">
        <w:rPr>
          <w:rFonts w:ascii="Times New Roman" w:hAnsi="Times New Roman" w:cs="Times New Roman"/>
          <w:sz w:val="24"/>
          <w:szCs w:val="24"/>
        </w:rPr>
        <w:t xml:space="preserve"> </w:t>
      </w:r>
    </w:p>
    <w:p w:rsidR="000F1D3B" w:rsidRDefault="002A03B9"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For example, according to the U.S. Energy Information Administration (EIA), California imports the most electricity from other states (see Fig. 1</w:t>
      </w:r>
      <w:r w:rsidR="00675A83">
        <w:rPr>
          <w:rStyle w:val="FootnoteReference"/>
          <w:rFonts w:ascii="Times New Roman" w:hAnsi="Times New Roman" w:cs="Times New Roman"/>
          <w:sz w:val="24"/>
          <w:szCs w:val="24"/>
        </w:rPr>
        <w:footnoteReference w:id="7"/>
      </w:r>
      <w:r>
        <w:rPr>
          <w:rFonts w:ascii="Times New Roman" w:hAnsi="Times New Roman" w:cs="Times New Roman"/>
          <w:sz w:val="24"/>
          <w:szCs w:val="24"/>
        </w:rPr>
        <w:t>).</w:t>
      </w:r>
    </w:p>
    <w:p w:rsidR="002A03B9" w:rsidRDefault="002A03B9" w:rsidP="001C7EB4">
      <w:pPr>
        <w:spacing w:after="240" w:line="240" w:lineRule="auto"/>
        <w:ind w:left="360"/>
        <w:rPr>
          <w:rFonts w:ascii="Times New Roman" w:hAnsi="Times New Roman" w:cs="Times New Roman"/>
          <w:sz w:val="24"/>
          <w:szCs w:val="24"/>
        </w:rPr>
      </w:pPr>
      <w:r>
        <w:rPr>
          <w:noProof/>
        </w:rPr>
        <w:drawing>
          <wp:inline distT="0" distB="0" distL="0" distR="0" wp14:anchorId="57149B00" wp14:editId="2BB2F611">
            <wp:extent cx="5943600" cy="2886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886710"/>
                    </a:xfrm>
                    <a:prstGeom prst="rect">
                      <a:avLst/>
                    </a:prstGeom>
                  </pic:spPr>
                </pic:pic>
              </a:graphicData>
            </a:graphic>
          </wp:inline>
        </w:drawing>
      </w:r>
    </w:p>
    <w:p w:rsidR="002A03B9" w:rsidRDefault="00D858D4"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California similarly imports non-trivial volumes of natural gas from neighboring states. Again according to EIA</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p>
    <w:p w:rsidR="00D858D4" w:rsidRPr="00D858D4" w:rsidRDefault="00D858D4" w:rsidP="00D858D4">
      <w:pPr>
        <w:spacing w:after="240" w:line="240" w:lineRule="auto"/>
        <w:ind w:left="1080" w:right="1080"/>
        <w:jc w:val="both"/>
        <w:rPr>
          <w:rFonts w:ascii="Times New Roman" w:hAnsi="Times New Roman" w:cs="Times New Roman"/>
          <w:sz w:val="24"/>
          <w:szCs w:val="24"/>
        </w:rPr>
      </w:pPr>
      <w:r w:rsidRPr="00D858D4">
        <w:rPr>
          <w:rFonts w:ascii="Times New Roman" w:hAnsi="Times New Roman" w:cs="Times New Roman"/>
          <w:sz w:val="24"/>
          <w:szCs w:val="24"/>
          <w:shd w:val="clear" w:color="auto" w:fill="FFFFFF"/>
        </w:rPr>
        <w:t>California's natural gas output equals about one-tenth of state demand</w:t>
      </w:r>
      <w:r w:rsidRPr="00D858D4">
        <w:rPr>
          <w:rFonts w:ascii="Times New Roman" w:hAnsi="Times New Roman" w:cs="Times New Roman"/>
          <w:sz w:val="24"/>
          <w:szCs w:val="24"/>
          <w:u w:val="single"/>
          <w:bdr w:val="none" w:sz="0" w:space="0" w:color="auto" w:frame="1"/>
          <w:shd w:val="clear" w:color="auto" w:fill="FFFFFF"/>
        </w:rPr>
        <w:t xml:space="preserve">. </w:t>
      </w:r>
      <w:r w:rsidRPr="00D858D4">
        <w:rPr>
          <w:rFonts w:ascii="Times New Roman" w:hAnsi="Times New Roman" w:cs="Times New Roman"/>
          <w:sz w:val="24"/>
          <w:szCs w:val="24"/>
          <w:shd w:val="clear" w:color="auto" w:fill="FFFFFF"/>
        </w:rPr>
        <w:t xml:space="preserve">Almost two-thirds of California households use natural gas for home heating, and almost half of the state's utility-scale electricity generation is fueled by natural gas. Several interstate natural gas pipelines enter the state from Arizona, Nevada, and Oregon and bring natural gas into California from the Southwest, and from the Rocky Mountain region, as well as from western Canada. Almost all the natural gas delivered to California is used </w:t>
      </w:r>
      <w:r w:rsidRPr="00D858D4">
        <w:rPr>
          <w:rFonts w:ascii="Times New Roman" w:hAnsi="Times New Roman" w:cs="Times New Roman"/>
          <w:sz w:val="24"/>
          <w:szCs w:val="24"/>
          <w:shd w:val="clear" w:color="auto" w:fill="FFFFFF"/>
        </w:rPr>
        <w:lastRenderedPageBreak/>
        <w:t>in the state or is placed in storage. Some natural gas is exported to Mexico, and a much smaller amount is liquefied and shipped by cryogenic container to Hawaii.</w:t>
      </w:r>
    </w:p>
    <w:p w:rsidR="00D858D4" w:rsidRDefault="00E05529"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Wyoming is a prodigious exporter of energy generally – both fossil and renewable – and is a leading state for decarbonization technologies such as CCS and CCUS, as highlighted above.</w:t>
      </w:r>
      <w:r w:rsidR="00197DB3">
        <w:rPr>
          <w:rFonts w:ascii="Times New Roman" w:hAnsi="Times New Roman" w:cs="Times New Roman"/>
          <w:sz w:val="24"/>
          <w:szCs w:val="24"/>
        </w:rPr>
        <w:t xml:space="preserve"> A recent study by Stanford University and the Energy Futures Initiative </w:t>
      </w:r>
      <w:r w:rsidR="00335155">
        <w:rPr>
          <w:rFonts w:ascii="Times New Roman" w:hAnsi="Times New Roman" w:cs="Times New Roman"/>
          <w:sz w:val="24"/>
          <w:szCs w:val="24"/>
        </w:rPr>
        <w:t xml:space="preserve">(Stanford/EFI Study) </w:t>
      </w:r>
      <w:r w:rsidR="00197DB3">
        <w:rPr>
          <w:rFonts w:ascii="Times New Roman" w:hAnsi="Times New Roman" w:cs="Times New Roman"/>
          <w:sz w:val="24"/>
          <w:szCs w:val="24"/>
        </w:rPr>
        <w:t>discussed the critical role that these technologies could play in rapidly decarbonizing California’s economy, concluding</w:t>
      </w:r>
      <w:r w:rsidR="000C430A">
        <w:rPr>
          <w:rStyle w:val="FootnoteReference"/>
          <w:rFonts w:ascii="Times New Roman" w:hAnsi="Times New Roman" w:cs="Times New Roman"/>
          <w:sz w:val="24"/>
          <w:szCs w:val="24"/>
        </w:rPr>
        <w:footnoteReference w:id="9"/>
      </w:r>
      <w:r w:rsidR="00197DB3">
        <w:rPr>
          <w:rFonts w:ascii="Times New Roman" w:hAnsi="Times New Roman" w:cs="Times New Roman"/>
          <w:sz w:val="24"/>
          <w:szCs w:val="24"/>
        </w:rPr>
        <w:t xml:space="preserve">: </w:t>
      </w:r>
    </w:p>
    <w:p w:rsidR="00197DB3" w:rsidRPr="00197DB3" w:rsidRDefault="00197DB3" w:rsidP="000C430A">
      <w:pPr>
        <w:spacing w:after="240" w:line="240" w:lineRule="auto"/>
        <w:ind w:left="1080" w:right="1080"/>
        <w:jc w:val="both"/>
        <w:rPr>
          <w:rFonts w:ascii="Times New Roman" w:hAnsi="Times New Roman" w:cs="Times New Roman"/>
          <w:sz w:val="24"/>
          <w:szCs w:val="24"/>
        </w:rPr>
      </w:pPr>
      <w:r w:rsidRPr="00197DB3">
        <w:rPr>
          <w:rFonts w:ascii="Times New Roman" w:hAnsi="Times New Roman" w:cs="Times New Roman"/>
          <w:sz w:val="24"/>
          <w:szCs w:val="24"/>
        </w:rPr>
        <w:t xml:space="preserve">CCS, like all other emission reduction technologies, is not a “silver bullet” technology for decarbonization. Carbon capture paired with permanent geologic storage (e.g. deep saline reservoir) offers a viable and important option for reducing emissions from the industrial and electricity sectors that are key contributors to California’s economy and the reliability of its grid. Several industries—chemicals, transportation fuels, cement, plastics, and rubber products—rely on facilities that are large sources </w:t>
      </w:r>
      <w:r w:rsidRPr="000C430A">
        <w:rPr>
          <w:rFonts w:ascii="Times New Roman" w:hAnsi="Times New Roman" w:cs="Times New Roman"/>
          <w:sz w:val="24"/>
          <w:szCs w:val="24"/>
          <w:shd w:val="clear" w:color="auto" w:fill="FFFFFF"/>
        </w:rPr>
        <w:t>of</w:t>
      </w:r>
      <w:r w:rsidRPr="00197DB3">
        <w:rPr>
          <w:rFonts w:ascii="Times New Roman" w:hAnsi="Times New Roman" w:cs="Times New Roman"/>
          <w:sz w:val="24"/>
          <w:szCs w:val="24"/>
        </w:rPr>
        <w:t xml:space="preserve"> emissions. With CCS, these facilities and sectors could be rapidly decarbonized and continue to make major contributions to the state’s economy while helping it meet its near-term and midcentury climate targets.</w:t>
      </w:r>
    </w:p>
    <w:p w:rsidR="00197DB3" w:rsidRDefault="00197DB3" w:rsidP="000C430A">
      <w:pPr>
        <w:spacing w:after="240" w:line="240" w:lineRule="auto"/>
        <w:ind w:left="1080" w:right="1080"/>
        <w:jc w:val="both"/>
        <w:rPr>
          <w:rFonts w:ascii="Times New Roman" w:hAnsi="Times New Roman" w:cs="Times New Roman"/>
          <w:sz w:val="24"/>
          <w:szCs w:val="24"/>
        </w:rPr>
      </w:pPr>
      <w:r w:rsidRPr="00197DB3">
        <w:rPr>
          <w:rFonts w:ascii="Times New Roman" w:hAnsi="Times New Roman" w:cs="Times New Roman"/>
          <w:sz w:val="24"/>
          <w:szCs w:val="24"/>
        </w:rPr>
        <w:t xml:space="preserve">Forty-three percent of California’s in-state electricity generation </w:t>
      </w:r>
      <w:r>
        <w:rPr>
          <w:rFonts w:ascii="Times New Roman" w:hAnsi="Times New Roman" w:cs="Times New Roman"/>
          <w:sz w:val="24"/>
          <w:szCs w:val="24"/>
        </w:rPr>
        <w:t xml:space="preserve">in 2019 was natural gas-fired. </w:t>
      </w:r>
      <w:r w:rsidRPr="00197DB3">
        <w:rPr>
          <w:rFonts w:ascii="Times New Roman" w:hAnsi="Times New Roman" w:cs="Times New Roman"/>
          <w:sz w:val="24"/>
          <w:szCs w:val="24"/>
        </w:rPr>
        <w:t xml:space="preserve">In addition to being the largest fuel source for in-state power generation, natural gas remains a prominent source of firm generation </w:t>
      </w:r>
      <w:r w:rsidRPr="000C430A">
        <w:rPr>
          <w:rFonts w:ascii="Times New Roman" w:hAnsi="Times New Roman" w:cs="Times New Roman"/>
          <w:sz w:val="24"/>
          <w:szCs w:val="24"/>
          <w:shd w:val="clear" w:color="auto" w:fill="FFFFFF"/>
        </w:rPr>
        <w:t>for</w:t>
      </w:r>
      <w:r w:rsidRPr="00197DB3">
        <w:rPr>
          <w:rFonts w:ascii="Times New Roman" w:hAnsi="Times New Roman" w:cs="Times New Roman"/>
          <w:sz w:val="24"/>
          <w:szCs w:val="24"/>
        </w:rPr>
        <w:t xml:space="preserve"> California. In the power sector, CCS can be paired with natural gas combined cycle (NGCC) power plants to create a “clean firm” resource, which multiple studies identify as critical for maintaining grid reliability and managing energy system costs as California continues to build out its renewable resources. An analysis of California’s pathways for achieving its Senate Bill (SB) 100 goals indicated that California will need approximately 30 gigawatts (GW) of cle</w:t>
      </w:r>
      <w:r>
        <w:rPr>
          <w:rFonts w:ascii="Times New Roman" w:hAnsi="Times New Roman" w:cs="Times New Roman"/>
          <w:sz w:val="24"/>
          <w:szCs w:val="24"/>
        </w:rPr>
        <w:t xml:space="preserve">an firm generation resources </w:t>
      </w:r>
      <w:r w:rsidRPr="00197DB3">
        <w:rPr>
          <w:rFonts w:ascii="Times New Roman" w:hAnsi="Times New Roman" w:cs="Times New Roman"/>
          <w:sz w:val="24"/>
          <w:szCs w:val="24"/>
        </w:rPr>
        <w:t>to cost-eff</w:t>
      </w:r>
      <w:r>
        <w:rPr>
          <w:rFonts w:ascii="Times New Roman" w:hAnsi="Times New Roman" w:cs="Times New Roman"/>
          <w:sz w:val="24"/>
          <w:szCs w:val="24"/>
        </w:rPr>
        <w:t xml:space="preserve">ectively decarbonize its grid. </w:t>
      </w:r>
      <w:r w:rsidRPr="00197DB3">
        <w:rPr>
          <w:rFonts w:ascii="Times New Roman" w:hAnsi="Times New Roman" w:cs="Times New Roman"/>
          <w:sz w:val="24"/>
          <w:szCs w:val="24"/>
        </w:rPr>
        <w:t xml:space="preserve">The value of clean firm generation should not be underestimated through the clean energy transition. </w:t>
      </w:r>
    </w:p>
    <w:p w:rsidR="00197DB3" w:rsidRDefault="00197DB3" w:rsidP="000C430A">
      <w:pPr>
        <w:spacing w:after="240" w:line="240" w:lineRule="auto"/>
        <w:ind w:left="1080" w:right="1080"/>
        <w:jc w:val="both"/>
        <w:rPr>
          <w:rFonts w:ascii="Times New Roman" w:hAnsi="Times New Roman" w:cs="Times New Roman"/>
          <w:sz w:val="24"/>
          <w:szCs w:val="24"/>
        </w:rPr>
      </w:pPr>
      <w:r w:rsidRPr="00197DB3">
        <w:rPr>
          <w:rFonts w:ascii="Times New Roman" w:hAnsi="Times New Roman" w:cs="Times New Roman"/>
          <w:sz w:val="24"/>
          <w:szCs w:val="24"/>
        </w:rPr>
        <w:t>Technoeconomic analysis done for this study identified 76 existing electricity generation and industrial facilities in California as candidates for CCS, representing close to 15 percent of the state’s current GHG emissions. To put this in perspective, in 2017, California’s buildings sector was responsible for 10 percent of its emissions and its power sector em</w:t>
      </w:r>
      <w:r>
        <w:rPr>
          <w:rFonts w:ascii="Times New Roman" w:hAnsi="Times New Roman" w:cs="Times New Roman"/>
          <w:sz w:val="24"/>
          <w:szCs w:val="24"/>
        </w:rPr>
        <w:t xml:space="preserve">itted 15 percent of the total. </w:t>
      </w:r>
      <w:r w:rsidRPr="00197DB3">
        <w:rPr>
          <w:rFonts w:ascii="Times New Roman" w:hAnsi="Times New Roman" w:cs="Times New Roman"/>
          <w:sz w:val="24"/>
          <w:szCs w:val="24"/>
        </w:rPr>
        <w:t xml:space="preserve">CCS is a strong complement to other decarbonization strategies. </w:t>
      </w:r>
    </w:p>
    <w:p w:rsidR="00197DB3" w:rsidRDefault="00197DB3" w:rsidP="000357C8">
      <w:pPr>
        <w:spacing w:after="240" w:line="240" w:lineRule="auto"/>
        <w:ind w:left="1080" w:right="1080"/>
        <w:jc w:val="both"/>
        <w:rPr>
          <w:rFonts w:ascii="Times New Roman" w:hAnsi="Times New Roman" w:cs="Times New Roman"/>
          <w:sz w:val="24"/>
          <w:szCs w:val="24"/>
        </w:rPr>
      </w:pPr>
      <w:r w:rsidRPr="00197DB3">
        <w:rPr>
          <w:rFonts w:ascii="Times New Roman" w:hAnsi="Times New Roman" w:cs="Times New Roman"/>
          <w:sz w:val="24"/>
          <w:szCs w:val="24"/>
        </w:rPr>
        <w:lastRenderedPageBreak/>
        <w:t>For California’s cement industry, CCS is considered one of the most cost-effective carbon reduction options and supports other strategies like increased energy efficiency, clinker substitution, and fuel switching.</w:t>
      </w:r>
      <w:r>
        <w:rPr>
          <w:rFonts w:ascii="Times New Roman" w:hAnsi="Times New Roman" w:cs="Times New Roman"/>
          <w:sz w:val="24"/>
          <w:szCs w:val="24"/>
        </w:rPr>
        <w:t xml:space="preserve"> </w:t>
      </w:r>
    </w:p>
    <w:p w:rsidR="00197DB3" w:rsidRDefault="00197DB3" w:rsidP="000C430A">
      <w:pPr>
        <w:spacing w:after="240" w:line="240" w:lineRule="auto"/>
        <w:ind w:left="1080" w:right="1080"/>
        <w:jc w:val="both"/>
        <w:rPr>
          <w:rFonts w:ascii="Times New Roman" w:hAnsi="Times New Roman" w:cs="Times New Roman"/>
          <w:sz w:val="24"/>
          <w:szCs w:val="24"/>
        </w:rPr>
      </w:pPr>
      <w:r w:rsidRPr="00197DB3">
        <w:rPr>
          <w:rFonts w:ascii="Times New Roman" w:hAnsi="Times New Roman" w:cs="Times New Roman"/>
          <w:sz w:val="24"/>
          <w:szCs w:val="24"/>
        </w:rPr>
        <w:t>CO</w:t>
      </w:r>
      <w:r w:rsidRPr="000357C8">
        <w:rPr>
          <w:rFonts w:ascii="Times New Roman" w:hAnsi="Times New Roman" w:cs="Times New Roman"/>
          <w:sz w:val="24"/>
          <w:szCs w:val="24"/>
          <w:vertAlign w:val="subscript"/>
        </w:rPr>
        <w:t>2</w:t>
      </w:r>
      <w:r w:rsidRPr="00197DB3">
        <w:rPr>
          <w:rFonts w:ascii="Times New Roman" w:hAnsi="Times New Roman" w:cs="Times New Roman"/>
          <w:sz w:val="24"/>
          <w:szCs w:val="24"/>
        </w:rPr>
        <w:t xml:space="preserve"> storage is a critical enabler of prominent carbon dioxide removal (CDR) pathways, including: direct air capture (DAC) and </w:t>
      </w:r>
      <w:r w:rsidRPr="000C430A">
        <w:rPr>
          <w:rFonts w:ascii="Times New Roman" w:hAnsi="Times New Roman" w:cs="Times New Roman"/>
          <w:sz w:val="24"/>
          <w:szCs w:val="24"/>
          <w:shd w:val="clear" w:color="auto" w:fill="FFFFFF"/>
        </w:rPr>
        <w:t>conversion</w:t>
      </w:r>
      <w:r w:rsidRPr="00197DB3">
        <w:rPr>
          <w:rFonts w:ascii="Times New Roman" w:hAnsi="Times New Roman" w:cs="Times New Roman"/>
          <w:sz w:val="24"/>
          <w:szCs w:val="24"/>
        </w:rPr>
        <w:t xml:space="preserve"> of waste biomass to zero</w:t>
      </w:r>
      <w:r w:rsidR="00D52F31">
        <w:rPr>
          <w:rFonts w:ascii="Times New Roman" w:hAnsi="Times New Roman" w:cs="Times New Roman"/>
          <w:sz w:val="24"/>
          <w:szCs w:val="24"/>
        </w:rPr>
        <w:t xml:space="preserve">- </w:t>
      </w:r>
      <w:r w:rsidRPr="00197DB3">
        <w:rPr>
          <w:rFonts w:ascii="Times New Roman" w:hAnsi="Times New Roman" w:cs="Times New Roman"/>
          <w:sz w:val="24"/>
          <w:szCs w:val="24"/>
        </w:rPr>
        <w:t>or negative-carbon transp</w:t>
      </w:r>
      <w:r w:rsidR="00CA3D3B">
        <w:rPr>
          <w:rFonts w:ascii="Times New Roman" w:hAnsi="Times New Roman" w:cs="Times New Roman"/>
          <w:sz w:val="24"/>
          <w:szCs w:val="24"/>
        </w:rPr>
        <w:t>ortation fuels and electricity …</w:t>
      </w:r>
    </w:p>
    <w:p w:rsidR="00197DB3" w:rsidRPr="00197DB3" w:rsidRDefault="00197DB3" w:rsidP="000C430A">
      <w:pPr>
        <w:spacing w:after="240" w:line="240" w:lineRule="auto"/>
        <w:ind w:left="1080" w:right="1080"/>
        <w:jc w:val="both"/>
        <w:rPr>
          <w:rFonts w:ascii="Times New Roman" w:hAnsi="Times New Roman" w:cs="Times New Roman"/>
          <w:sz w:val="24"/>
          <w:szCs w:val="24"/>
        </w:rPr>
      </w:pPr>
      <w:r w:rsidRPr="00197DB3">
        <w:rPr>
          <w:rFonts w:ascii="Times New Roman" w:hAnsi="Times New Roman" w:cs="Times New Roman"/>
          <w:sz w:val="24"/>
          <w:szCs w:val="24"/>
        </w:rPr>
        <w:t>Today, California is at a crossroads</w:t>
      </w:r>
      <w:r w:rsidR="00CA3D3B">
        <w:rPr>
          <w:rFonts w:ascii="Times New Roman" w:hAnsi="Times New Roman" w:cs="Times New Roman"/>
          <w:sz w:val="24"/>
          <w:szCs w:val="24"/>
        </w:rPr>
        <w:t xml:space="preserve"> in CCS development</w:t>
      </w:r>
      <w:r w:rsidRPr="00197DB3">
        <w:rPr>
          <w:rFonts w:ascii="Times New Roman" w:hAnsi="Times New Roman" w:cs="Times New Roman"/>
          <w:sz w:val="24"/>
          <w:szCs w:val="24"/>
        </w:rPr>
        <w:t xml:space="preserve">. Despite a strong foundation of climate policy support, sizeable technical potential to rapidly decarbonize, and natural resources that could enable the state to </w:t>
      </w:r>
      <w:r w:rsidRPr="000C430A">
        <w:rPr>
          <w:rFonts w:ascii="Times New Roman" w:hAnsi="Times New Roman" w:cs="Times New Roman"/>
          <w:sz w:val="24"/>
          <w:szCs w:val="24"/>
          <w:shd w:val="clear" w:color="auto" w:fill="FFFFFF"/>
        </w:rPr>
        <w:t>become</w:t>
      </w:r>
      <w:r w:rsidRPr="00197DB3">
        <w:rPr>
          <w:rFonts w:ascii="Times New Roman" w:hAnsi="Times New Roman" w:cs="Times New Roman"/>
          <w:sz w:val="24"/>
          <w:szCs w:val="24"/>
        </w:rPr>
        <w:t xml:space="preserve"> a leader in CCS, it has no CCS projects that are operational. If CCS is to play a meaningful role in meeting the state’s 2030 emission reduction targets and 2045 carbon neutrality ambitions, California policymakers should consider additional and immediate actions to promote targeted deployment of CCS today.</w:t>
      </w:r>
    </w:p>
    <w:p w:rsidR="00145CB3" w:rsidRDefault="006F44FC"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We believe that it is important that CARB’</w:t>
      </w:r>
      <w:r w:rsidR="002E2044">
        <w:rPr>
          <w:rFonts w:ascii="Times New Roman" w:hAnsi="Times New Roman" w:cs="Times New Roman"/>
          <w:sz w:val="24"/>
          <w:szCs w:val="24"/>
        </w:rPr>
        <w:t>s CCS protocol</w:t>
      </w:r>
      <w:r>
        <w:rPr>
          <w:rFonts w:ascii="Times New Roman" w:hAnsi="Times New Roman" w:cs="Times New Roman"/>
          <w:sz w:val="24"/>
          <w:szCs w:val="24"/>
        </w:rPr>
        <w:t xml:space="preserve"> be aligned with the federal Class VI regulatory program to the extent possible to enable projects in Wyoming, which recently was granted Class VI primacy, to qualify</w:t>
      </w:r>
      <w:r w:rsidR="002E2044">
        <w:rPr>
          <w:rFonts w:ascii="Times New Roman" w:hAnsi="Times New Roman" w:cs="Times New Roman"/>
          <w:sz w:val="24"/>
          <w:szCs w:val="24"/>
        </w:rPr>
        <w:t xml:space="preserve"> for the California program. The following table (Table 1) outlines some, but not all</w:t>
      </w:r>
      <w:r w:rsidR="00335155">
        <w:rPr>
          <w:rStyle w:val="FootnoteReference"/>
          <w:rFonts w:ascii="Times New Roman" w:hAnsi="Times New Roman" w:cs="Times New Roman"/>
          <w:sz w:val="24"/>
          <w:szCs w:val="24"/>
        </w:rPr>
        <w:footnoteReference w:id="10"/>
      </w:r>
      <w:r w:rsidR="002E2044">
        <w:rPr>
          <w:rFonts w:ascii="Times New Roman" w:hAnsi="Times New Roman" w:cs="Times New Roman"/>
          <w:sz w:val="24"/>
          <w:szCs w:val="24"/>
        </w:rPr>
        <w:t>, of the differences between the federal program and CARB’s CCS protocol.</w:t>
      </w:r>
    </w:p>
    <w:p w:rsidR="00335155" w:rsidRPr="00335155" w:rsidRDefault="00335155" w:rsidP="00335155">
      <w:pPr>
        <w:spacing w:after="240" w:line="240" w:lineRule="auto"/>
        <w:ind w:left="360"/>
        <w:jc w:val="center"/>
        <w:rPr>
          <w:rFonts w:ascii="Times New Roman" w:hAnsi="Times New Roman" w:cs="Times New Roman"/>
          <w:b/>
          <w:sz w:val="24"/>
          <w:szCs w:val="24"/>
        </w:rPr>
      </w:pPr>
      <w:r w:rsidRPr="00335155">
        <w:rPr>
          <w:rFonts w:ascii="Times New Roman" w:hAnsi="Times New Roman" w:cs="Times New Roman"/>
          <w:b/>
          <w:sz w:val="24"/>
          <w:szCs w:val="24"/>
        </w:rPr>
        <w:t>Table 1</w:t>
      </w:r>
    </w:p>
    <w:tbl>
      <w:tblPr>
        <w:tblStyle w:val="TableGrid"/>
        <w:tblW w:w="0" w:type="auto"/>
        <w:tblInd w:w="360" w:type="dxa"/>
        <w:tblLook w:val="04A0" w:firstRow="1" w:lastRow="0" w:firstColumn="1" w:lastColumn="0" w:noHBand="0" w:noVBand="1"/>
      </w:tblPr>
      <w:tblGrid>
        <w:gridCol w:w="3017"/>
        <w:gridCol w:w="2984"/>
        <w:gridCol w:w="2989"/>
      </w:tblGrid>
      <w:tr w:rsidR="000132D2" w:rsidTr="00335155">
        <w:trPr>
          <w:tblHeader/>
        </w:trPr>
        <w:tc>
          <w:tcPr>
            <w:tcW w:w="3017" w:type="dxa"/>
            <w:shd w:val="clear" w:color="auto" w:fill="4BACC6" w:themeFill="accent5"/>
          </w:tcPr>
          <w:p w:rsidR="002E2044" w:rsidRPr="002E2044" w:rsidRDefault="002E2044" w:rsidP="002E2044">
            <w:pPr>
              <w:spacing w:after="240"/>
              <w:jc w:val="center"/>
              <w:rPr>
                <w:rFonts w:ascii="Times New Roman" w:hAnsi="Times New Roman" w:cs="Times New Roman"/>
                <w:b/>
                <w:sz w:val="24"/>
                <w:szCs w:val="24"/>
              </w:rPr>
            </w:pPr>
            <w:r w:rsidRPr="002E2044">
              <w:rPr>
                <w:rFonts w:ascii="Times New Roman" w:hAnsi="Times New Roman" w:cs="Times New Roman"/>
                <w:b/>
                <w:sz w:val="24"/>
                <w:szCs w:val="24"/>
              </w:rPr>
              <w:t>Element</w:t>
            </w:r>
          </w:p>
        </w:tc>
        <w:tc>
          <w:tcPr>
            <w:tcW w:w="2984" w:type="dxa"/>
            <w:shd w:val="clear" w:color="auto" w:fill="4BACC6" w:themeFill="accent5"/>
          </w:tcPr>
          <w:p w:rsidR="002E2044" w:rsidRPr="002E2044" w:rsidRDefault="002E2044" w:rsidP="002E2044">
            <w:pPr>
              <w:spacing w:after="240"/>
              <w:jc w:val="center"/>
              <w:rPr>
                <w:rFonts w:ascii="Times New Roman" w:hAnsi="Times New Roman" w:cs="Times New Roman"/>
                <w:b/>
                <w:sz w:val="24"/>
                <w:szCs w:val="24"/>
              </w:rPr>
            </w:pPr>
            <w:r w:rsidRPr="002E2044">
              <w:rPr>
                <w:rFonts w:ascii="Times New Roman" w:hAnsi="Times New Roman" w:cs="Times New Roman"/>
                <w:b/>
                <w:sz w:val="24"/>
                <w:szCs w:val="24"/>
              </w:rPr>
              <w:t>Federal Class VI Program</w:t>
            </w:r>
          </w:p>
        </w:tc>
        <w:tc>
          <w:tcPr>
            <w:tcW w:w="2989" w:type="dxa"/>
            <w:shd w:val="clear" w:color="auto" w:fill="4BACC6" w:themeFill="accent5"/>
          </w:tcPr>
          <w:p w:rsidR="002E2044" w:rsidRPr="002E2044" w:rsidRDefault="002E2044" w:rsidP="002E2044">
            <w:pPr>
              <w:spacing w:after="240"/>
              <w:jc w:val="center"/>
              <w:rPr>
                <w:rFonts w:ascii="Times New Roman" w:hAnsi="Times New Roman" w:cs="Times New Roman"/>
                <w:b/>
                <w:sz w:val="24"/>
                <w:szCs w:val="24"/>
              </w:rPr>
            </w:pPr>
            <w:r w:rsidRPr="002E2044">
              <w:rPr>
                <w:rFonts w:ascii="Times New Roman" w:hAnsi="Times New Roman" w:cs="Times New Roman"/>
                <w:b/>
                <w:sz w:val="24"/>
                <w:szCs w:val="24"/>
              </w:rPr>
              <w:t>California CCS Protocol</w:t>
            </w:r>
          </w:p>
        </w:tc>
      </w:tr>
      <w:tr w:rsidR="000132D2" w:rsidTr="00335155">
        <w:tc>
          <w:tcPr>
            <w:tcW w:w="3017" w:type="dxa"/>
          </w:tcPr>
          <w:p w:rsidR="002E2044" w:rsidRDefault="002E2044" w:rsidP="00335155">
            <w:pPr>
              <w:rPr>
                <w:rFonts w:ascii="Times New Roman" w:hAnsi="Times New Roman" w:cs="Times New Roman"/>
                <w:sz w:val="24"/>
                <w:szCs w:val="24"/>
              </w:rPr>
            </w:pPr>
            <w:r>
              <w:rPr>
                <w:rFonts w:ascii="Times New Roman" w:hAnsi="Times New Roman" w:cs="Times New Roman"/>
                <w:sz w:val="24"/>
                <w:szCs w:val="24"/>
              </w:rPr>
              <w:t>Minimum injection depth</w:t>
            </w:r>
          </w:p>
        </w:tc>
        <w:tc>
          <w:tcPr>
            <w:tcW w:w="2984" w:type="dxa"/>
          </w:tcPr>
          <w:p w:rsidR="002E2044" w:rsidRDefault="002E2044" w:rsidP="00335155">
            <w:pPr>
              <w:rPr>
                <w:rFonts w:ascii="Times New Roman" w:hAnsi="Times New Roman" w:cs="Times New Roman"/>
                <w:sz w:val="24"/>
                <w:szCs w:val="24"/>
              </w:rPr>
            </w:pPr>
            <w:r>
              <w:rPr>
                <w:rFonts w:ascii="Times New Roman" w:hAnsi="Times New Roman" w:cs="Times New Roman"/>
                <w:sz w:val="24"/>
                <w:szCs w:val="24"/>
              </w:rPr>
              <w:t>None</w:t>
            </w:r>
          </w:p>
        </w:tc>
        <w:tc>
          <w:tcPr>
            <w:tcW w:w="2989" w:type="dxa"/>
          </w:tcPr>
          <w:p w:rsidR="002E2044" w:rsidRDefault="002E2044" w:rsidP="00335155">
            <w:pPr>
              <w:rPr>
                <w:rFonts w:ascii="Times New Roman" w:hAnsi="Times New Roman" w:cs="Times New Roman"/>
                <w:sz w:val="24"/>
                <w:szCs w:val="24"/>
              </w:rPr>
            </w:pPr>
            <w:r>
              <w:rPr>
                <w:rFonts w:ascii="Times New Roman" w:hAnsi="Times New Roman" w:cs="Times New Roman"/>
                <w:sz w:val="24"/>
                <w:szCs w:val="24"/>
              </w:rPr>
              <w:t>2,800 feet</w:t>
            </w:r>
          </w:p>
        </w:tc>
      </w:tr>
      <w:tr w:rsidR="000132D2" w:rsidTr="00335155">
        <w:tc>
          <w:tcPr>
            <w:tcW w:w="3017" w:type="dxa"/>
          </w:tcPr>
          <w:p w:rsidR="002E2044" w:rsidRDefault="002E2044" w:rsidP="00335155">
            <w:pPr>
              <w:rPr>
                <w:rFonts w:ascii="Times New Roman" w:hAnsi="Times New Roman" w:cs="Times New Roman"/>
                <w:sz w:val="24"/>
                <w:szCs w:val="24"/>
              </w:rPr>
            </w:pPr>
            <w:r>
              <w:rPr>
                <w:rFonts w:ascii="Times New Roman" w:hAnsi="Times New Roman" w:cs="Times New Roman"/>
                <w:sz w:val="24"/>
                <w:szCs w:val="24"/>
              </w:rPr>
              <w:t>Maximum injection pressure</w:t>
            </w:r>
          </w:p>
        </w:tc>
        <w:tc>
          <w:tcPr>
            <w:tcW w:w="2984" w:type="dxa"/>
          </w:tcPr>
          <w:p w:rsidR="002E2044" w:rsidRDefault="002E2044" w:rsidP="00335155">
            <w:pPr>
              <w:rPr>
                <w:rFonts w:ascii="Times New Roman" w:hAnsi="Times New Roman" w:cs="Times New Roman"/>
                <w:sz w:val="24"/>
                <w:szCs w:val="24"/>
              </w:rPr>
            </w:pPr>
            <w:r>
              <w:rPr>
                <w:rFonts w:ascii="Times New Roman" w:hAnsi="Times New Roman" w:cs="Times New Roman"/>
                <w:sz w:val="24"/>
                <w:szCs w:val="24"/>
              </w:rPr>
              <w:t>90% of fracture gradient</w:t>
            </w:r>
          </w:p>
        </w:tc>
        <w:tc>
          <w:tcPr>
            <w:tcW w:w="2989" w:type="dxa"/>
          </w:tcPr>
          <w:p w:rsidR="002E2044" w:rsidRDefault="002E2044" w:rsidP="00335155">
            <w:pPr>
              <w:rPr>
                <w:rFonts w:ascii="Times New Roman" w:hAnsi="Times New Roman" w:cs="Times New Roman"/>
                <w:sz w:val="24"/>
                <w:szCs w:val="24"/>
              </w:rPr>
            </w:pPr>
            <w:r>
              <w:rPr>
                <w:rFonts w:ascii="Times New Roman" w:hAnsi="Times New Roman" w:cs="Times New Roman"/>
                <w:sz w:val="24"/>
                <w:szCs w:val="24"/>
              </w:rPr>
              <w:t>80% of fracture gradient</w:t>
            </w:r>
          </w:p>
        </w:tc>
      </w:tr>
      <w:tr w:rsidR="000132D2" w:rsidTr="00335155">
        <w:tc>
          <w:tcPr>
            <w:tcW w:w="3017" w:type="dxa"/>
          </w:tcPr>
          <w:p w:rsidR="002E2044" w:rsidRDefault="004F13F1" w:rsidP="00335155">
            <w:pPr>
              <w:rPr>
                <w:rFonts w:ascii="Times New Roman" w:hAnsi="Times New Roman" w:cs="Times New Roman"/>
                <w:sz w:val="24"/>
                <w:szCs w:val="24"/>
              </w:rPr>
            </w:pPr>
            <w:r>
              <w:rPr>
                <w:rFonts w:ascii="Times New Roman" w:hAnsi="Times New Roman" w:cs="Times New Roman"/>
                <w:sz w:val="24"/>
                <w:szCs w:val="24"/>
              </w:rPr>
              <w:t>Lateral extent of area to be protected</w:t>
            </w:r>
          </w:p>
        </w:tc>
        <w:tc>
          <w:tcPr>
            <w:tcW w:w="2984" w:type="dxa"/>
          </w:tcPr>
          <w:p w:rsidR="002E2044" w:rsidRDefault="004F13F1" w:rsidP="00335155">
            <w:pPr>
              <w:rPr>
                <w:rFonts w:ascii="Times New Roman" w:hAnsi="Times New Roman" w:cs="Times New Roman"/>
                <w:sz w:val="24"/>
                <w:szCs w:val="24"/>
              </w:rPr>
            </w:pPr>
            <w:r>
              <w:rPr>
                <w:rFonts w:ascii="Times New Roman" w:hAnsi="Times New Roman" w:cs="Times New Roman"/>
                <w:sz w:val="24"/>
                <w:szCs w:val="24"/>
              </w:rPr>
              <w:t>CO</w:t>
            </w:r>
            <w:r w:rsidRPr="004F13F1">
              <w:rPr>
                <w:rFonts w:ascii="Times New Roman" w:hAnsi="Times New Roman" w:cs="Times New Roman"/>
                <w:sz w:val="24"/>
                <w:szCs w:val="24"/>
                <w:vertAlign w:val="subscript"/>
              </w:rPr>
              <w:t>2</w:t>
            </w:r>
            <w:r>
              <w:rPr>
                <w:rFonts w:ascii="Times New Roman" w:hAnsi="Times New Roman" w:cs="Times New Roman"/>
                <w:sz w:val="24"/>
                <w:szCs w:val="24"/>
              </w:rPr>
              <w:t xml:space="preserve"> plume and pressure front</w:t>
            </w:r>
          </w:p>
        </w:tc>
        <w:tc>
          <w:tcPr>
            <w:tcW w:w="2989" w:type="dxa"/>
          </w:tcPr>
          <w:p w:rsidR="002E2044" w:rsidRDefault="004F13F1" w:rsidP="00335155">
            <w:pPr>
              <w:rPr>
                <w:rFonts w:ascii="Times New Roman" w:hAnsi="Times New Roman" w:cs="Times New Roman"/>
                <w:sz w:val="24"/>
                <w:szCs w:val="24"/>
              </w:rPr>
            </w:pPr>
            <w:r>
              <w:rPr>
                <w:rFonts w:ascii="Times New Roman" w:hAnsi="Times New Roman" w:cs="Times New Roman"/>
                <w:sz w:val="24"/>
                <w:szCs w:val="24"/>
              </w:rPr>
              <w:t>CO</w:t>
            </w:r>
            <w:r w:rsidRPr="004F13F1">
              <w:rPr>
                <w:rFonts w:ascii="Times New Roman" w:hAnsi="Times New Roman" w:cs="Times New Roman"/>
                <w:sz w:val="24"/>
                <w:szCs w:val="24"/>
                <w:vertAlign w:val="subscript"/>
              </w:rPr>
              <w:t>2</w:t>
            </w:r>
            <w:r>
              <w:rPr>
                <w:rFonts w:ascii="Times New Roman" w:hAnsi="Times New Roman" w:cs="Times New Roman"/>
                <w:sz w:val="24"/>
                <w:szCs w:val="24"/>
              </w:rPr>
              <w:t xml:space="preserve"> plume</w:t>
            </w:r>
          </w:p>
        </w:tc>
      </w:tr>
      <w:tr w:rsidR="000132D2" w:rsidTr="00335155">
        <w:tc>
          <w:tcPr>
            <w:tcW w:w="3017" w:type="dxa"/>
          </w:tcPr>
          <w:p w:rsidR="002E2044" w:rsidRDefault="000132D2" w:rsidP="00335155">
            <w:pPr>
              <w:rPr>
                <w:rFonts w:ascii="Times New Roman" w:hAnsi="Times New Roman" w:cs="Times New Roman"/>
                <w:sz w:val="24"/>
                <w:szCs w:val="24"/>
              </w:rPr>
            </w:pPr>
            <w:r>
              <w:rPr>
                <w:rFonts w:ascii="Times New Roman" w:hAnsi="Times New Roman" w:cs="Times New Roman"/>
                <w:sz w:val="24"/>
                <w:szCs w:val="24"/>
              </w:rPr>
              <w:t>Post injection site care period</w:t>
            </w:r>
          </w:p>
        </w:tc>
        <w:tc>
          <w:tcPr>
            <w:tcW w:w="2984" w:type="dxa"/>
          </w:tcPr>
          <w:p w:rsidR="002E2044" w:rsidRDefault="000132D2" w:rsidP="00335155">
            <w:pPr>
              <w:rPr>
                <w:rFonts w:ascii="Times New Roman" w:hAnsi="Times New Roman" w:cs="Times New Roman"/>
                <w:sz w:val="24"/>
                <w:szCs w:val="24"/>
              </w:rPr>
            </w:pPr>
            <w:r>
              <w:rPr>
                <w:rFonts w:ascii="Times New Roman" w:hAnsi="Times New Roman" w:cs="Times New Roman"/>
                <w:sz w:val="24"/>
                <w:szCs w:val="24"/>
              </w:rPr>
              <w:t>50 years (default)</w:t>
            </w:r>
          </w:p>
        </w:tc>
        <w:tc>
          <w:tcPr>
            <w:tcW w:w="2989" w:type="dxa"/>
          </w:tcPr>
          <w:p w:rsidR="002E2044" w:rsidRDefault="000132D2" w:rsidP="00335155">
            <w:pPr>
              <w:rPr>
                <w:rFonts w:ascii="Times New Roman" w:hAnsi="Times New Roman" w:cs="Times New Roman"/>
                <w:sz w:val="24"/>
                <w:szCs w:val="24"/>
              </w:rPr>
            </w:pPr>
            <w:r>
              <w:rPr>
                <w:rFonts w:ascii="Times New Roman" w:hAnsi="Times New Roman" w:cs="Times New Roman"/>
                <w:sz w:val="24"/>
                <w:szCs w:val="24"/>
              </w:rPr>
              <w:t>100 years following cessation of injection</w:t>
            </w:r>
          </w:p>
        </w:tc>
      </w:tr>
      <w:tr w:rsidR="000132D2" w:rsidTr="00335155">
        <w:tc>
          <w:tcPr>
            <w:tcW w:w="3017" w:type="dxa"/>
          </w:tcPr>
          <w:p w:rsidR="002E2044" w:rsidRDefault="000132D2" w:rsidP="00335155">
            <w:pPr>
              <w:rPr>
                <w:rFonts w:ascii="Times New Roman" w:hAnsi="Times New Roman" w:cs="Times New Roman"/>
                <w:sz w:val="24"/>
                <w:szCs w:val="24"/>
              </w:rPr>
            </w:pPr>
            <w:r>
              <w:rPr>
                <w:rFonts w:ascii="Times New Roman" w:hAnsi="Times New Roman" w:cs="Times New Roman"/>
                <w:sz w:val="24"/>
                <w:szCs w:val="24"/>
              </w:rPr>
              <w:t>Financial assurance</w:t>
            </w:r>
          </w:p>
        </w:tc>
        <w:tc>
          <w:tcPr>
            <w:tcW w:w="2984" w:type="dxa"/>
          </w:tcPr>
          <w:p w:rsidR="002E2044" w:rsidRDefault="000132D2" w:rsidP="00335155">
            <w:pPr>
              <w:rPr>
                <w:rFonts w:ascii="Times New Roman" w:hAnsi="Times New Roman" w:cs="Times New Roman"/>
                <w:sz w:val="24"/>
                <w:szCs w:val="24"/>
              </w:rPr>
            </w:pPr>
            <w:r>
              <w:rPr>
                <w:rFonts w:ascii="Times New Roman" w:hAnsi="Times New Roman" w:cs="Times New Roman"/>
                <w:sz w:val="24"/>
                <w:szCs w:val="24"/>
              </w:rPr>
              <w:t>Amount generally determined by EPA</w:t>
            </w:r>
          </w:p>
        </w:tc>
        <w:tc>
          <w:tcPr>
            <w:tcW w:w="2989" w:type="dxa"/>
          </w:tcPr>
          <w:p w:rsidR="002E2044" w:rsidRDefault="000132D2" w:rsidP="00335155">
            <w:pPr>
              <w:rPr>
                <w:rFonts w:ascii="Times New Roman" w:hAnsi="Times New Roman" w:cs="Times New Roman"/>
                <w:sz w:val="24"/>
                <w:szCs w:val="24"/>
              </w:rPr>
            </w:pPr>
            <w:r>
              <w:rPr>
                <w:rFonts w:ascii="Times New Roman" w:hAnsi="Times New Roman" w:cs="Times New Roman"/>
                <w:sz w:val="24"/>
                <w:szCs w:val="24"/>
              </w:rPr>
              <w:t>Permittee prepares cost estimates</w:t>
            </w:r>
          </w:p>
        </w:tc>
      </w:tr>
      <w:tr w:rsidR="000132D2" w:rsidTr="00335155">
        <w:tc>
          <w:tcPr>
            <w:tcW w:w="3017" w:type="dxa"/>
          </w:tcPr>
          <w:p w:rsidR="002E2044" w:rsidRDefault="00A50800" w:rsidP="00335155">
            <w:pPr>
              <w:rPr>
                <w:rFonts w:ascii="Times New Roman" w:hAnsi="Times New Roman" w:cs="Times New Roman"/>
                <w:sz w:val="24"/>
                <w:szCs w:val="24"/>
              </w:rPr>
            </w:pPr>
            <w:r>
              <w:rPr>
                <w:rFonts w:ascii="Times New Roman" w:hAnsi="Times New Roman" w:cs="Times New Roman"/>
                <w:sz w:val="24"/>
                <w:szCs w:val="24"/>
              </w:rPr>
              <w:t>Third-party certification</w:t>
            </w:r>
          </w:p>
        </w:tc>
        <w:tc>
          <w:tcPr>
            <w:tcW w:w="2984" w:type="dxa"/>
          </w:tcPr>
          <w:p w:rsidR="002E2044" w:rsidRDefault="00A50800" w:rsidP="00335155">
            <w:pPr>
              <w:rPr>
                <w:rFonts w:ascii="Times New Roman" w:hAnsi="Times New Roman" w:cs="Times New Roman"/>
                <w:sz w:val="24"/>
                <w:szCs w:val="24"/>
              </w:rPr>
            </w:pPr>
            <w:r>
              <w:rPr>
                <w:rFonts w:ascii="Times New Roman" w:hAnsi="Times New Roman" w:cs="Times New Roman"/>
                <w:sz w:val="24"/>
                <w:szCs w:val="24"/>
              </w:rPr>
              <w:t>Not required</w:t>
            </w:r>
          </w:p>
        </w:tc>
        <w:tc>
          <w:tcPr>
            <w:tcW w:w="2989" w:type="dxa"/>
          </w:tcPr>
          <w:p w:rsidR="002E2044" w:rsidRDefault="00A50800" w:rsidP="00335155">
            <w:pPr>
              <w:rPr>
                <w:rFonts w:ascii="Times New Roman" w:hAnsi="Times New Roman" w:cs="Times New Roman"/>
                <w:sz w:val="24"/>
                <w:szCs w:val="24"/>
              </w:rPr>
            </w:pPr>
            <w:r>
              <w:rPr>
                <w:rFonts w:ascii="Times New Roman" w:hAnsi="Times New Roman" w:cs="Times New Roman"/>
                <w:sz w:val="24"/>
                <w:szCs w:val="24"/>
              </w:rPr>
              <w:t>Required</w:t>
            </w:r>
          </w:p>
        </w:tc>
      </w:tr>
      <w:tr w:rsidR="000132D2" w:rsidTr="00335155">
        <w:tc>
          <w:tcPr>
            <w:tcW w:w="3017" w:type="dxa"/>
          </w:tcPr>
          <w:p w:rsidR="002E2044" w:rsidRDefault="00A50800" w:rsidP="00335155">
            <w:pPr>
              <w:rPr>
                <w:rFonts w:ascii="Times New Roman" w:hAnsi="Times New Roman" w:cs="Times New Roman"/>
                <w:sz w:val="24"/>
                <w:szCs w:val="24"/>
              </w:rPr>
            </w:pPr>
            <w:r>
              <w:rPr>
                <w:rFonts w:ascii="Times New Roman" w:hAnsi="Times New Roman" w:cs="Times New Roman"/>
                <w:sz w:val="24"/>
                <w:szCs w:val="24"/>
              </w:rPr>
              <w:t>Well-plugging</w:t>
            </w:r>
          </w:p>
        </w:tc>
        <w:tc>
          <w:tcPr>
            <w:tcW w:w="2984" w:type="dxa"/>
          </w:tcPr>
          <w:p w:rsidR="002E2044" w:rsidRDefault="00A50800" w:rsidP="00335155">
            <w:pPr>
              <w:rPr>
                <w:rFonts w:ascii="Times New Roman" w:hAnsi="Times New Roman" w:cs="Times New Roman"/>
                <w:sz w:val="24"/>
                <w:szCs w:val="24"/>
              </w:rPr>
            </w:pPr>
            <w:r>
              <w:rPr>
                <w:rFonts w:ascii="Times New Roman" w:hAnsi="Times New Roman" w:cs="Times New Roman"/>
                <w:sz w:val="24"/>
                <w:szCs w:val="24"/>
              </w:rPr>
              <w:t>No minimum plugging timeline</w:t>
            </w:r>
          </w:p>
        </w:tc>
        <w:tc>
          <w:tcPr>
            <w:tcW w:w="2989" w:type="dxa"/>
          </w:tcPr>
          <w:p w:rsidR="002E2044" w:rsidRDefault="00A50800" w:rsidP="00335155">
            <w:pPr>
              <w:rPr>
                <w:rFonts w:ascii="Times New Roman" w:hAnsi="Times New Roman" w:cs="Times New Roman"/>
                <w:sz w:val="24"/>
                <w:szCs w:val="24"/>
              </w:rPr>
            </w:pPr>
            <w:r>
              <w:rPr>
                <w:rFonts w:ascii="Times New Roman" w:hAnsi="Times New Roman" w:cs="Times New Roman"/>
                <w:sz w:val="24"/>
                <w:szCs w:val="24"/>
              </w:rPr>
              <w:t>Specified and additionally regulated</w:t>
            </w:r>
          </w:p>
        </w:tc>
      </w:tr>
    </w:tbl>
    <w:p w:rsidR="002E2044" w:rsidRDefault="002E2044" w:rsidP="001C7EB4">
      <w:pPr>
        <w:spacing w:after="240" w:line="240" w:lineRule="auto"/>
        <w:ind w:left="360"/>
        <w:rPr>
          <w:rFonts w:ascii="Times New Roman" w:hAnsi="Times New Roman" w:cs="Times New Roman"/>
          <w:sz w:val="24"/>
          <w:szCs w:val="24"/>
        </w:rPr>
      </w:pPr>
    </w:p>
    <w:p w:rsidR="00335155" w:rsidRDefault="00335155" w:rsidP="001C7EB4">
      <w:pPr>
        <w:spacing w:after="240" w:line="240" w:lineRule="auto"/>
        <w:ind w:left="360"/>
        <w:rPr>
          <w:rFonts w:ascii="Times New Roman" w:hAnsi="Times New Roman" w:cs="Times New Roman"/>
          <w:sz w:val="24"/>
          <w:szCs w:val="24"/>
        </w:rPr>
      </w:pPr>
      <w:r w:rsidRPr="00335155">
        <w:rPr>
          <w:rFonts w:ascii="Times New Roman" w:hAnsi="Times New Roman" w:cs="Times New Roman"/>
          <w:sz w:val="24"/>
          <w:szCs w:val="24"/>
        </w:rPr>
        <w:t xml:space="preserve">The Stanford/EFI Study referenced above reached a similar conclusion, noting: </w:t>
      </w:r>
      <w:r w:rsidR="00184386">
        <w:rPr>
          <w:rFonts w:ascii="Times New Roman" w:hAnsi="Times New Roman" w:cs="Times New Roman"/>
          <w:sz w:val="24"/>
          <w:szCs w:val="24"/>
        </w:rPr>
        <w:t>“</w:t>
      </w:r>
      <w:r w:rsidRPr="00335155">
        <w:rPr>
          <w:rFonts w:ascii="Times New Roman" w:hAnsi="Times New Roman" w:cs="Times New Roman"/>
          <w:sz w:val="24"/>
          <w:szCs w:val="24"/>
        </w:rPr>
        <w:t xml:space="preserve">While the adoption of the CCS Protocol under California’s Low Carbon Fuel Standard (LCFS) was a </w:t>
      </w:r>
      <w:r w:rsidRPr="00335155">
        <w:rPr>
          <w:rFonts w:ascii="Times New Roman" w:hAnsi="Times New Roman" w:cs="Times New Roman"/>
          <w:sz w:val="24"/>
          <w:szCs w:val="24"/>
        </w:rPr>
        <w:lastRenderedPageBreak/>
        <w:t>clear step forward for the advancement of CCS deployment in California, a number of policy, legal, and financial challenges have limited its utilization. To date, no CCS projects have successfully applied for and received credits under the LCFS … [and] California’s current policy and regulatory environment makes it difficult for CCS to achieve its emission reduction potential in California.</w:t>
      </w:r>
      <w:r w:rsidR="00184386">
        <w:rPr>
          <w:rFonts w:ascii="Times New Roman" w:hAnsi="Times New Roman" w:cs="Times New Roman"/>
          <w:sz w:val="24"/>
          <w:szCs w:val="24"/>
        </w:rPr>
        <w:t>”</w:t>
      </w:r>
      <w:r w:rsidR="00184386">
        <w:rPr>
          <w:rStyle w:val="FootnoteReference"/>
          <w:rFonts w:ascii="Times New Roman" w:hAnsi="Times New Roman" w:cs="Times New Roman"/>
          <w:sz w:val="24"/>
          <w:szCs w:val="24"/>
        </w:rPr>
        <w:footnoteReference w:id="11"/>
      </w:r>
    </w:p>
    <w:p w:rsidR="00184386" w:rsidRDefault="00184386"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The Stanford/EFI Study included a “Policy Action Plan” with numerous recommended steps that California could implement to advance CCS/CCUS, including improving and coordinating permitting for such projects. We broadly endorse those and related recommendations set forth in the study.</w:t>
      </w:r>
    </w:p>
    <w:p w:rsidR="00184386" w:rsidRDefault="00184386"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 xml:space="preserve">We also believe it important that the LCFS regulations, in conjunction with CARB’s CCS protocol, be interpreted in a manner to ensure the eligibility of CCS/CCUS-based decarbonized fossil energy projects provided all other federal regulatory standards are met (e.g., the Class VI program). </w:t>
      </w:r>
    </w:p>
    <w:p w:rsidR="00DD2323" w:rsidRDefault="00DD2323" w:rsidP="001C7EB4">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WEA would welcome the opportunity to meet with CARB to discuss these issues in greater detail.</w:t>
      </w:r>
    </w:p>
    <w:p w:rsidR="00F24440" w:rsidRDefault="00F24440" w:rsidP="00F24440">
      <w:pPr>
        <w:spacing w:after="240" w:line="240" w:lineRule="auto"/>
        <w:ind w:left="360"/>
        <w:jc w:val="center"/>
        <w:rPr>
          <w:rFonts w:ascii="Times New Roman" w:hAnsi="Times New Roman" w:cs="Times New Roman"/>
          <w:sz w:val="24"/>
          <w:szCs w:val="24"/>
        </w:rPr>
      </w:pPr>
      <w:r>
        <w:rPr>
          <w:rFonts w:ascii="Times New Roman" w:hAnsi="Times New Roman" w:cs="Times New Roman"/>
          <w:sz w:val="24"/>
          <w:szCs w:val="24"/>
        </w:rPr>
        <w:t>***</w:t>
      </w:r>
    </w:p>
    <w:p w:rsidR="00F24440" w:rsidRDefault="00F24440" w:rsidP="00F24440">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We appreciate the opportunity to submit these comments.</w:t>
      </w:r>
    </w:p>
    <w:p w:rsidR="00F24440" w:rsidRDefault="006B6E20" w:rsidP="00F24440">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/s</w:t>
      </w:r>
    </w:p>
    <w:p w:rsidR="00F24440" w:rsidRDefault="00F24440" w:rsidP="00F24440">
      <w:pPr>
        <w:spacing w:after="0" w:line="240" w:lineRule="auto"/>
        <w:ind w:left="360"/>
        <w:rPr>
          <w:rFonts w:ascii="Times New Roman" w:hAnsi="Times New Roman" w:cs="Times New Roman"/>
          <w:sz w:val="24"/>
          <w:szCs w:val="24"/>
        </w:rPr>
      </w:pPr>
    </w:p>
    <w:p w:rsidR="00F24440" w:rsidRDefault="00F24440" w:rsidP="00F2444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Dr. Glen Murrell</w:t>
      </w:r>
    </w:p>
    <w:p w:rsidR="00F24440" w:rsidRPr="005D0B48" w:rsidRDefault="00F24440" w:rsidP="00F24440">
      <w:pPr>
        <w:spacing w:after="240" w:line="240" w:lineRule="auto"/>
        <w:ind w:left="360"/>
        <w:rPr>
          <w:rFonts w:ascii="Times New Roman" w:hAnsi="Times New Roman" w:cs="Times New Roman"/>
          <w:sz w:val="24"/>
          <w:szCs w:val="24"/>
        </w:rPr>
      </w:pPr>
      <w:r>
        <w:rPr>
          <w:rFonts w:ascii="Times New Roman" w:hAnsi="Times New Roman" w:cs="Times New Roman"/>
          <w:sz w:val="24"/>
          <w:szCs w:val="24"/>
        </w:rPr>
        <w:t>Executive Director</w:t>
      </w:r>
    </w:p>
    <w:p w:rsidR="00F24440" w:rsidRDefault="00F24440" w:rsidP="001E4A64">
      <w:pPr>
        <w:spacing w:after="0" w:line="240" w:lineRule="auto"/>
        <w:rPr>
          <w:rFonts w:ascii="Times New Roman" w:hAnsi="Times New Roman" w:cs="Times New Roman"/>
          <w:sz w:val="24"/>
          <w:szCs w:val="24"/>
        </w:rPr>
      </w:pPr>
    </w:p>
    <w:sectPr w:rsidR="00F2444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FE" w:rsidRDefault="00DA4BFE" w:rsidP="004C652A">
      <w:pPr>
        <w:spacing w:after="0" w:line="240" w:lineRule="auto"/>
      </w:pPr>
      <w:r>
        <w:separator/>
      </w:r>
    </w:p>
  </w:endnote>
  <w:endnote w:type="continuationSeparator" w:id="0">
    <w:p w:rsidR="00DA4BFE" w:rsidRDefault="00DA4BFE" w:rsidP="004C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4C4" w:rsidRPr="004A2461" w:rsidRDefault="00B224C4" w:rsidP="00B224C4">
    <w:pPr>
      <w:pStyle w:val="Footer"/>
      <w:jc w:val="right"/>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57215" behindDoc="0" locked="0" layoutInCell="1" allowOverlap="1" wp14:anchorId="3A32D2D8" wp14:editId="4ACF8468">
              <wp:simplePos x="0" y="0"/>
              <wp:positionH relativeFrom="column">
                <wp:posOffset>-990600</wp:posOffset>
              </wp:positionH>
              <wp:positionV relativeFrom="paragraph">
                <wp:posOffset>-236855</wp:posOffset>
              </wp:positionV>
              <wp:extent cx="7915275" cy="979805"/>
              <wp:effectExtent l="0" t="0" r="9525" b="0"/>
              <wp:wrapNone/>
              <wp:docPr id="1" name="Rectangle 1"/>
              <wp:cNvGraphicFramePr/>
              <a:graphic xmlns:a="http://schemas.openxmlformats.org/drawingml/2006/main">
                <a:graphicData uri="http://schemas.microsoft.com/office/word/2010/wordprocessingShape">
                  <wps:wsp>
                    <wps:cNvSpPr/>
                    <wps:spPr>
                      <a:xfrm>
                        <a:off x="0" y="0"/>
                        <a:ext cx="7915275" cy="979805"/>
                      </a:xfrm>
                      <a:prstGeom prst="rect">
                        <a:avLst/>
                      </a:prstGeom>
                      <a:solidFill>
                        <a:srgbClr val="003A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EF436" id="Rectangle 1" o:spid="_x0000_s1026" style="position:absolute;margin-left:-78pt;margin-top:-18.65pt;width:623.25pt;height:77.1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" fillcolor="#003a5d" stroked="f" strokeweight="2pt"/>
          </w:pict>
        </mc:Fallback>
      </mc:AlternateContent>
    </w:r>
    <w:r w:rsidRPr="00B224C4">
      <w:rPr>
        <w:rFonts w:asciiTheme="majorHAnsi" w:hAnsiTheme="majorHAnsi" w:cs="Arial"/>
        <w:noProof/>
        <w:sz w:val="18"/>
        <w:szCs w:val="18"/>
      </w:rPr>
      <mc:AlternateContent>
        <mc:Choice Requires="wps">
          <w:drawing>
            <wp:anchor distT="0" distB="0" distL="114300" distR="114300" simplePos="0" relativeHeight="251660288" behindDoc="0" locked="0" layoutInCell="1" allowOverlap="1" wp14:anchorId="13064448" wp14:editId="727629E9">
              <wp:simplePos x="0" y="0"/>
              <wp:positionH relativeFrom="column">
                <wp:posOffset>-935990</wp:posOffset>
              </wp:positionH>
              <wp:positionV relativeFrom="paragraph">
                <wp:posOffset>-107950</wp:posOffset>
              </wp:positionV>
              <wp:extent cx="7797800" cy="6724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672465"/>
                      </a:xfrm>
                      <a:prstGeom prst="rect">
                        <a:avLst/>
                      </a:prstGeom>
                      <a:noFill/>
                      <a:ln w="9525">
                        <a:noFill/>
                        <a:miter lim="800000"/>
                        <a:headEnd/>
                        <a:tailEnd/>
                      </a:ln>
                    </wps:spPr>
                    <wps:txbx>
                      <w:txbxContent>
                        <w:p w:rsidR="00B224C4" w:rsidRPr="00B224C4" w:rsidRDefault="00B224C4" w:rsidP="00B224C4">
                          <w:pPr>
                            <w:spacing w:after="0" w:line="240" w:lineRule="auto"/>
                            <w:jc w:val="center"/>
                            <w:rPr>
                              <w:rFonts w:ascii="Arial" w:hAnsi="Arial" w:cs="Arial"/>
                              <w:b/>
                              <w:color w:val="F5A800"/>
                              <w:sz w:val="20"/>
                              <w:szCs w:val="20"/>
                            </w:rPr>
                          </w:pPr>
                          <w:r w:rsidRPr="00B224C4">
                            <w:rPr>
                              <w:rFonts w:ascii="Arial" w:hAnsi="Arial" w:cs="Arial"/>
                              <w:b/>
                              <w:color w:val="F5A800"/>
                              <w:sz w:val="20"/>
                              <w:szCs w:val="20"/>
                            </w:rPr>
                            <w:t>Wyoming Energy Authority</w:t>
                          </w:r>
                        </w:p>
                        <w:p w:rsidR="00B224C4" w:rsidRPr="00B224C4" w:rsidRDefault="00B224C4" w:rsidP="00B224C4">
                          <w:pPr>
                            <w:spacing w:after="0" w:line="240" w:lineRule="auto"/>
                            <w:jc w:val="center"/>
                            <w:rPr>
                              <w:rFonts w:ascii="Arial" w:hAnsi="Arial" w:cs="Arial"/>
                              <w:color w:val="FFFFFF" w:themeColor="background1"/>
                              <w:sz w:val="16"/>
                              <w:szCs w:val="16"/>
                            </w:rPr>
                          </w:pPr>
                          <w:r w:rsidRPr="00B224C4">
                            <w:rPr>
                              <w:rFonts w:ascii="Arial" w:hAnsi="Arial" w:cs="Arial"/>
                              <w:b/>
                              <w:color w:val="A1CD43"/>
                              <w:sz w:val="16"/>
                              <w:szCs w:val="16"/>
                            </w:rPr>
                            <w:t>Address:</w:t>
                          </w:r>
                          <w:r>
                            <w:rPr>
                              <w:rFonts w:ascii="Arial" w:hAnsi="Arial" w:cs="Arial"/>
                              <w:color w:val="FFFFFF" w:themeColor="background1"/>
                              <w:sz w:val="16"/>
                              <w:szCs w:val="16"/>
                            </w:rPr>
                            <w:t xml:space="preserve"> </w:t>
                          </w:r>
                          <w:r w:rsidRPr="00B224C4">
                            <w:rPr>
                              <w:rFonts w:ascii="Arial" w:hAnsi="Arial" w:cs="Arial"/>
                              <w:color w:val="FFFFFF" w:themeColor="background1"/>
                              <w:sz w:val="16"/>
                              <w:szCs w:val="16"/>
                            </w:rPr>
                            <w:t>325 West 18</w:t>
                          </w:r>
                          <w:r w:rsidRPr="00B224C4">
                            <w:rPr>
                              <w:rFonts w:ascii="Arial" w:hAnsi="Arial" w:cs="Arial"/>
                              <w:color w:val="FFFFFF" w:themeColor="background1"/>
                              <w:sz w:val="16"/>
                              <w:szCs w:val="16"/>
                              <w:vertAlign w:val="superscript"/>
                            </w:rPr>
                            <w:t>th</w:t>
                          </w:r>
                          <w:r w:rsidRPr="00B224C4">
                            <w:rPr>
                              <w:rFonts w:ascii="Arial" w:hAnsi="Arial" w:cs="Arial"/>
                              <w:color w:val="FFFFFF" w:themeColor="background1"/>
                              <w:sz w:val="16"/>
                              <w:szCs w:val="16"/>
                            </w:rPr>
                            <w:t xml:space="preserve"> Street, Suite 1, Cheyenne, Wyoming 82001</w:t>
                          </w:r>
                        </w:p>
                        <w:p w:rsidR="00B224C4" w:rsidRPr="00B224C4" w:rsidRDefault="00B224C4" w:rsidP="00B224C4">
                          <w:pPr>
                            <w:spacing w:after="0" w:line="240" w:lineRule="auto"/>
                            <w:jc w:val="center"/>
                            <w:rPr>
                              <w:rFonts w:ascii="Arial" w:hAnsi="Arial" w:cs="Arial"/>
                              <w:color w:val="FFFFFF" w:themeColor="background1"/>
                              <w:sz w:val="16"/>
                              <w:szCs w:val="16"/>
                            </w:rPr>
                          </w:pPr>
                          <w:r w:rsidRPr="00B224C4">
                            <w:rPr>
                              <w:rFonts w:ascii="Arial" w:hAnsi="Arial" w:cs="Arial"/>
                              <w:b/>
                              <w:color w:val="A1CD43"/>
                              <w:sz w:val="16"/>
                              <w:szCs w:val="16"/>
                            </w:rPr>
                            <w:t>Phone:</w:t>
                          </w:r>
                          <w:r w:rsidRPr="00B224C4">
                            <w:rPr>
                              <w:rFonts w:ascii="Arial" w:hAnsi="Arial" w:cs="Arial"/>
                              <w:color w:val="A1CD43"/>
                              <w:sz w:val="16"/>
                              <w:szCs w:val="16"/>
                            </w:rPr>
                            <w:t xml:space="preserve"> </w:t>
                          </w:r>
                          <w:r w:rsidRPr="00B224C4">
                            <w:rPr>
                              <w:rFonts w:ascii="Arial" w:hAnsi="Arial" w:cs="Arial"/>
                              <w:color w:val="FFFFFF" w:themeColor="background1"/>
                              <w:sz w:val="16"/>
                              <w:szCs w:val="16"/>
                            </w:rPr>
                            <w:t>307-635-3573</w:t>
                          </w:r>
                        </w:p>
                        <w:p w:rsidR="00B224C4" w:rsidRPr="00B224C4" w:rsidRDefault="00B224C4" w:rsidP="00B224C4">
                          <w:pPr>
                            <w:spacing w:after="0" w:line="240" w:lineRule="auto"/>
                            <w:jc w:val="center"/>
                            <w:rPr>
                              <w:rFonts w:ascii="Arial" w:hAnsi="Arial" w:cs="Arial"/>
                              <w:color w:val="FFFFFF" w:themeColor="background1"/>
                              <w:sz w:val="16"/>
                              <w:szCs w:val="16"/>
                            </w:rPr>
                          </w:pPr>
                          <w:r w:rsidRPr="00B224C4">
                            <w:rPr>
                              <w:rFonts w:ascii="Arial" w:hAnsi="Arial" w:cs="Arial"/>
                              <w:b/>
                              <w:color w:val="A1CD43"/>
                              <w:sz w:val="16"/>
                              <w:szCs w:val="16"/>
                            </w:rPr>
                            <w:t>Website:</w:t>
                          </w:r>
                          <w:r>
                            <w:rPr>
                              <w:rFonts w:ascii="Arial" w:hAnsi="Arial" w:cs="Arial"/>
                              <w:color w:val="FFFFFF" w:themeColor="background1"/>
                              <w:sz w:val="16"/>
                              <w:szCs w:val="16"/>
                            </w:rPr>
                            <w:t xml:space="preserve"> www.</w:t>
                          </w:r>
                          <w:r w:rsidRPr="00B224C4">
                            <w:rPr>
                              <w:rFonts w:ascii="Arial" w:hAnsi="Arial" w:cs="Arial"/>
                              <w:color w:val="FFFFFF" w:themeColor="background1"/>
                              <w:sz w:val="16"/>
                              <w:szCs w:val="16"/>
                            </w:rPr>
                            <w:t>wyoenergy.org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64448" id="_x0000_t202" coordsize="21600,21600" o:spt="202" path="m,l,21600r21600,l21600,xe">
              <v:stroke joinstyle="miter"/>
              <v:path gradientshapeok="t" o:connecttype="rect"/>
            </v:shapetype>
            <v:shape id="Text Box 2" o:spid="_x0000_s1026" type="#_x0000_t202" style="position:absolute;left:0;text-align:left;margin-left:-73.7pt;margin-top:-8.5pt;width:614pt;height:5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" filled="f" stroked="f">
              <v:textbox>
                <w:txbxContent>
                  <w:p w:rsidR="00B224C4" w:rsidRPr="00B224C4" w:rsidRDefault="00B224C4" w:rsidP="00B224C4">
                    <w:pPr>
                      <w:spacing w:after="0" w:line="240" w:lineRule="auto"/>
                      <w:jc w:val="center"/>
                      <w:rPr>
                        <w:rFonts w:ascii="Arial" w:hAnsi="Arial" w:cs="Arial"/>
                        <w:b/>
                        <w:color w:val="F5A800"/>
                        <w:sz w:val="20"/>
                        <w:szCs w:val="20"/>
                      </w:rPr>
                    </w:pPr>
                    <w:r w:rsidRPr="00B224C4">
                      <w:rPr>
                        <w:rFonts w:ascii="Arial" w:hAnsi="Arial" w:cs="Arial"/>
                        <w:b/>
                        <w:color w:val="F5A800"/>
                        <w:sz w:val="20"/>
                        <w:szCs w:val="20"/>
                      </w:rPr>
                      <w:t>Wyoming Energy Authority</w:t>
                    </w:r>
                  </w:p>
                  <w:p w:rsidR="00B224C4" w:rsidRPr="00B224C4" w:rsidRDefault="00B224C4" w:rsidP="00B224C4">
                    <w:pPr>
                      <w:spacing w:after="0" w:line="240" w:lineRule="auto"/>
                      <w:jc w:val="center"/>
                      <w:rPr>
                        <w:rFonts w:ascii="Arial" w:hAnsi="Arial" w:cs="Arial"/>
                        <w:color w:val="FFFFFF" w:themeColor="background1"/>
                        <w:sz w:val="16"/>
                        <w:szCs w:val="16"/>
                      </w:rPr>
                    </w:pPr>
                    <w:r w:rsidRPr="00B224C4">
                      <w:rPr>
                        <w:rFonts w:ascii="Arial" w:hAnsi="Arial" w:cs="Arial"/>
                        <w:b/>
                        <w:color w:val="A1CD43"/>
                        <w:sz w:val="16"/>
                        <w:szCs w:val="16"/>
                      </w:rPr>
                      <w:t>Address:</w:t>
                    </w:r>
                    <w:r>
                      <w:rPr>
                        <w:rFonts w:ascii="Arial" w:hAnsi="Arial" w:cs="Arial"/>
                        <w:color w:val="FFFFFF" w:themeColor="background1"/>
                        <w:sz w:val="16"/>
                        <w:szCs w:val="16"/>
                      </w:rPr>
                      <w:t xml:space="preserve"> </w:t>
                    </w:r>
                    <w:r w:rsidRPr="00B224C4">
                      <w:rPr>
                        <w:rFonts w:ascii="Arial" w:hAnsi="Arial" w:cs="Arial"/>
                        <w:color w:val="FFFFFF" w:themeColor="background1"/>
                        <w:sz w:val="16"/>
                        <w:szCs w:val="16"/>
                      </w:rPr>
                      <w:t>325 West 18</w:t>
                    </w:r>
                    <w:r w:rsidRPr="00B224C4">
                      <w:rPr>
                        <w:rFonts w:ascii="Arial" w:hAnsi="Arial" w:cs="Arial"/>
                        <w:color w:val="FFFFFF" w:themeColor="background1"/>
                        <w:sz w:val="16"/>
                        <w:szCs w:val="16"/>
                        <w:vertAlign w:val="superscript"/>
                      </w:rPr>
                      <w:t>th</w:t>
                    </w:r>
                    <w:r w:rsidRPr="00B224C4">
                      <w:rPr>
                        <w:rFonts w:ascii="Arial" w:hAnsi="Arial" w:cs="Arial"/>
                        <w:color w:val="FFFFFF" w:themeColor="background1"/>
                        <w:sz w:val="16"/>
                        <w:szCs w:val="16"/>
                      </w:rPr>
                      <w:t xml:space="preserve"> Street, Suite 1, Cheyenne, Wyoming 82001</w:t>
                    </w:r>
                  </w:p>
                  <w:p w:rsidR="00B224C4" w:rsidRPr="00B224C4" w:rsidRDefault="00B224C4" w:rsidP="00B224C4">
                    <w:pPr>
                      <w:spacing w:after="0" w:line="240" w:lineRule="auto"/>
                      <w:jc w:val="center"/>
                      <w:rPr>
                        <w:rFonts w:ascii="Arial" w:hAnsi="Arial" w:cs="Arial"/>
                        <w:color w:val="FFFFFF" w:themeColor="background1"/>
                        <w:sz w:val="16"/>
                        <w:szCs w:val="16"/>
                      </w:rPr>
                    </w:pPr>
                    <w:r w:rsidRPr="00B224C4">
                      <w:rPr>
                        <w:rFonts w:ascii="Arial" w:hAnsi="Arial" w:cs="Arial"/>
                        <w:b/>
                        <w:color w:val="A1CD43"/>
                        <w:sz w:val="16"/>
                        <w:szCs w:val="16"/>
                      </w:rPr>
                      <w:t>Phone:</w:t>
                    </w:r>
                    <w:r w:rsidRPr="00B224C4">
                      <w:rPr>
                        <w:rFonts w:ascii="Arial" w:hAnsi="Arial" w:cs="Arial"/>
                        <w:color w:val="A1CD43"/>
                        <w:sz w:val="16"/>
                        <w:szCs w:val="16"/>
                      </w:rPr>
                      <w:t xml:space="preserve"> </w:t>
                    </w:r>
                    <w:r w:rsidRPr="00B224C4">
                      <w:rPr>
                        <w:rFonts w:ascii="Arial" w:hAnsi="Arial" w:cs="Arial"/>
                        <w:color w:val="FFFFFF" w:themeColor="background1"/>
                        <w:sz w:val="16"/>
                        <w:szCs w:val="16"/>
                      </w:rPr>
                      <w:t>307-635-3573</w:t>
                    </w:r>
                  </w:p>
                  <w:p w:rsidR="00B224C4" w:rsidRPr="00B224C4" w:rsidRDefault="00B224C4" w:rsidP="00B224C4">
                    <w:pPr>
                      <w:spacing w:after="0" w:line="240" w:lineRule="auto"/>
                      <w:jc w:val="center"/>
                      <w:rPr>
                        <w:rFonts w:ascii="Arial" w:hAnsi="Arial" w:cs="Arial"/>
                        <w:color w:val="FFFFFF" w:themeColor="background1"/>
                        <w:sz w:val="16"/>
                        <w:szCs w:val="16"/>
                      </w:rPr>
                    </w:pPr>
                    <w:r w:rsidRPr="00B224C4">
                      <w:rPr>
                        <w:rFonts w:ascii="Arial" w:hAnsi="Arial" w:cs="Arial"/>
                        <w:b/>
                        <w:color w:val="A1CD43"/>
                        <w:sz w:val="16"/>
                        <w:szCs w:val="16"/>
                      </w:rPr>
                      <w:t>Website:</w:t>
                    </w:r>
                    <w:r>
                      <w:rPr>
                        <w:rFonts w:ascii="Arial" w:hAnsi="Arial" w:cs="Arial"/>
                        <w:color w:val="FFFFFF" w:themeColor="background1"/>
                        <w:sz w:val="16"/>
                        <w:szCs w:val="16"/>
                      </w:rPr>
                      <w:t xml:space="preserve"> www.</w:t>
                    </w:r>
                    <w:r w:rsidRPr="00B224C4">
                      <w:rPr>
                        <w:rFonts w:ascii="Arial" w:hAnsi="Arial" w:cs="Arial"/>
                        <w:color w:val="FFFFFF" w:themeColor="background1"/>
                        <w:sz w:val="16"/>
                        <w:szCs w:val="16"/>
                      </w:rPr>
                      <w:t>wyoenergy.org</w:t>
                    </w:r>
                  </w:p>
                </w:txbxContent>
              </v:textbox>
            </v:shape>
          </w:pict>
        </mc:Fallback>
      </mc:AlternateContent>
    </w:r>
  </w:p>
  <w:p w:rsidR="004A2461" w:rsidRPr="004A2461" w:rsidRDefault="00B224C4" w:rsidP="004A2461">
    <w:pPr>
      <w:pStyle w:val="Footer"/>
      <w:jc w:val="right"/>
      <w:rPr>
        <w:rFonts w:asciiTheme="majorHAnsi" w:hAnsiTheme="majorHAnsi" w:cs="Arial"/>
        <w:sz w:val="18"/>
        <w:szCs w:val="18"/>
      </w:rPr>
    </w:pPr>
    <w:r>
      <w:rPr>
        <w:rFonts w:asciiTheme="majorHAnsi" w:hAnsiTheme="majorHAnsi" w:cs="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1352550</wp:posOffset>
              </wp:positionH>
              <wp:positionV relativeFrom="paragraph">
                <wp:posOffset>381635</wp:posOffset>
              </wp:positionV>
              <wp:extent cx="327660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3276600" cy="0"/>
                      </a:xfrm>
                      <a:prstGeom prst="line">
                        <a:avLst/>
                      </a:prstGeom>
                      <a:ln w="6350">
                        <a:solidFill>
                          <a:srgbClr val="F5A8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E06B0F"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5pt,30.05pt" to="36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" strokecolor="#f5a800" strokeweight=".5pt">
              <v:stroke dashstyle="3 1"/>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FE" w:rsidRDefault="00DA4BFE" w:rsidP="004C652A">
      <w:pPr>
        <w:spacing w:after="0" w:line="240" w:lineRule="auto"/>
      </w:pPr>
      <w:r>
        <w:separator/>
      </w:r>
    </w:p>
  </w:footnote>
  <w:footnote w:type="continuationSeparator" w:id="0">
    <w:p w:rsidR="00DA4BFE" w:rsidRDefault="00DA4BFE" w:rsidP="004C652A">
      <w:pPr>
        <w:spacing w:after="0" w:line="240" w:lineRule="auto"/>
      </w:pPr>
      <w:r>
        <w:continuationSeparator/>
      </w:r>
    </w:p>
  </w:footnote>
  <w:footnote w:id="1">
    <w:p w:rsidR="00F24440" w:rsidRPr="000B0F6A" w:rsidRDefault="00F24440" w:rsidP="00F24440">
      <w:pPr>
        <w:pStyle w:val="FootnoteText"/>
        <w:rPr>
          <w:rFonts w:ascii="Times New Roman" w:hAnsi="Times New Roman" w:cs="Times New Roman"/>
          <w:sz w:val="24"/>
          <w:szCs w:val="24"/>
        </w:rPr>
      </w:pPr>
      <w:r w:rsidRPr="006D347B">
        <w:rPr>
          <w:rStyle w:val="FootnoteReference"/>
          <w:rFonts w:ascii="Times New Roman" w:hAnsi="Times New Roman" w:cs="Times New Roman"/>
          <w:sz w:val="24"/>
          <w:szCs w:val="24"/>
        </w:rPr>
        <w:footnoteRef/>
      </w:r>
      <w:r w:rsidRPr="006D347B">
        <w:rPr>
          <w:rFonts w:ascii="Times New Roman" w:hAnsi="Times New Roman" w:cs="Times New Roman"/>
          <w:sz w:val="24"/>
          <w:szCs w:val="24"/>
        </w:rPr>
        <w:t xml:space="preserve"> </w:t>
      </w:r>
      <w:r w:rsidRPr="000B0F6A">
        <w:rPr>
          <w:rFonts w:ascii="Times New Roman" w:hAnsi="Times New Roman" w:cs="Times New Roman"/>
          <w:sz w:val="24"/>
          <w:szCs w:val="24"/>
        </w:rPr>
        <w:t xml:space="preserve">Wyoming State Energy Profile (U.S. Energy Information Administration, Feb. 20, 2020) (available at </w:t>
      </w:r>
      <w:hyperlink r:id="rId1" w:history="1">
        <w:r w:rsidRPr="000B0F6A">
          <w:rPr>
            <w:rStyle w:val="Hyperlink"/>
            <w:rFonts w:ascii="Times New Roman" w:hAnsi="Times New Roman" w:cs="Times New Roman"/>
            <w:sz w:val="24"/>
            <w:szCs w:val="24"/>
          </w:rPr>
          <w:t>https://www.eia.gov/state/analysis.php?sid=WY</w:t>
        </w:r>
      </w:hyperlink>
      <w:r w:rsidRPr="000B0F6A">
        <w:rPr>
          <w:rFonts w:ascii="Times New Roman" w:hAnsi="Times New Roman" w:cs="Times New Roman"/>
          <w:sz w:val="24"/>
          <w:szCs w:val="24"/>
        </w:rPr>
        <w:t>).</w:t>
      </w:r>
    </w:p>
  </w:footnote>
  <w:footnote w:id="2">
    <w:p w:rsidR="004A3A2F" w:rsidRPr="00163522" w:rsidRDefault="004A3A2F" w:rsidP="004A3A2F">
      <w:pPr>
        <w:pStyle w:val="FootnoteText"/>
        <w:rPr>
          <w:rFonts w:ascii="Times New Roman" w:hAnsi="Times New Roman" w:cs="Times New Roman"/>
          <w:sz w:val="24"/>
          <w:szCs w:val="24"/>
        </w:rPr>
      </w:pPr>
      <w:r w:rsidRPr="00163522">
        <w:rPr>
          <w:rStyle w:val="FootnoteReference"/>
          <w:rFonts w:ascii="Times New Roman" w:hAnsi="Times New Roman" w:cs="Times New Roman"/>
          <w:sz w:val="24"/>
          <w:szCs w:val="24"/>
        </w:rPr>
        <w:footnoteRef/>
      </w:r>
      <w:r w:rsidRPr="00163522">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163522">
        <w:rPr>
          <w:rFonts w:ascii="Times New Roman" w:hAnsi="Times New Roman" w:cs="Times New Roman"/>
          <w:sz w:val="24"/>
          <w:szCs w:val="24"/>
        </w:rPr>
        <w:t xml:space="preserve"> </w:t>
      </w:r>
      <w:hyperlink r:id="rId2" w:history="1">
        <w:r w:rsidRPr="00163522">
          <w:rPr>
            <w:rStyle w:val="Hyperlink"/>
            <w:rFonts w:ascii="Times New Roman" w:hAnsi="Times New Roman" w:cs="Times New Roman"/>
            <w:sz w:val="24"/>
            <w:szCs w:val="24"/>
          </w:rPr>
          <w:t>https://www.wyofile.com/can-mark-gordon-save-coal-and-stop-climate-change/</w:t>
        </w:r>
      </w:hyperlink>
      <w:r w:rsidRPr="00163522">
        <w:rPr>
          <w:rFonts w:ascii="Times New Roman" w:hAnsi="Times New Roman" w:cs="Times New Roman"/>
          <w:sz w:val="24"/>
          <w:szCs w:val="24"/>
        </w:rPr>
        <w:t xml:space="preserve">. </w:t>
      </w:r>
    </w:p>
  </w:footnote>
  <w:footnote w:id="3">
    <w:p w:rsidR="00DF1026" w:rsidRPr="007F7743" w:rsidRDefault="00DF1026" w:rsidP="00DF1026">
      <w:pPr>
        <w:pStyle w:val="FootnoteText"/>
        <w:rPr>
          <w:rFonts w:ascii="Times New Roman" w:hAnsi="Times New Roman" w:cs="Times New Roman"/>
          <w:sz w:val="24"/>
          <w:szCs w:val="24"/>
        </w:rPr>
      </w:pPr>
      <w:r w:rsidRPr="007F7743">
        <w:rPr>
          <w:rStyle w:val="FootnoteReference"/>
          <w:rFonts w:ascii="Times New Roman" w:hAnsi="Times New Roman" w:cs="Times New Roman"/>
          <w:sz w:val="24"/>
          <w:szCs w:val="24"/>
        </w:rPr>
        <w:footnoteRef/>
      </w:r>
      <w:r w:rsidRPr="007F7743">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7F7743">
        <w:rPr>
          <w:rFonts w:ascii="Times New Roman" w:hAnsi="Times New Roman" w:cs="Times New Roman"/>
          <w:sz w:val="24"/>
          <w:szCs w:val="24"/>
        </w:rPr>
        <w:t xml:space="preserve"> </w:t>
      </w:r>
      <w:hyperlink r:id="rId3" w:history="1">
        <w:r w:rsidRPr="007F7743">
          <w:rPr>
            <w:rStyle w:val="Hyperlink"/>
            <w:rFonts w:ascii="Times New Roman" w:hAnsi="Times New Roman" w:cs="Times New Roman"/>
            <w:sz w:val="24"/>
            <w:szCs w:val="24"/>
          </w:rPr>
          <w:t>https://www.uwyo.edu/cegr/research-projects/carbonsafe-p2-dryfork.html</w:t>
        </w:r>
      </w:hyperlink>
      <w:r w:rsidRPr="007F7743">
        <w:rPr>
          <w:rFonts w:ascii="Times New Roman" w:hAnsi="Times New Roman" w:cs="Times New Roman"/>
          <w:sz w:val="24"/>
          <w:szCs w:val="24"/>
        </w:rPr>
        <w:t>.</w:t>
      </w:r>
    </w:p>
  </w:footnote>
  <w:footnote w:id="4">
    <w:p w:rsidR="00DF1026" w:rsidRPr="007F7743" w:rsidRDefault="00DF1026" w:rsidP="00DF1026">
      <w:pPr>
        <w:pStyle w:val="FootnoteText"/>
        <w:rPr>
          <w:rFonts w:ascii="Times New Roman" w:hAnsi="Times New Roman" w:cs="Times New Roman"/>
          <w:sz w:val="24"/>
          <w:szCs w:val="24"/>
        </w:rPr>
      </w:pPr>
      <w:r w:rsidRPr="007F7743">
        <w:rPr>
          <w:rStyle w:val="FootnoteReference"/>
          <w:rFonts w:ascii="Times New Roman" w:hAnsi="Times New Roman" w:cs="Times New Roman"/>
          <w:sz w:val="24"/>
          <w:szCs w:val="24"/>
        </w:rPr>
        <w:footnoteRef/>
      </w:r>
      <w:r w:rsidRPr="007F7743">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7F7743">
        <w:rPr>
          <w:rFonts w:ascii="Times New Roman" w:hAnsi="Times New Roman" w:cs="Times New Roman"/>
          <w:sz w:val="24"/>
          <w:szCs w:val="24"/>
        </w:rPr>
        <w:t xml:space="preserve"> </w:t>
      </w:r>
      <w:hyperlink r:id="rId4" w:history="1">
        <w:r w:rsidRPr="007F7743">
          <w:rPr>
            <w:rStyle w:val="Hyperlink"/>
            <w:rFonts w:ascii="Times New Roman" w:hAnsi="Times New Roman" w:cs="Times New Roman"/>
            <w:sz w:val="24"/>
            <w:szCs w:val="24"/>
          </w:rPr>
          <w:t>https://www.uwyo.edu/cegr/research-projects/project-wy-cusp.html</w:t>
        </w:r>
      </w:hyperlink>
      <w:r w:rsidRPr="007F7743">
        <w:rPr>
          <w:rFonts w:ascii="Times New Roman" w:hAnsi="Times New Roman" w:cs="Times New Roman"/>
          <w:sz w:val="24"/>
          <w:szCs w:val="24"/>
        </w:rPr>
        <w:t xml:space="preserve">. </w:t>
      </w:r>
    </w:p>
  </w:footnote>
  <w:footnote w:id="5">
    <w:p w:rsidR="00DF1026" w:rsidRPr="00EE1DAE" w:rsidRDefault="00DF1026" w:rsidP="00DF1026">
      <w:pPr>
        <w:pStyle w:val="FootnoteText"/>
        <w:rPr>
          <w:rFonts w:ascii="Times New Roman" w:hAnsi="Times New Roman" w:cs="Times New Roman"/>
          <w:sz w:val="24"/>
          <w:szCs w:val="24"/>
        </w:rPr>
      </w:pPr>
      <w:r w:rsidRPr="00EE1DAE">
        <w:rPr>
          <w:rStyle w:val="FootnoteReference"/>
          <w:rFonts w:ascii="Times New Roman" w:hAnsi="Times New Roman" w:cs="Times New Roman"/>
          <w:sz w:val="24"/>
          <w:szCs w:val="24"/>
        </w:rPr>
        <w:footnoteRef/>
      </w:r>
      <w:r w:rsidRPr="00EE1DAE">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EE1DAE">
        <w:rPr>
          <w:rFonts w:ascii="Times New Roman" w:hAnsi="Times New Roman" w:cs="Times New Roman"/>
          <w:sz w:val="24"/>
          <w:szCs w:val="24"/>
        </w:rPr>
        <w:t xml:space="preserve"> </w:t>
      </w:r>
      <w:hyperlink r:id="rId5" w:history="1">
        <w:r w:rsidRPr="00EE1DAE">
          <w:rPr>
            <w:rStyle w:val="Hyperlink"/>
            <w:rFonts w:ascii="Times New Roman" w:hAnsi="Times New Roman" w:cs="Times New Roman"/>
            <w:sz w:val="24"/>
            <w:szCs w:val="24"/>
          </w:rPr>
          <w:t>https://waferx.montana.edu/the_project.html</w:t>
        </w:r>
      </w:hyperlink>
      <w:r w:rsidRPr="00EE1DAE">
        <w:rPr>
          <w:rFonts w:ascii="Times New Roman" w:hAnsi="Times New Roman" w:cs="Times New Roman"/>
          <w:sz w:val="24"/>
          <w:szCs w:val="24"/>
        </w:rPr>
        <w:t>.</w:t>
      </w:r>
    </w:p>
  </w:footnote>
  <w:footnote w:id="6">
    <w:p w:rsidR="00DF1026" w:rsidRPr="007F7743" w:rsidRDefault="00DF1026" w:rsidP="00DF1026">
      <w:pPr>
        <w:pStyle w:val="FootnoteText"/>
        <w:rPr>
          <w:rFonts w:ascii="Times New Roman" w:hAnsi="Times New Roman" w:cs="Times New Roman"/>
          <w:sz w:val="24"/>
          <w:szCs w:val="24"/>
        </w:rPr>
      </w:pPr>
      <w:r w:rsidRPr="007F7743">
        <w:rPr>
          <w:rStyle w:val="FootnoteReference"/>
          <w:rFonts w:ascii="Times New Roman" w:hAnsi="Times New Roman" w:cs="Times New Roman"/>
          <w:sz w:val="24"/>
          <w:szCs w:val="24"/>
        </w:rPr>
        <w:footnoteRef/>
      </w:r>
      <w:r w:rsidRPr="007F7743">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7F7743">
        <w:rPr>
          <w:rFonts w:ascii="Times New Roman" w:hAnsi="Times New Roman" w:cs="Times New Roman"/>
          <w:sz w:val="24"/>
          <w:szCs w:val="24"/>
        </w:rPr>
        <w:t xml:space="preserve"> </w:t>
      </w:r>
      <w:hyperlink r:id="rId6" w:history="1">
        <w:r w:rsidRPr="007F7743">
          <w:rPr>
            <w:rStyle w:val="Hyperlink"/>
            <w:rFonts w:ascii="Times New Roman" w:hAnsi="Times New Roman" w:cs="Times New Roman"/>
            <w:sz w:val="24"/>
            <w:szCs w:val="24"/>
          </w:rPr>
          <w:t>https://www.wyomingitc.org/about/</w:t>
        </w:r>
      </w:hyperlink>
      <w:r w:rsidRPr="007F7743">
        <w:rPr>
          <w:rFonts w:ascii="Times New Roman" w:hAnsi="Times New Roman" w:cs="Times New Roman"/>
          <w:sz w:val="24"/>
          <w:szCs w:val="24"/>
        </w:rPr>
        <w:t>.</w:t>
      </w:r>
    </w:p>
  </w:footnote>
  <w:footnote w:id="7">
    <w:p w:rsidR="00675A83" w:rsidRPr="00675A83" w:rsidRDefault="00675A83">
      <w:pPr>
        <w:pStyle w:val="FootnoteText"/>
        <w:rPr>
          <w:rFonts w:ascii="Times New Roman" w:hAnsi="Times New Roman" w:cs="Times New Roman"/>
          <w:sz w:val="24"/>
          <w:szCs w:val="24"/>
        </w:rPr>
      </w:pPr>
      <w:r w:rsidRPr="00675A83">
        <w:rPr>
          <w:rStyle w:val="FootnoteReference"/>
          <w:rFonts w:ascii="Times New Roman" w:hAnsi="Times New Roman" w:cs="Times New Roman"/>
          <w:sz w:val="24"/>
          <w:szCs w:val="24"/>
        </w:rPr>
        <w:footnoteRef/>
      </w:r>
      <w:r w:rsidRPr="00675A83">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675A83">
        <w:rPr>
          <w:rFonts w:ascii="Times New Roman" w:hAnsi="Times New Roman" w:cs="Times New Roman"/>
          <w:sz w:val="24"/>
          <w:szCs w:val="24"/>
        </w:rPr>
        <w:t xml:space="preserve"> </w:t>
      </w:r>
      <w:hyperlink r:id="rId7" w:history="1">
        <w:r w:rsidRPr="00675A83">
          <w:rPr>
            <w:rStyle w:val="Hyperlink"/>
            <w:rFonts w:ascii="Times New Roman" w:hAnsi="Times New Roman" w:cs="Times New Roman"/>
            <w:sz w:val="24"/>
            <w:szCs w:val="24"/>
          </w:rPr>
          <w:t>https://www.eia.gov/todayinenergy/detail.php?id=38912</w:t>
        </w:r>
      </w:hyperlink>
      <w:r w:rsidRPr="00675A83">
        <w:rPr>
          <w:rFonts w:ascii="Times New Roman" w:hAnsi="Times New Roman" w:cs="Times New Roman"/>
          <w:sz w:val="24"/>
          <w:szCs w:val="24"/>
        </w:rPr>
        <w:t xml:space="preserve">. </w:t>
      </w:r>
    </w:p>
  </w:footnote>
  <w:footnote w:id="8">
    <w:p w:rsidR="00D858D4" w:rsidRPr="00D858D4" w:rsidRDefault="00D858D4">
      <w:pPr>
        <w:pStyle w:val="FootnoteText"/>
        <w:rPr>
          <w:rFonts w:ascii="Times New Roman" w:hAnsi="Times New Roman" w:cs="Times New Roman"/>
          <w:sz w:val="24"/>
          <w:szCs w:val="24"/>
        </w:rPr>
      </w:pPr>
      <w:r w:rsidRPr="00D858D4">
        <w:rPr>
          <w:rStyle w:val="FootnoteReference"/>
          <w:rFonts w:ascii="Times New Roman" w:hAnsi="Times New Roman" w:cs="Times New Roman"/>
          <w:sz w:val="24"/>
          <w:szCs w:val="24"/>
        </w:rPr>
        <w:footnoteRef/>
      </w:r>
      <w:r w:rsidRPr="00D858D4">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D858D4">
        <w:rPr>
          <w:rFonts w:ascii="Times New Roman" w:hAnsi="Times New Roman" w:cs="Times New Roman"/>
          <w:sz w:val="24"/>
          <w:szCs w:val="24"/>
        </w:rPr>
        <w:t xml:space="preserve"> </w:t>
      </w:r>
      <w:hyperlink r:id="rId8" w:history="1">
        <w:r w:rsidRPr="00D858D4">
          <w:rPr>
            <w:rStyle w:val="Hyperlink"/>
            <w:rFonts w:ascii="Times New Roman" w:hAnsi="Times New Roman" w:cs="Times New Roman"/>
            <w:sz w:val="24"/>
            <w:szCs w:val="24"/>
          </w:rPr>
          <w:t>https://www.eia.gov/state/analysis.php?sid=CA</w:t>
        </w:r>
      </w:hyperlink>
      <w:r w:rsidRPr="00D858D4">
        <w:rPr>
          <w:rFonts w:ascii="Times New Roman" w:hAnsi="Times New Roman" w:cs="Times New Roman"/>
          <w:sz w:val="24"/>
          <w:szCs w:val="24"/>
        </w:rPr>
        <w:t xml:space="preserve">. </w:t>
      </w:r>
    </w:p>
  </w:footnote>
  <w:footnote w:id="9">
    <w:p w:rsidR="000C430A" w:rsidRPr="00145CB3" w:rsidRDefault="000C430A">
      <w:pPr>
        <w:pStyle w:val="FootnoteText"/>
        <w:rPr>
          <w:rFonts w:ascii="Times New Roman" w:hAnsi="Times New Roman" w:cs="Times New Roman"/>
          <w:sz w:val="24"/>
          <w:szCs w:val="24"/>
        </w:rPr>
      </w:pPr>
      <w:r w:rsidRPr="00145CB3">
        <w:rPr>
          <w:rStyle w:val="FootnoteReference"/>
          <w:rFonts w:ascii="Times New Roman" w:hAnsi="Times New Roman" w:cs="Times New Roman"/>
          <w:sz w:val="24"/>
          <w:szCs w:val="24"/>
        </w:rPr>
        <w:footnoteRef/>
      </w:r>
      <w:r w:rsidRPr="00145CB3">
        <w:rPr>
          <w:rFonts w:ascii="Times New Roman" w:hAnsi="Times New Roman" w:cs="Times New Roman"/>
          <w:sz w:val="24"/>
          <w:szCs w:val="24"/>
        </w:rPr>
        <w:t xml:space="preserve"> </w:t>
      </w:r>
      <w:r w:rsidRPr="006F44FC">
        <w:rPr>
          <w:rFonts w:ascii="Times New Roman" w:hAnsi="Times New Roman" w:cs="Times New Roman"/>
          <w:i/>
          <w:sz w:val="24"/>
          <w:szCs w:val="24"/>
        </w:rPr>
        <w:t>See</w:t>
      </w:r>
      <w:r w:rsidRPr="00145CB3">
        <w:rPr>
          <w:rFonts w:ascii="Times New Roman" w:hAnsi="Times New Roman" w:cs="Times New Roman"/>
          <w:sz w:val="24"/>
          <w:szCs w:val="24"/>
        </w:rPr>
        <w:t xml:space="preserve"> </w:t>
      </w:r>
      <w:hyperlink r:id="rId9" w:history="1">
        <w:r w:rsidRPr="00145CB3">
          <w:rPr>
            <w:rStyle w:val="Hyperlink"/>
            <w:rFonts w:ascii="Times New Roman" w:hAnsi="Times New Roman" w:cs="Times New Roman"/>
            <w:sz w:val="24"/>
            <w:szCs w:val="24"/>
          </w:rPr>
          <w:t>https://static1.squarespace.com/static/58ec123cb3db2bd94e057628/t/5f96e219d9d9d55660fbdc43/1603723821961/EFI-Stanford-CA-CCS-FULL-rev1.vF-10.25.20.pdf</w:t>
        </w:r>
      </w:hyperlink>
      <w:r w:rsidRPr="00145CB3">
        <w:rPr>
          <w:rFonts w:ascii="Times New Roman" w:hAnsi="Times New Roman" w:cs="Times New Roman"/>
          <w:sz w:val="24"/>
          <w:szCs w:val="24"/>
        </w:rPr>
        <w:t xml:space="preserve"> at pp. S-1, S-2 (footnotes and internal references omitted).</w:t>
      </w:r>
    </w:p>
  </w:footnote>
  <w:footnote w:id="10">
    <w:p w:rsidR="00335155" w:rsidRPr="00335155" w:rsidRDefault="00335155">
      <w:pPr>
        <w:pStyle w:val="FootnoteText"/>
        <w:rPr>
          <w:rFonts w:ascii="Times New Roman" w:hAnsi="Times New Roman" w:cs="Times New Roman"/>
          <w:sz w:val="24"/>
          <w:szCs w:val="24"/>
        </w:rPr>
      </w:pPr>
      <w:r w:rsidRPr="00335155">
        <w:rPr>
          <w:rStyle w:val="FootnoteReference"/>
          <w:rFonts w:ascii="Times New Roman" w:hAnsi="Times New Roman" w:cs="Times New Roman"/>
          <w:sz w:val="24"/>
          <w:szCs w:val="24"/>
        </w:rPr>
        <w:footnoteRef/>
      </w:r>
      <w:r w:rsidRPr="00335155">
        <w:rPr>
          <w:rFonts w:ascii="Times New Roman" w:hAnsi="Times New Roman" w:cs="Times New Roman"/>
          <w:sz w:val="24"/>
          <w:szCs w:val="24"/>
        </w:rPr>
        <w:t xml:space="preserve"> For a recent summary of many key differences between the two regulatory programs, see </w:t>
      </w:r>
      <w:hyperlink r:id="rId10" w:history="1">
        <w:r w:rsidRPr="00335155">
          <w:rPr>
            <w:rStyle w:val="Hyperlink"/>
            <w:rFonts w:ascii="Times New Roman" w:hAnsi="Times New Roman" w:cs="Times New Roman"/>
            <w:sz w:val="24"/>
            <w:szCs w:val="24"/>
          </w:rPr>
          <w:t>http://www.kgs.ku.edu/PRS/IMSCSH/pdfs/ccus_conference_3/Tiraz_Birdie.pdf</w:t>
        </w:r>
      </w:hyperlink>
      <w:r w:rsidRPr="00335155">
        <w:rPr>
          <w:rFonts w:ascii="Times New Roman" w:hAnsi="Times New Roman" w:cs="Times New Roman"/>
          <w:sz w:val="24"/>
          <w:szCs w:val="24"/>
        </w:rPr>
        <w:t>.</w:t>
      </w:r>
    </w:p>
  </w:footnote>
  <w:footnote w:id="11">
    <w:p w:rsidR="00184386" w:rsidRPr="00184386" w:rsidRDefault="00184386">
      <w:pPr>
        <w:pStyle w:val="FootnoteText"/>
        <w:rPr>
          <w:rFonts w:ascii="Times New Roman" w:hAnsi="Times New Roman" w:cs="Times New Roman"/>
          <w:sz w:val="24"/>
          <w:szCs w:val="24"/>
        </w:rPr>
      </w:pPr>
      <w:r w:rsidRPr="00184386">
        <w:rPr>
          <w:rStyle w:val="FootnoteReference"/>
          <w:rFonts w:ascii="Times New Roman" w:hAnsi="Times New Roman" w:cs="Times New Roman"/>
          <w:sz w:val="24"/>
          <w:szCs w:val="24"/>
        </w:rPr>
        <w:footnoteRef/>
      </w:r>
      <w:r w:rsidRPr="00184386">
        <w:rPr>
          <w:rFonts w:ascii="Times New Roman" w:hAnsi="Times New Roman" w:cs="Times New Roman"/>
          <w:sz w:val="24"/>
          <w:szCs w:val="24"/>
        </w:rPr>
        <w:t xml:space="preserve"> </w:t>
      </w:r>
      <w:hyperlink r:id="rId11" w:history="1">
        <w:r w:rsidRPr="00184386">
          <w:rPr>
            <w:rStyle w:val="Hyperlink"/>
            <w:rFonts w:ascii="Times New Roman" w:hAnsi="Times New Roman" w:cs="Times New Roman"/>
            <w:sz w:val="24"/>
            <w:szCs w:val="24"/>
          </w:rPr>
          <w:t>https://static1.squarespace.com/static/58ec123cb3db2bd94e057628/t/5f96e219d9d9d55660fbdc43/1603723821961/EFI-Stanford-CA-CCS-FULL-rev1.vF-10.25.20.pdf</w:t>
        </w:r>
      </w:hyperlink>
      <w:r w:rsidRPr="00184386">
        <w:rPr>
          <w:rFonts w:ascii="Times New Roman" w:hAnsi="Times New Roman" w:cs="Times New Roman"/>
          <w:sz w:val="24"/>
          <w:szCs w:val="24"/>
        </w:rPr>
        <w:t xml:space="preserve"> at p. 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2A" w:rsidRDefault="004A2461">
    <w:pPr>
      <w:pStyle w:val="Header"/>
    </w:pPr>
    <w:r>
      <w:rPr>
        <w:noProof/>
      </w:rPr>
      <w:drawing>
        <wp:anchor distT="0" distB="0" distL="114300" distR="114300" simplePos="0" relativeHeight="251658240" behindDoc="0" locked="0" layoutInCell="1" allowOverlap="1">
          <wp:simplePos x="0" y="0"/>
          <wp:positionH relativeFrom="margin">
            <wp:posOffset>-460857</wp:posOffset>
          </wp:positionH>
          <wp:positionV relativeFrom="margin">
            <wp:posOffset>-716890</wp:posOffset>
          </wp:positionV>
          <wp:extent cx="1989455" cy="9944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WEA-P0518 Logo Development_s8_Page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9455" cy="9944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4D86"/>
    <w:multiLevelType w:val="hybridMultilevel"/>
    <w:tmpl w:val="1F4E4DA2"/>
    <w:lvl w:ilvl="0" w:tplc="04090001">
      <w:start w:val="1"/>
      <w:numFmt w:val="bullet"/>
      <w:lvlText w:val=""/>
      <w:lvlJc w:val="left"/>
      <w:pPr>
        <w:tabs>
          <w:tab w:val="num" w:pos="1080"/>
        </w:tabs>
        <w:ind w:left="1080" w:hanging="360"/>
      </w:pPr>
      <w:rPr>
        <w:rFonts w:ascii="Symbol" w:hAnsi="Symbol" w:hint="default"/>
      </w:rPr>
    </w:lvl>
    <w:lvl w:ilvl="1" w:tplc="4A4A45DC" w:tentative="1">
      <w:start w:val="1"/>
      <w:numFmt w:val="bullet"/>
      <w:lvlText w:val=""/>
      <w:lvlJc w:val="left"/>
      <w:pPr>
        <w:tabs>
          <w:tab w:val="num" w:pos="1800"/>
        </w:tabs>
        <w:ind w:left="1800" w:hanging="360"/>
      </w:pPr>
      <w:rPr>
        <w:rFonts w:ascii="Wingdings" w:hAnsi="Wingdings" w:hint="default"/>
      </w:rPr>
    </w:lvl>
    <w:lvl w:ilvl="2" w:tplc="9E467048" w:tentative="1">
      <w:start w:val="1"/>
      <w:numFmt w:val="bullet"/>
      <w:lvlText w:val=""/>
      <w:lvlJc w:val="left"/>
      <w:pPr>
        <w:tabs>
          <w:tab w:val="num" w:pos="2520"/>
        </w:tabs>
        <w:ind w:left="2520" w:hanging="360"/>
      </w:pPr>
      <w:rPr>
        <w:rFonts w:ascii="Wingdings" w:hAnsi="Wingdings" w:hint="default"/>
      </w:rPr>
    </w:lvl>
    <w:lvl w:ilvl="3" w:tplc="EFA67814" w:tentative="1">
      <w:start w:val="1"/>
      <w:numFmt w:val="bullet"/>
      <w:lvlText w:val=""/>
      <w:lvlJc w:val="left"/>
      <w:pPr>
        <w:tabs>
          <w:tab w:val="num" w:pos="3240"/>
        </w:tabs>
        <w:ind w:left="3240" w:hanging="360"/>
      </w:pPr>
      <w:rPr>
        <w:rFonts w:ascii="Wingdings" w:hAnsi="Wingdings" w:hint="default"/>
      </w:rPr>
    </w:lvl>
    <w:lvl w:ilvl="4" w:tplc="14822FB6" w:tentative="1">
      <w:start w:val="1"/>
      <w:numFmt w:val="bullet"/>
      <w:lvlText w:val=""/>
      <w:lvlJc w:val="left"/>
      <w:pPr>
        <w:tabs>
          <w:tab w:val="num" w:pos="3960"/>
        </w:tabs>
        <w:ind w:left="3960" w:hanging="360"/>
      </w:pPr>
      <w:rPr>
        <w:rFonts w:ascii="Wingdings" w:hAnsi="Wingdings" w:hint="default"/>
      </w:rPr>
    </w:lvl>
    <w:lvl w:ilvl="5" w:tplc="ACD6208E" w:tentative="1">
      <w:start w:val="1"/>
      <w:numFmt w:val="bullet"/>
      <w:lvlText w:val=""/>
      <w:lvlJc w:val="left"/>
      <w:pPr>
        <w:tabs>
          <w:tab w:val="num" w:pos="4680"/>
        </w:tabs>
        <w:ind w:left="4680" w:hanging="360"/>
      </w:pPr>
      <w:rPr>
        <w:rFonts w:ascii="Wingdings" w:hAnsi="Wingdings" w:hint="default"/>
      </w:rPr>
    </w:lvl>
    <w:lvl w:ilvl="6" w:tplc="6CA0AB90" w:tentative="1">
      <w:start w:val="1"/>
      <w:numFmt w:val="bullet"/>
      <w:lvlText w:val=""/>
      <w:lvlJc w:val="left"/>
      <w:pPr>
        <w:tabs>
          <w:tab w:val="num" w:pos="5400"/>
        </w:tabs>
        <w:ind w:left="5400" w:hanging="360"/>
      </w:pPr>
      <w:rPr>
        <w:rFonts w:ascii="Wingdings" w:hAnsi="Wingdings" w:hint="default"/>
      </w:rPr>
    </w:lvl>
    <w:lvl w:ilvl="7" w:tplc="47E0DCCC" w:tentative="1">
      <w:start w:val="1"/>
      <w:numFmt w:val="bullet"/>
      <w:lvlText w:val=""/>
      <w:lvlJc w:val="left"/>
      <w:pPr>
        <w:tabs>
          <w:tab w:val="num" w:pos="6120"/>
        </w:tabs>
        <w:ind w:left="6120" w:hanging="360"/>
      </w:pPr>
      <w:rPr>
        <w:rFonts w:ascii="Wingdings" w:hAnsi="Wingdings" w:hint="default"/>
      </w:rPr>
    </w:lvl>
    <w:lvl w:ilvl="8" w:tplc="0EDA4842"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4B433BF"/>
    <w:multiLevelType w:val="multilevel"/>
    <w:tmpl w:val="A2284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53BD8"/>
    <w:multiLevelType w:val="hybridMultilevel"/>
    <w:tmpl w:val="07E66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2A"/>
    <w:rsid w:val="000132D2"/>
    <w:rsid w:val="000357C8"/>
    <w:rsid w:val="000C430A"/>
    <w:rsid w:val="000F1D3B"/>
    <w:rsid w:val="00145CB3"/>
    <w:rsid w:val="001523C2"/>
    <w:rsid w:val="00171F40"/>
    <w:rsid w:val="00174C6D"/>
    <w:rsid w:val="00184386"/>
    <w:rsid w:val="0018466F"/>
    <w:rsid w:val="00197DB3"/>
    <w:rsid w:val="001C7EB4"/>
    <w:rsid w:val="001E4A64"/>
    <w:rsid w:val="001F3458"/>
    <w:rsid w:val="002A03B9"/>
    <w:rsid w:val="002E2044"/>
    <w:rsid w:val="002E4A79"/>
    <w:rsid w:val="00312836"/>
    <w:rsid w:val="00322F69"/>
    <w:rsid w:val="00335155"/>
    <w:rsid w:val="003B75E2"/>
    <w:rsid w:val="003D2CFC"/>
    <w:rsid w:val="003F5E03"/>
    <w:rsid w:val="00417CD5"/>
    <w:rsid w:val="00424CD1"/>
    <w:rsid w:val="004A2461"/>
    <w:rsid w:val="004A3A2F"/>
    <w:rsid w:val="004C4FDA"/>
    <w:rsid w:val="004C652A"/>
    <w:rsid w:val="004F13F1"/>
    <w:rsid w:val="004F5CE7"/>
    <w:rsid w:val="00532713"/>
    <w:rsid w:val="00553E25"/>
    <w:rsid w:val="005C2720"/>
    <w:rsid w:val="005C35A1"/>
    <w:rsid w:val="00610846"/>
    <w:rsid w:val="00675A83"/>
    <w:rsid w:val="006B6E20"/>
    <w:rsid w:val="006E067A"/>
    <w:rsid w:val="006F44FC"/>
    <w:rsid w:val="00780F52"/>
    <w:rsid w:val="007B50F8"/>
    <w:rsid w:val="00877E0F"/>
    <w:rsid w:val="00877ECF"/>
    <w:rsid w:val="00881E8D"/>
    <w:rsid w:val="009058B7"/>
    <w:rsid w:val="009F26AA"/>
    <w:rsid w:val="00A11958"/>
    <w:rsid w:val="00A50800"/>
    <w:rsid w:val="00A837EF"/>
    <w:rsid w:val="00AA745B"/>
    <w:rsid w:val="00AB020C"/>
    <w:rsid w:val="00AF5CF3"/>
    <w:rsid w:val="00B10EEE"/>
    <w:rsid w:val="00B224C4"/>
    <w:rsid w:val="00BA231A"/>
    <w:rsid w:val="00BF313F"/>
    <w:rsid w:val="00C142A9"/>
    <w:rsid w:val="00C605E5"/>
    <w:rsid w:val="00C72F1C"/>
    <w:rsid w:val="00C84A57"/>
    <w:rsid w:val="00CA3D3B"/>
    <w:rsid w:val="00CB0363"/>
    <w:rsid w:val="00D52F31"/>
    <w:rsid w:val="00D858D4"/>
    <w:rsid w:val="00DA2472"/>
    <w:rsid w:val="00DA4BFE"/>
    <w:rsid w:val="00DB3725"/>
    <w:rsid w:val="00DB404B"/>
    <w:rsid w:val="00DD2323"/>
    <w:rsid w:val="00DF1026"/>
    <w:rsid w:val="00E03D41"/>
    <w:rsid w:val="00E05529"/>
    <w:rsid w:val="00E1357F"/>
    <w:rsid w:val="00F24440"/>
    <w:rsid w:val="00F9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D9969B-E79E-4D3F-97B8-DD63D877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52A"/>
  </w:style>
  <w:style w:type="paragraph" w:styleId="Footer">
    <w:name w:val="footer"/>
    <w:basedOn w:val="Normal"/>
    <w:link w:val="FooterChar"/>
    <w:uiPriority w:val="99"/>
    <w:unhideWhenUsed/>
    <w:rsid w:val="004C6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2A"/>
  </w:style>
  <w:style w:type="paragraph" w:styleId="BalloonText">
    <w:name w:val="Balloon Text"/>
    <w:basedOn w:val="Normal"/>
    <w:link w:val="BalloonTextChar"/>
    <w:uiPriority w:val="99"/>
    <w:semiHidden/>
    <w:unhideWhenUsed/>
    <w:rsid w:val="004C6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52A"/>
    <w:rPr>
      <w:rFonts w:ascii="Tahoma" w:hAnsi="Tahoma" w:cs="Tahoma"/>
      <w:sz w:val="16"/>
      <w:szCs w:val="16"/>
    </w:rPr>
  </w:style>
  <w:style w:type="paragraph" w:styleId="FootnoteText">
    <w:name w:val="footnote text"/>
    <w:basedOn w:val="Normal"/>
    <w:link w:val="FootnoteTextChar"/>
    <w:uiPriority w:val="99"/>
    <w:semiHidden/>
    <w:unhideWhenUsed/>
    <w:rsid w:val="001E4A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A64"/>
    <w:rPr>
      <w:sz w:val="20"/>
      <w:szCs w:val="20"/>
    </w:rPr>
  </w:style>
  <w:style w:type="character" w:styleId="FootnoteReference">
    <w:name w:val="footnote reference"/>
    <w:basedOn w:val="DefaultParagraphFont"/>
    <w:uiPriority w:val="99"/>
    <w:semiHidden/>
    <w:unhideWhenUsed/>
    <w:rsid w:val="001E4A64"/>
    <w:rPr>
      <w:vertAlign w:val="superscript"/>
    </w:rPr>
  </w:style>
  <w:style w:type="character" w:styleId="Hyperlink">
    <w:name w:val="Hyperlink"/>
    <w:basedOn w:val="DefaultParagraphFont"/>
    <w:uiPriority w:val="99"/>
    <w:unhideWhenUsed/>
    <w:rsid w:val="001E4A64"/>
    <w:rPr>
      <w:color w:val="0000FF"/>
      <w:u w:val="single"/>
    </w:rPr>
  </w:style>
  <w:style w:type="paragraph" w:styleId="ListParagraph">
    <w:name w:val="List Paragraph"/>
    <w:basedOn w:val="Normal"/>
    <w:uiPriority w:val="34"/>
    <w:qFormat/>
    <w:rsid w:val="001E4A64"/>
    <w:pPr>
      <w:spacing w:after="160" w:line="259" w:lineRule="auto"/>
      <w:ind w:left="720"/>
      <w:contextualSpacing/>
    </w:pPr>
  </w:style>
  <w:style w:type="paragraph" w:customStyle="1" w:styleId="zfr3q">
    <w:name w:val="zfr3q"/>
    <w:basedOn w:val="Normal"/>
    <w:rsid w:val="00F2444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E2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10641">
      <w:bodyDiv w:val="1"/>
      <w:marLeft w:val="0"/>
      <w:marRight w:val="0"/>
      <w:marTop w:val="0"/>
      <w:marBottom w:val="0"/>
      <w:divBdr>
        <w:top w:val="none" w:sz="0" w:space="0" w:color="auto"/>
        <w:left w:val="none" w:sz="0" w:space="0" w:color="auto"/>
        <w:bottom w:val="none" w:sz="0" w:space="0" w:color="auto"/>
        <w:right w:val="none" w:sz="0" w:space="0" w:color="auto"/>
      </w:divBdr>
      <w:divsChild>
        <w:div w:id="205915252">
          <w:marLeft w:val="446"/>
          <w:marRight w:val="0"/>
          <w:marTop w:val="0"/>
          <w:marBottom w:val="0"/>
          <w:divBdr>
            <w:top w:val="none" w:sz="0" w:space="0" w:color="auto"/>
            <w:left w:val="none" w:sz="0" w:space="0" w:color="auto"/>
            <w:bottom w:val="none" w:sz="0" w:space="0" w:color="auto"/>
            <w:right w:val="none" w:sz="0" w:space="0" w:color="auto"/>
          </w:divBdr>
        </w:div>
        <w:div w:id="492532673">
          <w:marLeft w:val="446"/>
          <w:marRight w:val="0"/>
          <w:marTop w:val="0"/>
          <w:marBottom w:val="0"/>
          <w:divBdr>
            <w:top w:val="none" w:sz="0" w:space="0" w:color="auto"/>
            <w:left w:val="none" w:sz="0" w:space="0" w:color="auto"/>
            <w:bottom w:val="none" w:sz="0" w:space="0" w:color="auto"/>
            <w:right w:val="none" w:sz="0" w:space="0" w:color="auto"/>
          </w:divBdr>
        </w:div>
        <w:div w:id="1813133047">
          <w:marLeft w:val="446"/>
          <w:marRight w:val="0"/>
          <w:marTop w:val="0"/>
          <w:marBottom w:val="0"/>
          <w:divBdr>
            <w:top w:val="none" w:sz="0" w:space="0" w:color="auto"/>
            <w:left w:val="none" w:sz="0" w:space="0" w:color="auto"/>
            <w:bottom w:val="none" w:sz="0" w:space="0" w:color="auto"/>
            <w:right w:val="none" w:sz="0" w:space="0" w:color="auto"/>
          </w:divBdr>
        </w:div>
        <w:div w:id="273098093">
          <w:marLeft w:val="446"/>
          <w:marRight w:val="0"/>
          <w:marTop w:val="0"/>
          <w:marBottom w:val="0"/>
          <w:divBdr>
            <w:top w:val="none" w:sz="0" w:space="0" w:color="auto"/>
            <w:left w:val="none" w:sz="0" w:space="0" w:color="auto"/>
            <w:bottom w:val="none" w:sz="0" w:space="0" w:color="auto"/>
            <w:right w:val="none" w:sz="0" w:space="0" w:color="auto"/>
          </w:divBdr>
        </w:div>
        <w:div w:id="204871134">
          <w:marLeft w:val="446"/>
          <w:marRight w:val="0"/>
          <w:marTop w:val="0"/>
          <w:marBottom w:val="0"/>
          <w:divBdr>
            <w:top w:val="none" w:sz="0" w:space="0" w:color="auto"/>
            <w:left w:val="none" w:sz="0" w:space="0" w:color="auto"/>
            <w:bottom w:val="none" w:sz="0" w:space="0" w:color="auto"/>
            <w:right w:val="none" w:sz="0" w:space="0" w:color="auto"/>
          </w:divBdr>
        </w:div>
        <w:div w:id="1732343602">
          <w:marLeft w:val="446"/>
          <w:marRight w:val="0"/>
          <w:marTop w:val="0"/>
          <w:marBottom w:val="0"/>
          <w:divBdr>
            <w:top w:val="none" w:sz="0" w:space="0" w:color="auto"/>
            <w:left w:val="none" w:sz="0" w:space="0" w:color="auto"/>
            <w:bottom w:val="none" w:sz="0" w:space="0" w:color="auto"/>
            <w:right w:val="none" w:sz="0" w:space="0" w:color="auto"/>
          </w:divBdr>
        </w:div>
        <w:div w:id="14656125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2.arb.ca.gov/sites/default/files/2020-10/101420presentation_carb.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eia.gov/state/analysis.php?sid=CA" TargetMode="External"/><Relationship Id="rId3" Type="http://schemas.openxmlformats.org/officeDocument/2006/relationships/hyperlink" Target="https://www.uwyo.edu/cegr/research-projects/carbonsafe-p2-dryfork.html" TargetMode="External"/><Relationship Id="rId7" Type="http://schemas.openxmlformats.org/officeDocument/2006/relationships/hyperlink" Target="https://www.eia.gov/todayinenergy/detail.php?id=38912" TargetMode="External"/><Relationship Id="rId2" Type="http://schemas.openxmlformats.org/officeDocument/2006/relationships/hyperlink" Target="https://www.wyofile.com/can-mark-gordon-save-coal-and-stop-climate-change/" TargetMode="External"/><Relationship Id="rId1" Type="http://schemas.openxmlformats.org/officeDocument/2006/relationships/hyperlink" Target="https://www.eia.gov/state/analysis.php?sid=WY" TargetMode="External"/><Relationship Id="rId6" Type="http://schemas.openxmlformats.org/officeDocument/2006/relationships/hyperlink" Target="https://www.wyomingitc.org/about/" TargetMode="External"/><Relationship Id="rId11" Type="http://schemas.openxmlformats.org/officeDocument/2006/relationships/hyperlink" Target="https://static1.squarespace.com/static/58ec123cb3db2bd94e057628/t/5f96e219d9d9d55660fbdc43/1603723821961/EFI-Stanford-CA-CCS-FULL-rev1.vF-10.25.20.pdf" TargetMode="External"/><Relationship Id="rId5" Type="http://schemas.openxmlformats.org/officeDocument/2006/relationships/hyperlink" Target="https://waferx.montana.edu/the_project.html" TargetMode="External"/><Relationship Id="rId10" Type="http://schemas.openxmlformats.org/officeDocument/2006/relationships/hyperlink" Target="http://www.kgs.ku.edu/PRS/IMSCSH/pdfs/ccus_conference_3/Tiraz_Birdie.pdf" TargetMode="External"/><Relationship Id="rId4" Type="http://schemas.openxmlformats.org/officeDocument/2006/relationships/hyperlink" Target="https://www.uwyo.edu/cegr/research-projects/project-wy-cusp.html" TargetMode="External"/><Relationship Id="rId9" Type="http://schemas.openxmlformats.org/officeDocument/2006/relationships/hyperlink" Target="https://static1.squarespace.com/static/58ec123cb3db2bd94e057628/t/5f96e219d9d9d55660fbdc43/1603723821961/EFI-Stanford-CA-CCS-FULL-rev1.vF-10.25.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73D2D-10EF-4E71-803D-63883D9F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1697</Words>
  <Characters>9676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Audit</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kcodding@uwyo.edu</dc:creator>
  <cp:lastModifiedBy>Kipp A. Coddington</cp:lastModifiedBy>
  <cp:revision>2</cp:revision>
  <dcterms:created xsi:type="dcterms:W3CDTF">2020-11-05T18:17:00Z</dcterms:created>
  <dcterms:modified xsi:type="dcterms:W3CDTF">2020-11-05T18:17:00Z</dcterms:modified>
</cp:coreProperties>
</file>