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F612E" w14:textId="349012D0" w:rsidR="001B78C8" w:rsidRDefault="00064261" w:rsidP="001B78C8">
      <w:pPr>
        <w:jc w:val="both"/>
      </w:pPr>
      <w:r>
        <w:t>Pinal Energy is requesting CARB to consider how carbon dioxide (</w:t>
      </w:r>
      <w:r w:rsidRPr="008D5B7D">
        <w:t>CO</w:t>
      </w:r>
      <w:r w:rsidRPr="008D5B7D">
        <w:rPr>
          <w:vertAlign w:val="subscript"/>
        </w:rPr>
        <w:t>2</w:t>
      </w:r>
      <w:r>
        <w:t xml:space="preserve">) from ethanol fermentation can displace fossil </w:t>
      </w:r>
      <w:r w:rsidRPr="008D5B7D">
        <w:t>CO</w:t>
      </w:r>
      <w:r w:rsidRPr="008D5B7D">
        <w:rPr>
          <w:vertAlign w:val="subscript"/>
        </w:rPr>
        <w:t>2</w:t>
      </w:r>
      <w:r>
        <w:t xml:space="preserve"> in commercial applications and lower the carbon intensity (CI) score for an ethanol fuel pathway.</w:t>
      </w:r>
      <w:r w:rsidRPr="00064261">
        <w:t xml:space="preserve"> </w:t>
      </w:r>
      <w:r w:rsidR="001B78C8">
        <w:t>CO</w:t>
      </w:r>
      <w:r w:rsidR="001B78C8" w:rsidRPr="001B78C8">
        <w:rPr>
          <w:vertAlign w:val="subscript"/>
        </w:rPr>
        <w:t>2</w:t>
      </w:r>
      <w:r w:rsidR="001B78C8">
        <w:rPr>
          <w:vertAlign w:val="subscript"/>
        </w:rPr>
        <w:t xml:space="preserve"> </w:t>
      </w:r>
      <w:r w:rsidR="001B78C8">
        <w:t>captured from industrial process</w:t>
      </w:r>
      <w:r w:rsidR="00723D56">
        <w:t>es</w:t>
      </w:r>
      <w:r w:rsidR="001B78C8">
        <w:t xml:space="preserve"> is used in many </w:t>
      </w:r>
      <w:r w:rsidR="00AD716A">
        <w:t>industries and</w:t>
      </w:r>
      <w:r w:rsidR="001B78C8">
        <w:t xml:space="preserve"> should be considered as a co-product</w:t>
      </w:r>
      <w:r w:rsidR="002821A4">
        <w:t xml:space="preserve"> for fuel pathways</w:t>
      </w:r>
      <w:r w:rsidR="001B78C8">
        <w:t xml:space="preserve"> where it can be </w:t>
      </w:r>
      <w:r w:rsidR="00AD716A">
        <w:t>showed</w:t>
      </w:r>
      <w:r w:rsidR="001B78C8">
        <w:t xml:space="preserve"> to displace the use of fossil carbon dioxide</w:t>
      </w:r>
      <w:r w:rsidR="0035062A">
        <w:t xml:space="preserve">. Adding CO2 as a co-product will allow the merchant CO2 market to effectively compete with that </w:t>
      </w:r>
      <w:r w:rsidR="002821A4">
        <w:t xml:space="preserve">of the captive CO2 market. </w:t>
      </w:r>
    </w:p>
    <w:p w14:paraId="71B21B35" w14:textId="3134BECA" w:rsidR="00435D9E" w:rsidRDefault="00435D9E" w:rsidP="001B78C8">
      <w:pPr>
        <w:jc w:val="both"/>
      </w:pPr>
      <w:r>
        <w:t xml:space="preserve">Pinal Energy </w:t>
      </w:r>
      <w:r w:rsidRPr="008D5B7D">
        <w:t xml:space="preserve">is a corn ethanol facility located in Maricopa, AZ. </w:t>
      </w:r>
      <w:r>
        <w:t xml:space="preserve">Pinal Energy </w:t>
      </w:r>
      <w:r w:rsidRPr="008D5B7D">
        <w:t>captures the CO</w:t>
      </w:r>
      <w:r w:rsidRPr="008D5B7D">
        <w:rPr>
          <w:vertAlign w:val="subscript"/>
        </w:rPr>
        <w:t xml:space="preserve">2 </w:t>
      </w:r>
      <w:r w:rsidRPr="008D5B7D">
        <w:t>from the fermentation process and sells it to Reliant,</w:t>
      </w:r>
      <w:r w:rsidR="00277CE9">
        <w:t xml:space="preserve"> a primary</w:t>
      </w:r>
      <w:r w:rsidRPr="008D5B7D">
        <w:t xml:space="preserve"> CO</w:t>
      </w:r>
      <w:r w:rsidRPr="008D5B7D">
        <w:rPr>
          <w:vertAlign w:val="subscript"/>
        </w:rPr>
        <w:t>2</w:t>
      </w:r>
      <w:r w:rsidRPr="008D5B7D">
        <w:t xml:space="preserve"> provider</w:t>
      </w:r>
      <w:r w:rsidR="00277CE9">
        <w:t>,</w:t>
      </w:r>
      <w:r w:rsidRPr="008D5B7D">
        <w:t xml:space="preserve"> </w:t>
      </w:r>
      <w:r w:rsidR="00277CE9">
        <w:t>in</w:t>
      </w:r>
      <w:r w:rsidRPr="008D5B7D">
        <w:t xml:space="preserve"> both liquid and solid forms</w:t>
      </w:r>
      <w:r w:rsidR="00723D56">
        <w:t>,</w:t>
      </w:r>
      <w:r w:rsidR="00277CE9">
        <w:t xml:space="preserve"> for use </w:t>
      </w:r>
      <w:r w:rsidR="00DD2257">
        <w:t>in the food and drink industry</w:t>
      </w:r>
      <w:r w:rsidR="00DD2257" w:rsidRPr="008D5B7D">
        <w:t xml:space="preserve"> </w:t>
      </w:r>
      <w:r w:rsidRPr="008D5B7D">
        <w:t xml:space="preserve">in </w:t>
      </w:r>
      <w:r>
        <w:t xml:space="preserve">the </w:t>
      </w:r>
      <w:r w:rsidRPr="008D5B7D">
        <w:t>Arizona area</w:t>
      </w:r>
      <w:r>
        <w:t xml:space="preserve">. </w:t>
      </w:r>
    </w:p>
    <w:p w14:paraId="5771D916" w14:textId="65848F68" w:rsidR="00EB17AF" w:rsidRDefault="00F1401E" w:rsidP="001831BE">
      <w:pPr>
        <w:pStyle w:val="Heading1"/>
      </w:pPr>
      <w:bookmarkStart w:id="0" w:name="_Toc46229927"/>
      <w:r w:rsidRPr="00117764">
        <w:t>Summary</w:t>
      </w:r>
      <w:bookmarkEnd w:id="0"/>
    </w:p>
    <w:p w14:paraId="75C49CC0" w14:textId="77777777" w:rsidR="004D4D77" w:rsidRDefault="004D4D77" w:rsidP="001831BE">
      <w:pPr>
        <w:jc w:val="both"/>
      </w:pPr>
    </w:p>
    <w:p w14:paraId="7C64DE71" w14:textId="50857350" w:rsidR="00A526BC" w:rsidRDefault="00F4647D" w:rsidP="00A526BC">
      <w:pPr>
        <w:jc w:val="both"/>
      </w:pPr>
      <w:r>
        <w:t xml:space="preserve">There is </w:t>
      </w:r>
      <w:r w:rsidR="00D90FBD">
        <w:t xml:space="preserve">already </w:t>
      </w:r>
      <w:r>
        <w:t xml:space="preserve">a provision </w:t>
      </w:r>
      <w:r w:rsidR="00064454">
        <w:t xml:space="preserve">in the LCFS regulation </w:t>
      </w:r>
      <w:r>
        <w:t>for CO</w:t>
      </w:r>
      <w:r w:rsidRPr="00F23969">
        <w:rPr>
          <w:vertAlign w:val="subscript"/>
        </w:rPr>
        <w:t>2</w:t>
      </w:r>
      <w:r>
        <w:t xml:space="preserve"> </w:t>
      </w:r>
      <w:r w:rsidR="00D90FBD">
        <w:t xml:space="preserve">from ethanol fermentation </w:t>
      </w:r>
      <w:r>
        <w:t>to be</w:t>
      </w:r>
      <w:r w:rsidR="00FD3FF5">
        <w:t xml:space="preserve"> stored </w:t>
      </w:r>
      <w:r w:rsidR="005158DF">
        <w:t>by</w:t>
      </w:r>
      <w:r>
        <w:t xml:space="preserve"> EOR </w:t>
      </w:r>
      <w:r w:rsidR="005158DF">
        <w:t>or</w:t>
      </w:r>
      <w:r>
        <w:t xml:space="preserve"> in permanent</w:t>
      </w:r>
      <w:r w:rsidR="005158DF">
        <w:t xml:space="preserve"> geological </w:t>
      </w:r>
      <w:r>
        <w:t xml:space="preserve">storage under </w:t>
      </w:r>
      <w:r w:rsidR="005158DF">
        <w:t>CARB’s Carbon Capture and Sequestration (</w:t>
      </w:r>
      <w:r w:rsidR="006B57C7">
        <w:t>“</w:t>
      </w:r>
      <w:r>
        <w:t>CCS</w:t>
      </w:r>
      <w:r w:rsidR="006B57C7">
        <w:t>”</w:t>
      </w:r>
      <w:r w:rsidR="005158DF">
        <w:t>)</w:t>
      </w:r>
      <w:r w:rsidR="00064454">
        <w:t xml:space="preserve"> protocol. </w:t>
      </w:r>
      <w:r w:rsidR="00D90FBD">
        <w:t xml:space="preserve">Ethanol plants that implement such a storage protocol </w:t>
      </w:r>
      <w:r w:rsidR="00F23969">
        <w:t xml:space="preserve">can </w:t>
      </w:r>
      <w:r>
        <w:t>reduce the</w:t>
      </w:r>
      <w:r w:rsidR="00D90FBD">
        <w:t>ir</w:t>
      </w:r>
      <w:r>
        <w:t xml:space="preserve"> pathway </w:t>
      </w:r>
      <w:r w:rsidR="00064454">
        <w:t>Carbon Intensity (</w:t>
      </w:r>
      <w:r w:rsidR="006B57C7">
        <w:t>“</w:t>
      </w:r>
      <w:r>
        <w:t>CI</w:t>
      </w:r>
      <w:r w:rsidR="006B57C7">
        <w:t>”</w:t>
      </w:r>
      <w:r w:rsidR="00064454">
        <w:t>)</w:t>
      </w:r>
      <w:r>
        <w:t xml:space="preserve">. </w:t>
      </w:r>
      <w:r w:rsidR="00277CE9">
        <w:t xml:space="preserve">The </w:t>
      </w:r>
      <w:r w:rsidR="00D90FBD">
        <w:t>current CCS protocol</w:t>
      </w:r>
      <w:r w:rsidR="00277CE9">
        <w:t xml:space="preserve"> unfairly favor</w:t>
      </w:r>
      <w:r w:rsidR="00D90FBD">
        <w:t>s</w:t>
      </w:r>
      <w:r w:rsidR="00277CE9">
        <w:t xml:space="preserve"> ethanol plants that are close to geological storage</w:t>
      </w:r>
      <w:r w:rsidR="007A2F33">
        <w:t xml:space="preserve">. The protocol rewards the storage of biogenic CO2 from ethanol fermentation, but it </w:t>
      </w:r>
      <w:r w:rsidR="00A526BC">
        <w:t xml:space="preserve">does not have any impact on </w:t>
      </w:r>
      <w:r w:rsidR="007A2F33">
        <w:t xml:space="preserve">the quantity of </w:t>
      </w:r>
      <w:r w:rsidR="00A526BC">
        <w:t xml:space="preserve">fossil </w:t>
      </w:r>
      <w:r w:rsidR="00123B2A">
        <w:t>CO</w:t>
      </w:r>
      <w:r w:rsidR="00123B2A">
        <w:rPr>
          <w:vertAlign w:val="subscript"/>
        </w:rPr>
        <w:t xml:space="preserve"> </w:t>
      </w:r>
      <w:proofErr w:type="gramStart"/>
      <w:r w:rsidR="00123B2A">
        <w:rPr>
          <w:vertAlign w:val="subscript"/>
        </w:rPr>
        <w:t xml:space="preserve">2 </w:t>
      </w:r>
      <w:r w:rsidR="007A2F33">
        <w:t xml:space="preserve"> extracted</w:t>
      </w:r>
      <w:proofErr w:type="gramEnd"/>
      <w:r w:rsidR="007A2F33">
        <w:t xml:space="preserve"> and</w:t>
      </w:r>
      <w:r w:rsidR="00A526BC">
        <w:t xml:space="preserve"> use</w:t>
      </w:r>
      <w:r w:rsidR="007A2F33">
        <w:t>d</w:t>
      </w:r>
      <w:r w:rsidR="00A526BC">
        <w:t xml:space="preserve"> in industrial applications.</w:t>
      </w:r>
      <w:r>
        <w:t xml:space="preserve"> </w:t>
      </w:r>
      <w:r w:rsidR="00A9744A">
        <w:t>In absolute terms</w:t>
      </w:r>
      <w:r w:rsidR="00723D56">
        <w:t>,</w:t>
      </w:r>
      <w:r w:rsidR="00A9744A">
        <w:t xml:space="preserve"> the total fossil CO2 extraction and use remain the same.</w:t>
      </w:r>
    </w:p>
    <w:p w14:paraId="71C4B41B" w14:textId="14A99AD0" w:rsidR="006E2107" w:rsidRDefault="00435D9E" w:rsidP="00A526BC">
      <w:pPr>
        <w:jc w:val="both"/>
      </w:pPr>
      <w:r>
        <w:t>Pinal Energy</w:t>
      </w:r>
      <w:r w:rsidR="00F4647D">
        <w:t xml:space="preserve"> believes that the LCFS regulation should be modified to allow </w:t>
      </w:r>
      <w:r w:rsidR="00B60D14">
        <w:t>producers to capture</w:t>
      </w:r>
      <w:r w:rsidR="00A526BC">
        <w:t xml:space="preserve"> and use</w:t>
      </w:r>
      <w:r w:rsidR="00F4647D">
        <w:t xml:space="preserve"> </w:t>
      </w:r>
      <w:r w:rsidR="006B57C7">
        <w:t>biogenic</w:t>
      </w:r>
      <w:r w:rsidR="00F4647D">
        <w:t xml:space="preserve"> CO</w:t>
      </w:r>
      <w:r w:rsidR="001831BE" w:rsidRPr="001831BE">
        <w:rPr>
          <w:vertAlign w:val="subscript"/>
        </w:rPr>
        <w:t>2</w:t>
      </w:r>
      <w:r w:rsidR="00B60D14">
        <w:t xml:space="preserve"> </w:t>
      </w:r>
      <w:r w:rsidR="00F4647D">
        <w:t xml:space="preserve">in </w:t>
      </w:r>
      <w:r w:rsidR="007A2F33">
        <w:t xml:space="preserve">commercial and industrial applications such as </w:t>
      </w:r>
      <w:r w:rsidR="00F4647D">
        <w:t>the food and drink industry</w:t>
      </w:r>
      <w:r w:rsidR="00A9744A">
        <w:t xml:space="preserve">, which will </w:t>
      </w:r>
      <w:r w:rsidR="00123B2A">
        <w:t xml:space="preserve">displace fossil CO2 use and </w:t>
      </w:r>
      <w:r w:rsidR="00A9744A">
        <w:t xml:space="preserve">result in an actual </w:t>
      </w:r>
      <w:r w:rsidR="00A526BC">
        <w:t>reduction of fossil CO</w:t>
      </w:r>
      <w:r w:rsidR="00A526BC" w:rsidRPr="00F23969">
        <w:rPr>
          <w:vertAlign w:val="subscript"/>
        </w:rPr>
        <w:t>2</w:t>
      </w:r>
      <w:r w:rsidR="00A526BC">
        <w:t xml:space="preserve"> extraction</w:t>
      </w:r>
      <w:r w:rsidR="00277CE9">
        <w:t>. Th</w:t>
      </w:r>
      <w:r w:rsidR="00F4647D">
        <w:t>e</w:t>
      </w:r>
      <w:r w:rsidR="00A526BC">
        <w:t xml:space="preserve"> resulting reduction in lifecycle greenhouse gas emissions </w:t>
      </w:r>
      <w:r w:rsidR="00A9744A">
        <w:t>should be awarded to the</w:t>
      </w:r>
      <w:r w:rsidR="00F4647D">
        <w:t xml:space="preserve"> fuel pathway</w:t>
      </w:r>
      <w:r w:rsidR="00A9744A">
        <w:t xml:space="preserve">. </w:t>
      </w:r>
      <w:r w:rsidR="00123B2A">
        <w:t>This will allow</w:t>
      </w:r>
      <w:r w:rsidR="00F4647D">
        <w:t xml:space="preserve"> </w:t>
      </w:r>
      <w:r w:rsidR="00277CE9">
        <w:t>more equitabl</w:t>
      </w:r>
      <w:r w:rsidR="00123B2A">
        <w:t>e treatment of</w:t>
      </w:r>
      <w:r w:rsidR="00277CE9">
        <w:t xml:space="preserve"> ethanol plants and allow </w:t>
      </w:r>
      <w:r w:rsidR="00123B2A">
        <w:t xml:space="preserve">biogenic </w:t>
      </w:r>
      <w:r w:rsidR="00277CE9">
        <w:t>CO</w:t>
      </w:r>
      <w:r w:rsidR="00277CE9">
        <w:rPr>
          <w:vertAlign w:val="subscript"/>
        </w:rPr>
        <w:t xml:space="preserve"> 2 </w:t>
      </w:r>
      <w:r w:rsidR="00277CE9">
        <w:t xml:space="preserve">use to offset </w:t>
      </w:r>
      <w:r w:rsidR="00123B2A">
        <w:t>fossil CO</w:t>
      </w:r>
      <w:r w:rsidR="00123B2A">
        <w:rPr>
          <w:vertAlign w:val="subscript"/>
        </w:rPr>
        <w:t xml:space="preserve"> </w:t>
      </w:r>
      <w:proofErr w:type="gramStart"/>
      <w:r w:rsidR="00123B2A">
        <w:rPr>
          <w:vertAlign w:val="subscript"/>
        </w:rPr>
        <w:t xml:space="preserve">2 </w:t>
      </w:r>
      <w:r w:rsidR="00123B2A">
        <w:t xml:space="preserve"> </w:t>
      </w:r>
      <w:r w:rsidR="00277CE9">
        <w:t>in</w:t>
      </w:r>
      <w:proofErr w:type="gramEnd"/>
      <w:r w:rsidR="00277CE9">
        <w:t xml:space="preserve"> both the merchant and captive CO</w:t>
      </w:r>
      <w:r w:rsidR="00277CE9" w:rsidRPr="00277CE9">
        <w:rPr>
          <w:vertAlign w:val="subscript"/>
        </w:rPr>
        <w:t>2</w:t>
      </w:r>
      <w:r w:rsidR="00277CE9">
        <w:t xml:space="preserve"> markets and prevent market distortion.</w:t>
      </w:r>
    </w:p>
    <w:p w14:paraId="5400755C" w14:textId="37066C20" w:rsidR="001C6B1C" w:rsidRDefault="00435D9E" w:rsidP="001831BE">
      <w:pPr>
        <w:pStyle w:val="Heading1"/>
      </w:pPr>
      <w:bookmarkStart w:id="1" w:name="_Toc46229928"/>
      <w:r>
        <w:t>L</w:t>
      </w:r>
      <w:r w:rsidR="006E2107" w:rsidRPr="006E2107">
        <w:t>CFS Regulatory Context</w:t>
      </w:r>
      <w:bookmarkEnd w:id="1"/>
    </w:p>
    <w:p w14:paraId="5C3E8007" w14:textId="77777777" w:rsidR="00CE7313" w:rsidRDefault="00CE7313" w:rsidP="001831BE">
      <w:pPr>
        <w:jc w:val="both"/>
      </w:pPr>
    </w:p>
    <w:p w14:paraId="18AFC6DA" w14:textId="04360AB9" w:rsidR="006E2107" w:rsidRDefault="006E2107" w:rsidP="001831BE">
      <w:pPr>
        <w:jc w:val="both"/>
      </w:pPr>
      <w:r>
        <w:t xml:space="preserve">The LCFS core philosophy is based on </w:t>
      </w:r>
      <w:r w:rsidR="003E395E">
        <w:t xml:space="preserve">the </w:t>
      </w:r>
      <w:r>
        <w:t xml:space="preserve">life cycle analysis of </w:t>
      </w:r>
      <w:r w:rsidR="00123B2A">
        <w:t xml:space="preserve">greenhouse gas emissions from </w:t>
      </w:r>
      <w:r>
        <w:t xml:space="preserve">fuels. One boundary condition is that the regulation </w:t>
      </w:r>
      <w:r w:rsidR="00123B2A">
        <w:t xml:space="preserve">only </w:t>
      </w:r>
      <w:r>
        <w:t xml:space="preserve">applies to transportation fuels. A more subtle boundary </w:t>
      </w:r>
      <w:r w:rsidR="00435D9E">
        <w:t>was</w:t>
      </w:r>
      <w:r>
        <w:t xml:space="preserve"> introduced </w:t>
      </w:r>
      <w:r w:rsidR="00B60D14">
        <w:t xml:space="preserve">in 2019 </w:t>
      </w:r>
      <w:r>
        <w:t xml:space="preserve">with the </w:t>
      </w:r>
      <w:r w:rsidR="00B60D14">
        <w:t>addition</w:t>
      </w:r>
      <w:r>
        <w:t xml:space="preserve"> of carbon capture and sequestration into the regulation. The boundary condition is that carbon dioxide must be sequestered into storage permanently (for 100 years) either by storage into a brine reservoir or by capturing part of the CO</w:t>
      </w:r>
      <w:r w:rsidRPr="00F23969">
        <w:rPr>
          <w:vertAlign w:val="subscript"/>
        </w:rPr>
        <w:t>2</w:t>
      </w:r>
      <w:r>
        <w:t xml:space="preserve"> during CO</w:t>
      </w:r>
      <w:r w:rsidRPr="00F23969">
        <w:rPr>
          <w:vertAlign w:val="subscript"/>
        </w:rPr>
        <w:t>2</w:t>
      </w:r>
      <w:r>
        <w:t xml:space="preserve"> Enhanced Oil Recovery. The capture of the carbon dioxide can be used to reduce the Carbon Intensity of a fuel pathway or as a project</w:t>
      </w:r>
      <w:r w:rsidR="00F23969">
        <w:t>-</w:t>
      </w:r>
      <w:r>
        <w:t xml:space="preserve">based credit generator through the innovative crude or the </w:t>
      </w:r>
      <w:r w:rsidR="00064454">
        <w:t xml:space="preserve">efficient </w:t>
      </w:r>
      <w:r>
        <w:t xml:space="preserve">refinery </w:t>
      </w:r>
      <w:r w:rsidR="00064454">
        <w:t>credit</w:t>
      </w:r>
      <w:r>
        <w:t xml:space="preserve"> program.</w:t>
      </w:r>
      <w:r w:rsidR="00B60D14">
        <w:t xml:space="preserve"> The addition of the CCS protocol has closed a potential methodology for reducing pathways CI scores by utilizing capture</w:t>
      </w:r>
      <w:r w:rsidR="00435D9E">
        <w:t>d</w:t>
      </w:r>
      <w:r w:rsidR="00B60D14">
        <w:t xml:space="preserve"> biogenic CO</w:t>
      </w:r>
      <w:r w:rsidR="00B60D14" w:rsidRPr="00B60D14">
        <w:rPr>
          <w:vertAlign w:val="subscript"/>
        </w:rPr>
        <w:t>2</w:t>
      </w:r>
      <w:r w:rsidR="00B60D14">
        <w:t xml:space="preserve"> to displace the use of fossil CO</w:t>
      </w:r>
      <w:r w:rsidR="00B60D14" w:rsidRPr="00B60D14">
        <w:rPr>
          <w:vertAlign w:val="subscript"/>
        </w:rPr>
        <w:t>2</w:t>
      </w:r>
      <w:r w:rsidR="00B60D14">
        <w:t>. Prior to the update, CARB had allowed Pinal Energy to reduce its pathway CI score by selling biogenic CO</w:t>
      </w:r>
      <w:r w:rsidR="00B60D14" w:rsidRPr="00B60D14">
        <w:rPr>
          <w:vertAlign w:val="subscript"/>
        </w:rPr>
        <w:t>2</w:t>
      </w:r>
      <w:r w:rsidR="00B60D14">
        <w:t xml:space="preserve"> capture at their ethanol plant to displace the use of fossil CO</w:t>
      </w:r>
      <w:r w:rsidR="00B60D14" w:rsidRPr="00B60D14">
        <w:rPr>
          <w:vertAlign w:val="subscript"/>
        </w:rPr>
        <w:t>2</w:t>
      </w:r>
      <w:r w:rsidR="00B60D14">
        <w:t xml:space="preserve"> in the Arizona market.</w:t>
      </w:r>
    </w:p>
    <w:p w14:paraId="15AFB7CC" w14:textId="77777777" w:rsidR="00CE7313" w:rsidRDefault="00CE7313" w:rsidP="001831BE">
      <w:pPr>
        <w:jc w:val="both"/>
      </w:pPr>
    </w:p>
    <w:p w14:paraId="37B4F8D1" w14:textId="44E4F9B7" w:rsidR="006E2107" w:rsidRPr="006E2107" w:rsidRDefault="003E395E" w:rsidP="001831BE">
      <w:pPr>
        <w:pStyle w:val="Heading1"/>
      </w:pPr>
      <w:bookmarkStart w:id="2" w:name="_Toc46229929"/>
      <w:bookmarkStart w:id="3" w:name="_Hlk507591878"/>
      <w:r>
        <w:lastRenderedPageBreak/>
        <w:t>The R</w:t>
      </w:r>
      <w:r w:rsidR="006E2107" w:rsidRPr="006E2107">
        <w:t>ational</w:t>
      </w:r>
      <w:r>
        <w:t>e</w:t>
      </w:r>
      <w:r w:rsidR="006E2107" w:rsidRPr="006E2107">
        <w:t xml:space="preserve"> for </w:t>
      </w:r>
      <w:r w:rsidR="00F23969">
        <w:t>C</w:t>
      </w:r>
      <w:r w:rsidR="006E2107" w:rsidRPr="006E2107">
        <w:t>hange</w:t>
      </w:r>
      <w:r w:rsidR="00F23969">
        <w:t xml:space="preserve"> to LCFS Regulation</w:t>
      </w:r>
      <w:bookmarkEnd w:id="2"/>
    </w:p>
    <w:bookmarkEnd w:id="3"/>
    <w:p w14:paraId="2F9E3281" w14:textId="77777777" w:rsidR="00CE7313" w:rsidRDefault="00CE7313" w:rsidP="001831BE">
      <w:pPr>
        <w:jc w:val="both"/>
        <w:rPr>
          <w:b/>
          <w:bCs/>
        </w:rPr>
      </w:pPr>
    </w:p>
    <w:p w14:paraId="3E4DCE58" w14:textId="112ABCEB" w:rsidR="006B37A0" w:rsidRPr="006B37A0" w:rsidRDefault="006B37A0" w:rsidP="001831BE">
      <w:pPr>
        <w:jc w:val="both"/>
        <w:rPr>
          <w:b/>
          <w:bCs/>
        </w:rPr>
      </w:pPr>
      <w:r w:rsidRPr="006B37A0">
        <w:rPr>
          <w:b/>
          <w:bCs/>
        </w:rPr>
        <w:t>Background to Fossil CO2 Extraction</w:t>
      </w:r>
      <w:r w:rsidR="00E16606">
        <w:rPr>
          <w:b/>
          <w:bCs/>
        </w:rPr>
        <w:t xml:space="preserve"> EOR and Food and Drink Use.</w:t>
      </w:r>
    </w:p>
    <w:p w14:paraId="21B3E3D1" w14:textId="35FA0273" w:rsidR="006E2107" w:rsidRDefault="00A708EE" w:rsidP="001831BE">
      <w:pPr>
        <w:jc w:val="both"/>
      </w:pPr>
      <w:r>
        <w:t xml:space="preserve">There are numerous </w:t>
      </w:r>
      <w:r w:rsidR="00741FEA">
        <w:t xml:space="preserve">fossil </w:t>
      </w:r>
      <w:r>
        <w:t>CO</w:t>
      </w:r>
      <w:r w:rsidRPr="001B78C8">
        <w:rPr>
          <w:vertAlign w:val="subscript"/>
        </w:rPr>
        <w:t>2</w:t>
      </w:r>
      <w:r>
        <w:t xml:space="preserve"> production sites in the US</w:t>
      </w:r>
      <w:r w:rsidR="00741FEA">
        <w:t>, such as</w:t>
      </w:r>
      <w:r w:rsidR="006E2107">
        <w:t xml:space="preserve"> Sheep Mountain and McElmo Dome sites in Colorado and Bravo Dome in northeastern New Mexico</w:t>
      </w:r>
      <w:r w:rsidR="00741FEA">
        <w:t xml:space="preserve"> (</w:t>
      </w:r>
      <w:r w:rsidR="006E2107">
        <w:t>Figure 1</w:t>
      </w:r>
      <w:r w:rsidR="00741FEA">
        <w:t>)</w:t>
      </w:r>
      <w:r w:rsidR="006E2107">
        <w:t>.</w:t>
      </w:r>
      <w:r w:rsidR="006E2107" w:rsidRPr="006E2107">
        <w:t xml:space="preserve"> </w:t>
      </w:r>
      <w:r w:rsidR="006E2107">
        <w:t>The</w:t>
      </w:r>
      <w:r w:rsidR="00741FEA">
        <w:t>se</w:t>
      </w:r>
      <w:r w:rsidR="006E2107">
        <w:t xml:space="preserve"> reservoirs produce fossil CO</w:t>
      </w:r>
      <w:r w:rsidR="006E2107" w:rsidRPr="00F23969">
        <w:rPr>
          <w:vertAlign w:val="subscript"/>
        </w:rPr>
        <w:t>2</w:t>
      </w:r>
      <w:r w:rsidR="006E2107">
        <w:t xml:space="preserve"> for use in various industries</w:t>
      </w:r>
      <w:r w:rsidR="00277CE9">
        <w:t xml:space="preserve"> broadly categorized as ‘capital’ and merchant’; the primary method of CO2 use is in the capital market, for EOR</w:t>
      </w:r>
      <w:r w:rsidR="006E2107">
        <w:t>. One of the first CO</w:t>
      </w:r>
      <w:r w:rsidR="006E2107" w:rsidRPr="00F23969">
        <w:rPr>
          <w:vertAlign w:val="subscript"/>
        </w:rPr>
        <w:t>2</w:t>
      </w:r>
      <w:r w:rsidR="006E2107">
        <w:t xml:space="preserve"> EOR projects was initiated in 1972 in the Kelly-Snider oil field in Texas. After the </w:t>
      </w:r>
      <w:r w:rsidR="00741FEA">
        <w:t xml:space="preserve">first </w:t>
      </w:r>
      <w:r w:rsidR="006E2107">
        <w:t>CO</w:t>
      </w:r>
      <w:r w:rsidR="006E2107" w:rsidRPr="00F23969">
        <w:rPr>
          <w:vertAlign w:val="subscript"/>
        </w:rPr>
        <w:t>2</w:t>
      </w:r>
      <w:r w:rsidR="006E2107">
        <w:t xml:space="preserve"> EOR process was successfully demonstrated, the investment necessary to develop and transport large volumes of </w:t>
      </w:r>
      <w:r w:rsidR="00741FEA">
        <w:t xml:space="preserve">fossil </w:t>
      </w:r>
      <w:r w:rsidR="006E2107">
        <w:t>CO</w:t>
      </w:r>
      <w:r w:rsidR="006E2107" w:rsidRPr="00F23969">
        <w:rPr>
          <w:vertAlign w:val="subscript"/>
        </w:rPr>
        <w:t>2</w:t>
      </w:r>
      <w:r w:rsidR="006E2107">
        <w:t xml:space="preserve"> to the oil fields was put in place. Kinder Morgan built a pipeline across New Mexico that takes </w:t>
      </w:r>
      <w:r w:rsidR="00741FEA">
        <w:t xml:space="preserve">fossil </w:t>
      </w:r>
      <w:r w:rsidR="006E2107">
        <w:t>CO</w:t>
      </w:r>
      <w:r w:rsidR="006E2107" w:rsidRPr="00F23969">
        <w:rPr>
          <w:vertAlign w:val="subscript"/>
        </w:rPr>
        <w:t>2</w:t>
      </w:r>
      <w:r w:rsidR="006E2107">
        <w:t xml:space="preserve"> </w:t>
      </w:r>
      <w:r w:rsidR="00741FEA">
        <w:t xml:space="preserve">from Colorado and New Mexico </w:t>
      </w:r>
      <w:r w:rsidR="006E2107">
        <w:t>into the Permian Basin oil field in West Texas.</w:t>
      </w:r>
    </w:p>
    <w:p w14:paraId="0D379701" w14:textId="710D3056" w:rsidR="006E2107" w:rsidRDefault="006E2107" w:rsidP="001831BE">
      <w:pPr>
        <w:jc w:val="both"/>
      </w:pPr>
      <w:r>
        <w:rPr>
          <w:noProof/>
        </w:rPr>
        <mc:AlternateContent>
          <mc:Choice Requires="wps">
            <w:drawing>
              <wp:anchor distT="0" distB="0" distL="114300" distR="114300" simplePos="0" relativeHeight="251664384" behindDoc="0" locked="0" layoutInCell="1" allowOverlap="1" wp14:anchorId="22044895" wp14:editId="402DF0AB">
                <wp:simplePos x="0" y="0"/>
                <wp:positionH relativeFrom="column">
                  <wp:posOffset>170815</wp:posOffset>
                </wp:positionH>
                <wp:positionV relativeFrom="paragraph">
                  <wp:posOffset>4232275</wp:posOffset>
                </wp:positionV>
                <wp:extent cx="6064250" cy="635"/>
                <wp:effectExtent l="0" t="0" r="0" b="0"/>
                <wp:wrapTopAndBottom/>
                <wp:docPr id="6" name="Text Box 6"/>
                <wp:cNvGraphicFramePr/>
                <a:graphic xmlns:a="http://schemas.openxmlformats.org/drawingml/2006/main">
                  <a:graphicData uri="http://schemas.microsoft.com/office/word/2010/wordprocessingShape">
                    <wps:wsp>
                      <wps:cNvSpPr txBox="1"/>
                      <wps:spPr>
                        <a:xfrm>
                          <a:off x="0" y="0"/>
                          <a:ext cx="6064250" cy="635"/>
                        </a:xfrm>
                        <a:prstGeom prst="rect">
                          <a:avLst/>
                        </a:prstGeom>
                        <a:solidFill>
                          <a:prstClr val="white"/>
                        </a:solidFill>
                        <a:ln>
                          <a:noFill/>
                        </a:ln>
                      </wps:spPr>
                      <wps:txbx>
                        <w:txbxContent>
                          <w:p w14:paraId="50A03837" w14:textId="23462A90" w:rsidR="006E2107" w:rsidRPr="008A295A" w:rsidRDefault="006E2107" w:rsidP="006E2107">
                            <w:pPr>
                              <w:pStyle w:val="Caption"/>
                              <w:rPr>
                                <w:noProof/>
                              </w:rPr>
                            </w:pPr>
                            <w:r>
                              <w:t xml:space="preserve">Figure </w:t>
                            </w:r>
                            <w:fldSimple w:instr=" SEQ Figure \* ARABIC ">
                              <w:r>
                                <w:rPr>
                                  <w:noProof/>
                                </w:rPr>
                                <w:t>1</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2044895" id="_x0000_t202" coordsize="21600,21600" o:spt="202" path="m,l,21600r21600,l21600,xe">
                <v:stroke joinstyle="miter"/>
                <v:path gradientshapeok="t" o:connecttype="rect"/>
              </v:shapetype>
              <v:shape id="Text Box 6" o:spid="_x0000_s1026" type="#_x0000_t202" style="position:absolute;left:0;text-align:left;margin-left:13.45pt;margin-top:333.25pt;width:477.5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" stroked="f">
                <v:textbox style="mso-fit-shape-to-text:t" inset="0,0,0,0">
                  <w:txbxContent>
                    <w:p w14:paraId="50A03837" w14:textId="23462A90" w:rsidR="006E2107" w:rsidRPr="008A295A" w:rsidRDefault="006E2107" w:rsidP="006E2107">
                      <w:pPr>
                        <w:pStyle w:val="Caption"/>
                        <w:rPr>
                          <w:noProof/>
                        </w:rPr>
                      </w:pPr>
                      <w:r>
                        <w:t xml:space="preserve">Figure </w:t>
                      </w:r>
                      <w:r w:rsidR="000B7023">
                        <w:fldChar w:fldCharType="begin"/>
                      </w:r>
                      <w:r w:rsidR="000B7023">
                        <w:instrText xml:space="preserve"> SEQ Figure \* ARABIC </w:instrText>
                      </w:r>
                      <w:r w:rsidR="000B7023">
                        <w:fldChar w:fldCharType="separate"/>
                      </w:r>
                      <w:r>
                        <w:rPr>
                          <w:noProof/>
                        </w:rPr>
                        <w:t>1</w:t>
                      </w:r>
                      <w:r w:rsidR="000B7023">
                        <w:rPr>
                          <w:noProof/>
                        </w:rPr>
                        <w:fldChar w:fldCharType="end"/>
                      </w:r>
                    </w:p>
                  </w:txbxContent>
                </v:textbox>
                <w10:wrap type="topAndBottom"/>
              </v:shape>
            </w:pict>
          </mc:Fallback>
        </mc:AlternateContent>
      </w:r>
      <w:r>
        <w:rPr>
          <w:noProof/>
        </w:rPr>
        <w:drawing>
          <wp:anchor distT="0" distB="0" distL="114300" distR="114300" simplePos="0" relativeHeight="251662336" behindDoc="0" locked="0" layoutInCell="1" allowOverlap="1" wp14:anchorId="5718F7DB" wp14:editId="73E96C04">
            <wp:simplePos x="0" y="0"/>
            <wp:positionH relativeFrom="column">
              <wp:posOffset>171255</wp:posOffset>
            </wp:positionH>
            <wp:positionV relativeFrom="paragraph">
              <wp:posOffset>412057</wp:posOffset>
            </wp:positionV>
            <wp:extent cx="6064250" cy="3763645"/>
            <wp:effectExtent l="0" t="0" r="0" b="825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64250" cy="3763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1FB7B4" w14:textId="2CD5CD8B" w:rsidR="004543E2" w:rsidRDefault="006E2107" w:rsidP="001831BE">
      <w:pPr>
        <w:pStyle w:val="NoSpacing"/>
        <w:jc w:val="both"/>
      </w:pPr>
      <w:r>
        <w:t xml:space="preserve">Today CO2 EOR is an </w:t>
      </w:r>
      <w:r w:rsidR="00723D56">
        <w:t>essential</w:t>
      </w:r>
      <w:r>
        <w:t xml:space="preserve"> component of US oil production, accounting for nearly 6% of US onshore oil production, or 350,000 barrels a day. This technique uses CO</w:t>
      </w:r>
      <w:r w:rsidRPr="00F23969">
        <w:rPr>
          <w:vertAlign w:val="subscript"/>
        </w:rPr>
        <w:t>2</w:t>
      </w:r>
      <w:r>
        <w:t xml:space="preserve"> to increase the production of oil from existing oil fields.</w:t>
      </w:r>
      <w:r>
        <w:rPr>
          <w:rStyle w:val="FootnoteReference"/>
        </w:rPr>
        <w:footnoteReference w:id="1"/>
      </w:r>
      <w:r>
        <w:t xml:space="preserve"> In 2010 the West Texas oil field used approximately 1.6 billion cubic feet</w:t>
      </w:r>
      <w:r w:rsidR="00741FEA">
        <w:t xml:space="preserve"> (90,000 Metric Tons)</w:t>
      </w:r>
      <w:r>
        <w:t xml:space="preserve"> per day of naturally sourced</w:t>
      </w:r>
      <w:r w:rsidR="00741FEA">
        <w:t xml:space="preserve"> fossil</w:t>
      </w:r>
      <w:r>
        <w:t xml:space="preserve"> CO2 for EOR</w:t>
      </w:r>
      <w:r>
        <w:rPr>
          <w:rStyle w:val="FootnoteReference"/>
        </w:rPr>
        <w:footnoteReference w:id="2"/>
      </w:r>
      <w:r>
        <w:t xml:space="preserve">. </w:t>
      </w:r>
      <w:r w:rsidR="004543E2">
        <w:t>Around 90% of the CO</w:t>
      </w:r>
      <w:r w:rsidR="004543E2" w:rsidRPr="00F23969">
        <w:rPr>
          <w:vertAlign w:val="subscript"/>
        </w:rPr>
        <w:t>2</w:t>
      </w:r>
      <w:r w:rsidR="004543E2">
        <w:t xml:space="preserve"> used in EOR </w:t>
      </w:r>
      <w:r w:rsidR="00741FEA">
        <w:t xml:space="preserve">ends up being </w:t>
      </w:r>
      <w:r w:rsidR="004543E2">
        <w:t>permanently stored</w:t>
      </w:r>
      <w:r w:rsidR="00277CE9">
        <w:t xml:space="preserve">. </w:t>
      </w:r>
      <w:r w:rsidR="00741FEA">
        <w:t xml:space="preserve">Therefore, fossil CO2 used in EOR creates a loop of extraction and injection, with a </w:t>
      </w:r>
      <w:r w:rsidR="00741FEA">
        <w:lastRenderedPageBreak/>
        <w:t xml:space="preserve">small amount being lost through fugitive emissions into the atmosphere. </w:t>
      </w:r>
      <w:r w:rsidR="003E395E">
        <w:t>The u</w:t>
      </w:r>
      <w:r w:rsidR="00277CE9">
        <w:t>s</w:t>
      </w:r>
      <w:r w:rsidR="003E395E">
        <w:t xml:space="preserve">e of CO2 in EOR </w:t>
      </w:r>
      <w:r w:rsidR="00277CE9">
        <w:t>falls into the</w:t>
      </w:r>
      <w:r w:rsidR="003E395E">
        <w:t xml:space="preserve"> ‘captive’ CO</w:t>
      </w:r>
      <w:r w:rsidR="003E395E" w:rsidRPr="003E395E">
        <w:rPr>
          <w:vertAlign w:val="subscript"/>
        </w:rPr>
        <w:t>2</w:t>
      </w:r>
      <w:r w:rsidR="003E395E">
        <w:t xml:space="preserve"> market, and makes up 89% of demand, with urea synthesis consuming 11%. </w:t>
      </w:r>
    </w:p>
    <w:p w14:paraId="55F88D81" w14:textId="3B598407" w:rsidR="00FB351E" w:rsidRDefault="00FB351E" w:rsidP="001831BE">
      <w:pPr>
        <w:pStyle w:val="NoSpacing"/>
        <w:jc w:val="both"/>
      </w:pPr>
    </w:p>
    <w:p w14:paraId="27DB37E0" w14:textId="71E00843" w:rsidR="00FB351E" w:rsidRDefault="00FB351E" w:rsidP="001831BE">
      <w:pPr>
        <w:pStyle w:val="NoSpacing"/>
        <w:jc w:val="both"/>
      </w:pPr>
      <w:r>
        <w:t>CO</w:t>
      </w:r>
      <w:r w:rsidRPr="00F23969">
        <w:rPr>
          <w:vertAlign w:val="subscript"/>
        </w:rPr>
        <w:t>2</w:t>
      </w:r>
      <w:r>
        <w:t xml:space="preserve"> is</w:t>
      </w:r>
      <w:r w:rsidR="00A708EE">
        <w:t xml:space="preserve"> also</w:t>
      </w:r>
      <w:r>
        <w:t xml:space="preserve"> used extensively in the food industry</w:t>
      </w:r>
      <w:r w:rsidR="003E395E">
        <w:t xml:space="preserve"> in the ‘merchant’ market</w:t>
      </w:r>
      <w:r w:rsidR="00A708EE">
        <w:t>, for cooling</w:t>
      </w:r>
      <w:r w:rsidR="005158DF">
        <w:t>, freezing (individual quick</w:t>
      </w:r>
      <w:r w:rsidR="00422AB8">
        <w:t>-</w:t>
      </w:r>
      <w:r w:rsidR="005158DF">
        <w:t xml:space="preserve">frozen foods, </w:t>
      </w:r>
      <w:r w:rsidR="00422AB8">
        <w:t>“</w:t>
      </w:r>
      <w:r w:rsidR="005158DF">
        <w:t>IQF</w:t>
      </w:r>
      <w:r w:rsidR="00422AB8">
        <w:t>”</w:t>
      </w:r>
      <w:r w:rsidR="005158DF">
        <w:t>)</w:t>
      </w:r>
      <w:r w:rsidR="00A708EE">
        <w:t xml:space="preserve">, extraction, preservation, </w:t>
      </w:r>
      <w:r w:rsidR="00422AB8">
        <w:t>fertilization,</w:t>
      </w:r>
      <w:r w:rsidR="00A708EE">
        <w:t xml:space="preserve"> and carbonation</w:t>
      </w:r>
      <w:r>
        <w:t xml:space="preserve">. </w:t>
      </w:r>
      <w:bookmarkStart w:id="4" w:name="_Hlk21032340"/>
      <w:r w:rsidR="003A037B">
        <w:t>The d</w:t>
      </w:r>
      <w:r w:rsidR="003A037B" w:rsidRPr="008D5B7D">
        <w:t>omestic market for commodity CO</w:t>
      </w:r>
      <w:r w:rsidR="003A037B" w:rsidRPr="008D5B7D">
        <w:rPr>
          <w:vertAlign w:val="subscript"/>
        </w:rPr>
        <w:t>2</w:t>
      </w:r>
      <w:r w:rsidR="003A037B" w:rsidRPr="008D5B7D">
        <w:t xml:space="preserve"> has been steadily </w:t>
      </w:r>
      <w:r w:rsidR="00E16606">
        <w:t>increas</w:t>
      </w:r>
      <w:r w:rsidR="003A037B" w:rsidRPr="008D5B7D">
        <w:t xml:space="preserve">ing annually. </w:t>
      </w:r>
      <w:bookmarkEnd w:id="4"/>
      <w:r w:rsidR="003A037B" w:rsidRPr="008D5B7D">
        <w:t>As the Hemp and Cannabis industry continue to grow, CO</w:t>
      </w:r>
      <w:r w:rsidR="003A037B" w:rsidRPr="008D5B7D">
        <w:rPr>
          <w:vertAlign w:val="subscript"/>
        </w:rPr>
        <w:t>2</w:t>
      </w:r>
      <w:r w:rsidR="003A037B">
        <w:t xml:space="preserve"> </w:t>
      </w:r>
      <w:r w:rsidR="003A037B" w:rsidRPr="008D5B7D">
        <w:t>demand is expected to keep increasing because it is used for growth and extraction in this industry. CO</w:t>
      </w:r>
      <w:r w:rsidR="003A037B" w:rsidRPr="008D5B7D">
        <w:rPr>
          <w:vertAlign w:val="subscript"/>
        </w:rPr>
        <w:t>2</w:t>
      </w:r>
      <w:r w:rsidR="003A037B" w:rsidRPr="008D5B7D">
        <w:t xml:space="preserve"> price has been steadily increasing year over year</w:t>
      </w:r>
      <w:r w:rsidR="003E395E">
        <w:t>. In 2015 the merchant market was 11 MMT, 75% of which was used by food processing and in carbonated beverages</w:t>
      </w:r>
      <w:r w:rsidR="003E395E">
        <w:rPr>
          <w:rStyle w:val="FootnoteReference"/>
        </w:rPr>
        <w:footnoteReference w:id="3"/>
      </w:r>
      <w:r w:rsidR="003E395E">
        <w:t>.</w:t>
      </w:r>
      <w:r w:rsidR="00987C02">
        <w:t xml:space="preserve"> Fossil CO2 extracted for the merchant market is ultimately disposed into the atmosphere and contributes to global warming.</w:t>
      </w:r>
    </w:p>
    <w:p w14:paraId="7E8BA08B" w14:textId="77777777" w:rsidR="00987C02" w:rsidRDefault="00987C02" w:rsidP="001831BE">
      <w:pPr>
        <w:pStyle w:val="NoSpacing"/>
        <w:jc w:val="both"/>
      </w:pPr>
    </w:p>
    <w:p w14:paraId="021099B5" w14:textId="561B66B4" w:rsidR="00987C02" w:rsidRDefault="00987C02" w:rsidP="001831BE">
      <w:pPr>
        <w:pStyle w:val="NoSpacing"/>
        <w:jc w:val="both"/>
      </w:pPr>
      <w:r>
        <w:t>CO2 produced from fermentation at an ethanol plant is biogenic CO2</w:t>
      </w:r>
      <w:r w:rsidR="00723D56">
        <w:t>; t</w:t>
      </w:r>
      <w:r>
        <w:t>he CO2 disposed into the atmosphere from merchant market activity is absorbed by corn plants from the atmosphere and released again during the ethanol fermentation process. When this CO2 is captured and repurposed for use in the merchant market, it creates a loop: the CO2 disposed</w:t>
      </w:r>
      <w:r w:rsidR="00723D56">
        <w:t xml:space="preserve"> of</w:t>
      </w:r>
      <w:r>
        <w:t xml:space="preserve"> by merchant market activity is absorbed by corn plants, then it is released during fermentation, captured and repurposed for merchant activity to repeat the cycle. This cycle prevents the extraction, use</w:t>
      </w:r>
      <w:r w:rsidR="00723D56">
        <w:t>,</w:t>
      </w:r>
      <w:r>
        <w:t xml:space="preserve"> and disposal of an equivalent volume of new fossil CO2.</w:t>
      </w:r>
    </w:p>
    <w:p w14:paraId="742AC52D" w14:textId="77777777" w:rsidR="00FB351E" w:rsidRDefault="00FB351E" w:rsidP="001831BE">
      <w:pPr>
        <w:pStyle w:val="NoSpacing"/>
        <w:jc w:val="both"/>
      </w:pPr>
    </w:p>
    <w:p w14:paraId="6770A7B1" w14:textId="4A9EE25E" w:rsidR="004716F1" w:rsidRPr="004716F1" w:rsidRDefault="00FB351E" w:rsidP="001831BE">
      <w:pPr>
        <w:pStyle w:val="NoSpacing"/>
        <w:jc w:val="both"/>
        <w:rPr>
          <w:b/>
          <w:bCs/>
        </w:rPr>
      </w:pPr>
      <w:r>
        <w:rPr>
          <w:b/>
          <w:bCs/>
        </w:rPr>
        <w:t>The R</w:t>
      </w:r>
      <w:r w:rsidR="004716F1" w:rsidRPr="004716F1">
        <w:rPr>
          <w:b/>
          <w:bCs/>
        </w:rPr>
        <w:t>ationale</w:t>
      </w:r>
      <w:r>
        <w:rPr>
          <w:b/>
          <w:bCs/>
        </w:rPr>
        <w:t xml:space="preserve"> for Allowing Displacement of Fossil CO2 in Fuel Pathways</w:t>
      </w:r>
    </w:p>
    <w:p w14:paraId="51C1F7AC" w14:textId="77777777" w:rsidR="004716F1" w:rsidRDefault="004716F1" w:rsidP="001831BE">
      <w:pPr>
        <w:pStyle w:val="NoSpacing"/>
        <w:jc w:val="both"/>
      </w:pPr>
    </w:p>
    <w:p w14:paraId="6DD81E0A" w14:textId="77777777" w:rsidR="008C495B" w:rsidRDefault="006E2107" w:rsidP="001831BE">
      <w:pPr>
        <w:pStyle w:val="NoSpacing"/>
        <w:jc w:val="both"/>
        <w:rPr>
          <w:rFonts w:cstheme="minorHAnsi"/>
        </w:rPr>
      </w:pPr>
      <w:r w:rsidRPr="00277CE9">
        <w:rPr>
          <w:rFonts w:cstheme="minorHAnsi"/>
        </w:rPr>
        <w:t xml:space="preserve">Kinder Morgan estimates that the McElmo Dome is approximately 203,000 acres and is one of the world’s </w:t>
      </w:r>
      <w:r w:rsidR="00E16606" w:rsidRPr="00277CE9">
        <w:rPr>
          <w:rFonts w:cstheme="minorHAnsi"/>
        </w:rPr>
        <w:t>most massive</w:t>
      </w:r>
      <w:r w:rsidRPr="00277CE9">
        <w:rPr>
          <w:rFonts w:cstheme="minorHAnsi"/>
        </w:rPr>
        <w:t xml:space="preserve"> known accumulations of nearly pure CO</w:t>
      </w:r>
      <w:r w:rsidRPr="00277CE9">
        <w:rPr>
          <w:rFonts w:cstheme="minorHAnsi"/>
          <w:vertAlign w:val="subscript"/>
        </w:rPr>
        <w:t>2</w:t>
      </w:r>
      <w:r w:rsidRPr="00277CE9">
        <w:rPr>
          <w:rFonts w:cstheme="minorHAnsi"/>
        </w:rPr>
        <w:t> with about 5 trillion cubic feet of recoverable CO</w:t>
      </w:r>
      <w:r w:rsidRPr="00277CE9">
        <w:rPr>
          <w:rFonts w:cstheme="minorHAnsi"/>
          <w:vertAlign w:val="subscript"/>
        </w:rPr>
        <w:t>2</w:t>
      </w:r>
      <w:r w:rsidRPr="00277CE9">
        <w:rPr>
          <w:rFonts w:cstheme="minorHAnsi"/>
        </w:rPr>
        <w:t> remaining to be produced</w:t>
      </w:r>
      <w:r w:rsidRPr="00277CE9">
        <w:rPr>
          <w:rStyle w:val="FootnoteReference"/>
          <w:rFonts w:cstheme="minorHAnsi"/>
        </w:rPr>
        <w:footnoteReference w:id="4"/>
      </w:r>
      <w:r w:rsidRPr="00277CE9">
        <w:rPr>
          <w:rFonts w:cstheme="minorHAnsi"/>
        </w:rPr>
        <w:t>. Production of the CO</w:t>
      </w:r>
      <w:r w:rsidR="00F23969" w:rsidRPr="00277CE9">
        <w:rPr>
          <w:rFonts w:cstheme="minorHAnsi"/>
          <w:vertAlign w:val="subscript"/>
        </w:rPr>
        <w:t>2</w:t>
      </w:r>
      <w:r w:rsidRPr="00277CE9">
        <w:rPr>
          <w:rFonts w:cstheme="minorHAnsi"/>
        </w:rPr>
        <w:t xml:space="preserve"> from the McAlmo dome would take 281 million metric tons of </w:t>
      </w:r>
      <w:r w:rsidR="003E395E" w:rsidRPr="00277CE9">
        <w:rPr>
          <w:rFonts w:cstheme="minorHAnsi"/>
        </w:rPr>
        <w:t xml:space="preserve">high purity </w:t>
      </w:r>
      <w:r w:rsidRPr="00277CE9">
        <w:rPr>
          <w:rFonts w:cstheme="minorHAnsi"/>
        </w:rPr>
        <w:t>CO</w:t>
      </w:r>
      <w:r w:rsidR="00F23969" w:rsidRPr="00277CE9">
        <w:rPr>
          <w:rFonts w:cstheme="minorHAnsi"/>
          <w:vertAlign w:val="subscript"/>
        </w:rPr>
        <w:t>2</w:t>
      </w:r>
      <w:r w:rsidRPr="00277CE9">
        <w:rPr>
          <w:rFonts w:cstheme="minorHAnsi"/>
        </w:rPr>
        <w:t xml:space="preserve"> out of fossil storage</w:t>
      </w:r>
      <w:r w:rsidR="00422AB8" w:rsidRPr="00277CE9">
        <w:rPr>
          <w:rFonts w:cstheme="minorHAnsi"/>
        </w:rPr>
        <w:t xml:space="preserve">. Some </w:t>
      </w:r>
      <w:r w:rsidR="00E16606" w:rsidRPr="00277CE9">
        <w:rPr>
          <w:rFonts w:cstheme="minorHAnsi"/>
        </w:rPr>
        <w:t>Carbon dioxide is used for</w:t>
      </w:r>
      <w:r w:rsidR="00422AB8" w:rsidRPr="00277CE9">
        <w:rPr>
          <w:rFonts w:cstheme="minorHAnsi"/>
        </w:rPr>
        <w:t xml:space="preserve"> EOR, of which a significant percentage is stored</w:t>
      </w:r>
      <w:r w:rsidR="00E16606" w:rsidRPr="00277CE9">
        <w:rPr>
          <w:rFonts w:cstheme="minorHAnsi"/>
        </w:rPr>
        <w:t xml:space="preserve"> permanently in oil production reservoirs</w:t>
      </w:r>
      <w:r w:rsidR="00422AB8" w:rsidRPr="00277CE9">
        <w:rPr>
          <w:rFonts w:cstheme="minorHAnsi"/>
        </w:rPr>
        <w:t xml:space="preserve">, and some go to the food and drink industry.  </w:t>
      </w:r>
    </w:p>
    <w:p w14:paraId="4049AC27" w14:textId="77777777" w:rsidR="008C495B" w:rsidRDefault="008C495B" w:rsidP="001831BE">
      <w:pPr>
        <w:pStyle w:val="NoSpacing"/>
        <w:jc w:val="both"/>
        <w:rPr>
          <w:rFonts w:cstheme="minorHAnsi"/>
        </w:rPr>
      </w:pPr>
    </w:p>
    <w:p w14:paraId="2C5F32E9" w14:textId="25C4055E" w:rsidR="008C495B" w:rsidRDefault="00422AB8" w:rsidP="001831BE">
      <w:pPr>
        <w:pStyle w:val="NoSpacing"/>
        <w:jc w:val="both"/>
        <w:rPr>
          <w:rFonts w:cstheme="minorHAnsi"/>
        </w:rPr>
      </w:pPr>
      <w:r w:rsidRPr="00277CE9">
        <w:rPr>
          <w:rFonts w:cstheme="minorHAnsi"/>
        </w:rPr>
        <w:t>4</w:t>
      </w:r>
      <w:r w:rsidR="00AA1832" w:rsidRPr="00277CE9">
        <w:rPr>
          <w:rFonts w:cstheme="minorHAnsi"/>
        </w:rPr>
        <w:t>8</w:t>
      </w:r>
      <w:r w:rsidRPr="00277CE9">
        <w:rPr>
          <w:rFonts w:cstheme="minorHAnsi"/>
        </w:rPr>
        <w:t xml:space="preserve"> </w:t>
      </w:r>
      <w:r w:rsidR="00435D9E" w:rsidRPr="00277CE9">
        <w:rPr>
          <w:rFonts w:cstheme="minorHAnsi"/>
        </w:rPr>
        <w:t xml:space="preserve">ethanol </w:t>
      </w:r>
      <w:r w:rsidRPr="00277CE9">
        <w:rPr>
          <w:rFonts w:cstheme="minorHAnsi"/>
        </w:rPr>
        <w:t xml:space="preserve">plants in the US already capture and produce </w:t>
      </w:r>
      <w:r w:rsidR="001B78C8">
        <w:rPr>
          <w:rFonts w:cstheme="minorHAnsi"/>
        </w:rPr>
        <w:t xml:space="preserve">4.5 million tons of </w:t>
      </w:r>
      <w:r w:rsidR="00CE7313" w:rsidRPr="00277CE9">
        <w:rPr>
          <w:rFonts w:cstheme="minorHAnsi"/>
        </w:rPr>
        <w:t>CO</w:t>
      </w:r>
      <w:r w:rsidR="00CE7313" w:rsidRPr="00277CE9">
        <w:rPr>
          <w:rFonts w:cstheme="minorHAnsi"/>
          <w:vertAlign w:val="subscript"/>
        </w:rPr>
        <w:t>2</w:t>
      </w:r>
      <w:r w:rsidR="00723D56">
        <w:rPr>
          <w:rFonts w:cstheme="minorHAnsi"/>
          <w:vertAlign w:val="subscript"/>
        </w:rPr>
        <w:t>; i</w:t>
      </w:r>
      <w:r w:rsidR="003E395E" w:rsidRPr="00277CE9">
        <w:rPr>
          <w:rFonts w:cstheme="minorHAnsi"/>
        </w:rPr>
        <w:t xml:space="preserve">n the cases where </w:t>
      </w:r>
      <w:r w:rsidR="00AA1832" w:rsidRPr="00277CE9">
        <w:rPr>
          <w:rFonts w:cstheme="minorHAnsi"/>
          <w:color w:val="000000"/>
          <w:shd w:val="clear" w:color="auto" w:fill="FFFFFF"/>
        </w:rPr>
        <w:t xml:space="preserve">Carbon </w:t>
      </w:r>
      <w:r w:rsidR="00277CE9" w:rsidRPr="00277CE9">
        <w:rPr>
          <w:rFonts w:cstheme="minorHAnsi"/>
          <w:color w:val="000000"/>
          <w:shd w:val="clear" w:color="auto" w:fill="FFFFFF"/>
        </w:rPr>
        <w:t>d</w:t>
      </w:r>
      <w:r w:rsidR="00AA1832" w:rsidRPr="00277CE9">
        <w:rPr>
          <w:rFonts w:cstheme="minorHAnsi"/>
          <w:color w:val="000000"/>
          <w:shd w:val="clear" w:color="auto" w:fill="FFFFFF"/>
        </w:rPr>
        <w:t xml:space="preserve">ioxide </w:t>
      </w:r>
      <w:r w:rsidR="003E395E" w:rsidRPr="00277CE9">
        <w:rPr>
          <w:rFonts w:cstheme="minorHAnsi"/>
          <w:color w:val="000000"/>
          <w:shd w:val="clear" w:color="auto" w:fill="FFFFFF"/>
        </w:rPr>
        <w:t xml:space="preserve">is </w:t>
      </w:r>
      <w:r w:rsidR="00AA1832" w:rsidRPr="00277CE9">
        <w:rPr>
          <w:rFonts w:cstheme="minorHAnsi"/>
          <w:color w:val="000000"/>
          <w:shd w:val="clear" w:color="auto" w:fill="FFFFFF"/>
        </w:rPr>
        <w:t>sourced from corn-ethanol plants</w:t>
      </w:r>
      <w:r w:rsidR="00277CE9" w:rsidRPr="00277CE9">
        <w:rPr>
          <w:rFonts w:cstheme="minorHAnsi"/>
          <w:color w:val="000000"/>
          <w:shd w:val="clear" w:color="auto" w:fill="FFFFFF"/>
        </w:rPr>
        <w:t>,</w:t>
      </w:r>
      <w:r w:rsidR="00AA1832" w:rsidRPr="00277CE9">
        <w:rPr>
          <w:rFonts w:cstheme="minorHAnsi"/>
          <w:color w:val="000000"/>
          <w:shd w:val="clear" w:color="auto" w:fill="FFFFFF"/>
        </w:rPr>
        <w:t xml:space="preserve"> </w:t>
      </w:r>
      <w:r w:rsidR="00277CE9" w:rsidRPr="00277CE9">
        <w:rPr>
          <w:rFonts w:cstheme="minorHAnsi"/>
          <w:color w:val="000000"/>
          <w:shd w:val="clear" w:color="auto" w:fill="FFFFFF"/>
        </w:rPr>
        <w:t xml:space="preserve">it </w:t>
      </w:r>
      <w:r w:rsidR="00AA1832" w:rsidRPr="00277CE9">
        <w:rPr>
          <w:rFonts w:cstheme="minorHAnsi"/>
          <w:color w:val="000000"/>
          <w:shd w:val="clear" w:color="auto" w:fill="FFFFFF"/>
        </w:rPr>
        <w:t>is not a waste-recovery product but a co</w:t>
      </w:r>
      <w:r w:rsidR="00723D56">
        <w:rPr>
          <w:rFonts w:cstheme="minorHAnsi"/>
          <w:color w:val="000000"/>
          <w:shd w:val="clear" w:color="auto" w:fill="FFFFFF"/>
        </w:rPr>
        <w:t>-</w:t>
      </w:r>
      <w:r w:rsidR="00AA1832" w:rsidRPr="00277CE9">
        <w:rPr>
          <w:rFonts w:cstheme="minorHAnsi"/>
          <w:color w:val="000000"/>
          <w:shd w:val="clear" w:color="auto" w:fill="FFFFFF"/>
        </w:rPr>
        <w:t>product that, in many regions, can only be replaced by higher-emitting, less-economical resources</w:t>
      </w:r>
      <w:r w:rsidR="00AA1832" w:rsidRPr="00277CE9">
        <w:rPr>
          <w:rStyle w:val="FootnoteReference"/>
          <w:rFonts w:cstheme="minorHAnsi"/>
          <w:color w:val="000000"/>
          <w:shd w:val="clear" w:color="auto" w:fill="FFFFFF"/>
        </w:rPr>
        <w:footnoteReference w:id="5"/>
      </w:r>
      <w:r w:rsidR="00AA1832" w:rsidRPr="00277CE9">
        <w:rPr>
          <w:rFonts w:cstheme="minorHAnsi"/>
          <w:color w:val="000000"/>
          <w:shd w:val="clear" w:color="auto" w:fill="FFFFFF"/>
        </w:rPr>
        <w:t>.</w:t>
      </w:r>
      <w:r w:rsidR="003E395E" w:rsidRPr="00277CE9">
        <w:rPr>
          <w:rFonts w:cstheme="minorHAnsi"/>
          <w:color w:val="000000"/>
          <w:shd w:val="clear" w:color="auto" w:fill="FFFFFF"/>
        </w:rPr>
        <w:t xml:space="preserve"> </w:t>
      </w:r>
      <w:r w:rsidR="00277CE9" w:rsidRPr="00277CE9">
        <w:rPr>
          <w:rFonts w:cstheme="minorHAnsi"/>
          <w:color w:val="000000"/>
          <w:shd w:val="clear" w:color="auto" w:fill="FFFFFF"/>
        </w:rPr>
        <w:t xml:space="preserve">Fossil </w:t>
      </w:r>
      <w:r w:rsidR="003E395E" w:rsidRPr="00277CE9">
        <w:rPr>
          <w:rFonts w:cstheme="minorHAnsi"/>
          <w:color w:val="000000"/>
          <w:shd w:val="clear" w:color="auto" w:fill="FFFFFF"/>
        </w:rPr>
        <w:t>CO</w:t>
      </w:r>
      <w:r w:rsidR="003E395E" w:rsidRPr="00277CE9">
        <w:rPr>
          <w:rFonts w:cstheme="minorHAnsi"/>
          <w:color w:val="000000"/>
          <w:shd w:val="clear" w:color="auto" w:fill="FFFFFF"/>
          <w:vertAlign w:val="subscript"/>
        </w:rPr>
        <w:t>2</w:t>
      </w:r>
      <w:r w:rsidR="003E395E" w:rsidRPr="00277CE9">
        <w:rPr>
          <w:rFonts w:cstheme="minorHAnsi"/>
          <w:color w:val="000000"/>
          <w:shd w:val="clear" w:color="auto" w:fill="FFFFFF"/>
        </w:rPr>
        <w:t xml:space="preserve"> extracted from CO</w:t>
      </w:r>
      <w:r w:rsidR="003E395E" w:rsidRPr="00277CE9">
        <w:rPr>
          <w:rFonts w:cstheme="minorHAnsi"/>
          <w:color w:val="000000"/>
          <w:shd w:val="clear" w:color="auto" w:fill="FFFFFF"/>
          <w:vertAlign w:val="subscript"/>
        </w:rPr>
        <w:t xml:space="preserve">2 </w:t>
      </w:r>
      <w:r w:rsidR="003E395E" w:rsidRPr="00277CE9">
        <w:rPr>
          <w:rFonts w:cstheme="minorHAnsi"/>
        </w:rPr>
        <w:t>domes is significantly less expensive than that from ethanol plants (around $95 per ton delivered).</w:t>
      </w:r>
      <w:r w:rsidR="00CE7313">
        <w:rPr>
          <w:rFonts w:cstheme="minorHAnsi"/>
        </w:rPr>
        <w:t xml:space="preserve"> Of the 48 plants producing ethanol, eleven are proximal to geological carbon dioxide sources</w:t>
      </w:r>
      <w:r w:rsidR="00CB7950">
        <w:rPr>
          <w:rFonts w:cstheme="minorHAnsi"/>
        </w:rPr>
        <w:t>;</w:t>
      </w:r>
      <w:r w:rsidR="00CE7313">
        <w:rPr>
          <w:rFonts w:cstheme="minorHAnsi"/>
        </w:rPr>
        <w:t xml:space="preserve"> allowing the CO</w:t>
      </w:r>
      <w:r w:rsidR="00CE7313" w:rsidRPr="001B78C8">
        <w:rPr>
          <w:rFonts w:cstheme="minorHAnsi"/>
          <w:vertAlign w:val="subscript"/>
        </w:rPr>
        <w:t>2</w:t>
      </w:r>
      <w:r w:rsidR="00CE7313">
        <w:rPr>
          <w:rFonts w:cstheme="minorHAnsi"/>
        </w:rPr>
        <w:t xml:space="preserve"> from those plants to displace fossil CO2</w:t>
      </w:r>
      <w:r w:rsidR="007D2E1A">
        <w:rPr>
          <w:rFonts w:cstheme="minorHAnsi"/>
        </w:rPr>
        <w:t xml:space="preserve"> would </w:t>
      </w:r>
      <w:r w:rsidR="00CB7950">
        <w:rPr>
          <w:rFonts w:cstheme="minorHAnsi"/>
        </w:rPr>
        <w:t>reduce the CI of approximately 1 billion gallons of ethanol and generate 3.3 Million Metric tons of carbon credits.</w:t>
      </w:r>
      <w:r w:rsidR="001B78C8">
        <w:rPr>
          <w:rFonts w:cstheme="minorHAnsi"/>
        </w:rPr>
        <w:t xml:space="preserve"> </w:t>
      </w:r>
      <w:r w:rsidR="003E395E" w:rsidRPr="00277CE9">
        <w:rPr>
          <w:rFonts w:cstheme="minorHAnsi"/>
          <w:color w:val="000000"/>
          <w:shd w:val="clear" w:color="auto" w:fill="FFFFFF"/>
        </w:rPr>
        <w:t xml:space="preserve">Natural geological sources can be the cheapest of all types. When source quality and well-head pressure </w:t>
      </w:r>
      <w:r w:rsidR="00723D56">
        <w:rPr>
          <w:rFonts w:cstheme="minorHAnsi"/>
          <w:color w:val="000000"/>
          <w:shd w:val="clear" w:color="auto" w:fill="FFFFFF"/>
        </w:rPr>
        <w:t>are</w:t>
      </w:r>
      <w:r w:rsidR="003E395E" w:rsidRPr="00277CE9">
        <w:rPr>
          <w:rFonts w:cstheme="minorHAnsi"/>
          <w:color w:val="000000"/>
          <w:shd w:val="clear" w:color="auto" w:fill="FFFFFF"/>
        </w:rPr>
        <w:t xml:space="preserve"> ideal, the feedstock is extremely clean, requiring only minor carbon filtration, and the elimination of a feed compressor can save half the power demand</w:t>
      </w:r>
      <w:r w:rsidR="003E395E" w:rsidRPr="00277CE9">
        <w:rPr>
          <w:rFonts w:cstheme="minorHAnsi"/>
          <w:color w:val="000000"/>
          <w:shd w:val="clear" w:color="auto" w:fill="FFFFFF"/>
          <w:vertAlign w:val="superscript"/>
        </w:rPr>
        <w:t>6</w:t>
      </w:r>
      <w:r w:rsidR="003E395E" w:rsidRPr="00277CE9">
        <w:rPr>
          <w:rFonts w:cstheme="minorHAnsi"/>
        </w:rPr>
        <w:t xml:space="preserve">. </w:t>
      </w:r>
    </w:p>
    <w:p w14:paraId="7D6848AB" w14:textId="77777777" w:rsidR="008C495B" w:rsidRDefault="008C495B" w:rsidP="001831BE">
      <w:pPr>
        <w:pStyle w:val="NoSpacing"/>
        <w:jc w:val="both"/>
        <w:rPr>
          <w:rFonts w:cstheme="minorHAnsi"/>
        </w:rPr>
      </w:pPr>
    </w:p>
    <w:p w14:paraId="1E2F9313" w14:textId="7C73DDD3" w:rsidR="00FB351E" w:rsidRPr="00277CE9" w:rsidRDefault="004716F1" w:rsidP="001831BE">
      <w:pPr>
        <w:pStyle w:val="NoSpacing"/>
        <w:jc w:val="both"/>
        <w:rPr>
          <w:rFonts w:cstheme="minorHAnsi"/>
        </w:rPr>
      </w:pPr>
      <w:r w:rsidRPr="00277CE9">
        <w:rPr>
          <w:rFonts w:cstheme="minorHAnsi"/>
        </w:rPr>
        <w:t>Displacing the use of the fossil CO</w:t>
      </w:r>
      <w:r w:rsidRPr="00277CE9">
        <w:rPr>
          <w:rFonts w:cstheme="minorHAnsi"/>
          <w:vertAlign w:val="subscript"/>
        </w:rPr>
        <w:t>2</w:t>
      </w:r>
      <w:r w:rsidRPr="00277CE9">
        <w:rPr>
          <w:rFonts w:cstheme="minorHAnsi"/>
        </w:rPr>
        <w:t xml:space="preserve"> with biogenic CO</w:t>
      </w:r>
      <w:r w:rsidRPr="00277CE9">
        <w:rPr>
          <w:rFonts w:cstheme="minorHAnsi"/>
          <w:vertAlign w:val="subscript"/>
        </w:rPr>
        <w:t>2</w:t>
      </w:r>
      <w:r w:rsidRPr="00277CE9">
        <w:rPr>
          <w:rFonts w:cstheme="minorHAnsi"/>
        </w:rPr>
        <w:t xml:space="preserve"> </w:t>
      </w:r>
      <w:r w:rsidR="00422AB8" w:rsidRPr="00277CE9">
        <w:rPr>
          <w:rFonts w:cstheme="minorHAnsi"/>
        </w:rPr>
        <w:t xml:space="preserve">has been shown to reduce the </w:t>
      </w:r>
      <w:r w:rsidR="00435D9E" w:rsidRPr="00277CE9">
        <w:rPr>
          <w:rFonts w:cstheme="minorHAnsi"/>
        </w:rPr>
        <w:t>mass</w:t>
      </w:r>
      <w:r w:rsidR="00422AB8" w:rsidRPr="00277CE9">
        <w:rPr>
          <w:rFonts w:cstheme="minorHAnsi"/>
        </w:rPr>
        <w:t xml:space="preserve"> of fossil CO</w:t>
      </w:r>
      <w:r w:rsidR="00422AB8" w:rsidRPr="00277CE9">
        <w:rPr>
          <w:rFonts w:cstheme="minorHAnsi"/>
          <w:vertAlign w:val="subscript"/>
        </w:rPr>
        <w:t>2</w:t>
      </w:r>
      <w:r w:rsidR="00422AB8" w:rsidRPr="00277CE9">
        <w:rPr>
          <w:rFonts w:cstheme="minorHAnsi"/>
        </w:rPr>
        <w:t xml:space="preserve"> being extracted</w:t>
      </w:r>
      <w:r w:rsidR="001B78C8">
        <w:rPr>
          <w:rFonts w:cstheme="minorHAnsi"/>
        </w:rPr>
        <w:t>. Here Pinal is a good example; Reliant only draws CO</w:t>
      </w:r>
      <w:r w:rsidR="001B78C8" w:rsidRPr="001B78C8">
        <w:rPr>
          <w:rFonts w:cstheme="minorHAnsi"/>
          <w:vertAlign w:val="subscript"/>
        </w:rPr>
        <w:t>2</w:t>
      </w:r>
      <w:r w:rsidR="001B78C8">
        <w:rPr>
          <w:rFonts w:cstheme="minorHAnsi"/>
        </w:rPr>
        <w:t xml:space="preserve"> from geological sources for the Phoenix market when Pinal energy is not creating any</w:t>
      </w:r>
      <w:r w:rsidRPr="00277CE9">
        <w:rPr>
          <w:rFonts w:cstheme="minorHAnsi"/>
        </w:rPr>
        <w:t xml:space="preserve">. </w:t>
      </w:r>
      <w:r w:rsidR="008C495B">
        <w:rPr>
          <w:rFonts w:cstheme="minorHAnsi"/>
        </w:rPr>
        <w:t>U</w:t>
      </w:r>
      <w:r w:rsidRPr="00277CE9">
        <w:rPr>
          <w:rFonts w:cstheme="minorHAnsi"/>
        </w:rPr>
        <w:t>sing biogenic CO</w:t>
      </w:r>
      <w:r w:rsidRPr="00277CE9">
        <w:rPr>
          <w:rFonts w:cstheme="minorHAnsi"/>
          <w:vertAlign w:val="subscript"/>
        </w:rPr>
        <w:t>2</w:t>
      </w:r>
      <w:r w:rsidRPr="00277CE9">
        <w:rPr>
          <w:rFonts w:cstheme="minorHAnsi"/>
        </w:rPr>
        <w:t xml:space="preserve"> in the </w:t>
      </w:r>
      <w:r w:rsidR="005158DF" w:rsidRPr="00277CE9">
        <w:rPr>
          <w:rFonts w:cstheme="minorHAnsi"/>
        </w:rPr>
        <w:t xml:space="preserve">food </w:t>
      </w:r>
      <w:r w:rsidRPr="00277CE9">
        <w:rPr>
          <w:rFonts w:cstheme="minorHAnsi"/>
        </w:rPr>
        <w:t>industry</w:t>
      </w:r>
      <w:r w:rsidR="004543E2" w:rsidRPr="00277CE9">
        <w:rPr>
          <w:rFonts w:cstheme="minorHAnsi"/>
        </w:rPr>
        <w:t xml:space="preserve"> </w:t>
      </w:r>
      <w:r w:rsidRPr="00277CE9">
        <w:rPr>
          <w:rFonts w:cstheme="minorHAnsi"/>
        </w:rPr>
        <w:t>displaces the use of fossil CO</w:t>
      </w:r>
      <w:r w:rsidRPr="00277CE9">
        <w:rPr>
          <w:rFonts w:cstheme="minorHAnsi"/>
          <w:vertAlign w:val="subscript"/>
        </w:rPr>
        <w:t>2</w:t>
      </w:r>
      <w:r w:rsidRPr="00277CE9">
        <w:rPr>
          <w:rFonts w:cstheme="minorHAnsi"/>
        </w:rPr>
        <w:t xml:space="preserve">. Allowing LCFS participants to lower their fuel pathway CI </w:t>
      </w:r>
      <w:r w:rsidR="00CC32DD" w:rsidRPr="00277CE9">
        <w:rPr>
          <w:rFonts w:cstheme="minorHAnsi"/>
        </w:rPr>
        <w:t>by providing biogenic CO</w:t>
      </w:r>
      <w:r w:rsidR="00CC32DD" w:rsidRPr="00277CE9">
        <w:rPr>
          <w:rFonts w:cstheme="minorHAnsi"/>
          <w:vertAlign w:val="subscript"/>
        </w:rPr>
        <w:t>2</w:t>
      </w:r>
      <w:r w:rsidR="00CC32DD" w:rsidRPr="00277CE9">
        <w:rPr>
          <w:rFonts w:cstheme="minorHAnsi"/>
        </w:rPr>
        <w:t xml:space="preserve"> from fuel production </w:t>
      </w:r>
      <w:r w:rsidRPr="00277CE9">
        <w:rPr>
          <w:rFonts w:cstheme="minorHAnsi"/>
        </w:rPr>
        <w:t xml:space="preserve">aligns </w:t>
      </w:r>
      <w:r w:rsidR="004543E2" w:rsidRPr="00277CE9">
        <w:rPr>
          <w:rFonts w:cstheme="minorHAnsi"/>
        </w:rPr>
        <w:t>with CARBs goals of reducing the CI of fuels in California</w:t>
      </w:r>
      <w:r w:rsidR="00A708EE" w:rsidRPr="00277CE9">
        <w:rPr>
          <w:rFonts w:cstheme="minorHAnsi"/>
        </w:rPr>
        <w:t xml:space="preserve">, and financially </w:t>
      </w:r>
      <w:r w:rsidR="00A708EE" w:rsidRPr="00277CE9">
        <w:rPr>
          <w:rFonts w:cstheme="minorHAnsi"/>
        </w:rPr>
        <w:lastRenderedPageBreak/>
        <w:t>rewards fuel producers</w:t>
      </w:r>
      <w:r w:rsidR="005158DF" w:rsidRPr="00277CE9">
        <w:rPr>
          <w:rFonts w:cstheme="minorHAnsi"/>
        </w:rPr>
        <w:t xml:space="preserve"> for capturing and selling their CO</w:t>
      </w:r>
      <w:r w:rsidR="005158DF" w:rsidRPr="00277CE9">
        <w:rPr>
          <w:rFonts w:cstheme="minorHAnsi"/>
          <w:vertAlign w:val="subscript"/>
        </w:rPr>
        <w:t>2</w:t>
      </w:r>
      <w:r w:rsidR="00A708EE" w:rsidRPr="00277CE9">
        <w:rPr>
          <w:rFonts w:cstheme="minorHAnsi"/>
        </w:rPr>
        <w:t xml:space="preserve">. </w:t>
      </w:r>
      <w:r w:rsidRPr="00277CE9">
        <w:rPr>
          <w:rFonts w:cstheme="minorHAnsi"/>
        </w:rPr>
        <w:t>In this instance</w:t>
      </w:r>
      <w:r w:rsidR="00723D56">
        <w:rPr>
          <w:rFonts w:cstheme="minorHAnsi"/>
        </w:rPr>
        <w:t>,</w:t>
      </w:r>
      <w:r w:rsidR="00A708EE" w:rsidRPr="00277CE9">
        <w:rPr>
          <w:rFonts w:cstheme="minorHAnsi"/>
        </w:rPr>
        <w:t xml:space="preserve"> </w:t>
      </w:r>
      <w:r w:rsidR="00723D56">
        <w:rPr>
          <w:rFonts w:cstheme="minorHAnsi"/>
        </w:rPr>
        <w:t>reducing</w:t>
      </w:r>
      <w:r w:rsidR="00A708EE" w:rsidRPr="00277CE9">
        <w:rPr>
          <w:rFonts w:cstheme="minorHAnsi"/>
        </w:rPr>
        <w:t xml:space="preserve"> the use of fossil CO</w:t>
      </w:r>
      <w:r w:rsidR="00A708EE" w:rsidRPr="00277CE9">
        <w:rPr>
          <w:rFonts w:cstheme="minorHAnsi"/>
          <w:vertAlign w:val="subscript"/>
        </w:rPr>
        <w:t>2</w:t>
      </w:r>
      <w:r w:rsidRPr="00277CE9">
        <w:rPr>
          <w:rFonts w:cstheme="minorHAnsi"/>
        </w:rPr>
        <w:t xml:space="preserve"> can be achieved without</w:t>
      </w:r>
      <w:r w:rsidR="004543E2" w:rsidRPr="00277CE9">
        <w:rPr>
          <w:rFonts w:cstheme="minorHAnsi"/>
        </w:rPr>
        <w:t xml:space="preserve"> utilizing expensive and complicated engineering and financial instrument</w:t>
      </w:r>
      <w:r w:rsidRPr="00277CE9">
        <w:rPr>
          <w:rFonts w:cstheme="minorHAnsi"/>
        </w:rPr>
        <w:t xml:space="preserve">s that are significant barriers to </w:t>
      </w:r>
      <w:r w:rsidR="00CE7313">
        <w:rPr>
          <w:rFonts w:cstheme="minorHAnsi"/>
        </w:rPr>
        <w:t>CCS projects</w:t>
      </w:r>
      <w:r w:rsidRPr="00277CE9">
        <w:rPr>
          <w:rFonts w:cstheme="minorHAnsi"/>
        </w:rPr>
        <w:t>.</w:t>
      </w:r>
      <w:r w:rsidR="00FB351E" w:rsidRPr="00277CE9">
        <w:rPr>
          <w:rFonts w:cstheme="minorHAnsi"/>
        </w:rPr>
        <w:t xml:space="preserve">  </w:t>
      </w:r>
    </w:p>
    <w:p w14:paraId="30C0AD5B" w14:textId="77777777" w:rsidR="00CF0767" w:rsidRDefault="00CF0767" w:rsidP="001831BE">
      <w:pPr>
        <w:pStyle w:val="NoSpacing"/>
        <w:jc w:val="both"/>
      </w:pPr>
    </w:p>
    <w:p w14:paraId="1DCBE731" w14:textId="277BF3E8" w:rsidR="00F4647D" w:rsidRDefault="00AD716A" w:rsidP="001831BE">
      <w:pPr>
        <w:jc w:val="both"/>
      </w:pPr>
      <w:r>
        <w:rPr>
          <w:noProof/>
        </w:rPr>
        <w:drawing>
          <wp:inline distT="0" distB="0" distL="0" distR="0" wp14:anchorId="34DA0796" wp14:editId="67B50B36">
            <wp:extent cx="5943600" cy="4181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181475"/>
                    </a:xfrm>
                    <a:prstGeom prst="rect">
                      <a:avLst/>
                    </a:prstGeom>
                    <a:noFill/>
                    <a:ln>
                      <a:noFill/>
                    </a:ln>
                  </pic:spPr>
                </pic:pic>
              </a:graphicData>
            </a:graphic>
          </wp:inline>
        </w:drawing>
      </w:r>
    </w:p>
    <w:p w14:paraId="579CC0B5" w14:textId="77777777" w:rsidR="00AD716A" w:rsidRDefault="00AD716A" w:rsidP="001831BE">
      <w:pPr>
        <w:jc w:val="both"/>
      </w:pPr>
    </w:p>
    <w:p w14:paraId="30A72276" w14:textId="3FDB7894" w:rsidR="00AB6038" w:rsidRDefault="006C7D9D" w:rsidP="006C7D9D">
      <w:pPr>
        <w:jc w:val="both"/>
      </w:pPr>
      <w:r>
        <w:t>In the above diagram, the CCS protocol allows the injection of biogenic CO</w:t>
      </w:r>
      <w:r w:rsidRPr="00AB6038">
        <w:rPr>
          <w:vertAlign w:val="subscript"/>
        </w:rPr>
        <w:t>2</w:t>
      </w:r>
      <w:r>
        <w:t xml:space="preserve"> into storage, EOR</w:t>
      </w:r>
      <w:r w:rsidR="00723D56">
        <w:t>,</w:t>
      </w:r>
      <w:r>
        <w:t xml:space="preserve"> and a pipeline feeding EOR under the assumption that this CO</w:t>
      </w:r>
      <w:r w:rsidRPr="00AB6038">
        <w:rPr>
          <w:vertAlign w:val="subscript"/>
        </w:rPr>
        <w:t xml:space="preserve">2 </w:t>
      </w:r>
      <w:r>
        <w:t xml:space="preserve">will remain in the ground. </w:t>
      </w:r>
      <w:r w:rsidR="00AB6038">
        <w:t>CO</w:t>
      </w:r>
      <w:r w:rsidR="00AB6038" w:rsidRPr="00AB6038">
        <w:rPr>
          <w:vertAlign w:val="subscript"/>
        </w:rPr>
        <w:t>2</w:t>
      </w:r>
      <w:r w:rsidR="00AB6038">
        <w:t xml:space="preserve"> from the captive market </w:t>
      </w:r>
      <w:proofErr w:type="gramStart"/>
      <w:r w:rsidR="00AB6038">
        <w:t>is able to</w:t>
      </w:r>
      <w:proofErr w:type="gramEnd"/>
      <w:r w:rsidR="00AB6038">
        <w:t xml:space="preserve"> out-compete </w:t>
      </w:r>
      <w:r w:rsidR="00723D56">
        <w:t xml:space="preserve">the </w:t>
      </w:r>
      <w:r w:rsidR="00AB6038">
        <w:t>merchant market with the addition of carbon credits.</w:t>
      </w:r>
    </w:p>
    <w:p w14:paraId="70420843" w14:textId="77777777" w:rsidR="00AB6038" w:rsidRDefault="00AB6038" w:rsidP="006C7D9D">
      <w:pPr>
        <w:jc w:val="both"/>
      </w:pPr>
    </w:p>
    <w:p w14:paraId="39693412" w14:textId="77777777" w:rsidR="00AB6038" w:rsidRDefault="00AB6038" w:rsidP="006C7D9D">
      <w:pPr>
        <w:jc w:val="both"/>
      </w:pPr>
    </w:p>
    <w:p w14:paraId="46764E37" w14:textId="3BB69FD4" w:rsidR="00AB6038" w:rsidRDefault="00AB6038" w:rsidP="006C7D9D">
      <w:pPr>
        <w:jc w:val="both"/>
      </w:pPr>
      <w:r>
        <w:rPr>
          <w:noProof/>
        </w:rPr>
        <w:lastRenderedPageBreak/>
        <w:drawing>
          <wp:inline distT="0" distB="0" distL="0" distR="0" wp14:anchorId="681E5F15" wp14:editId="70328503">
            <wp:extent cx="5934075" cy="4191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4075" cy="4191000"/>
                    </a:xfrm>
                    <a:prstGeom prst="rect">
                      <a:avLst/>
                    </a:prstGeom>
                    <a:noFill/>
                    <a:ln>
                      <a:noFill/>
                    </a:ln>
                  </pic:spPr>
                </pic:pic>
              </a:graphicData>
            </a:graphic>
          </wp:inline>
        </w:drawing>
      </w:r>
    </w:p>
    <w:p w14:paraId="7187AE23" w14:textId="77777777" w:rsidR="00AB6038" w:rsidRDefault="00AB6038" w:rsidP="006C7D9D">
      <w:pPr>
        <w:jc w:val="both"/>
      </w:pPr>
    </w:p>
    <w:p w14:paraId="171D3F41" w14:textId="03CB2E68" w:rsidR="006C7D9D" w:rsidRDefault="00AB6038" w:rsidP="004D4D77">
      <w:pPr>
        <w:jc w:val="both"/>
      </w:pPr>
      <w:r>
        <w:t>In the proposed change</w:t>
      </w:r>
      <w:r w:rsidR="00723D56">
        <w:t>,</w:t>
      </w:r>
      <w:r>
        <w:t xml:space="preserve"> CO</w:t>
      </w:r>
      <w:r w:rsidRPr="00AB6038">
        <w:rPr>
          <w:vertAlign w:val="subscript"/>
        </w:rPr>
        <w:t>2</w:t>
      </w:r>
      <w:r>
        <w:t xml:space="preserve"> </w:t>
      </w:r>
      <w:proofErr w:type="gramStart"/>
      <w:r>
        <w:t>is allowed to</w:t>
      </w:r>
      <w:proofErr w:type="gramEnd"/>
      <w:r>
        <w:t xml:space="preserve"> be used as a co</w:t>
      </w:r>
      <w:r w:rsidR="00723D56">
        <w:t>-</w:t>
      </w:r>
      <w:r>
        <w:t>product, thus p</w:t>
      </w:r>
      <w:r w:rsidR="006C7D9D">
        <w:t>ermitting the injection of biogenic CO</w:t>
      </w:r>
      <w:r w:rsidR="006C7D9D" w:rsidRPr="00AB6038">
        <w:rPr>
          <w:vertAlign w:val="subscript"/>
        </w:rPr>
        <w:t>2</w:t>
      </w:r>
      <w:r w:rsidR="006C7D9D">
        <w:t xml:space="preserve"> into the merchant CO</w:t>
      </w:r>
      <w:r w:rsidR="006C7D9D" w:rsidRPr="00AB6038">
        <w:rPr>
          <w:vertAlign w:val="subscript"/>
        </w:rPr>
        <w:t>2</w:t>
      </w:r>
      <w:r w:rsidR="006C7D9D">
        <w:t xml:space="preserve"> supply chain</w:t>
      </w:r>
      <w:r>
        <w:t>. Capturing this CO2 is</w:t>
      </w:r>
      <w:r w:rsidR="006C7D9D">
        <w:t xml:space="preserve"> equivalent to leaving an equivalent amount </w:t>
      </w:r>
      <w:r w:rsidR="00F95C60">
        <w:t>of fossil CO</w:t>
      </w:r>
      <w:r w:rsidR="00F95C60" w:rsidRPr="00AB6038">
        <w:rPr>
          <w:vertAlign w:val="subscript"/>
        </w:rPr>
        <w:t>2</w:t>
      </w:r>
      <w:r w:rsidR="00F95C60">
        <w:t xml:space="preserve"> </w:t>
      </w:r>
      <w:r w:rsidR="006C7D9D">
        <w:t xml:space="preserve">in the ground by not extracting that amount from the fossil reservoir. This concept of </w:t>
      </w:r>
      <w:r w:rsidR="001B78C8">
        <w:t>displacement has</w:t>
      </w:r>
      <w:r w:rsidR="00F95C60">
        <w:t xml:space="preserve"> always been</w:t>
      </w:r>
      <w:r w:rsidR="006C7D9D">
        <w:t xml:space="preserve"> at the core of LCFS’s compliance strategy. CARB allows the concept of displacement and book and claim</w:t>
      </w:r>
      <w:r w:rsidR="00723D56">
        <w:t>s</w:t>
      </w:r>
      <w:r w:rsidR="006C7D9D">
        <w:t xml:space="preserve"> accounting to demonstrate the use of RNG and renewable electricity used as the transportation fuel in California. The renewable attributes are </w:t>
      </w:r>
      <w:r w:rsidR="006C7D9D" w:rsidRPr="006C7D9D">
        <w:t xml:space="preserve">decoupled </w:t>
      </w:r>
      <w:r w:rsidR="006C7D9D">
        <w:t xml:space="preserve">from the original fuel molecules and </w:t>
      </w:r>
      <w:r w:rsidR="006C7D9D" w:rsidRPr="006C7D9D">
        <w:t xml:space="preserve">used to represent the ownership and transfer of transportation fuel without </w:t>
      </w:r>
      <w:r w:rsidR="006C7D9D">
        <w:t xml:space="preserve">regard to physical traceability. Similarly, </w:t>
      </w:r>
      <w:r w:rsidR="00F95C60">
        <w:t>biogenic CO2 injected into the merchant CO2 supply chain can be traced th</w:t>
      </w:r>
      <w:r w:rsidR="00723D56">
        <w:t>r</w:t>
      </w:r>
      <w:r w:rsidR="00F95C60">
        <w:t>ough its use and disposal to demonstrate the displacement of an equivalent amount of fossil CO2. Pinal is committed to working with CARB staff to develop the appropriate accounting methodologies, monitoring systems</w:t>
      </w:r>
      <w:r w:rsidR="00723D56">
        <w:t>,</w:t>
      </w:r>
      <w:r w:rsidR="00F95C60">
        <w:t xml:space="preserve"> and end-user affidavits to demonstrate compliance.</w:t>
      </w:r>
    </w:p>
    <w:p w14:paraId="26C0A6CF" w14:textId="0534FBAB" w:rsidR="0012035C" w:rsidRDefault="002E4EEE" w:rsidP="001831BE">
      <w:pPr>
        <w:pStyle w:val="Heading1"/>
      </w:pPr>
      <w:bookmarkStart w:id="5" w:name="_Toc46229930"/>
      <w:r>
        <w:t>4</w:t>
      </w:r>
      <w:r w:rsidR="00FE28AB">
        <w:t>.0</w:t>
      </w:r>
      <w:r w:rsidR="00FE28AB">
        <w:tab/>
      </w:r>
      <w:r w:rsidR="006E2107">
        <w:t xml:space="preserve">The </w:t>
      </w:r>
      <w:r w:rsidR="006B37A0">
        <w:t>E</w:t>
      </w:r>
      <w:r w:rsidR="006E2107">
        <w:t>xample of Pinal Energy LLC</w:t>
      </w:r>
      <w:bookmarkEnd w:id="5"/>
    </w:p>
    <w:p w14:paraId="74E0901C" w14:textId="24BFF990" w:rsidR="00435D9E" w:rsidRDefault="00435D9E" w:rsidP="001831BE">
      <w:pPr>
        <w:pStyle w:val="NoSpacing"/>
        <w:jc w:val="both"/>
      </w:pPr>
      <w:r>
        <w:t xml:space="preserve">Pinal Energy is in a unique situation, and perhaps clearly illustrates the issue. </w:t>
      </w:r>
      <w:r w:rsidRPr="008D5B7D">
        <w:t>Reliant</w:t>
      </w:r>
      <w:r>
        <w:t>, Pinal’s business partner, could buy CO</w:t>
      </w:r>
      <w:r w:rsidRPr="001831BE">
        <w:rPr>
          <w:vertAlign w:val="subscript"/>
        </w:rPr>
        <w:t>2</w:t>
      </w:r>
      <w:r>
        <w:t xml:space="preserve"> captured from fermentation during the production of ethanol. The CO</w:t>
      </w:r>
      <w:r w:rsidRPr="001831BE">
        <w:rPr>
          <w:vertAlign w:val="subscript"/>
        </w:rPr>
        <w:t>2</w:t>
      </w:r>
      <w:r>
        <w:t>’s end-use is dry ice in the food industry. CO</w:t>
      </w:r>
      <w:r w:rsidRPr="001831BE">
        <w:rPr>
          <w:vertAlign w:val="subscript"/>
        </w:rPr>
        <w:t>2</w:t>
      </w:r>
      <w:r>
        <w:t xml:space="preserve"> needed</w:t>
      </w:r>
      <w:r w:rsidRPr="008D5B7D">
        <w:t xml:space="preserve"> to fulfi</w:t>
      </w:r>
      <w:r w:rsidR="00723D56">
        <w:t>l</w:t>
      </w:r>
      <w:r w:rsidRPr="008D5B7D">
        <w:t>l Arizona</w:t>
      </w:r>
      <w:r>
        <w:t xml:space="preserve">’s needs is </w:t>
      </w:r>
      <w:r w:rsidRPr="008D5B7D">
        <w:t xml:space="preserve">obtained from </w:t>
      </w:r>
      <w:r>
        <w:t xml:space="preserve">geological </w:t>
      </w:r>
      <w:r w:rsidRPr="008D5B7D">
        <w:t>CO</w:t>
      </w:r>
      <w:r w:rsidRPr="008D5B7D">
        <w:rPr>
          <w:vertAlign w:val="subscript"/>
        </w:rPr>
        <w:t>2</w:t>
      </w:r>
      <w:r w:rsidRPr="008D5B7D">
        <w:t xml:space="preserve"> reservoirs- Bravo Dome and McElmo Dome. </w:t>
      </w:r>
      <w:r>
        <w:t>The biogenic CO</w:t>
      </w:r>
      <w:r w:rsidRPr="001831BE">
        <w:rPr>
          <w:vertAlign w:val="subscript"/>
        </w:rPr>
        <w:t>2</w:t>
      </w:r>
      <w:r>
        <w:t xml:space="preserve"> from fermentation is </w:t>
      </w:r>
      <w:r w:rsidRPr="000331E9">
        <w:rPr>
          <w:i/>
          <w:iCs/>
        </w:rPr>
        <w:t>displacing</w:t>
      </w:r>
      <w:r>
        <w:t xml:space="preserve"> the CO</w:t>
      </w:r>
      <w:r w:rsidRPr="001831BE">
        <w:rPr>
          <w:vertAlign w:val="subscript"/>
        </w:rPr>
        <w:t>2</w:t>
      </w:r>
      <w:r>
        <w:t xml:space="preserve"> that would have previously been extracted from geological reservoirs</w:t>
      </w:r>
      <w:r w:rsidR="00F95C60">
        <w:t xml:space="preserve"> – thus ensuring that the fossil CO2 remains in permanent natural storage</w:t>
      </w:r>
      <w:r>
        <w:t xml:space="preserve">. Allowing Pinal to reduce the CI of its ethanol pathway by displacing </w:t>
      </w:r>
      <w:r>
        <w:lastRenderedPageBreak/>
        <w:t>fossil CO</w:t>
      </w:r>
      <w:r w:rsidRPr="001831BE">
        <w:rPr>
          <w:vertAlign w:val="subscript"/>
        </w:rPr>
        <w:t>2</w:t>
      </w:r>
      <w:r>
        <w:t xml:space="preserve"> would encourage Reliant to utilize the</w:t>
      </w:r>
      <w:r w:rsidR="001B78C8">
        <w:t xml:space="preserve"> now</w:t>
      </w:r>
      <w:r>
        <w:t xml:space="preserve"> more cost-effective biogenic </w:t>
      </w:r>
      <w:proofErr w:type="gramStart"/>
      <w:r>
        <w:t>CO</w:t>
      </w:r>
      <w:r w:rsidRPr="001831BE">
        <w:rPr>
          <w:vertAlign w:val="subscript"/>
        </w:rPr>
        <w:t>2</w:t>
      </w:r>
      <w:r w:rsidR="001B78C8">
        <w:rPr>
          <w:vertAlign w:val="subscript"/>
        </w:rPr>
        <w:t xml:space="preserve"> </w:t>
      </w:r>
      <w:r>
        <w:t xml:space="preserve"> from</w:t>
      </w:r>
      <w:proofErr w:type="gramEnd"/>
      <w:r>
        <w:t xml:space="preserve"> Pinal rather than the fossil CO</w:t>
      </w:r>
      <w:r w:rsidRPr="001831BE">
        <w:rPr>
          <w:vertAlign w:val="subscript"/>
        </w:rPr>
        <w:t>2</w:t>
      </w:r>
      <w:r>
        <w:t>.</w:t>
      </w:r>
      <w:r w:rsidR="003E395E">
        <w:t xml:space="preserve"> </w:t>
      </w:r>
    </w:p>
    <w:p w14:paraId="66057569" w14:textId="77777777" w:rsidR="00435D9E" w:rsidRDefault="00435D9E" w:rsidP="001831BE">
      <w:pPr>
        <w:pStyle w:val="NoSpacing"/>
        <w:jc w:val="both"/>
      </w:pPr>
    </w:p>
    <w:p w14:paraId="7A762511" w14:textId="4F2205DC" w:rsidR="00435D9E" w:rsidRDefault="00435D9E" w:rsidP="001831BE">
      <w:pPr>
        <w:jc w:val="both"/>
      </w:pPr>
      <w:r>
        <w:t>Pinal Energy</w:t>
      </w:r>
      <w:r w:rsidRPr="008D5B7D">
        <w:t xml:space="preserve"> previously submitted a Method 2A application in 2014 under previous LCFS regulation. During the communication on that pathway application, CARB staff acknowledged the fact</w:t>
      </w:r>
      <w:r>
        <w:t>s</w:t>
      </w:r>
      <w:r w:rsidRPr="008D5B7D">
        <w:t xml:space="preserve"> and reasons which suggested that </w:t>
      </w:r>
      <w:r>
        <w:t>Pinal Energy</w:t>
      </w:r>
      <w:r w:rsidRPr="008D5B7D">
        <w:t>’s unique situation could/should be granted avoided CO</w:t>
      </w:r>
      <w:r w:rsidRPr="008D5B7D">
        <w:rPr>
          <w:vertAlign w:val="subscript"/>
        </w:rPr>
        <w:t>2</w:t>
      </w:r>
      <w:r w:rsidRPr="008D5B7D">
        <w:t xml:space="preserve"> emission credit</w:t>
      </w:r>
      <w:r>
        <w:t>s</w:t>
      </w:r>
      <w:r w:rsidR="00875B30">
        <w:t xml:space="preserve"> (see attached letter)</w:t>
      </w:r>
      <w:r>
        <w:t xml:space="preserve">. This reduction in CI for Pinal’s pathway is no longer possible under 2019 regulatory changes to the LCFS with the addition of the </w:t>
      </w:r>
      <w:r w:rsidR="00583141">
        <w:t>CCS</w:t>
      </w:r>
      <w:r>
        <w:t xml:space="preserve"> protocol. </w:t>
      </w:r>
    </w:p>
    <w:p w14:paraId="53619E41" w14:textId="69459487" w:rsidR="0012035C" w:rsidRDefault="002E4EEE" w:rsidP="001831BE">
      <w:pPr>
        <w:pStyle w:val="Heading1"/>
      </w:pPr>
      <w:bookmarkStart w:id="6" w:name="_Toc46229931"/>
      <w:r>
        <w:t>5</w:t>
      </w:r>
      <w:r w:rsidR="00782A2B">
        <w:t xml:space="preserve">.0 </w:t>
      </w:r>
      <w:r w:rsidR="002C35C6">
        <w:tab/>
      </w:r>
      <w:r w:rsidR="00782A2B">
        <w:t>Summary of Arguments</w:t>
      </w:r>
      <w:bookmarkEnd w:id="6"/>
      <w:r w:rsidR="00782A2B">
        <w:t xml:space="preserve"> </w:t>
      </w:r>
    </w:p>
    <w:p w14:paraId="58C04D16" w14:textId="6F5E4200" w:rsidR="00AF2271" w:rsidRPr="008D5B7D" w:rsidRDefault="00723D56" w:rsidP="001831BE">
      <w:pPr>
        <w:spacing w:before="120" w:after="100" w:afterAutospacing="1" w:line="240" w:lineRule="auto"/>
        <w:jc w:val="both"/>
      </w:pPr>
      <w:r>
        <w:t>The u</w:t>
      </w:r>
      <w:r w:rsidR="00E40BBA">
        <w:t xml:space="preserve">se of biogenic CO2 in merchant activity is equivalent to injecting an equivalent volume underground.  CARB currently allows and promotes this through its CCS protocol. </w:t>
      </w:r>
      <w:r w:rsidR="00AF2271">
        <w:t>By granting the avoided CO</w:t>
      </w:r>
      <w:r w:rsidR="00AF2271" w:rsidRPr="00AF2271">
        <w:rPr>
          <w:vertAlign w:val="subscript"/>
        </w:rPr>
        <w:t>2</w:t>
      </w:r>
      <w:r w:rsidR="00AF2271">
        <w:t xml:space="preserve"> emission for </w:t>
      </w:r>
      <w:r w:rsidR="00E16606">
        <w:t xml:space="preserve">the </w:t>
      </w:r>
      <w:r w:rsidR="00AF2271">
        <w:t>displacement of fossil CO2 in the food industry, CARB</w:t>
      </w:r>
      <w:r w:rsidR="00F95C60">
        <w:t xml:space="preserve"> will be </w:t>
      </w:r>
      <w:r w:rsidR="00AF2271">
        <w:t>taking the right action in encouraging CO</w:t>
      </w:r>
      <w:r w:rsidR="00AF2271" w:rsidRPr="00AF2271">
        <w:rPr>
          <w:vertAlign w:val="subscript"/>
        </w:rPr>
        <w:t>2</w:t>
      </w:r>
      <w:r w:rsidR="00AF2271">
        <w:t xml:space="preserve"> </w:t>
      </w:r>
      <w:r w:rsidR="00F95C60">
        <w:t xml:space="preserve">suppliers </w:t>
      </w:r>
      <w:r w:rsidR="00AF2271">
        <w:t xml:space="preserve">not to </w:t>
      </w:r>
      <w:r w:rsidR="00F95C60">
        <w:t xml:space="preserve">extract and release </w:t>
      </w:r>
      <w:r w:rsidR="00AF2271">
        <w:t>the geologically sealed CO</w:t>
      </w:r>
      <w:r w:rsidR="00AF2271" w:rsidRPr="00AF2271">
        <w:rPr>
          <w:vertAlign w:val="subscript"/>
        </w:rPr>
        <w:t>2</w:t>
      </w:r>
      <w:r w:rsidR="00AF2271">
        <w:t xml:space="preserve"> </w:t>
      </w:r>
      <w:r w:rsidR="00F95C60">
        <w:t xml:space="preserve">from </w:t>
      </w:r>
      <w:r w:rsidR="00AF2271">
        <w:t xml:space="preserve">underground </w:t>
      </w:r>
      <w:r w:rsidR="00754632">
        <w:t>geological reservoirs</w:t>
      </w:r>
      <w:r w:rsidR="00AF2271">
        <w:t>.</w:t>
      </w:r>
      <w:r w:rsidR="00754632">
        <w:t xml:space="preserve"> </w:t>
      </w:r>
      <w:r w:rsidR="00AF2271">
        <w:t>This is also in line with the position and values of CARB</w:t>
      </w:r>
      <w:r w:rsidR="00E16606">
        <w:t>,</w:t>
      </w:r>
      <w:r w:rsidR="00AF2271">
        <w:t xml:space="preserve"> which is well known for being progressive </w:t>
      </w:r>
      <w:r w:rsidR="003E395E">
        <w:t>in addressing</w:t>
      </w:r>
      <w:r w:rsidR="00AF2271">
        <w:t xml:space="preserve"> climate change issues. Furthermore, the lower CI ethanol produced from this pathway will help CARB in achieving the GHG reduction goals set by the LCFS regulation. </w:t>
      </w:r>
    </w:p>
    <w:p w14:paraId="03E7D5D8" w14:textId="335BDB71" w:rsidR="007519F4" w:rsidRDefault="00255EB3" w:rsidP="001831BE">
      <w:pPr>
        <w:jc w:val="both"/>
      </w:pPr>
      <w:r>
        <w:t>T</w:t>
      </w:r>
      <w:r w:rsidR="00FE28AB">
        <w:t>here are several r</w:t>
      </w:r>
      <w:r w:rsidR="007519F4">
        <w:t>easons to include</w:t>
      </w:r>
      <w:r w:rsidR="00FE28AB">
        <w:t xml:space="preserve"> </w:t>
      </w:r>
      <w:r>
        <w:t>a</w:t>
      </w:r>
      <w:r w:rsidR="00FE28AB">
        <w:t xml:space="preserve"> change into the regulation</w:t>
      </w:r>
      <w:r>
        <w:t xml:space="preserve"> to allow utilization of biogenic CO</w:t>
      </w:r>
      <w:r w:rsidRPr="00CB7950">
        <w:rPr>
          <w:vertAlign w:val="subscript"/>
        </w:rPr>
        <w:t>2</w:t>
      </w:r>
      <w:r>
        <w:t xml:space="preserve"> in the merchant market</w:t>
      </w:r>
      <w:r w:rsidR="00FE28AB">
        <w:t>:</w:t>
      </w:r>
    </w:p>
    <w:p w14:paraId="7003702B" w14:textId="5DABFBDE" w:rsidR="007519F4" w:rsidRDefault="007519F4" w:rsidP="001831BE">
      <w:pPr>
        <w:pStyle w:val="ListParagraph"/>
        <w:numPr>
          <w:ilvl w:val="0"/>
          <w:numId w:val="19"/>
        </w:numPr>
        <w:jc w:val="both"/>
      </w:pPr>
      <w:r>
        <w:t xml:space="preserve">No other </w:t>
      </w:r>
      <w:r w:rsidR="003E395E">
        <w:t xml:space="preserve">national or state </w:t>
      </w:r>
      <w:r>
        <w:t>policy</w:t>
      </w:r>
      <w:r w:rsidR="003E395E">
        <w:t xml:space="preserve"> </w:t>
      </w:r>
      <w:r>
        <w:t xml:space="preserve">has the potential to reduce </w:t>
      </w:r>
      <w:r w:rsidR="00CB7950">
        <w:t xml:space="preserve">the </w:t>
      </w:r>
      <w:r w:rsidR="001B78C8">
        <w:t>12,000,000 MT</w:t>
      </w:r>
      <w:r w:rsidR="00CB7950">
        <w:t xml:space="preserve"> of geological CO</w:t>
      </w:r>
      <w:r w:rsidR="00CB7950" w:rsidRPr="00CB7950">
        <w:rPr>
          <w:vertAlign w:val="subscript"/>
        </w:rPr>
        <w:t>2</w:t>
      </w:r>
      <w:r w:rsidR="00CB7950">
        <w:t xml:space="preserve"> </w:t>
      </w:r>
      <w:r>
        <w:t xml:space="preserve">extracted from </w:t>
      </w:r>
      <w:r w:rsidR="003E395E">
        <w:t>fossil sources and used in the merchant market</w:t>
      </w:r>
    </w:p>
    <w:p w14:paraId="4E9FE6B6" w14:textId="5AB14BBC" w:rsidR="00CB7950" w:rsidRDefault="00CB7950" w:rsidP="001831BE">
      <w:pPr>
        <w:pStyle w:val="ListParagraph"/>
        <w:numPr>
          <w:ilvl w:val="0"/>
          <w:numId w:val="19"/>
        </w:numPr>
        <w:jc w:val="both"/>
      </w:pPr>
      <w:r>
        <w:t>CO</w:t>
      </w:r>
      <w:r w:rsidRPr="00CB7950">
        <w:rPr>
          <w:vertAlign w:val="subscript"/>
        </w:rPr>
        <w:t>2</w:t>
      </w:r>
      <w:r>
        <w:t xml:space="preserve"> is a co</w:t>
      </w:r>
      <w:r w:rsidR="00723D56">
        <w:t>-</w:t>
      </w:r>
      <w:r>
        <w:t>product of ethanol production and should be treated as such when it can be shown to displace geological CO</w:t>
      </w:r>
      <w:r w:rsidRPr="00CB7950">
        <w:rPr>
          <w:vertAlign w:val="subscript"/>
        </w:rPr>
        <w:t>2</w:t>
      </w:r>
      <w:r>
        <w:t>. The output of up to 3.3 million metric tons of geological CO</w:t>
      </w:r>
      <w:r w:rsidRPr="00CB7950">
        <w:rPr>
          <w:vertAlign w:val="subscript"/>
        </w:rPr>
        <w:t>2</w:t>
      </w:r>
      <w:r>
        <w:t xml:space="preserve"> may be reduced.</w:t>
      </w:r>
    </w:p>
    <w:p w14:paraId="547B3138" w14:textId="52EDF172" w:rsidR="00255EB3" w:rsidRDefault="00255EB3" w:rsidP="001831BE">
      <w:pPr>
        <w:pStyle w:val="ListParagraph"/>
        <w:numPr>
          <w:ilvl w:val="0"/>
          <w:numId w:val="19"/>
        </w:numPr>
        <w:jc w:val="both"/>
      </w:pPr>
      <w:r>
        <w:t>Without a balance to the credits generated from CO</w:t>
      </w:r>
      <w:r w:rsidRPr="00255EB3">
        <w:rPr>
          <w:vertAlign w:val="subscript"/>
        </w:rPr>
        <w:t>2</w:t>
      </w:r>
      <w:r>
        <w:t>-EOR, it is likely that the food industry will utilize more fossil CO</w:t>
      </w:r>
      <w:r w:rsidRPr="00255EB3">
        <w:rPr>
          <w:vertAlign w:val="subscript"/>
        </w:rPr>
        <w:t>2</w:t>
      </w:r>
      <w:r>
        <w:t xml:space="preserve"> as EOR-CO</w:t>
      </w:r>
      <w:r w:rsidRPr="00255EB3">
        <w:rPr>
          <w:vertAlign w:val="subscript"/>
        </w:rPr>
        <w:t>2</w:t>
      </w:r>
      <w:r>
        <w:t xml:space="preserve"> pathways are approved for ethanol plants, and biogenic CO</w:t>
      </w:r>
      <w:r w:rsidRPr="00255EB3">
        <w:rPr>
          <w:vertAlign w:val="subscript"/>
        </w:rPr>
        <w:t>2</w:t>
      </w:r>
      <w:r>
        <w:t xml:space="preserve"> prices rise as the supply of biogenic CO</w:t>
      </w:r>
      <w:r w:rsidRPr="00255EB3">
        <w:rPr>
          <w:vertAlign w:val="subscript"/>
        </w:rPr>
        <w:t>2</w:t>
      </w:r>
      <w:r>
        <w:rPr>
          <w:vertAlign w:val="subscript"/>
        </w:rPr>
        <w:t xml:space="preserve"> </w:t>
      </w:r>
      <w:r>
        <w:t>to the merchant market falls.</w:t>
      </w:r>
    </w:p>
    <w:p w14:paraId="4EF3245F" w14:textId="56F1A10E" w:rsidR="007519F4" w:rsidRDefault="007519F4" w:rsidP="001831BE">
      <w:pPr>
        <w:pStyle w:val="ListParagraph"/>
        <w:numPr>
          <w:ilvl w:val="0"/>
          <w:numId w:val="19"/>
        </w:numPr>
        <w:jc w:val="both"/>
      </w:pPr>
      <w:r>
        <w:t xml:space="preserve">It adds a </w:t>
      </w:r>
      <w:r w:rsidR="00E16606">
        <w:t>powerful</w:t>
      </w:r>
      <w:r>
        <w:t xml:space="preserve"> and simple method for many </w:t>
      </w:r>
      <w:r w:rsidR="00255EB3">
        <w:t xml:space="preserve">fuel plants </w:t>
      </w:r>
      <w:r>
        <w:t xml:space="preserve">to </w:t>
      </w:r>
      <w:r w:rsidR="00AF2271">
        <w:t>reduce their pathway CI and generate more credits.</w:t>
      </w:r>
    </w:p>
    <w:p w14:paraId="60C72900" w14:textId="4128E40A" w:rsidR="007519F4" w:rsidRDefault="007519F4" w:rsidP="001831BE">
      <w:pPr>
        <w:pStyle w:val="ListParagraph"/>
        <w:numPr>
          <w:ilvl w:val="0"/>
          <w:numId w:val="19"/>
        </w:numPr>
        <w:jc w:val="both"/>
      </w:pPr>
      <w:r>
        <w:t>It will add high volumes of credits to the credit bank.</w:t>
      </w:r>
    </w:p>
    <w:p w14:paraId="4389C768" w14:textId="22388681" w:rsidR="003E395E" w:rsidRDefault="003E395E" w:rsidP="00CB7950">
      <w:pPr>
        <w:pStyle w:val="ListParagraph"/>
        <w:jc w:val="both"/>
      </w:pPr>
    </w:p>
    <w:p w14:paraId="692A176B" w14:textId="0E16F88F" w:rsidR="001831BE" w:rsidRDefault="001831BE" w:rsidP="001831BE">
      <w:pPr>
        <w:jc w:val="both"/>
      </w:pPr>
      <w:r>
        <w:t>We hope to discuss a pathway to regulatory changes that would allow ethanol producers to capture CO</w:t>
      </w:r>
      <w:r w:rsidRPr="00CB7950">
        <w:rPr>
          <w:vertAlign w:val="subscript"/>
        </w:rPr>
        <w:t>2</w:t>
      </w:r>
      <w:r>
        <w:t xml:space="preserve"> and not only use it for EOR</w:t>
      </w:r>
      <w:r w:rsidR="008864E0">
        <w:t>.</w:t>
      </w:r>
      <w:r w:rsidR="001B78C8">
        <w:t xml:space="preserve"> Specifically, Pinal would encourage CARB to consider CO2 as a co</w:t>
      </w:r>
      <w:r w:rsidR="00723D56">
        <w:t>-</w:t>
      </w:r>
      <w:r w:rsidR="001B78C8">
        <w:t xml:space="preserve">product from ethanol plants where </w:t>
      </w:r>
      <w:r w:rsidR="00723D56">
        <w:t xml:space="preserve">the </w:t>
      </w:r>
      <w:r w:rsidR="00583141">
        <w:t>direct offset of CO2 from geological sources can be shown.</w:t>
      </w:r>
    </w:p>
    <w:sectPr w:rsidR="001831B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E15ABF" w14:textId="77777777" w:rsidR="0016721D" w:rsidRDefault="0016721D" w:rsidP="007315F6">
      <w:pPr>
        <w:spacing w:after="0" w:line="240" w:lineRule="auto"/>
      </w:pPr>
      <w:r>
        <w:separator/>
      </w:r>
    </w:p>
  </w:endnote>
  <w:endnote w:type="continuationSeparator" w:id="0">
    <w:p w14:paraId="3B28EAAF" w14:textId="77777777" w:rsidR="0016721D" w:rsidRDefault="0016721D" w:rsidP="00731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238D3" w14:textId="63D133F4" w:rsidR="00FC65A0" w:rsidRPr="00273477" w:rsidRDefault="00FC65A0" w:rsidP="00950212">
    <w:pPr>
      <w:pStyle w:val="Footer"/>
      <w:jc w:val="right"/>
      <w:rPr>
        <w:sz w:val="20"/>
        <w:szCs w:val="20"/>
      </w:rPr>
    </w:pPr>
    <w:r w:rsidRPr="00342915">
      <w:rPr>
        <w:noProof/>
        <w:sz w:val="20"/>
        <w:szCs w:val="20"/>
      </w:rPr>
      <mc:AlternateContent>
        <mc:Choice Requires="wps">
          <w:drawing>
            <wp:anchor distT="0" distB="0" distL="114300" distR="114300" simplePos="0" relativeHeight="251661312" behindDoc="0" locked="0" layoutInCell="1" allowOverlap="1" wp14:anchorId="44DBD49D" wp14:editId="407869BF">
              <wp:simplePos x="0" y="0"/>
              <wp:positionH relativeFrom="margin">
                <wp:posOffset>0</wp:posOffset>
              </wp:positionH>
              <wp:positionV relativeFrom="paragraph">
                <wp:posOffset>-54610</wp:posOffset>
              </wp:positionV>
              <wp:extent cx="59436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99661D"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4.3pt" to="46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" strokecolor="#ed7d31 [3205]" strokeweight=".5pt">
              <v:stroke joinstyle="miter"/>
              <w10:wrap anchorx="margin"/>
            </v:line>
          </w:pict>
        </mc:Fallback>
      </mc:AlternateContent>
    </w:r>
    <w:r w:rsidR="007519F4">
      <w:rPr>
        <w:noProof/>
        <w:sz w:val="20"/>
        <w:szCs w:val="20"/>
      </w:rPr>
      <w:t>Fossil CO</w:t>
    </w:r>
    <w:r w:rsidR="007519F4" w:rsidRPr="007519F4">
      <w:rPr>
        <w:noProof/>
        <w:sz w:val="20"/>
        <w:szCs w:val="20"/>
        <w:vertAlign w:val="subscript"/>
      </w:rPr>
      <w:t>2</w:t>
    </w:r>
    <w:r w:rsidR="007519F4">
      <w:rPr>
        <w:noProof/>
        <w:sz w:val="20"/>
        <w:szCs w:val="20"/>
      </w:rPr>
      <w:t xml:space="preserve"> Displacment</w:t>
    </w:r>
    <w:r w:rsidRPr="00342915">
      <w:rPr>
        <w:sz w:val="20"/>
        <w:szCs w:val="20"/>
      </w:rPr>
      <w:t xml:space="preserve"> | </w:t>
    </w:r>
    <w:r w:rsidR="007519F4">
      <w:rPr>
        <w:sz w:val="20"/>
        <w:szCs w:val="20"/>
      </w:rPr>
      <w:t>July</w:t>
    </w:r>
    <w:r w:rsidR="00F1401E">
      <w:rPr>
        <w:sz w:val="20"/>
        <w:szCs w:val="20"/>
      </w:rPr>
      <w:t xml:space="preserve"> </w:t>
    </w:r>
    <w:r w:rsidR="008864E0">
      <w:rPr>
        <w:sz w:val="20"/>
        <w:szCs w:val="20"/>
      </w:rPr>
      <w:t>31</w:t>
    </w:r>
    <w:r w:rsidR="00F1401E">
      <w:rPr>
        <w:sz w:val="20"/>
        <w:szCs w:val="20"/>
      </w:rPr>
      <w:t>, 2020</w:t>
    </w:r>
    <w:r w:rsidRPr="00273477">
      <w:rPr>
        <w:sz w:val="20"/>
        <w:szCs w:val="20"/>
      </w:rPr>
      <w:t xml:space="preserve">| </w:t>
    </w:r>
    <w:r w:rsidRPr="00342915">
      <w:rPr>
        <w:sz w:val="20"/>
        <w:szCs w:val="20"/>
      </w:rPr>
      <w:fldChar w:fldCharType="begin"/>
    </w:r>
    <w:r w:rsidRPr="00342915">
      <w:rPr>
        <w:sz w:val="20"/>
        <w:szCs w:val="20"/>
      </w:rPr>
      <w:instrText xml:space="preserve"> PAGE   \* MERGEFORMAT </w:instrText>
    </w:r>
    <w:r w:rsidRPr="00342915">
      <w:rPr>
        <w:sz w:val="20"/>
        <w:szCs w:val="20"/>
      </w:rPr>
      <w:fldChar w:fldCharType="separate"/>
    </w:r>
    <w:r w:rsidR="00092859">
      <w:rPr>
        <w:noProof/>
        <w:sz w:val="20"/>
        <w:szCs w:val="20"/>
      </w:rPr>
      <w:t>9</w:t>
    </w:r>
    <w:r w:rsidRPr="00342915">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B325B3" w14:textId="77777777" w:rsidR="0016721D" w:rsidRDefault="0016721D" w:rsidP="007315F6">
      <w:pPr>
        <w:spacing w:after="0" w:line="240" w:lineRule="auto"/>
      </w:pPr>
      <w:r>
        <w:separator/>
      </w:r>
    </w:p>
  </w:footnote>
  <w:footnote w:type="continuationSeparator" w:id="0">
    <w:p w14:paraId="3B6FE080" w14:textId="77777777" w:rsidR="0016721D" w:rsidRDefault="0016721D" w:rsidP="007315F6">
      <w:pPr>
        <w:spacing w:after="0" w:line="240" w:lineRule="auto"/>
      </w:pPr>
      <w:r>
        <w:continuationSeparator/>
      </w:r>
    </w:p>
  </w:footnote>
  <w:footnote w:id="1">
    <w:p w14:paraId="5CE1BF07" w14:textId="77777777" w:rsidR="006E2107" w:rsidRPr="00137109" w:rsidRDefault="006E2107" w:rsidP="006E2107">
      <w:pPr>
        <w:pStyle w:val="NoSpacing"/>
        <w:rPr>
          <w:sz w:val="18"/>
          <w:szCs w:val="18"/>
        </w:rPr>
      </w:pPr>
      <w:r>
        <w:rPr>
          <w:rStyle w:val="FootnoteReference"/>
        </w:rPr>
        <w:footnoteRef/>
      </w:r>
      <w:r>
        <w:t xml:space="preserve"> </w:t>
      </w:r>
      <w:hyperlink r:id="rId1" w:history="1">
        <w:r w:rsidRPr="00137109">
          <w:rPr>
            <w:rStyle w:val="Hyperlink"/>
            <w:sz w:val="18"/>
            <w:szCs w:val="18"/>
          </w:rPr>
          <w:t>https://www.globalenergyinstitute.org/sites/default/files/020174_EI21_EnhancedOilRecovery_final.pdf</w:t>
        </w:r>
      </w:hyperlink>
    </w:p>
  </w:footnote>
  <w:footnote w:id="2">
    <w:p w14:paraId="5B6A46D5" w14:textId="77777777" w:rsidR="006E2107" w:rsidRPr="00137109" w:rsidRDefault="006E2107" w:rsidP="006E2107">
      <w:pPr>
        <w:pStyle w:val="FootnoteText"/>
        <w:rPr>
          <w:sz w:val="18"/>
          <w:szCs w:val="18"/>
        </w:rPr>
      </w:pPr>
      <w:r w:rsidRPr="00137109">
        <w:rPr>
          <w:rStyle w:val="FootnoteReference"/>
          <w:sz w:val="18"/>
          <w:szCs w:val="18"/>
        </w:rPr>
        <w:footnoteRef/>
      </w:r>
      <w:r w:rsidRPr="00137109">
        <w:rPr>
          <w:sz w:val="18"/>
          <w:szCs w:val="18"/>
        </w:rPr>
        <w:t xml:space="preserve"> </w:t>
      </w:r>
      <w:hyperlink r:id="rId2" w:history="1">
        <w:r w:rsidRPr="00137109">
          <w:rPr>
            <w:rStyle w:val="Hyperlink"/>
            <w:sz w:val="18"/>
            <w:szCs w:val="18"/>
          </w:rPr>
          <w:t>https://www.netl.doe.gov/sites/default/files/netl-file/CO2_EOR_Primer.pdf</w:t>
        </w:r>
      </w:hyperlink>
    </w:p>
  </w:footnote>
  <w:footnote w:id="3">
    <w:p w14:paraId="58B227F2" w14:textId="5F37D449" w:rsidR="003E395E" w:rsidRDefault="003E395E">
      <w:pPr>
        <w:pStyle w:val="FootnoteText"/>
      </w:pPr>
      <w:r>
        <w:rPr>
          <w:rStyle w:val="FootnoteReference"/>
        </w:rPr>
        <w:footnoteRef/>
      </w:r>
      <w:r>
        <w:t xml:space="preserve"> </w:t>
      </w:r>
      <w:r w:rsidRPr="003E395E">
        <w:t>Supekar, Sarang. (2015). Environmental and Economic Assessment of Carbon Dioxide Recovery and Mitigation in the Industrial and Energy Sectors. 10.13140/RG.2.2.21135.48804.</w:t>
      </w:r>
    </w:p>
  </w:footnote>
  <w:footnote w:id="4">
    <w:p w14:paraId="172C4AAC" w14:textId="77777777" w:rsidR="006E2107" w:rsidRPr="00137109" w:rsidRDefault="006E2107" w:rsidP="006E2107">
      <w:pPr>
        <w:pStyle w:val="FootnoteText"/>
        <w:rPr>
          <w:sz w:val="18"/>
          <w:szCs w:val="18"/>
        </w:rPr>
      </w:pPr>
      <w:r w:rsidRPr="00137109">
        <w:rPr>
          <w:rStyle w:val="FootnoteReference"/>
          <w:sz w:val="18"/>
          <w:szCs w:val="18"/>
        </w:rPr>
        <w:footnoteRef/>
      </w:r>
      <w:r w:rsidRPr="00137109">
        <w:rPr>
          <w:sz w:val="18"/>
          <w:szCs w:val="18"/>
        </w:rPr>
        <w:t xml:space="preserve"> </w:t>
      </w:r>
      <w:hyperlink r:id="rId3" w:history="1">
        <w:r w:rsidRPr="00137109">
          <w:rPr>
            <w:rStyle w:val="Hyperlink"/>
            <w:sz w:val="18"/>
            <w:szCs w:val="18"/>
          </w:rPr>
          <w:t>https://www.kindermorgan.com/</w:t>
        </w:r>
      </w:hyperlink>
    </w:p>
  </w:footnote>
  <w:footnote w:id="5">
    <w:p w14:paraId="787A4E8B" w14:textId="0E9F3BD7" w:rsidR="00AA1832" w:rsidRDefault="00AA1832">
      <w:pPr>
        <w:pStyle w:val="FootnoteText"/>
      </w:pPr>
      <w:r>
        <w:rPr>
          <w:rStyle w:val="FootnoteReference"/>
        </w:rPr>
        <w:footnoteRef/>
      </w:r>
      <w:r>
        <w:t xml:space="preserve"> </w:t>
      </w:r>
      <w:hyperlink r:id="rId4" w:history="1">
        <w:r>
          <w:rPr>
            <w:rStyle w:val="Hyperlink"/>
          </w:rPr>
          <w:t>http://www.ethanolproducer.com/articles/14122/</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D6535"/>
    <w:multiLevelType w:val="hybridMultilevel"/>
    <w:tmpl w:val="38C2C3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26103A5"/>
    <w:multiLevelType w:val="hybridMultilevel"/>
    <w:tmpl w:val="060E8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5528F"/>
    <w:multiLevelType w:val="hybridMultilevel"/>
    <w:tmpl w:val="1B32CA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5973E8"/>
    <w:multiLevelType w:val="hybridMultilevel"/>
    <w:tmpl w:val="9C284786"/>
    <w:lvl w:ilvl="0" w:tplc="B0A2BFE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43CB1"/>
    <w:multiLevelType w:val="hybridMultilevel"/>
    <w:tmpl w:val="16C4C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8756F"/>
    <w:multiLevelType w:val="hybridMultilevel"/>
    <w:tmpl w:val="E3885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3D31AC"/>
    <w:multiLevelType w:val="hybridMultilevel"/>
    <w:tmpl w:val="7F847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7C2E77"/>
    <w:multiLevelType w:val="multilevel"/>
    <w:tmpl w:val="758297A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339758D9"/>
    <w:multiLevelType w:val="multilevel"/>
    <w:tmpl w:val="B0A660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4C100E"/>
    <w:multiLevelType w:val="hybridMultilevel"/>
    <w:tmpl w:val="2F30A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4C2784"/>
    <w:multiLevelType w:val="hybridMultilevel"/>
    <w:tmpl w:val="790646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F820C82"/>
    <w:multiLevelType w:val="hybridMultilevel"/>
    <w:tmpl w:val="C0948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B92BB8"/>
    <w:multiLevelType w:val="hybridMultilevel"/>
    <w:tmpl w:val="E5B4D9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7541C3"/>
    <w:multiLevelType w:val="hybridMultilevel"/>
    <w:tmpl w:val="0E82EC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DDF7E47"/>
    <w:multiLevelType w:val="hybridMultilevel"/>
    <w:tmpl w:val="7E82B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0EF78DA"/>
    <w:multiLevelType w:val="hybridMultilevel"/>
    <w:tmpl w:val="350A4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9052CCE"/>
    <w:multiLevelType w:val="hybridMultilevel"/>
    <w:tmpl w:val="0BDE9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432188"/>
    <w:multiLevelType w:val="hybridMultilevel"/>
    <w:tmpl w:val="096E44D0"/>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8" w15:restartNumberingAfterBreak="0">
    <w:nsid w:val="6D8856F8"/>
    <w:multiLevelType w:val="hybridMultilevel"/>
    <w:tmpl w:val="81D2E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2E6580"/>
    <w:multiLevelType w:val="hybridMultilevel"/>
    <w:tmpl w:val="41E8B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B76F01"/>
    <w:multiLevelType w:val="hybridMultilevel"/>
    <w:tmpl w:val="BB564A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7864696F"/>
    <w:multiLevelType w:val="hybridMultilevel"/>
    <w:tmpl w:val="627E01EE"/>
    <w:lvl w:ilvl="0" w:tplc="1180D4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5"/>
  </w:num>
  <w:num w:numId="3">
    <w:abstractNumId w:val="14"/>
  </w:num>
  <w:num w:numId="4">
    <w:abstractNumId w:val="9"/>
  </w:num>
  <w:num w:numId="5">
    <w:abstractNumId w:val="12"/>
  </w:num>
  <w:num w:numId="6">
    <w:abstractNumId w:val="19"/>
  </w:num>
  <w:num w:numId="7">
    <w:abstractNumId w:val="5"/>
  </w:num>
  <w:num w:numId="8">
    <w:abstractNumId w:val="13"/>
  </w:num>
  <w:num w:numId="9">
    <w:abstractNumId w:val="21"/>
  </w:num>
  <w:num w:numId="10">
    <w:abstractNumId w:val="4"/>
  </w:num>
  <w:num w:numId="11">
    <w:abstractNumId w:val="17"/>
  </w:num>
  <w:num w:numId="12">
    <w:abstractNumId w:val="8"/>
  </w:num>
  <w:num w:numId="13">
    <w:abstractNumId w:val="6"/>
  </w:num>
  <w:num w:numId="14">
    <w:abstractNumId w:val="20"/>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
  </w:num>
  <w:num w:numId="18">
    <w:abstractNumId w:val="2"/>
  </w:num>
  <w:num w:numId="19">
    <w:abstractNumId w:val="18"/>
  </w:num>
  <w:num w:numId="20">
    <w:abstractNumId w:val="16"/>
  </w:num>
  <w:num w:numId="21">
    <w:abstractNumId w:val="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SxMDY2sbAwMbM0MDFV0lEKTi0uzszPAymwqAUAlHmSkiwAAAA="/>
  </w:docVars>
  <w:rsids>
    <w:rsidRoot w:val="007315F6"/>
    <w:rsid w:val="000277F6"/>
    <w:rsid w:val="000331E9"/>
    <w:rsid w:val="00034C21"/>
    <w:rsid w:val="000453B0"/>
    <w:rsid w:val="00064261"/>
    <w:rsid w:val="00064454"/>
    <w:rsid w:val="00075CCB"/>
    <w:rsid w:val="00092859"/>
    <w:rsid w:val="000A4721"/>
    <w:rsid w:val="000B7023"/>
    <w:rsid w:val="000E27F1"/>
    <w:rsid w:val="000E7748"/>
    <w:rsid w:val="000F551F"/>
    <w:rsid w:val="000F671D"/>
    <w:rsid w:val="00117764"/>
    <w:rsid w:val="0012035C"/>
    <w:rsid w:val="00123B2A"/>
    <w:rsid w:val="0016721D"/>
    <w:rsid w:val="001712A0"/>
    <w:rsid w:val="001831BE"/>
    <w:rsid w:val="00192285"/>
    <w:rsid w:val="001B33B1"/>
    <w:rsid w:val="001B78C8"/>
    <w:rsid w:val="001C6B1C"/>
    <w:rsid w:val="001D5080"/>
    <w:rsid w:val="001D5F8D"/>
    <w:rsid w:val="001F05BF"/>
    <w:rsid w:val="001F350C"/>
    <w:rsid w:val="00211193"/>
    <w:rsid w:val="002500C0"/>
    <w:rsid w:val="00255EB3"/>
    <w:rsid w:val="002632CC"/>
    <w:rsid w:val="00273477"/>
    <w:rsid w:val="00277CE9"/>
    <w:rsid w:val="002821A4"/>
    <w:rsid w:val="002B1217"/>
    <w:rsid w:val="002B61F9"/>
    <w:rsid w:val="002C35C6"/>
    <w:rsid w:val="002D25B9"/>
    <w:rsid w:val="002D70BF"/>
    <w:rsid w:val="002E154B"/>
    <w:rsid w:val="002E4EEE"/>
    <w:rsid w:val="00342915"/>
    <w:rsid w:val="0035062A"/>
    <w:rsid w:val="00375601"/>
    <w:rsid w:val="00386E8B"/>
    <w:rsid w:val="003951AD"/>
    <w:rsid w:val="003A037B"/>
    <w:rsid w:val="003A3A36"/>
    <w:rsid w:val="003B47D4"/>
    <w:rsid w:val="003B4929"/>
    <w:rsid w:val="003C477B"/>
    <w:rsid w:val="003D0652"/>
    <w:rsid w:val="003E395E"/>
    <w:rsid w:val="00402BE0"/>
    <w:rsid w:val="004062BA"/>
    <w:rsid w:val="0041156D"/>
    <w:rsid w:val="00411942"/>
    <w:rsid w:val="00422AB8"/>
    <w:rsid w:val="00427318"/>
    <w:rsid w:val="0043522A"/>
    <w:rsid w:val="00435D9E"/>
    <w:rsid w:val="004543E2"/>
    <w:rsid w:val="0046239B"/>
    <w:rsid w:val="004716F1"/>
    <w:rsid w:val="004735F8"/>
    <w:rsid w:val="00474796"/>
    <w:rsid w:val="00476482"/>
    <w:rsid w:val="00477FFD"/>
    <w:rsid w:val="0048281D"/>
    <w:rsid w:val="00483D4A"/>
    <w:rsid w:val="00495208"/>
    <w:rsid w:val="00497947"/>
    <w:rsid w:val="004D3547"/>
    <w:rsid w:val="004D4D77"/>
    <w:rsid w:val="004D7A0B"/>
    <w:rsid w:val="00502B8D"/>
    <w:rsid w:val="005158DF"/>
    <w:rsid w:val="00516881"/>
    <w:rsid w:val="00545958"/>
    <w:rsid w:val="00550C3F"/>
    <w:rsid w:val="00555077"/>
    <w:rsid w:val="00583141"/>
    <w:rsid w:val="00593C86"/>
    <w:rsid w:val="005A35ED"/>
    <w:rsid w:val="005B12E1"/>
    <w:rsid w:val="005B42F3"/>
    <w:rsid w:val="005C363B"/>
    <w:rsid w:val="00641299"/>
    <w:rsid w:val="00665C5E"/>
    <w:rsid w:val="006A0989"/>
    <w:rsid w:val="006B37A0"/>
    <w:rsid w:val="006B57C7"/>
    <w:rsid w:val="006C4660"/>
    <w:rsid w:val="006C7D9D"/>
    <w:rsid w:val="006E2107"/>
    <w:rsid w:val="0070113F"/>
    <w:rsid w:val="0071599A"/>
    <w:rsid w:val="00723D56"/>
    <w:rsid w:val="007315F6"/>
    <w:rsid w:val="00741FEA"/>
    <w:rsid w:val="007519F4"/>
    <w:rsid w:val="00754632"/>
    <w:rsid w:val="00763C77"/>
    <w:rsid w:val="00763DAC"/>
    <w:rsid w:val="007665B8"/>
    <w:rsid w:val="00777DDF"/>
    <w:rsid w:val="00782A2B"/>
    <w:rsid w:val="007865BC"/>
    <w:rsid w:val="00794E74"/>
    <w:rsid w:val="007A2F33"/>
    <w:rsid w:val="007A7F04"/>
    <w:rsid w:val="007C7B43"/>
    <w:rsid w:val="007D2E1A"/>
    <w:rsid w:val="007F5A1F"/>
    <w:rsid w:val="007F75BE"/>
    <w:rsid w:val="0083242F"/>
    <w:rsid w:val="00843A3F"/>
    <w:rsid w:val="0085658E"/>
    <w:rsid w:val="00862077"/>
    <w:rsid w:val="00875B30"/>
    <w:rsid w:val="008844DB"/>
    <w:rsid w:val="00885E9C"/>
    <w:rsid w:val="008864E0"/>
    <w:rsid w:val="008973EA"/>
    <w:rsid w:val="008B251F"/>
    <w:rsid w:val="008C495B"/>
    <w:rsid w:val="008D414E"/>
    <w:rsid w:val="008D514B"/>
    <w:rsid w:val="008E58FC"/>
    <w:rsid w:val="008F3100"/>
    <w:rsid w:val="00910894"/>
    <w:rsid w:val="00920664"/>
    <w:rsid w:val="0094124E"/>
    <w:rsid w:val="00950212"/>
    <w:rsid w:val="0095100A"/>
    <w:rsid w:val="00951C21"/>
    <w:rsid w:val="00965713"/>
    <w:rsid w:val="00987C02"/>
    <w:rsid w:val="009A75BF"/>
    <w:rsid w:val="009B75CE"/>
    <w:rsid w:val="009C0840"/>
    <w:rsid w:val="009C0B01"/>
    <w:rsid w:val="009F5B8F"/>
    <w:rsid w:val="00A063B3"/>
    <w:rsid w:val="00A24BC9"/>
    <w:rsid w:val="00A371A3"/>
    <w:rsid w:val="00A526BC"/>
    <w:rsid w:val="00A708EE"/>
    <w:rsid w:val="00A9744A"/>
    <w:rsid w:val="00AA1832"/>
    <w:rsid w:val="00AB6038"/>
    <w:rsid w:val="00AD44F0"/>
    <w:rsid w:val="00AD716A"/>
    <w:rsid w:val="00AE141E"/>
    <w:rsid w:val="00AE6D17"/>
    <w:rsid w:val="00AF2271"/>
    <w:rsid w:val="00AF2FE0"/>
    <w:rsid w:val="00AF490B"/>
    <w:rsid w:val="00AF7BA3"/>
    <w:rsid w:val="00B07ADB"/>
    <w:rsid w:val="00B3236F"/>
    <w:rsid w:val="00B5397F"/>
    <w:rsid w:val="00B57496"/>
    <w:rsid w:val="00B60D14"/>
    <w:rsid w:val="00BA4766"/>
    <w:rsid w:val="00BB4D46"/>
    <w:rsid w:val="00BD57ED"/>
    <w:rsid w:val="00BD5A0E"/>
    <w:rsid w:val="00BE71DB"/>
    <w:rsid w:val="00C0400F"/>
    <w:rsid w:val="00C07FD9"/>
    <w:rsid w:val="00C15C1A"/>
    <w:rsid w:val="00C42B4B"/>
    <w:rsid w:val="00C52403"/>
    <w:rsid w:val="00C5588E"/>
    <w:rsid w:val="00C661EE"/>
    <w:rsid w:val="00C7467E"/>
    <w:rsid w:val="00C930C1"/>
    <w:rsid w:val="00CB7950"/>
    <w:rsid w:val="00CC32DD"/>
    <w:rsid w:val="00CC44C2"/>
    <w:rsid w:val="00CC6F5B"/>
    <w:rsid w:val="00CE4101"/>
    <w:rsid w:val="00CE7313"/>
    <w:rsid w:val="00CF0767"/>
    <w:rsid w:val="00CF2201"/>
    <w:rsid w:val="00D13BE4"/>
    <w:rsid w:val="00D21309"/>
    <w:rsid w:val="00D22598"/>
    <w:rsid w:val="00D85BFA"/>
    <w:rsid w:val="00D90FBD"/>
    <w:rsid w:val="00D921C9"/>
    <w:rsid w:val="00D92ED9"/>
    <w:rsid w:val="00DA0D74"/>
    <w:rsid w:val="00DA59B0"/>
    <w:rsid w:val="00DB483F"/>
    <w:rsid w:val="00DC6BD9"/>
    <w:rsid w:val="00DD2257"/>
    <w:rsid w:val="00DE76F6"/>
    <w:rsid w:val="00DF3413"/>
    <w:rsid w:val="00E05FA1"/>
    <w:rsid w:val="00E16606"/>
    <w:rsid w:val="00E16EC7"/>
    <w:rsid w:val="00E40BBA"/>
    <w:rsid w:val="00E60D6F"/>
    <w:rsid w:val="00E922BC"/>
    <w:rsid w:val="00EA4FC7"/>
    <w:rsid w:val="00EB17AF"/>
    <w:rsid w:val="00EC073C"/>
    <w:rsid w:val="00EC0EDF"/>
    <w:rsid w:val="00EC30C3"/>
    <w:rsid w:val="00EC7C0E"/>
    <w:rsid w:val="00EF56E7"/>
    <w:rsid w:val="00F03E1A"/>
    <w:rsid w:val="00F1401E"/>
    <w:rsid w:val="00F16C81"/>
    <w:rsid w:val="00F229DD"/>
    <w:rsid w:val="00F23969"/>
    <w:rsid w:val="00F27BDB"/>
    <w:rsid w:val="00F4647D"/>
    <w:rsid w:val="00F67953"/>
    <w:rsid w:val="00F7209E"/>
    <w:rsid w:val="00F81A69"/>
    <w:rsid w:val="00F95C60"/>
    <w:rsid w:val="00F96CAD"/>
    <w:rsid w:val="00F979C5"/>
    <w:rsid w:val="00FA3FC5"/>
    <w:rsid w:val="00FB351E"/>
    <w:rsid w:val="00FC65A0"/>
    <w:rsid w:val="00FC7771"/>
    <w:rsid w:val="00FD3FF5"/>
    <w:rsid w:val="00FE28AB"/>
    <w:rsid w:val="00FF5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DE5E47"/>
  <w15:chartTrackingRefBased/>
  <w15:docId w15:val="{B9E9DCB8-E0BB-4F26-9DFC-20805ACF8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B1C"/>
  </w:style>
  <w:style w:type="paragraph" w:styleId="Heading1">
    <w:name w:val="heading 1"/>
    <w:basedOn w:val="Normal"/>
    <w:next w:val="Normal"/>
    <w:link w:val="Heading1Char"/>
    <w:uiPriority w:val="9"/>
    <w:qFormat/>
    <w:rsid w:val="006E2107"/>
    <w:pPr>
      <w:keepNext/>
      <w:keepLines/>
      <w:spacing w:before="240" w:after="0"/>
      <w:jc w:val="both"/>
      <w:outlineLvl w:val="0"/>
    </w:pPr>
    <w:rPr>
      <w:rFonts w:eastAsiaTheme="majorEastAsia" w:cstheme="minorHAnsi"/>
      <w:b/>
      <w:sz w:val="28"/>
      <w:szCs w:val="28"/>
    </w:rPr>
  </w:style>
  <w:style w:type="paragraph" w:styleId="Heading2">
    <w:name w:val="heading 2"/>
    <w:basedOn w:val="Normal"/>
    <w:next w:val="Normal"/>
    <w:link w:val="Heading2Char"/>
    <w:uiPriority w:val="9"/>
    <w:unhideWhenUsed/>
    <w:qFormat/>
    <w:rsid w:val="00CF22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15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5F6"/>
  </w:style>
  <w:style w:type="paragraph" w:styleId="Footer">
    <w:name w:val="footer"/>
    <w:basedOn w:val="Normal"/>
    <w:link w:val="FooterChar"/>
    <w:uiPriority w:val="99"/>
    <w:unhideWhenUsed/>
    <w:rsid w:val="007315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5F6"/>
  </w:style>
  <w:style w:type="character" w:styleId="Emphasis">
    <w:name w:val="Emphasis"/>
    <w:basedOn w:val="DefaultParagraphFont"/>
    <w:uiPriority w:val="20"/>
    <w:qFormat/>
    <w:rsid w:val="001C6B1C"/>
    <w:rPr>
      <w:i/>
      <w:iCs/>
    </w:rPr>
  </w:style>
  <w:style w:type="table" w:styleId="TableGrid">
    <w:name w:val="Table Grid"/>
    <w:basedOn w:val="TableNormal"/>
    <w:uiPriority w:val="39"/>
    <w:rsid w:val="001C6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6B1C"/>
    <w:pPr>
      <w:ind w:left="720"/>
      <w:contextualSpacing/>
    </w:pPr>
  </w:style>
  <w:style w:type="character" w:customStyle="1" w:styleId="Heading1Char">
    <w:name w:val="Heading 1 Char"/>
    <w:basedOn w:val="DefaultParagraphFont"/>
    <w:link w:val="Heading1"/>
    <w:uiPriority w:val="9"/>
    <w:rsid w:val="006E2107"/>
    <w:rPr>
      <w:rFonts w:eastAsiaTheme="majorEastAsia" w:cstheme="minorHAnsi"/>
      <w:b/>
      <w:sz w:val="28"/>
      <w:szCs w:val="28"/>
    </w:rPr>
  </w:style>
  <w:style w:type="paragraph" w:styleId="TOCHeading">
    <w:name w:val="TOC Heading"/>
    <w:basedOn w:val="Heading1"/>
    <w:next w:val="Normal"/>
    <w:uiPriority w:val="39"/>
    <w:unhideWhenUsed/>
    <w:qFormat/>
    <w:rsid w:val="001C6B1C"/>
    <w:pPr>
      <w:outlineLvl w:val="9"/>
    </w:pPr>
  </w:style>
  <w:style w:type="paragraph" w:styleId="TOC2">
    <w:name w:val="toc 2"/>
    <w:basedOn w:val="Normal"/>
    <w:next w:val="Normal"/>
    <w:autoRedefine/>
    <w:uiPriority w:val="39"/>
    <w:unhideWhenUsed/>
    <w:rsid w:val="001C6B1C"/>
    <w:pPr>
      <w:spacing w:after="100"/>
      <w:ind w:left="220"/>
    </w:pPr>
    <w:rPr>
      <w:rFonts w:eastAsiaTheme="minorEastAsia" w:cs="Times New Roman"/>
    </w:rPr>
  </w:style>
  <w:style w:type="paragraph" w:styleId="TOC1">
    <w:name w:val="toc 1"/>
    <w:basedOn w:val="Normal"/>
    <w:next w:val="Normal"/>
    <w:autoRedefine/>
    <w:uiPriority w:val="39"/>
    <w:unhideWhenUsed/>
    <w:rsid w:val="001C6B1C"/>
    <w:pPr>
      <w:spacing w:after="100"/>
    </w:pPr>
    <w:rPr>
      <w:rFonts w:eastAsiaTheme="minorEastAsia" w:cs="Times New Roman"/>
    </w:rPr>
  </w:style>
  <w:style w:type="paragraph" w:styleId="TOC3">
    <w:name w:val="toc 3"/>
    <w:basedOn w:val="Normal"/>
    <w:next w:val="Normal"/>
    <w:autoRedefine/>
    <w:uiPriority w:val="39"/>
    <w:unhideWhenUsed/>
    <w:rsid w:val="001C6B1C"/>
    <w:pPr>
      <w:spacing w:after="100"/>
      <w:ind w:left="440"/>
    </w:pPr>
    <w:rPr>
      <w:rFonts w:eastAsiaTheme="minorEastAsia" w:cs="Times New Roman"/>
    </w:rPr>
  </w:style>
  <w:style w:type="character" w:styleId="Hyperlink">
    <w:name w:val="Hyperlink"/>
    <w:basedOn w:val="DefaultParagraphFont"/>
    <w:uiPriority w:val="99"/>
    <w:unhideWhenUsed/>
    <w:rsid w:val="00CF2201"/>
    <w:rPr>
      <w:color w:val="0563C1"/>
      <w:u w:val="single"/>
    </w:rPr>
  </w:style>
  <w:style w:type="character" w:customStyle="1" w:styleId="Heading2Char">
    <w:name w:val="Heading 2 Char"/>
    <w:basedOn w:val="DefaultParagraphFont"/>
    <w:link w:val="Heading2"/>
    <w:uiPriority w:val="9"/>
    <w:rsid w:val="00CF2201"/>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F229DD"/>
    <w:rPr>
      <w:color w:val="808080"/>
      <w:shd w:val="clear" w:color="auto" w:fill="E6E6E6"/>
    </w:rPr>
  </w:style>
  <w:style w:type="character" w:styleId="CommentReference">
    <w:name w:val="annotation reference"/>
    <w:basedOn w:val="DefaultParagraphFont"/>
    <w:uiPriority w:val="99"/>
    <w:semiHidden/>
    <w:unhideWhenUsed/>
    <w:rsid w:val="00495208"/>
    <w:rPr>
      <w:sz w:val="16"/>
      <w:szCs w:val="16"/>
    </w:rPr>
  </w:style>
  <w:style w:type="paragraph" w:styleId="CommentText">
    <w:name w:val="annotation text"/>
    <w:basedOn w:val="Normal"/>
    <w:link w:val="CommentTextChar"/>
    <w:uiPriority w:val="99"/>
    <w:semiHidden/>
    <w:unhideWhenUsed/>
    <w:rsid w:val="00495208"/>
    <w:pPr>
      <w:spacing w:line="240" w:lineRule="auto"/>
    </w:pPr>
    <w:rPr>
      <w:sz w:val="20"/>
      <w:szCs w:val="20"/>
    </w:rPr>
  </w:style>
  <w:style w:type="character" w:customStyle="1" w:styleId="CommentTextChar">
    <w:name w:val="Comment Text Char"/>
    <w:basedOn w:val="DefaultParagraphFont"/>
    <w:link w:val="CommentText"/>
    <w:uiPriority w:val="99"/>
    <w:semiHidden/>
    <w:rsid w:val="00495208"/>
    <w:rPr>
      <w:sz w:val="20"/>
      <w:szCs w:val="20"/>
    </w:rPr>
  </w:style>
  <w:style w:type="paragraph" w:styleId="CommentSubject">
    <w:name w:val="annotation subject"/>
    <w:basedOn w:val="CommentText"/>
    <w:next w:val="CommentText"/>
    <w:link w:val="CommentSubjectChar"/>
    <w:uiPriority w:val="99"/>
    <w:semiHidden/>
    <w:unhideWhenUsed/>
    <w:rsid w:val="00495208"/>
    <w:rPr>
      <w:b/>
      <w:bCs/>
    </w:rPr>
  </w:style>
  <w:style w:type="character" w:customStyle="1" w:styleId="CommentSubjectChar">
    <w:name w:val="Comment Subject Char"/>
    <w:basedOn w:val="CommentTextChar"/>
    <w:link w:val="CommentSubject"/>
    <w:uiPriority w:val="99"/>
    <w:semiHidden/>
    <w:rsid w:val="00495208"/>
    <w:rPr>
      <w:b/>
      <w:bCs/>
      <w:sz w:val="20"/>
      <w:szCs w:val="20"/>
    </w:rPr>
  </w:style>
  <w:style w:type="paragraph" w:styleId="BalloonText">
    <w:name w:val="Balloon Text"/>
    <w:basedOn w:val="Normal"/>
    <w:link w:val="BalloonTextChar"/>
    <w:uiPriority w:val="99"/>
    <w:semiHidden/>
    <w:unhideWhenUsed/>
    <w:rsid w:val="004952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208"/>
    <w:rPr>
      <w:rFonts w:ascii="Segoe UI" w:hAnsi="Segoe UI" w:cs="Segoe UI"/>
      <w:sz w:val="18"/>
      <w:szCs w:val="18"/>
    </w:rPr>
  </w:style>
  <w:style w:type="paragraph" w:customStyle="1" w:styleId="Default">
    <w:name w:val="Default"/>
    <w:rsid w:val="00117764"/>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6C46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4660"/>
    <w:rPr>
      <w:sz w:val="20"/>
      <w:szCs w:val="20"/>
    </w:rPr>
  </w:style>
  <w:style w:type="character" w:styleId="FootnoteReference">
    <w:name w:val="footnote reference"/>
    <w:basedOn w:val="DefaultParagraphFont"/>
    <w:uiPriority w:val="99"/>
    <w:semiHidden/>
    <w:unhideWhenUsed/>
    <w:rsid w:val="006C4660"/>
    <w:rPr>
      <w:vertAlign w:val="superscript"/>
    </w:rPr>
  </w:style>
  <w:style w:type="paragraph" w:styleId="NoSpacing">
    <w:name w:val="No Spacing"/>
    <w:uiPriority w:val="1"/>
    <w:qFormat/>
    <w:rsid w:val="006E2107"/>
    <w:pPr>
      <w:spacing w:after="0" w:line="240" w:lineRule="auto"/>
    </w:pPr>
  </w:style>
  <w:style w:type="paragraph" w:styleId="Caption">
    <w:name w:val="caption"/>
    <w:basedOn w:val="Normal"/>
    <w:next w:val="Normal"/>
    <w:uiPriority w:val="35"/>
    <w:unhideWhenUsed/>
    <w:qFormat/>
    <w:rsid w:val="006E2107"/>
    <w:pPr>
      <w:spacing w:after="200" w:line="240" w:lineRule="auto"/>
    </w:pPr>
    <w:rPr>
      <w:i/>
      <w:iCs/>
      <w:color w:val="44546A" w:themeColor="text2"/>
      <w:sz w:val="18"/>
      <w:szCs w:val="18"/>
    </w:rPr>
  </w:style>
  <w:style w:type="paragraph" w:styleId="EndnoteText">
    <w:name w:val="endnote text"/>
    <w:basedOn w:val="Normal"/>
    <w:link w:val="EndnoteTextChar"/>
    <w:uiPriority w:val="99"/>
    <w:unhideWhenUsed/>
    <w:rsid w:val="002D25B9"/>
    <w:pPr>
      <w:spacing w:after="0" w:line="240" w:lineRule="auto"/>
    </w:pPr>
    <w:rPr>
      <w:sz w:val="20"/>
      <w:szCs w:val="20"/>
    </w:rPr>
  </w:style>
  <w:style w:type="character" w:customStyle="1" w:styleId="EndnoteTextChar">
    <w:name w:val="Endnote Text Char"/>
    <w:basedOn w:val="DefaultParagraphFont"/>
    <w:link w:val="EndnoteText"/>
    <w:uiPriority w:val="99"/>
    <w:rsid w:val="002D25B9"/>
    <w:rPr>
      <w:sz w:val="20"/>
      <w:szCs w:val="20"/>
    </w:rPr>
  </w:style>
  <w:style w:type="character" w:styleId="EndnoteReference">
    <w:name w:val="endnote reference"/>
    <w:basedOn w:val="DefaultParagraphFont"/>
    <w:uiPriority w:val="99"/>
    <w:semiHidden/>
    <w:unhideWhenUsed/>
    <w:rsid w:val="002D25B9"/>
    <w:rPr>
      <w:vertAlign w:val="superscript"/>
    </w:rPr>
  </w:style>
  <w:style w:type="paragraph" w:styleId="NormalWeb">
    <w:name w:val="Normal (Web)"/>
    <w:basedOn w:val="Normal"/>
    <w:uiPriority w:val="99"/>
    <w:semiHidden/>
    <w:unhideWhenUsed/>
    <w:rsid w:val="006C7D9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455420">
      <w:bodyDiv w:val="1"/>
      <w:marLeft w:val="0"/>
      <w:marRight w:val="0"/>
      <w:marTop w:val="0"/>
      <w:marBottom w:val="0"/>
      <w:divBdr>
        <w:top w:val="none" w:sz="0" w:space="0" w:color="auto"/>
        <w:left w:val="none" w:sz="0" w:space="0" w:color="auto"/>
        <w:bottom w:val="none" w:sz="0" w:space="0" w:color="auto"/>
        <w:right w:val="none" w:sz="0" w:space="0" w:color="auto"/>
      </w:divBdr>
    </w:div>
    <w:div w:id="739713079">
      <w:bodyDiv w:val="1"/>
      <w:marLeft w:val="0"/>
      <w:marRight w:val="0"/>
      <w:marTop w:val="0"/>
      <w:marBottom w:val="0"/>
      <w:divBdr>
        <w:top w:val="none" w:sz="0" w:space="0" w:color="auto"/>
        <w:left w:val="none" w:sz="0" w:space="0" w:color="auto"/>
        <w:bottom w:val="none" w:sz="0" w:space="0" w:color="auto"/>
        <w:right w:val="none" w:sz="0" w:space="0" w:color="auto"/>
      </w:divBdr>
    </w:div>
    <w:div w:id="1751003469">
      <w:bodyDiv w:val="1"/>
      <w:marLeft w:val="0"/>
      <w:marRight w:val="0"/>
      <w:marTop w:val="0"/>
      <w:marBottom w:val="0"/>
      <w:divBdr>
        <w:top w:val="none" w:sz="0" w:space="0" w:color="auto"/>
        <w:left w:val="none" w:sz="0" w:space="0" w:color="auto"/>
        <w:bottom w:val="none" w:sz="0" w:space="0" w:color="auto"/>
        <w:right w:val="none" w:sz="0" w:space="0" w:color="auto"/>
      </w:divBdr>
      <w:divsChild>
        <w:div w:id="1949315829">
          <w:marLeft w:val="0"/>
          <w:marRight w:val="0"/>
          <w:marTop w:val="0"/>
          <w:marBottom w:val="0"/>
          <w:divBdr>
            <w:top w:val="none" w:sz="0" w:space="0" w:color="auto"/>
            <w:left w:val="none" w:sz="0" w:space="0" w:color="auto"/>
            <w:bottom w:val="none" w:sz="0" w:space="0" w:color="auto"/>
            <w:right w:val="none" w:sz="0" w:space="0" w:color="auto"/>
          </w:divBdr>
          <w:divsChild>
            <w:div w:id="640186309">
              <w:marLeft w:val="0"/>
              <w:marRight w:val="0"/>
              <w:marTop w:val="0"/>
              <w:marBottom w:val="0"/>
              <w:divBdr>
                <w:top w:val="none" w:sz="0" w:space="0" w:color="auto"/>
                <w:left w:val="none" w:sz="0" w:space="0" w:color="auto"/>
                <w:bottom w:val="none" w:sz="0" w:space="0" w:color="auto"/>
                <w:right w:val="none" w:sz="0" w:space="0" w:color="auto"/>
              </w:divBdr>
              <w:divsChild>
                <w:div w:id="108989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002265">
      <w:bodyDiv w:val="1"/>
      <w:marLeft w:val="0"/>
      <w:marRight w:val="0"/>
      <w:marTop w:val="0"/>
      <w:marBottom w:val="0"/>
      <w:divBdr>
        <w:top w:val="none" w:sz="0" w:space="0" w:color="auto"/>
        <w:left w:val="none" w:sz="0" w:space="0" w:color="auto"/>
        <w:bottom w:val="none" w:sz="0" w:space="0" w:color="auto"/>
        <w:right w:val="none" w:sz="0" w:space="0" w:color="auto"/>
      </w:divBdr>
    </w:div>
    <w:div w:id="187978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kindermorgan.com/" TargetMode="External"/><Relationship Id="rId2" Type="http://schemas.openxmlformats.org/officeDocument/2006/relationships/hyperlink" Target="https://www.netl.doe.gov/sites/default/files/netl-file/CO2_EOR_Primer.pdf" TargetMode="External"/><Relationship Id="rId1" Type="http://schemas.openxmlformats.org/officeDocument/2006/relationships/hyperlink" Target="https://www.globalenergyinstitute.org/sites/default/files/020174_EI21_EnhancedOilRecovery_final.pdf" TargetMode="External"/><Relationship Id="rId4" Type="http://schemas.openxmlformats.org/officeDocument/2006/relationships/hyperlink" Target="http://www.ethanolproducer.com/articles/141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FA0B9-6EEE-EE4E-9C42-1F100AF99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5569</TotalTime>
  <Pages>1</Pages>
  <Words>1947</Words>
  <Characters>11102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 Easley</dc:creator>
  <cp:keywords/>
  <dc:description/>
  <cp:lastModifiedBy>Roxby Hartley</cp:lastModifiedBy>
  <cp:revision>13</cp:revision>
  <cp:lastPrinted>2019-12-11T20:02:00Z</cp:lastPrinted>
  <dcterms:created xsi:type="dcterms:W3CDTF">2020-09-16T13:16:00Z</dcterms:created>
  <dcterms:modified xsi:type="dcterms:W3CDTF">2020-11-05T00:22:00Z</dcterms:modified>
</cp:coreProperties>
</file>