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E8" w:rsidRPr="00CB0247" w:rsidRDefault="0003732F" w:rsidP="007552D1">
      <w:pPr>
        <w:tabs>
          <w:tab w:val="right" w:pos="5040"/>
        </w:tabs>
        <w:spacing w:after="0"/>
        <w:rPr>
          <w:rFonts w:ascii="Corbel" w:hAnsi="Corbel"/>
          <w:sz w:val="16"/>
          <w:szCs w:val="16"/>
        </w:rPr>
      </w:pPr>
      <w:r>
        <w:rPr>
          <w:noProof/>
        </w:rPr>
        <w:drawing>
          <wp:anchor distT="0" distB="0" distL="114300" distR="114300" simplePos="0" relativeHeight="251657728" behindDoc="1" locked="0" layoutInCell="1" allowOverlap="1" wp14:anchorId="4AE7D7F6" wp14:editId="3B54CBFD">
            <wp:simplePos x="0" y="0"/>
            <wp:positionH relativeFrom="column">
              <wp:posOffset>-228600</wp:posOffset>
            </wp:positionH>
            <wp:positionV relativeFrom="paragraph">
              <wp:posOffset>-342900</wp:posOffset>
            </wp:positionV>
            <wp:extent cx="2743200" cy="1485900"/>
            <wp:effectExtent l="19050" t="0" r="0" b="0"/>
            <wp:wrapTight wrapText="bothSides">
              <wp:wrapPolygon edited="0">
                <wp:start x="-150" y="0"/>
                <wp:lineTo x="-150" y="21323"/>
                <wp:lineTo x="21600" y="21323"/>
                <wp:lineTo x="21600" y="0"/>
                <wp:lineTo x="-150" y="0"/>
              </wp:wrapPolygon>
            </wp:wrapTight>
            <wp:docPr id="2" name="Picture 2" descr="51841 Vessels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841 Vessels LH"/>
                    <pic:cNvPicPr>
                      <a:picLocks noChangeAspect="1" noChangeArrowheads="1"/>
                    </pic:cNvPicPr>
                  </pic:nvPicPr>
                  <pic:blipFill>
                    <a:blip r:embed="rId7" cstate="print"/>
                    <a:srcRect r="54716" b="82809"/>
                    <a:stretch>
                      <a:fillRect/>
                    </a:stretch>
                  </pic:blipFill>
                  <pic:spPr bwMode="auto">
                    <a:xfrm>
                      <a:off x="0" y="0"/>
                      <a:ext cx="2743200" cy="1485900"/>
                    </a:xfrm>
                    <a:prstGeom prst="rect">
                      <a:avLst/>
                    </a:prstGeom>
                    <a:noFill/>
                    <a:ln w="9525">
                      <a:noFill/>
                      <a:miter lim="800000"/>
                      <a:headEnd/>
                      <a:tailEnd/>
                    </a:ln>
                  </pic:spPr>
                </pic:pic>
              </a:graphicData>
            </a:graphic>
          </wp:anchor>
        </w:drawing>
      </w:r>
      <w:r w:rsidR="001B3FE8">
        <w:rPr>
          <w:rFonts w:ascii="Times New Roman" w:hAnsi="Times New Roman"/>
        </w:rPr>
        <w:tab/>
      </w:r>
      <w:r w:rsidR="001B3FE8" w:rsidRPr="00CB0247">
        <w:rPr>
          <w:rFonts w:ascii="Corbel" w:hAnsi="Corbel"/>
          <w:sz w:val="16"/>
          <w:szCs w:val="16"/>
        </w:rPr>
        <w:t>730 17</w:t>
      </w:r>
      <w:r w:rsidR="001B3FE8" w:rsidRPr="00CB0247">
        <w:rPr>
          <w:rFonts w:ascii="Corbel" w:hAnsi="Corbel"/>
          <w:sz w:val="16"/>
          <w:szCs w:val="16"/>
          <w:vertAlign w:val="superscript"/>
        </w:rPr>
        <w:t>th</w:t>
      </w:r>
      <w:r w:rsidR="001B3FE8" w:rsidRPr="00CB0247">
        <w:rPr>
          <w:rFonts w:ascii="Corbel" w:hAnsi="Corbel"/>
          <w:sz w:val="16"/>
          <w:szCs w:val="16"/>
        </w:rPr>
        <w:t xml:space="preserve"> Street</w:t>
      </w:r>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t>Suite 340</w:t>
      </w:r>
      <w:r w:rsidR="00FB6900">
        <w:rPr>
          <w:rFonts w:ascii="Corbel" w:hAnsi="Corbel"/>
          <w:sz w:val="16"/>
          <w:szCs w:val="16"/>
        </w:rPr>
        <w:t>???</w:t>
      </w:r>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r>
      <w:smartTag w:uri="urn:schemas-microsoft-com:office:smarttags" w:element="place">
        <w:smartTag w:uri="urn:schemas-microsoft-com:office:smarttags" w:element="City">
          <w:r w:rsidRPr="00CB0247">
            <w:rPr>
              <w:rFonts w:ascii="Corbel" w:hAnsi="Corbel"/>
              <w:sz w:val="16"/>
              <w:szCs w:val="16"/>
            </w:rPr>
            <w:t>Denver</w:t>
          </w:r>
        </w:smartTag>
        <w:r w:rsidRPr="00CB0247">
          <w:rPr>
            <w:rFonts w:ascii="Corbel" w:hAnsi="Corbel"/>
            <w:sz w:val="16"/>
            <w:szCs w:val="16"/>
          </w:rPr>
          <w:t xml:space="preserve">, </w:t>
        </w:r>
        <w:smartTag w:uri="urn:schemas-microsoft-com:office:smarttags" w:element="State">
          <w:r w:rsidRPr="00CB0247">
            <w:rPr>
              <w:rFonts w:ascii="Corbel" w:hAnsi="Corbel"/>
              <w:sz w:val="16"/>
              <w:szCs w:val="16"/>
            </w:rPr>
            <w:t>Colorado</w:t>
          </w:r>
        </w:smartTag>
        <w:r w:rsidRPr="00CB0247">
          <w:rPr>
            <w:rFonts w:ascii="Corbel" w:hAnsi="Corbel"/>
            <w:sz w:val="16"/>
            <w:szCs w:val="16"/>
          </w:rPr>
          <w:t xml:space="preserve"> </w:t>
        </w:r>
        <w:smartTag w:uri="urn:schemas-microsoft-com:office:smarttags" w:element="PostalCode">
          <w:r w:rsidRPr="00CB0247">
            <w:rPr>
              <w:rFonts w:ascii="Corbel" w:hAnsi="Corbel"/>
              <w:sz w:val="16"/>
              <w:szCs w:val="16"/>
            </w:rPr>
            <w:t>80202</w:t>
          </w:r>
        </w:smartTag>
      </w:smartTag>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r>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t>Office</w:t>
      </w:r>
      <w:r w:rsidR="00CB0247">
        <w:rPr>
          <w:rFonts w:ascii="Corbel" w:hAnsi="Corbel"/>
          <w:sz w:val="16"/>
          <w:szCs w:val="16"/>
        </w:rPr>
        <w:t xml:space="preserve">: </w:t>
      </w:r>
      <w:r w:rsidRPr="00CB0247">
        <w:rPr>
          <w:rFonts w:ascii="Corbel" w:hAnsi="Corbel"/>
          <w:sz w:val="16"/>
          <w:szCs w:val="16"/>
        </w:rPr>
        <w:t xml:space="preserve"> 303-534-0488</w:t>
      </w:r>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t>Fax</w:t>
      </w:r>
      <w:r w:rsidR="00CB0247">
        <w:rPr>
          <w:rFonts w:ascii="Corbel" w:hAnsi="Corbel"/>
          <w:sz w:val="16"/>
          <w:szCs w:val="16"/>
        </w:rPr>
        <w:t xml:space="preserve">: </w:t>
      </w:r>
      <w:r w:rsidRPr="00CB0247">
        <w:rPr>
          <w:rFonts w:ascii="Corbel" w:hAnsi="Corbel"/>
          <w:sz w:val="16"/>
          <w:szCs w:val="16"/>
        </w:rPr>
        <w:t xml:space="preserve"> 303-534-0487</w:t>
      </w:r>
    </w:p>
    <w:p w:rsidR="001B3FE8" w:rsidRPr="00CB0247" w:rsidRDefault="00A37187" w:rsidP="007552D1">
      <w:pPr>
        <w:tabs>
          <w:tab w:val="right" w:pos="5040"/>
        </w:tabs>
        <w:spacing w:after="0"/>
        <w:rPr>
          <w:rFonts w:ascii="Corbel" w:hAnsi="Corbel"/>
          <w:sz w:val="16"/>
          <w:szCs w:val="16"/>
        </w:rPr>
      </w:pPr>
      <w:r>
        <w:rPr>
          <w:rFonts w:ascii="Corbel" w:hAnsi="Corbel"/>
          <w:sz w:val="16"/>
          <w:szCs w:val="16"/>
        </w:rPr>
        <w:tab/>
        <w:t>tvessels@vesselscoalgas.com</w:t>
      </w:r>
    </w:p>
    <w:p w:rsidR="00A37187" w:rsidRDefault="00A37187" w:rsidP="00A37187">
      <w:pPr>
        <w:jc w:val="both"/>
      </w:pPr>
    </w:p>
    <w:p w:rsidR="005E1CA8" w:rsidRPr="005E1CA8" w:rsidRDefault="00ED1ED5" w:rsidP="00A37187">
      <w:pPr>
        <w:jc w:val="both"/>
        <w:rPr>
          <w:rFonts w:ascii="Times New Roman" w:hAnsi="Times New Roman"/>
          <w:sz w:val="24"/>
          <w:szCs w:val="24"/>
        </w:rPr>
      </w:pPr>
      <w:r>
        <w:rPr>
          <w:rFonts w:ascii="Times New Roman" w:hAnsi="Times New Roman"/>
          <w:sz w:val="24"/>
          <w:szCs w:val="24"/>
        </w:rPr>
        <w:t xml:space="preserve">November </w:t>
      </w:r>
      <w:r w:rsidR="00F60531">
        <w:rPr>
          <w:rFonts w:ascii="Times New Roman" w:hAnsi="Times New Roman"/>
          <w:sz w:val="24"/>
          <w:szCs w:val="24"/>
        </w:rPr>
        <w:t>4</w:t>
      </w:r>
      <w:r>
        <w:rPr>
          <w:rFonts w:ascii="Times New Roman" w:hAnsi="Times New Roman"/>
          <w:sz w:val="24"/>
          <w:szCs w:val="24"/>
        </w:rPr>
        <w:t>, 2016</w:t>
      </w:r>
    </w:p>
    <w:p w:rsidR="00F60531" w:rsidRDefault="00F60531" w:rsidP="003622BB">
      <w:pPr>
        <w:spacing w:after="0"/>
        <w:jc w:val="both"/>
        <w:rPr>
          <w:rFonts w:ascii="Times New Roman" w:hAnsi="Times New Roman"/>
          <w:sz w:val="24"/>
          <w:szCs w:val="24"/>
        </w:rPr>
      </w:pPr>
      <w:r>
        <w:rPr>
          <w:rFonts w:ascii="Times New Roman" w:hAnsi="Times New Roman"/>
          <w:sz w:val="24"/>
          <w:szCs w:val="24"/>
        </w:rPr>
        <w:t>Comments on:  Cap and Trade Regulations Amendment Workshop.</w:t>
      </w:r>
    </w:p>
    <w:p w:rsidR="00F60531" w:rsidRDefault="00F60531" w:rsidP="003622BB">
      <w:pPr>
        <w:spacing w:after="0"/>
        <w:jc w:val="both"/>
        <w:rPr>
          <w:rFonts w:ascii="Times New Roman" w:hAnsi="Times New Roman"/>
          <w:sz w:val="24"/>
          <w:szCs w:val="24"/>
        </w:rPr>
      </w:pPr>
    </w:p>
    <w:p w:rsidR="00F60531" w:rsidRDefault="00F60531" w:rsidP="00F60531">
      <w:pPr>
        <w:spacing w:after="0"/>
        <w:jc w:val="both"/>
        <w:rPr>
          <w:rFonts w:ascii="Times New Roman" w:hAnsi="Times New Roman"/>
          <w:sz w:val="24"/>
          <w:szCs w:val="24"/>
        </w:rPr>
      </w:pPr>
      <w:r>
        <w:rPr>
          <w:rFonts w:ascii="Times New Roman" w:hAnsi="Times New Roman"/>
          <w:sz w:val="24"/>
          <w:szCs w:val="24"/>
        </w:rPr>
        <w:t>Greetings ARB Board and Staff,</w:t>
      </w:r>
    </w:p>
    <w:p w:rsidR="00F60531" w:rsidRDefault="00F60531" w:rsidP="003622BB">
      <w:pPr>
        <w:spacing w:after="0"/>
        <w:jc w:val="both"/>
        <w:rPr>
          <w:rFonts w:ascii="Times New Roman" w:hAnsi="Times New Roman"/>
          <w:sz w:val="24"/>
          <w:szCs w:val="24"/>
        </w:rPr>
      </w:pPr>
    </w:p>
    <w:p w:rsidR="00CA5528" w:rsidRDefault="00CA5528" w:rsidP="008A0F33">
      <w:pPr>
        <w:spacing w:after="0"/>
        <w:jc w:val="center"/>
        <w:rPr>
          <w:rFonts w:ascii="Times New Roman" w:hAnsi="Times New Roman"/>
          <w:b/>
          <w:noProof/>
          <w:sz w:val="24"/>
          <w:szCs w:val="24"/>
        </w:rPr>
      </w:pPr>
    </w:p>
    <w:p w:rsidR="00CA5528" w:rsidRDefault="00CA5528" w:rsidP="00CA5528">
      <w:pPr>
        <w:spacing w:after="0"/>
        <w:rPr>
          <w:rFonts w:ascii="Times New Roman" w:hAnsi="Times New Roman"/>
          <w:sz w:val="24"/>
          <w:szCs w:val="24"/>
        </w:rPr>
      </w:pPr>
      <w:r>
        <w:rPr>
          <w:rFonts w:ascii="Times New Roman" w:hAnsi="Times New Roman"/>
          <w:sz w:val="24"/>
          <w:szCs w:val="24"/>
        </w:rPr>
        <w:t>If the only goal of the California Cap and Trade system was to slow climate change so humanity had more time to adapt then it would be reasonable to take the following steps:</w:t>
      </w:r>
    </w:p>
    <w:p w:rsidR="00CA5528" w:rsidRDefault="00CA5528" w:rsidP="008A0F33">
      <w:pPr>
        <w:spacing w:after="0"/>
        <w:jc w:val="center"/>
        <w:rPr>
          <w:rFonts w:ascii="Times New Roman" w:hAnsi="Times New Roman"/>
          <w:b/>
          <w:noProof/>
          <w:sz w:val="24"/>
          <w:szCs w:val="24"/>
        </w:rPr>
      </w:pPr>
    </w:p>
    <w:p w:rsidR="00150A1B" w:rsidRPr="00ED1ED5" w:rsidRDefault="00150A1B" w:rsidP="00150A1B">
      <w:pPr>
        <w:pStyle w:val="ListParagraph"/>
        <w:numPr>
          <w:ilvl w:val="0"/>
          <w:numId w:val="17"/>
        </w:numPr>
        <w:spacing w:after="0"/>
        <w:rPr>
          <w:rFonts w:ascii="Times New Roman" w:hAnsi="Times New Roman"/>
          <w:sz w:val="24"/>
          <w:szCs w:val="24"/>
        </w:rPr>
      </w:pPr>
      <w:r w:rsidRPr="00ED1ED5">
        <w:rPr>
          <w:rFonts w:ascii="Times New Roman" w:hAnsi="Times New Roman"/>
          <w:sz w:val="24"/>
          <w:szCs w:val="24"/>
        </w:rPr>
        <w:t>Join or become affiliated with the Climate and Clean Air Coalition.</w:t>
      </w:r>
    </w:p>
    <w:p w:rsidR="00150A1B" w:rsidRDefault="00150A1B" w:rsidP="00150A1B">
      <w:pPr>
        <w:pStyle w:val="ListParagraph"/>
        <w:numPr>
          <w:ilvl w:val="0"/>
          <w:numId w:val="17"/>
        </w:numPr>
        <w:spacing w:after="0"/>
        <w:rPr>
          <w:rFonts w:ascii="Times New Roman" w:hAnsi="Times New Roman"/>
          <w:sz w:val="24"/>
          <w:szCs w:val="24"/>
        </w:rPr>
      </w:pPr>
      <w:r w:rsidRPr="00ED1ED5">
        <w:rPr>
          <w:rFonts w:ascii="Times New Roman" w:hAnsi="Times New Roman"/>
          <w:sz w:val="24"/>
          <w:szCs w:val="24"/>
        </w:rPr>
        <w:t>Adopt methane emission reduction</w:t>
      </w:r>
      <w:r>
        <w:rPr>
          <w:rFonts w:ascii="Times New Roman" w:hAnsi="Times New Roman"/>
          <w:sz w:val="24"/>
          <w:szCs w:val="24"/>
        </w:rPr>
        <w:t>s</w:t>
      </w:r>
      <w:r w:rsidRPr="00ED1ED5">
        <w:rPr>
          <w:rFonts w:ascii="Times New Roman" w:hAnsi="Times New Roman"/>
          <w:sz w:val="24"/>
          <w:szCs w:val="24"/>
        </w:rPr>
        <w:t xml:space="preserve"> as the primary strategy to slow climate change.</w:t>
      </w:r>
    </w:p>
    <w:p w:rsidR="00150A1B" w:rsidRPr="00ED1ED5" w:rsidRDefault="00150A1B" w:rsidP="00150A1B">
      <w:pPr>
        <w:pStyle w:val="ListParagraph"/>
        <w:numPr>
          <w:ilvl w:val="0"/>
          <w:numId w:val="17"/>
        </w:numPr>
        <w:spacing w:after="0"/>
        <w:rPr>
          <w:rFonts w:ascii="Times New Roman" w:hAnsi="Times New Roman"/>
          <w:sz w:val="24"/>
          <w:szCs w:val="24"/>
        </w:rPr>
      </w:pPr>
      <w:r>
        <w:rPr>
          <w:rFonts w:ascii="Times New Roman" w:hAnsi="Times New Roman"/>
          <w:sz w:val="24"/>
          <w:szCs w:val="24"/>
        </w:rPr>
        <w:t>Disregard the distinction of anthropogenic or fossil sourced methane in favor of reducing any methane emission regardless of its source.</w:t>
      </w:r>
    </w:p>
    <w:p w:rsidR="00150A1B" w:rsidRPr="00ED1ED5" w:rsidRDefault="00150A1B" w:rsidP="00150A1B">
      <w:pPr>
        <w:pStyle w:val="ListParagraph"/>
        <w:numPr>
          <w:ilvl w:val="0"/>
          <w:numId w:val="17"/>
        </w:numPr>
        <w:spacing w:after="0"/>
        <w:rPr>
          <w:rFonts w:ascii="Times New Roman" w:hAnsi="Times New Roman"/>
          <w:sz w:val="24"/>
          <w:szCs w:val="24"/>
        </w:rPr>
      </w:pPr>
      <w:r w:rsidRPr="00ED1ED5">
        <w:rPr>
          <w:rFonts w:ascii="Times New Roman" w:hAnsi="Times New Roman"/>
          <w:sz w:val="24"/>
          <w:szCs w:val="24"/>
        </w:rPr>
        <w:t>Adopt the IPCC 2013 5</w:t>
      </w:r>
      <w:r w:rsidRPr="00ED1ED5">
        <w:rPr>
          <w:rFonts w:ascii="Times New Roman" w:hAnsi="Times New Roman"/>
          <w:sz w:val="24"/>
          <w:szCs w:val="24"/>
          <w:vertAlign w:val="superscript"/>
        </w:rPr>
        <w:t>th</w:t>
      </w:r>
      <w:r w:rsidRPr="00ED1ED5">
        <w:rPr>
          <w:rFonts w:ascii="Times New Roman" w:hAnsi="Times New Roman"/>
          <w:sz w:val="24"/>
          <w:szCs w:val="24"/>
        </w:rPr>
        <w:t xml:space="preserve"> Assessment Report</w:t>
      </w:r>
      <w:r w:rsidR="00E23C12">
        <w:rPr>
          <w:rFonts w:ascii="Times New Roman" w:hAnsi="Times New Roman"/>
          <w:sz w:val="24"/>
          <w:szCs w:val="24"/>
        </w:rPr>
        <w:t xml:space="preserve">’s </w:t>
      </w:r>
      <w:r w:rsidRPr="00ED1ED5">
        <w:rPr>
          <w:rFonts w:ascii="Times New Roman" w:hAnsi="Times New Roman"/>
          <w:sz w:val="24"/>
          <w:szCs w:val="24"/>
        </w:rPr>
        <w:t xml:space="preserve">20 year Global Warming Potential value for Methane.  </w:t>
      </w:r>
    </w:p>
    <w:p w:rsidR="00150A1B" w:rsidRDefault="00150A1B" w:rsidP="00150A1B">
      <w:pPr>
        <w:pStyle w:val="ListParagraph"/>
        <w:numPr>
          <w:ilvl w:val="0"/>
          <w:numId w:val="17"/>
        </w:numPr>
        <w:spacing w:after="0"/>
        <w:rPr>
          <w:rFonts w:ascii="Times New Roman" w:hAnsi="Times New Roman"/>
          <w:sz w:val="24"/>
          <w:szCs w:val="24"/>
        </w:rPr>
      </w:pPr>
      <w:r w:rsidRPr="00ED1ED5">
        <w:rPr>
          <w:rFonts w:ascii="Times New Roman" w:hAnsi="Times New Roman"/>
          <w:sz w:val="24"/>
          <w:szCs w:val="24"/>
        </w:rPr>
        <w:t>Increase the % of Offsets that can be utilized in lieu of Allowances.</w:t>
      </w:r>
    </w:p>
    <w:p w:rsidR="00B609A2" w:rsidRPr="00ED1ED5" w:rsidRDefault="00B609A2" w:rsidP="00150A1B">
      <w:pPr>
        <w:pStyle w:val="ListParagraph"/>
        <w:numPr>
          <w:ilvl w:val="0"/>
          <w:numId w:val="17"/>
        </w:numPr>
        <w:spacing w:after="0"/>
        <w:rPr>
          <w:rFonts w:ascii="Times New Roman" w:hAnsi="Times New Roman"/>
          <w:sz w:val="24"/>
          <w:szCs w:val="24"/>
        </w:rPr>
      </w:pPr>
      <w:r>
        <w:rPr>
          <w:rFonts w:ascii="Times New Roman" w:hAnsi="Times New Roman"/>
          <w:sz w:val="24"/>
          <w:szCs w:val="24"/>
        </w:rPr>
        <w:t>Eliminate invalidation risk from any factors outside of the GHG reduction projects.</w:t>
      </w:r>
    </w:p>
    <w:p w:rsidR="00150A1B" w:rsidRPr="00ED1ED5" w:rsidRDefault="00150A1B" w:rsidP="00150A1B">
      <w:pPr>
        <w:pStyle w:val="ListParagraph"/>
        <w:numPr>
          <w:ilvl w:val="0"/>
          <w:numId w:val="17"/>
        </w:numPr>
        <w:spacing w:after="0"/>
        <w:rPr>
          <w:rFonts w:ascii="Times New Roman" w:hAnsi="Times New Roman"/>
          <w:sz w:val="24"/>
          <w:szCs w:val="24"/>
        </w:rPr>
      </w:pPr>
      <w:r w:rsidRPr="00ED1ED5">
        <w:rPr>
          <w:rFonts w:ascii="Times New Roman" w:hAnsi="Times New Roman"/>
          <w:sz w:val="24"/>
          <w:szCs w:val="24"/>
        </w:rPr>
        <w:t>Persuade California and Western Climate Initiative Utility Commissions to accept electricity generated from projects that are deemed eligible for ARB Cap and Trade as renewable energy (this would encourage electricity generation rather than flaring of waste methane).</w:t>
      </w:r>
    </w:p>
    <w:p w:rsidR="00150A1B" w:rsidRPr="00BD4E2D" w:rsidRDefault="00150A1B" w:rsidP="008A0F33">
      <w:pPr>
        <w:spacing w:after="0"/>
        <w:jc w:val="center"/>
        <w:rPr>
          <w:rFonts w:ascii="Times New Roman" w:hAnsi="Times New Roman"/>
          <w:b/>
          <w:noProof/>
          <w:sz w:val="24"/>
          <w:szCs w:val="24"/>
        </w:rPr>
      </w:pPr>
    </w:p>
    <w:p w:rsidR="008A0F33" w:rsidRDefault="008A0F33" w:rsidP="008A0F33">
      <w:pPr>
        <w:spacing w:after="0"/>
        <w:rPr>
          <w:noProof/>
        </w:rPr>
      </w:pPr>
      <w:r w:rsidRPr="00536531">
        <w:rPr>
          <w:rFonts w:ascii="Times New Roman" w:hAnsi="Times New Roman"/>
          <w:noProof/>
          <w:sz w:val="24"/>
          <w:szCs w:val="24"/>
        </w:rPr>
        <w:lastRenderedPageBreak/>
        <w:drawing>
          <wp:inline distT="0" distB="0" distL="0" distR="0" wp14:anchorId="4CA90976" wp14:editId="0BDCE4F0">
            <wp:extent cx="6096851" cy="34294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rsidR="008A0F33" w:rsidRDefault="008A0F33" w:rsidP="008A0F33">
      <w:pPr>
        <w:spacing w:after="0"/>
        <w:rPr>
          <w:rFonts w:ascii="Times New Roman" w:hAnsi="Times New Roman"/>
          <w:noProof/>
          <w:sz w:val="24"/>
          <w:szCs w:val="24"/>
        </w:rPr>
      </w:pPr>
    </w:p>
    <w:p w:rsidR="008A0F33" w:rsidRDefault="008A0F33" w:rsidP="008A0F33">
      <w:pPr>
        <w:spacing w:after="0"/>
        <w:jc w:val="both"/>
        <w:rPr>
          <w:rFonts w:ascii="Times New Roman" w:hAnsi="Times New Roman"/>
          <w:sz w:val="24"/>
          <w:szCs w:val="24"/>
        </w:rPr>
      </w:pPr>
      <w:r>
        <w:rPr>
          <w:rFonts w:ascii="Times New Roman" w:hAnsi="Times New Roman"/>
          <w:sz w:val="24"/>
          <w:szCs w:val="24"/>
        </w:rPr>
        <w:t>Scientific findings are ahead of policy and economic activity.  The EPA and state of California still use the conventional</w:t>
      </w:r>
      <w:r w:rsidR="007568F4">
        <w:rPr>
          <w:rFonts w:ascii="Times New Roman" w:hAnsi="Times New Roman"/>
          <w:sz w:val="24"/>
          <w:szCs w:val="24"/>
        </w:rPr>
        <w:t xml:space="preserve"> time period of a</w:t>
      </w:r>
      <w:r>
        <w:rPr>
          <w:rFonts w:ascii="Times New Roman" w:hAnsi="Times New Roman"/>
          <w:sz w:val="24"/>
          <w:szCs w:val="24"/>
        </w:rPr>
        <w:t xml:space="preserve"> hundred</w:t>
      </w:r>
      <w:r w:rsidR="008154B0">
        <w:rPr>
          <w:rFonts w:ascii="Times New Roman" w:hAnsi="Times New Roman"/>
          <w:sz w:val="24"/>
          <w:szCs w:val="24"/>
        </w:rPr>
        <w:t xml:space="preserve"> </w:t>
      </w:r>
      <w:r>
        <w:rPr>
          <w:rFonts w:ascii="Times New Roman" w:hAnsi="Times New Roman"/>
          <w:sz w:val="24"/>
          <w:szCs w:val="24"/>
        </w:rPr>
        <w:t>year</w:t>
      </w:r>
      <w:r w:rsidR="007568F4">
        <w:rPr>
          <w:rFonts w:ascii="Times New Roman" w:hAnsi="Times New Roman"/>
          <w:sz w:val="24"/>
          <w:szCs w:val="24"/>
        </w:rPr>
        <w:t>s</w:t>
      </w:r>
      <w:r>
        <w:rPr>
          <w:rFonts w:ascii="Times New Roman" w:hAnsi="Times New Roman"/>
          <w:sz w:val="24"/>
          <w:szCs w:val="24"/>
        </w:rPr>
        <w:t xml:space="preserve"> for comparing the Global Warming Potential of greenhouse gases.  That convention was adopted around 1990 when scientists believed</w:t>
      </w:r>
      <w:r w:rsidR="007568F4">
        <w:rPr>
          <w:rFonts w:ascii="Times New Roman" w:hAnsi="Times New Roman"/>
          <w:sz w:val="24"/>
          <w:szCs w:val="24"/>
        </w:rPr>
        <w:t xml:space="preserve"> it would be a hundred years before</w:t>
      </w:r>
      <w:r>
        <w:rPr>
          <w:rFonts w:ascii="Times New Roman" w:hAnsi="Times New Roman"/>
          <w:sz w:val="24"/>
          <w:szCs w:val="24"/>
        </w:rPr>
        <w:t xml:space="preserve"> serious climate change </w:t>
      </w:r>
      <w:r w:rsidR="007568F4">
        <w:rPr>
          <w:rFonts w:ascii="Times New Roman" w:hAnsi="Times New Roman"/>
          <w:sz w:val="24"/>
          <w:szCs w:val="24"/>
        </w:rPr>
        <w:t>would</w:t>
      </w:r>
      <w:r>
        <w:rPr>
          <w:rFonts w:ascii="Times New Roman" w:hAnsi="Times New Roman"/>
          <w:sz w:val="24"/>
          <w:szCs w:val="24"/>
        </w:rPr>
        <w:t xml:space="preserve"> </w:t>
      </w:r>
      <w:r w:rsidR="007568F4">
        <w:rPr>
          <w:rFonts w:ascii="Times New Roman" w:hAnsi="Times New Roman"/>
          <w:sz w:val="24"/>
          <w:szCs w:val="24"/>
        </w:rPr>
        <w:t>occur.</w:t>
      </w:r>
      <w:r>
        <w:rPr>
          <w:rFonts w:ascii="Times New Roman" w:hAnsi="Times New Roman"/>
          <w:sz w:val="24"/>
          <w:szCs w:val="24"/>
        </w:rPr>
        <w:t xml:space="preserve">  Climate research discovered the atmosphere was warming faster than the early climate models had predicted.  In 2012 a scientific finding was published in the magazine Science stating that methane and black carbon were the two most important emissions to reduce to slow climate change or global warming.  Methane and black carbon, Short Lived Climate Pollutants (SLCPS), were found to have a much more powerful near term impact on global warming then the longer term impact of CO2.  Attention is now focused on a 20</w:t>
      </w:r>
      <w:r w:rsidR="008154B0">
        <w:rPr>
          <w:rFonts w:ascii="Times New Roman" w:hAnsi="Times New Roman"/>
          <w:sz w:val="24"/>
          <w:szCs w:val="24"/>
        </w:rPr>
        <w:t xml:space="preserve"> </w:t>
      </w:r>
      <w:r>
        <w:rPr>
          <w:rFonts w:ascii="Times New Roman" w:hAnsi="Times New Roman"/>
          <w:sz w:val="24"/>
          <w:szCs w:val="24"/>
        </w:rPr>
        <w:t>year time period as the critical time frame in which to take action.  In 2014 a number of countries, scientists, and the United Nations Environment Program formed the Climate and Clean Air Coalition (CCAC) to concentrate on research and programs to reduce SLCPS.  In March of this year the Global Methane Forum, jointly conducted by the Global Methane Initiative (GMI) and the CCAC</w:t>
      </w:r>
      <w:r w:rsidR="00723A90">
        <w:rPr>
          <w:rFonts w:ascii="Times New Roman" w:hAnsi="Times New Roman"/>
          <w:sz w:val="24"/>
          <w:szCs w:val="24"/>
        </w:rPr>
        <w:t xml:space="preserve"> at Georgetown University</w:t>
      </w:r>
      <w:r>
        <w:rPr>
          <w:rFonts w:ascii="Times New Roman" w:hAnsi="Times New Roman"/>
          <w:sz w:val="24"/>
          <w:szCs w:val="24"/>
        </w:rPr>
        <w:t xml:space="preserve"> methane was announced as the number one greenhouse gas to control.  </w:t>
      </w:r>
      <w:r w:rsidR="00723A90">
        <w:rPr>
          <w:rFonts w:ascii="Times New Roman" w:hAnsi="Times New Roman"/>
          <w:sz w:val="24"/>
          <w:szCs w:val="24"/>
        </w:rPr>
        <w:t xml:space="preserve">The presentation was made </w:t>
      </w:r>
      <w:r w:rsidR="00723A90" w:rsidRPr="004A2EEE">
        <w:rPr>
          <w:rFonts w:ascii="Times New Roman" w:hAnsi="Times New Roman"/>
          <w:sz w:val="24"/>
          <w:szCs w:val="24"/>
        </w:rPr>
        <w:t xml:space="preserve">by </w:t>
      </w:r>
      <w:r w:rsidR="00723A90" w:rsidRPr="007B6145">
        <w:rPr>
          <w:rFonts w:ascii="Times New Roman" w:hAnsi="Times New Roman"/>
          <w:sz w:val="24"/>
          <w:szCs w:val="24"/>
        </w:rPr>
        <w:t xml:space="preserve">Johan </w:t>
      </w:r>
      <w:proofErr w:type="spellStart"/>
      <w:r w:rsidR="00723A90" w:rsidRPr="007B6145">
        <w:rPr>
          <w:rFonts w:ascii="Times New Roman" w:hAnsi="Times New Roman"/>
          <w:sz w:val="24"/>
          <w:szCs w:val="24"/>
        </w:rPr>
        <w:t>Kuylenstierna</w:t>
      </w:r>
      <w:proofErr w:type="spellEnd"/>
      <w:r w:rsidR="00723A90" w:rsidRPr="007B6145">
        <w:rPr>
          <w:rFonts w:ascii="Times New Roman" w:hAnsi="Times New Roman"/>
          <w:sz w:val="24"/>
          <w:szCs w:val="24"/>
        </w:rPr>
        <w:t xml:space="preserve">, Deputy Director, Stockholm Environment Institute, University of York, CCAC Science Advisory Panel (UK) and Drew </w:t>
      </w:r>
      <w:proofErr w:type="spellStart"/>
      <w:r w:rsidR="00723A90" w:rsidRPr="007B6145">
        <w:rPr>
          <w:rFonts w:ascii="Times New Roman" w:hAnsi="Times New Roman"/>
          <w:sz w:val="24"/>
          <w:szCs w:val="24"/>
        </w:rPr>
        <w:t>Shindell</w:t>
      </w:r>
      <w:proofErr w:type="spellEnd"/>
      <w:r w:rsidR="00723A90" w:rsidRPr="007B6145">
        <w:rPr>
          <w:rFonts w:ascii="Times New Roman" w:hAnsi="Times New Roman"/>
          <w:sz w:val="24"/>
          <w:szCs w:val="24"/>
        </w:rPr>
        <w:t>, Duke University, CCAC Science Advisory Panel (USA)</w:t>
      </w:r>
      <w:r w:rsidR="004A2EEE" w:rsidRPr="007B6145">
        <w:rPr>
          <w:rFonts w:ascii="Times New Roman" w:hAnsi="Times New Roman"/>
          <w:sz w:val="24"/>
          <w:szCs w:val="24"/>
        </w:rPr>
        <w:t>.</w:t>
      </w:r>
      <w:r w:rsidR="004A2EEE">
        <w:rPr>
          <w:rFonts w:ascii="Times New Roman" w:hAnsi="Times New Roman"/>
          <w:sz w:val="24"/>
          <w:szCs w:val="24"/>
        </w:rPr>
        <w:t xml:space="preserve">  The title of their presentation was, “</w:t>
      </w:r>
      <w:r w:rsidR="004A2EEE" w:rsidRPr="004A2EEE">
        <w:rPr>
          <w:rFonts w:ascii="Times New Roman" w:hAnsi="Times New Roman"/>
          <w:sz w:val="24"/>
          <w:szCs w:val="24"/>
        </w:rPr>
        <w:t>What Science Tells us: why methane is important</w:t>
      </w:r>
      <w:r w:rsidR="004A2EEE">
        <w:rPr>
          <w:rFonts w:ascii="Times New Roman" w:hAnsi="Times New Roman"/>
          <w:sz w:val="24"/>
          <w:szCs w:val="24"/>
        </w:rPr>
        <w:t>.” The scientists have calculated that the more accurate Global Warming Potential Factors for methane are 1</w:t>
      </w:r>
      <w:r w:rsidR="007B6145">
        <w:rPr>
          <w:rFonts w:ascii="Times New Roman" w:hAnsi="Times New Roman"/>
          <w:sz w:val="24"/>
          <w:szCs w:val="24"/>
        </w:rPr>
        <w:t>00 for a twenty</w:t>
      </w:r>
      <w:r w:rsidR="004A2EEE">
        <w:rPr>
          <w:rFonts w:ascii="Times New Roman" w:hAnsi="Times New Roman"/>
          <w:sz w:val="24"/>
          <w:szCs w:val="24"/>
        </w:rPr>
        <w:t xml:space="preserve"> year time period and 40 for a </w:t>
      </w:r>
      <w:r w:rsidR="007B6145">
        <w:rPr>
          <w:rFonts w:ascii="Times New Roman" w:hAnsi="Times New Roman"/>
          <w:sz w:val="24"/>
          <w:szCs w:val="24"/>
        </w:rPr>
        <w:t xml:space="preserve">hundred year time period.  </w:t>
      </w:r>
      <w:r>
        <w:rPr>
          <w:rFonts w:ascii="Times New Roman" w:hAnsi="Times New Roman"/>
          <w:sz w:val="24"/>
          <w:szCs w:val="24"/>
        </w:rPr>
        <w:t>The following chart illustrates the differences between the current GWP calculated by scientists and the earlier GWPS still used by government agencies.</w:t>
      </w:r>
    </w:p>
    <w:p w:rsidR="008A0F33" w:rsidRDefault="008A0F33" w:rsidP="008A0F33">
      <w:pPr>
        <w:spacing w:after="0"/>
        <w:jc w:val="both"/>
        <w:rPr>
          <w:rFonts w:ascii="Times New Roman" w:hAnsi="Times New Roman"/>
          <w:sz w:val="24"/>
          <w:szCs w:val="24"/>
        </w:rPr>
      </w:pPr>
    </w:p>
    <w:p w:rsidR="008A0F33" w:rsidRDefault="008A0F33" w:rsidP="008A0F33">
      <w:pPr>
        <w:spacing w:after="0"/>
        <w:jc w:val="both"/>
        <w:rPr>
          <w:rFonts w:ascii="Times New Roman" w:hAnsi="Times New Roman"/>
          <w:sz w:val="24"/>
          <w:szCs w:val="24"/>
        </w:rPr>
      </w:pPr>
    </w:p>
    <w:p w:rsidR="008A0F33" w:rsidRDefault="008A0F33" w:rsidP="008A0F33">
      <w:pPr>
        <w:spacing w:after="0"/>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34478256" wp14:editId="365FEB18">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0F33" w:rsidRDefault="008A0F33" w:rsidP="008A0F33">
      <w:pPr>
        <w:spacing w:after="0"/>
        <w:jc w:val="both"/>
        <w:rPr>
          <w:rFonts w:ascii="Times New Roman" w:hAnsi="Times New Roman"/>
          <w:sz w:val="24"/>
          <w:szCs w:val="24"/>
        </w:rPr>
      </w:pPr>
      <w:r>
        <w:rPr>
          <w:rFonts w:ascii="Times New Roman" w:hAnsi="Times New Roman"/>
          <w:sz w:val="24"/>
          <w:szCs w:val="24"/>
        </w:rPr>
        <w:t>This year the CCAC reported their GWP of 100 for a 20</w:t>
      </w:r>
      <w:r w:rsidR="002A65DE">
        <w:rPr>
          <w:rFonts w:ascii="Times New Roman" w:hAnsi="Times New Roman"/>
          <w:sz w:val="24"/>
          <w:szCs w:val="24"/>
        </w:rPr>
        <w:t xml:space="preserve"> </w:t>
      </w:r>
      <w:r>
        <w:rPr>
          <w:rFonts w:ascii="Times New Roman" w:hAnsi="Times New Roman"/>
          <w:sz w:val="24"/>
          <w:szCs w:val="24"/>
        </w:rPr>
        <w:t>year time period and a GWP of 40 for a 100 year time period. The most recent Assessment Report (AR) by the International Panel on Climate Change was in 2013.  The EPA on their web site refer to the IPCC factors</w:t>
      </w:r>
      <w:r w:rsidR="007B6145">
        <w:rPr>
          <w:rFonts w:ascii="Times New Roman" w:hAnsi="Times New Roman"/>
          <w:sz w:val="24"/>
          <w:szCs w:val="24"/>
        </w:rPr>
        <w:t xml:space="preserve"> in the 5</w:t>
      </w:r>
      <w:r w:rsidR="007B6145" w:rsidRPr="007B6145">
        <w:rPr>
          <w:rFonts w:ascii="Times New Roman" w:hAnsi="Times New Roman"/>
          <w:sz w:val="24"/>
          <w:szCs w:val="24"/>
          <w:vertAlign w:val="superscript"/>
        </w:rPr>
        <w:t>th</w:t>
      </w:r>
      <w:r w:rsidR="007B6145">
        <w:rPr>
          <w:rFonts w:ascii="Times New Roman" w:hAnsi="Times New Roman"/>
          <w:sz w:val="24"/>
          <w:szCs w:val="24"/>
        </w:rPr>
        <w:t xml:space="preserve"> AR</w:t>
      </w:r>
      <w:r>
        <w:rPr>
          <w:rFonts w:ascii="Times New Roman" w:hAnsi="Times New Roman"/>
          <w:sz w:val="24"/>
          <w:szCs w:val="24"/>
        </w:rPr>
        <w:t xml:space="preserve">.  However the EPA’s convention used for domestic greenhouse gas reporting still follows an earlier 2007 IPCC Assessment Report and still follows the 100 year time span with a GWP of methane at 25.  </w:t>
      </w:r>
      <w:r w:rsidR="007B6145">
        <w:rPr>
          <w:rFonts w:ascii="Times New Roman" w:hAnsi="Times New Roman"/>
          <w:sz w:val="24"/>
          <w:szCs w:val="24"/>
        </w:rPr>
        <w:t xml:space="preserve">For the Cap and Trade System in California </w:t>
      </w:r>
      <w:r>
        <w:rPr>
          <w:rFonts w:ascii="Times New Roman" w:hAnsi="Times New Roman"/>
          <w:sz w:val="24"/>
          <w:szCs w:val="24"/>
        </w:rPr>
        <w:t xml:space="preserve">CARB uses the even earlier 1995 Assessment Report from the EPA that referred to the IPCC AR of 1995 and uses a GWP for methane of 21 which was based on a 100 year time frame.  The most current CCAC 20 year time GWP is 5 times that used by the state of California.  </w:t>
      </w:r>
    </w:p>
    <w:p w:rsidR="008A0F33" w:rsidRDefault="008A0F33" w:rsidP="008A0F33">
      <w:pPr>
        <w:spacing w:after="0"/>
        <w:jc w:val="both"/>
        <w:rPr>
          <w:rFonts w:ascii="Times New Roman" w:hAnsi="Times New Roman"/>
          <w:sz w:val="24"/>
          <w:szCs w:val="24"/>
        </w:rPr>
      </w:pPr>
    </w:p>
    <w:p w:rsidR="008A0F33" w:rsidRDefault="008A0F33" w:rsidP="008A0F33">
      <w:pPr>
        <w:spacing w:after="0"/>
        <w:jc w:val="both"/>
        <w:rPr>
          <w:rFonts w:ascii="Times New Roman" w:hAnsi="Times New Roman"/>
          <w:sz w:val="24"/>
          <w:szCs w:val="24"/>
        </w:rPr>
      </w:pPr>
      <w:r>
        <w:rPr>
          <w:rFonts w:ascii="Times New Roman" w:hAnsi="Times New Roman"/>
          <w:sz w:val="24"/>
          <w:szCs w:val="24"/>
        </w:rPr>
        <w:t>The United States EPA prepares the USA inventory of greenhouse gas and submits this data to the United Nations Framework Convention on Climate Change (UNFC</w:t>
      </w:r>
      <w:r w:rsidRPr="00BC376A">
        <w:rPr>
          <w:rFonts w:ascii="Times New Roman" w:hAnsi="Times New Roman"/>
          <w:i/>
          <w:sz w:val="24"/>
          <w:szCs w:val="24"/>
        </w:rPr>
        <w:t>CC</w:t>
      </w:r>
      <w:r>
        <w:rPr>
          <w:rFonts w:ascii="Times New Roman" w:hAnsi="Times New Roman"/>
          <w:sz w:val="24"/>
          <w:szCs w:val="24"/>
        </w:rPr>
        <w:t>).  The regulatory agencies are using outdated GWPs and the accounting protocols are not being updated to reflect the latest science (which would require the use of the GWPs found in the 5</w:t>
      </w:r>
      <w:r w:rsidRPr="00AD63A5">
        <w:rPr>
          <w:rFonts w:ascii="Times New Roman" w:hAnsi="Times New Roman"/>
          <w:sz w:val="24"/>
          <w:szCs w:val="24"/>
          <w:vertAlign w:val="superscript"/>
        </w:rPr>
        <w:t>th</w:t>
      </w:r>
      <w:r>
        <w:rPr>
          <w:rFonts w:ascii="Times New Roman" w:hAnsi="Times New Roman"/>
          <w:sz w:val="24"/>
          <w:szCs w:val="24"/>
        </w:rPr>
        <w:t xml:space="preserve"> AR).  </w:t>
      </w:r>
    </w:p>
    <w:p w:rsidR="008A0F33" w:rsidRDefault="008A0F33" w:rsidP="008A0F33">
      <w:pPr>
        <w:spacing w:after="0"/>
        <w:jc w:val="both"/>
        <w:rPr>
          <w:rFonts w:ascii="Times New Roman" w:hAnsi="Times New Roman"/>
          <w:sz w:val="24"/>
          <w:szCs w:val="24"/>
        </w:rPr>
      </w:pPr>
    </w:p>
    <w:p w:rsidR="008A0F33" w:rsidRDefault="008A0F33" w:rsidP="008A0F33">
      <w:pPr>
        <w:spacing w:after="0"/>
        <w:jc w:val="both"/>
        <w:rPr>
          <w:rFonts w:ascii="Times New Roman" w:hAnsi="Times New Roman"/>
          <w:sz w:val="24"/>
          <w:szCs w:val="24"/>
        </w:rPr>
      </w:pPr>
      <w:r>
        <w:rPr>
          <w:rFonts w:ascii="Times New Roman" w:hAnsi="Times New Roman"/>
          <w:sz w:val="24"/>
          <w:szCs w:val="24"/>
        </w:rPr>
        <w:t>The choice of the timeframe is an accounting function.  If the goal is to align the urgency of climate change mitigation and reality of SLCPS, the agencies should be using a 20 year GWP for methane based on the 5</w:t>
      </w:r>
      <w:r w:rsidRPr="00AD63A5">
        <w:rPr>
          <w:rFonts w:ascii="Times New Roman" w:hAnsi="Times New Roman"/>
          <w:sz w:val="24"/>
          <w:szCs w:val="24"/>
          <w:vertAlign w:val="superscript"/>
        </w:rPr>
        <w:t>th</w:t>
      </w:r>
      <w:r>
        <w:rPr>
          <w:rFonts w:ascii="Times New Roman" w:hAnsi="Times New Roman"/>
          <w:sz w:val="24"/>
          <w:szCs w:val="24"/>
        </w:rPr>
        <w:t xml:space="preserve"> AR while we await the eventual 6</w:t>
      </w:r>
      <w:r w:rsidRPr="00AD63A5">
        <w:rPr>
          <w:rFonts w:ascii="Times New Roman" w:hAnsi="Times New Roman"/>
          <w:sz w:val="24"/>
          <w:szCs w:val="24"/>
          <w:vertAlign w:val="superscript"/>
        </w:rPr>
        <w:t>th</w:t>
      </w:r>
      <w:r>
        <w:rPr>
          <w:rFonts w:ascii="Times New Roman" w:hAnsi="Times New Roman"/>
          <w:sz w:val="24"/>
          <w:szCs w:val="24"/>
        </w:rPr>
        <w:t xml:space="preserve"> AR.  The EPA and ARB do not set these GWP values.  The IPCC sets the values and the agencies cite various versions of the IPCC assessments. </w:t>
      </w:r>
    </w:p>
    <w:p w:rsidR="008A0F33" w:rsidRDefault="008A0F33" w:rsidP="008A0F33">
      <w:pPr>
        <w:spacing w:after="0"/>
        <w:jc w:val="both"/>
        <w:rPr>
          <w:rFonts w:ascii="Times New Roman" w:hAnsi="Times New Roman"/>
          <w:sz w:val="24"/>
          <w:szCs w:val="24"/>
        </w:rPr>
      </w:pPr>
    </w:p>
    <w:p w:rsidR="008A0F33" w:rsidRDefault="008A0F33" w:rsidP="008A0F33">
      <w:pPr>
        <w:spacing w:after="0"/>
        <w:jc w:val="both"/>
        <w:rPr>
          <w:rFonts w:ascii="Times New Roman" w:hAnsi="Times New Roman"/>
          <w:sz w:val="24"/>
          <w:szCs w:val="24"/>
        </w:rPr>
      </w:pPr>
      <w:r>
        <w:rPr>
          <w:rFonts w:ascii="Times New Roman" w:hAnsi="Times New Roman"/>
          <w:sz w:val="24"/>
          <w:szCs w:val="24"/>
        </w:rPr>
        <w:t xml:space="preserve">VCG has adopted the CCAC 20 year GWP of 100 as it is the most current factor from the world’s foremost scientific community on atmospheric science.  VCG uses the GWP of 100 to emphasize the significance of reducing methane emissions.  Being current on the science can allow us to anticipate imminent policy and economic trends that will provide opportunities.  The following chart shows the evolution of the awareness of the SLCP methane and how far behind are the GWP factors used by the EPA and CARB.  </w:t>
      </w:r>
      <w:r>
        <w:rPr>
          <w:rFonts w:ascii="Times New Roman" w:hAnsi="Times New Roman"/>
          <w:sz w:val="24"/>
          <w:szCs w:val="24"/>
        </w:rPr>
        <w:lastRenderedPageBreak/>
        <w:t xml:space="preserve">VCG believes policy makers and regulators will eventually take actions based on a 20 year time frame by concentrating on reducing methane emissions.  </w:t>
      </w:r>
      <w:r w:rsidR="00BC6A7B">
        <w:rPr>
          <w:rFonts w:ascii="Times New Roman" w:hAnsi="Times New Roman"/>
          <w:sz w:val="24"/>
          <w:szCs w:val="24"/>
        </w:rPr>
        <w:t xml:space="preserve">The EPA on its web site discusses the 2013 IPCC AR.  ARB uses the 20 year GWP of 84 for methane in its enforcement actions of methane emissions outside the Cap and Trade System. </w:t>
      </w:r>
      <w:r>
        <w:rPr>
          <w:rFonts w:ascii="Times New Roman" w:hAnsi="Times New Roman"/>
          <w:sz w:val="24"/>
          <w:szCs w:val="24"/>
        </w:rPr>
        <w:t xml:space="preserve"> </w:t>
      </w:r>
    </w:p>
    <w:p w:rsidR="008A0F33" w:rsidRDefault="008A0F33" w:rsidP="008A0F33">
      <w:pPr>
        <w:spacing w:after="0"/>
        <w:jc w:val="both"/>
        <w:rPr>
          <w:rFonts w:ascii="Times New Roman" w:hAnsi="Times New Roman"/>
          <w:sz w:val="24"/>
          <w:szCs w:val="24"/>
        </w:rPr>
      </w:pPr>
    </w:p>
    <w:p w:rsidR="008A0F33" w:rsidRDefault="008A0F33" w:rsidP="008A0F33">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14:anchorId="18CAC6FF" wp14:editId="3640DEDB">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1ED5" w:rsidRDefault="00ED1ED5" w:rsidP="00ED1ED5">
      <w:pPr>
        <w:spacing w:after="0"/>
        <w:rPr>
          <w:rFonts w:ascii="Times New Roman" w:hAnsi="Times New Roman"/>
          <w:sz w:val="24"/>
          <w:szCs w:val="24"/>
        </w:rPr>
      </w:pPr>
      <w:r>
        <w:rPr>
          <w:rFonts w:ascii="Times New Roman" w:hAnsi="Times New Roman"/>
          <w:sz w:val="24"/>
          <w:szCs w:val="24"/>
        </w:rPr>
        <w:t>Currently in the California Cap and Trade system greenhouse gas reductions are priced at around $11.60 to $13.00 a metric ton (</w:t>
      </w:r>
      <w:proofErr w:type="spellStart"/>
      <w:r>
        <w:rPr>
          <w:rFonts w:ascii="Times New Roman" w:hAnsi="Times New Roman"/>
          <w:sz w:val="24"/>
          <w:szCs w:val="24"/>
        </w:rPr>
        <w:t>Tonne</w:t>
      </w:r>
      <w:proofErr w:type="spellEnd"/>
      <w:r>
        <w:rPr>
          <w:rFonts w:ascii="Times New Roman" w:hAnsi="Times New Roman"/>
          <w:sz w:val="24"/>
          <w:szCs w:val="24"/>
        </w:rPr>
        <w:t>) of CO2 (tCO2e).  An allowance to emit 1 tCO2e is about $12.90</w:t>
      </w:r>
      <w:r w:rsidR="00770B50">
        <w:rPr>
          <w:rFonts w:ascii="Times New Roman" w:hAnsi="Times New Roman"/>
          <w:sz w:val="24"/>
          <w:szCs w:val="24"/>
        </w:rPr>
        <w:t>.  An offset to 1 tCO2e emission is about $11.60.  ARB assigns a GWP to m</w:t>
      </w:r>
      <w:r>
        <w:rPr>
          <w:rFonts w:ascii="Times New Roman" w:hAnsi="Times New Roman"/>
          <w:sz w:val="24"/>
          <w:szCs w:val="24"/>
        </w:rPr>
        <w:t>ethane</w:t>
      </w:r>
      <w:r w:rsidR="00770B50">
        <w:rPr>
          <w:rFonts w:ascii="Times New Roman" w:hAnsi="Times New Roman"/>
          <w:sz w:val="24"/>
          <w:szCs w:val="24"/>
        </w:rPr>
        <w:t xml:space="preserve"> based on the 1995 100 year time frame.  The most recent scientific research recommends greenhouse gases be assessed their global warming potentials over 20 year time periods.  The following chart compares the current value of tCO2e of methane under the ARB Cap and Trade system vs what the value would be if the global warming factors of the Climate and Clean Air Coalition were used.  </w:t>
      </w:r>
      <w:r>
        <w:rPr>
          <w:rFonts w:ascii="Times New Roman" w:hAnsi="Times New Roman"/>
          <w:sz w:val="24"/>
          <w:szCs w:val="24"/>
        </w:rPr>
        <w:t xml:space="preserve">If methane were more accurately valued more resources would be directed at capturing and destroying methane.  </w:t>
      </w:r>
    </w:p>
    <w:p w:rsidR="00770B50" w:rsidRDefault="00770B50" w:rsidP="00ED1ED5">
      <w:pPr>
        <w:spacing w:after="0"/>
        <w:rPr>
          <w:rFonts w:ascii="Times New Roman" w:hAnsi="Times New Roman"/>
          <w:sz w:val="24"/>
          <w:szCs w:val="24"/>
        </w:rPr>
      </w:pPr>
    </w:p>
    <w:p w:rsidR="00770B50" w:rsidRDefault="00CA5528" w:rsidP="00ED1ED5">
      <w:pPr>
        <w:spacing w:after="0"/>
        <w:rPr>
          <w:rFonts w:ascii="Times New Roman" w:hAnsi="Times New Roman"/>
          <w:sz w:val="24"/>
          <w:szCs w:val="24"/>
        </w:rPr>
      </w:pPr>
      <w:r w:rsidRPr="00CA5528">
        <w:rPr>
          <w:rFonts w:ascii="Times New Roman" w:hAnsi="Times New Roman"/>
          <w:noProof/>
          <w:sz w:val="24"/>
          <w:szCs w:val="24"/>
        </w:rPr>
        <w:lastRenderedPageBreak/>
        <mc:AlternateContent>
          <mc:Choice Requires="wps">
            <w:drawing>
              <wp:anchor distT="45720" distB="45720" distL="114300" distR="114300" simplePos="0" relativeHeight="251671040" behindDoc="0" locked="0" layoutInCell="1" allowOverlap="1">
                <wp:simplePos x="0" y="0"/>
                <wp:positionH relativeFrom="column">
                  <wp:posOffset>5073650</wp:posOffset>
                </wp:positionH>
                <wp:positionV relativeFrom="paragraph">
                  <wp:posOffset>31750</wp:posOffset>
                </wp:positionV>
                <wp:extent cx="1743710" cy="1404620"/>
                <wp:effectExtent l="0" t="0" r="27940"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04620"/>
                        </a:xfrm>
                        <a:prstGeom prst="rect">
                          <a:avLst/>
                        </a:prstGeom>
                        <a:solidFill>
                          <a:srgbClr val="FFFFFF"/>
                        </a:solidFill>
                        <a:ln w="9525">
                          <a:solidFill>
                            <a:srgbClr val="000000"/>
                          </a:solidFill>
                          <a:miter lim="800000"/>
                          <a:headEnd/>
                          <a:tailEnd/>
                        </a:ln>
                      </wps:spPr>
                      <wps:txbx>
                        <w:txbxContent>
                          <w:p w:rsidR="00CA5528" w:rsidRPr="00CA5528" w:rsidRDefault="00CA5528" w:rsidP="00CA5528">
                            <w:r w:rsidRPr="00CA5528">
                              <w:t xml:space="preserve">This chart shows what the price of methane would be per offset given the same volume of methane but on a </w:t>
                            </w:r>
                            <w:proofErr w:type="gramStart"/>
                            <w:r w:rsidRPr="00CA5528">
                              <w:t>20 year</w:t>
                            </w:r>
                            <w:proofErr w:type="gramEnd"/>
                            <w:r w:rsidRPr="00CA5528">
                              <w:t xml:space="preserve"> time scale if its current price was related to its GWP.</w:t>
                            </w:r>
                          </w:p>
                          <w:p w:rsidR="00CA5528" w:rsidRPr="00CA5528" w:rsidRDefault="00CA5528" w:rsidP="00CA5528">
                            <w:r w:rsidRPr="00CA5528">
                              <w:t xml:space="preserve">This value is derived from the IPCC AR5 from 2013.  </w:t>
                            </w:r>
                          </w:p>
                          <w:p w:rsidR="00CA5528" w:rsidRDefault="00CA55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9.5pt;margin-top:2.5pt;width:137.3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">
                <v:textbox style="mso-fit-shape-to-text:t">
                  <w:txbxContent>
                    <w:p w:rsidR="00CA5528" w:rsidRPr="00CA5528" w:rsidRDefault="00CA5528" w:rsidP="00CA5528">
                      <w:r w:rsidRPr="00CA5528">
                        <w:t xml:space="preserve">This chart shows what the price of methane would be per offset given the same volume of methane but on a </w:t>
                      </w:r>
                      <w:proofErr w:type="gramStart"/>
                      <w:r w:rsidRPr="00CA5528">
                        <w:t>20 year</w:t>
                      </w:r>
                      <w:proofErr w:type="gramEnd"/>
                      <w:r w:rsidRPr="00CA5528">
                        <w:t xml:space="preserve"> time scale if its current price was related to its GWP.</w:t>
                      </w:r>
                    </w:p>
                    <w:p w:rsidR="00CA5528" w:rsidRPr="00CA5528" w:rsidRDefault="00CA5528" w:rsidP="00CA5528">
                      <w:r w:rsidRPr="00CA5528">
                        <w:t xml:space="preserve">This value is derived from the IPCC AR5 from 2013.  </w:t>
                      </w:r>
                    </w:p>
                    <w:p w:rsidR="00CA5528" w:rsidRDefault="00CA5528"/>
                  </w:txbxContent>
                </v:textbox>
                <w10:wrap type="square"/>
              </v:shape>
            </w:pict>
          </mc:Fallback>
        </mc:AlternateContent>
      </w:r>
      <w:r w:rsidR="00770B50">
        <w:rPr>
          <w:rFonts w:ascii="Times New Roman" w:hAnsi="Times New Roman"/>
          <w:noProof/>
          <w:sz w:val="24"/>
          <w:szCs w:val="24"/>
        </w:rPr>
        <w:drawing>
          <wp:inline distT="0" distB="0" distL="0" distR="0" wp14:anchorId="477F80C8" wp14:editId="017C654E">
            <wp:extent cx="4819650" cy="2654300"/>
            <wp:effectExtent l="0" t="0" r="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50A1B">
        <w:rPr>
          <w:rFonts w:ascii="Times New Roman" w:hAnsi="Times New Roman"/>
          <w:sz w:val="24"/>
          <w:szCs w:val="24"/>
        </w:rPr>
        <w:t xml:space="preserve">  </w:t>
      </w:r>
    </w:p>
    <w:p w:rsidR="008A0F33" w:rsidRDefault="008A0F33" w:rsidP="008A0F33">
      <w:pPr>
        <w:spacing w:after="0"/>
        <w:rPr>
          <w:rFonts w:ascii="Times New Roman" w:hAnsi="Times New Roman"/>
          <w:sz w:val="24"/>
          <w:szCs w:val="24"/>
        </w:rPr>
      </w:pPr>
    </w:p>
    <w:p w:rsidR="00ED1ED5" w:rsidRDefault="00ED1ED5" w:rsidP="008A0F33">
      <w:pPr>
        <w:spacing w:after="0"/>
        <w:rPr>
          <w:rFonts w:ascii="Times New Roman" w:hAnsi="Times New Roman"/>
          <w:sz w:val="24"/>
          <w:szCs w:val="24"/>
        </w:rPr>
      </w:pPr>
    </w:p>
    <w:p w:rsidR="00CA5528" w:rsidRPr="00DD0ABB" w:rsidRDefault="00CA5528" w:rsidP="00CA5528">
      <w:pPr>
        <w:spacing w:after="0"/>
        <w:jc w:val="center"/>
        <w:rPr>
          <w:rFonts w:ascii="Times New Roman" w:hAnsi="Times New Roman"/>
          <w:b/>
          <w:sz w:val="24"/>
          <w:szCs w:val="24"/>
        </w:rPr>
      </w:pPr>
      <w:r>
        <w:rPr>
          <w:rFonts w:ascii="Times New Roman" w:hAnsi="Times New Roman"/>
          <w:b/>
          <w:sz w:val="24"/>
          <w:szCs w:val="24"/>
        </w:rPr>
        <w:t>V</w:t>
      </w:r>
      <w:r w:rsidR="0056197F">
        <w:rPr>
          <w:rFonts w:ascii="Times New Roman" w:hAnsi="Times New Roman"/>
          <w:b/>
          <w:sz w:val="24"/>
          <w:szCs w:val="24"/>
        </w:rPr>
        <w:t>e</w:t>
      </w:r>
      <w:bookmarkStart w:id="0" w:name="_GoBack"/>
      <w:bookmarkEnd w:id="0"/>
      <w:r w:rsidR="0056197F">
        <w:rPr>
          <w:rFonts w:ascii="Times New Roman" w:hAnsi="Times New Roman"/>
          <w:b/>
          <w:sz w:val="24"/>
          <w:szCs w:val="24"/>
        </w:rPr>
        <w:t xml:space="preserve">ssels Coal Gas, Inc. </w:t>
      </w:r>
      <w:r w:rsidRPr="00DD0ABB">
        <w:rPr>
          <w:rFonts w:ascii="Times New Roman" w:hAnsi="Times New Roman"/>
          <w:b/>
          <w:sz w:val="24"/>
          <w:szCs w:val="24"/>
        </w:rPr>
        <w:t xml:space="preserve">mine methane </w:t>
      </w:r>
      <w:r>
        <w:rPr>
          <w:rFonts w:ascii="Times New Roman" w:hAnsi="Times New Roman"/>
          <w:b/>
          <w:sz w:val="24"/>
          <w:szCs w:val="24"/>
        </w:rPr>
        <w:t xml:space="preserve">emissions </w:t>
      </w:r>
      <w:r w:rsidRPr="00DD0ABB">
        <w:rPr>
          <w:rFonts w:ascii="Times New Roman" w:hAnsi="Times New Roman"/>
          <w:b/>
          <w:sz w:val="24"/>
          <w:szCs w:val="24"/>
        </w:rPr>
        <w:t>captured</w:t>
      </w:r>
      <w:r>
        <w:rPr>
          <w:rFonts w:ascii="Times New Roman" w:hAnsi="Times New Roman"/>
          <w:b/>
          <w:sz w:val="24"/>
          <w:szCs w:val="24"/>
        </w:rPr>
        <w:t xml:space="preserve"> as of January 30, 2016 </w:t>
      </w:r>
      <w:r w:rsidR="00F60531">
        <w:rPr>
          <w:rFonts w:ascii="Times New Roman" w:hAnsi="Times New Roman"/>
          <w:b/>
          <w:sz w:val="24"/>
          <w:szCs w:val="24"/>
        </w:rPr>
        <w:t>solely</w:t>
      </w:r>
      <w:r>
        <w:rPr>
          <w:rFonts w:ascii="Times New Roman" w:hAnsi="Times New Roman"/>
          <w:b/>
          <w:sz w:val="24"/>
          <w:szCs w:val="24"/>
        </w:rPr>
        <w:t xml:space="preserve"> due to California Cap and Trade.</w:t>
      </w:r>
    </w:p>
    <w:p w:rsidR="00CA5528" w:rsidRDefault="00CA5528" w:rsidP="00CA5528">
      <w:pPr>
        <w:spacing w:after="0"/>
        <w:rPr>
          <w:rFonts w:ascii="Times New Roman" w:hAnsi="Times New Roman"/>
          <w:sz w:val="24"/>
          <w:szCs w:val="24"/>
        </w:rPr>
      </w:pPr>
    </w:p>
    <w:p w:rsidR="00CA5528" w:rsidRDefault="00CA5528" w:rsidP="00CA5528">
      <w:pPr>
        <w:spacing w:after="0"/>
        <w:jc w:val="center"/>
        <w:rPr>
          <w:rFonts w:ascii="Times New Roman" w:hAnsi="Times New Roman"/>
          <w:sz w:val="24"/>
          <w:szCs w:val="24"/>
        </w:rPr>
      </w:pPr>
    </w:p>
    <w:p w:rsidR="00CA5528" w:rsidRDefault="00CA5528" w:rsidP="00CA5528">
      <w:pPr>
        <w:tabs>
          <w:tab w:val="left" w:pos="6480"/>
          <w:tab w:val="right" w:pos="9270"/>
        </w:tabs>
        <w:spacing w:after="0"/>
        <w:ind w:left="450"/>
        <w:rPr>
          <w:rFonts w:ascii="Times New Roman" w:hAnsi="Times New Roman"/>
          <w:sz w:val="24"/>
          <w:szCs w:val="24"/>
        </w:rPr>
      </w:pPr>
      <w:r>
        <w:rPr>
          <w:rFonts w:ascii="Times New Roman" w:hAnsi="Times New Roman"/>
          <w:sz w:val="24"/>
          <w:szCs w:val="24"/>
        </w:rPr>
        <w:t>Methane (CH4) emissions destroyed-</w:t>
      </w:r>
      <w:r>
        <w:rPr>
          <w:rFonts w:ascii="Times New Roman" w:hAnsi="Times New Roman"/>
          <w:sz w:val="24"/>
          <w:szCs w:val="24"/>
        </w:rPr>
        <w:tab/>
      </w:r>
      <w:r>
        <w:rPr>
          <w:rFonts w:ascii="Times New Roman" w:hAnsi="Times New Roman"/>
          <w:sz w:val="24"/>
          <w:szCs w:val="24"/>
        </w:rPr>
        <w:tab/>
        <w:t>1.</w:t>
      </w:r>
      <w:r w:rsidR="0031103A">
        <w:rPr>
          <w:rFonts w:ascii="Times New Roman" w:hAnsi="Times New Roman"/>
          <w:sz w:val="24"/>
          <w:szCs w:val="24"/>
        </w:rPr>
        <w:t>556</w:t>
      </w:r>
      <w:r>
        <w:rPr>
          <w:rFonts w:ascii="Times New Roman" w:hAnsi="Times New Roman"/>
          <w:sz w:val="24"/>
          <w:szCs w:val="24"/>
        </w:rPr>
        <w:t xml:space="preserve"> billion cubic feet (BCF)</w:t>
      </w:r>
    </w:p>
    <w:p w:rsidR="00CA5528" w:rsidRDefault="00CA5528" w:rsidP="00CA5528">
      <w:pPr>
        <w:tabs>
          <w:tab w:val="left" w:pos="6480"/>
          <w:tab w:val="right" w:pos="9270"/>
        </w:tabs>
        <w:spacing w:after="0"/>
        <w:ind w:left="450"/>
        <w:rPr>
          <w:rFonts w:ascii="Times New Roman" w:hAnsi="Times New Roman"/>
          <w:sz w:val="24"/>
          <w:szCs w:val="24"/>
        </w:rPr>
      </w:pPr>
    </w:p>
    <w:p w:rsidR="00CA5528" w:rsidRDefault="00CA5528" w:rsidP="00CA5528">
      <w:pPr>
        <w:tabs>
          <w:tab w:val="left" w:pos="6480"/>
          <w:tab w:val="right" w:pos="9180"/>
          <w:tab w:val="right" w:pos="9270"/>
        </w:tabs>
        <w:spacing w:after="0"/>
        <w:ind w:left="450"/>
        <w:rPr>
          <w:rFonts w:ascii="Times New Roman" w:hAnsi="Times New Roman"/>
          <w:sz w:val="24"/>
          <w:szCs w:val="24"/>
        </w:rPr>
      </w:pPr>
      <w:r>
        <w:rPr>
          <w:rFonts w:ascii="Times New Roman" w:hAnsi="Times New Roman"/>
          <w:sz w:val="24"/>
          <w:szCs w:val="24"/>
        </w:rPr>
        <w:t>Carbon Dioxide metric tons equivalent emission reduction-</w:t>
      </w:r>
      <w:r>
        <w:rPr>
          <w:rFonts w:ascii="Times New Roman" w:hAnsi="Times New Roman"/>
          <w:sz w:val="24"/>
          <w:szCs w:val="24"/>
        </w:rPr>
        <w:tab/>
      </w:r>
      <w:r>
        <w:rPr>
          <w:rFonts w:ascii="Times New Roman" w:hAnsi="Times New Roman"/>
          <w:sz w:val="24"/>
          <w:szCs w:val="24"/>
        </w:rPr>
        <w:tab/>
      </w:r>
      <w:r w:rsidR="0031103A">
        <w:rPr>
          <w:rFonts w:ascii="Times New Roman" w:hAnsi="Times New Roman"/>
          <w:sz w:val="24"/>
          <w:szCs w:val="24"/>
        </w:rPr>
        <w:t>2.578</w:t>
      </w:r>
      <w:r>
        <w:rPr>
          <w:rFonts w:ascii="Times New Roman" w:hAnsi="Times New Roman"/>
          <w:sz w:val="24"/>
          <w:szCs w:val="24"/>
        </w:rPr>
        <w:t xml:space="preserve"> million</w:t>
      </w:r>
      <w:r w:rsidRPr="00564664">
        <w:rPr>
          <w:rFonts w:ascii="Times New Roman" w:hAnsi="Times New Roman"/>
          <w:sz w:val="24"/>
          <w:szCs w:val="24"/>
        </w:rPr>
        <w:t xml:space="preserve"> </w:t>
      </w:r>
      <w:r>
        <w:rPr>
          <w:rFonts w:ascii="Times New Roman" w:hAnsi="Times New Roman"/>
          <w:sz w:val="24"/>
          <w:szCs w:val="24"/>
        </w:rPr>
        <w:t>tCO2e</w:t>
      </w:r>
      <w:r>
        <w:rPr>
          <w:rStyle w:val="FootnoteReference"/>
          <w:rFonts w:ascii="Times New Roman" w:hAnsi="Times New Roman"/>
          <w:sz w:val="24"/>
          <w:szCs w:val="24"/>
        </w:rPr>
        <w:footnoteReference w:id="1"/>
      </w:r>
      <w:r>
        <w:rPr>
          <w:rFonts w:ascii="Times New Roman" w:hAnsi="Times New Roman"/>
          <w:sz w:val="24"/>
          <w:szCs w:val="24"/>
        </w:rPr>
        <w:t xml:space="preserve"> </w:t>
      </w:r>
    </w:p>
    <w:p w:rsidR="00CA5528" w:rsidRDefault="00CA5528" w:rsidP="00FE6F98">
      <w:pPr>
        <w:tabs>
          <w:tab w:val="left" w:pos="9048"/>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A5528" w:rsidRPr="00E95A93" w:rsidRDefault="00CA5528" w:rsidP="00CA5528">
      <w:pPr>
        <w:spacing w:after="0" w:line="240" w:lineRule="auto"/>
        <w:rPr>
          <w:rFonts w:ascii="Times New Roman" w:hAnsi="Times New Roman"/>
          <w:sz w:val="24"/>
          <w:szCs w:val="32"/>
        </w:rPr>
      </w:pPr>
      <w:r w:rsidRPr="00E95A93">
        <w:rPr>
          <w:rFonts w:ascii="Times New Roman" w:hAnsi="Times New Roman"/>
          <w:sz w:val="24"/>
          <w:szCs w:val="32"/>
        </w:rPr>
        <w:t>Destruction of 1.</w:t>
      </w:r>
      <w:r w:rsidR="00FE6F98">
        <w:rPr>
          <w:rFonts w:ascii="Times New Roman" w:hAnsi="Times New Roman"/>
          <w:sz w:val="24"/>
          <w:szCs w:val="32"/>
        </w:rPr>
        <w:t>556</w:t>
      </w:r>
      <w:r w:rsidRPr="00E95A93">
        <w:rPr>
          <w:rFonts w:ascii="Times New Roman" w:hAnsi="Times New Roman"/>
          <w:sz w:val="24"/>
          <w:szCs w:val="32"/>
        </w:rPr>
        <w:t xml:space="preserve"> BCF of methane</w:t>
      </w:r>
      <w:r>
        <w:rPr>
          <w:rFonts w:ascii="Times New Roman" w:hAnsi="Times New Roman"/>
          <w:sz w:val="24"/>
          <w:szCs w:val="32"/>
        </w:rPr>
        <w:t xml:space="preserve"> emissions</w:t>
      </w:r>
      <w:r w:rsidRPr="00E95A93">
        <w:rPr>
          <w:rFonts w:ascii="Times New Roman" w:hAnsi="Times New Roman"/>
          <w:sz w:val="24"/>
          <w:szCs w:val="32"/>
        </w:rPr>
        <w:t xml:space="preserve"> has the effect of reducing greenhouse gas emissions </w:t>
      </w:r>
      <w:r>
        <w:rPr>
          <w:rFonts w:ascii="Times New Roman" w:hAnsi="Times New Roman"/>
          <w:sz w:val="24"/>
          <w:szCs w:val="32"/>
        </w:rPr>
        <w:t>by</w:t>
      </w:r>
      <w:r w:rsidRPr="00E95A93">
        <w:rPr>
          <w:rFonts w:ascii="Times New Roman" w:hAnsi="Times New Roman"/>
          <w:sz w:val="24"/>
          <w:szCs w:val="32"/>
        </w:rPr>
        <w:t>…</w:t>
      </w:r>
    </w:p>
    <w:p w:rsidR="00CA5528" w:rsidRPr="00E95A93" w:rsidRDefault="00CA5528" w:rsidP="00CA5528">
      <w:pPr>
        <w:spacing w:after="0"/>
        <w:ind w:firstLine="720"/>
        <w:rPr>
          <w:rFonts w:ascii="Times New Roman" w:hAnsi="Times New Roman"/>
          <w:sz w:val="24"/>
          <w:szCs w:val="32"/>
        </w:rPr>
      </w:pPr>
      <w:r w:rsidRPr="00107D83">
        <w:rPr>
          <w:rFonts w:ascii="Times New Roman" w:hAnsi="Times New Roman"/>
          <w:noProof/>
          <w:sz w:val="24"/>
          <w:szCs w:val="32"/>
        </w:rPr>
        <mc:AlternateContent>
          <mc:Choice Requires="wps">
            <w:drawing>
              <wp:anchor distT="45720" distB="45720" distL="114300" distR="114300" simplePos="0" relativeHeight="251673088" behindDoc="0" locked="0" layoutInCell="1" allowOverlap="1" wp14:anchorId="10157781" wp14:editId="22963CD3">
                <wp:simplePos x="0" y="0"/>
                <wp:positionH relativeFrom="column">
                  <wp:posOffset>158750</wp:posOffset>
                </wp:positionH>
                <wp:positionV relativeFrom="paragraph">
                  <wp:posOffset>120015</wp:posOffset>
                </wp:positionV>
                <wp:extent cx="2360930" cy="907415"/>
                <wp:effectExtent l="0" t="0" r="1143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07415"/>
                        </a:xfrm>
                        <a:prstGeom prst="rect">
                          <a:avLst/>
                        </a:prstGeom>
                        <a:solidFill>
                          <a:srgbClr val="FFFFFF"/>
                        </a:solidFill>
                        <a:ln w="9525">
                          <a:solidFill>
                            <a:srgbClr val="000000"/>
                          </a:solidFill>
                          <a:miter lim="800000"/>
                          <a:headEnd/>
                          <a:tailEnd/>
                        </a:ln>
                      </wps:spPr>
                      <wps:txbx>
                        <w:txbxContent>
                          <w:p w:rsidR="00CA5528" w:rsidRDefault="00CA5528" w:rsidP="00CA5528">
                            <w:r w:rsidRPr="00E95A93">
                              <w:rPr>
                                <w:rFonts w:ascii="Times New Roman" w:hAnsi="Times New Roman"/>
                                <w:sz w:val="24"/>
                                <w:szCs w:val="32"/>
                              </w:rPr>
                              <w:t xml:space="preserve">Taking </w:t>
                            </w:r>
                            <w:r w:rsidR="0031103A">
                              <w:rPr>
                                <w:rFonts w:ascii="Times New Roman" w:hAnsi="Times New Roman"/>
                                <w:sz w:val="24"/>
                                <w:szCs w:val="32"/>
                              </w:rPr>
                              <w:t>more than 500</w:t>
                            </w:r>
                            <w:r w:rsidRPr="00E95A93">
                              <w:rPr>
                                <w:rFonts w:ascii="Times New Roman" w:hAnsi="Times New Roman"/>
                                <w:sz w:val="24"/>
                                <w:szCs w:val="32"/>
                              </w:rPr>
                              <w:t>,000 passenger vehicles off the road for one year</w:t>
                            </w:r>
                            <w:r>
                              <w:rPr>
                                <w:rFonts w:ascii="Times New Roman" w:hAnsi="Times New Roman"/>
                                <w:sz w:val="24"/>
                                <w:szCs w:val="32"/>
                              </w:rPr>
                              <w:t>.  (average passenger emits 4.7 tCO2e per year “EPA”.)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157781" id="_x0000_s1027" type="#_x0000_t202" style="position:absolute;left:0;text-align:left;margin-left:12.5pt;margin-top:9.45pt;width:185.9pt;height:71.45pt;z-index:2516730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">
                <v:textbox>
                  <w:txbxContent>
                    <w:p w:rsidR="00CA5528" w:rsidRDefault="00CA5528" w:rsidP="00CA5528">
                      <w:r w:rsidRPr="00E95A93">
                        <w:rPr>
                          <w:rFonts w:ascii="Times New Roman" w:hAnsi="Times New Roman"/>
                          <w:sz w:val="24"/>
                          <w:szCs w:val="32"/>
                        </w:rPr>
                        <w:t xml:space="preserve">Taking </w:t>
                      </w:r>
                      <w:r w:rsidR="0031103A">
                        <w:rPr>
                          <w:rFonts w:ascii="Times New Roman" w:hAnsi="Times New Roman"/>
                          <w:sz w:val="24"/>
                          <w:szCs w:val="32"/>
                        </w:rPr>
                        <w:t>more than 500</w:t>
                      </w:r>
                      <w:r w:rsidRPr="00E95A93">
                        <w:rPr>
                          <w:rFonts w:ascii="Times New Roman" w:hAnsi="Times New Roman"/>
                          <w:sz w:val="24"/>
                          <w:szCs w:val="32"/>
                        </w:rPr>
                        <w:t>,000 passenger vehicles off the road for one year</w:t>
                      </w:r>
                      <w:r>
                        <w:rPr>
                          <w:rFonts w:ascii="Times New Roman" w:hAnsi="Times New Roman"/>
                          <w:sz w:val="24"/>
                          <w:szCs w:val="32"/>
                        </w:rPr>
                        <w:t>.  (average passenger emits 4.7 tCO2e per year “EPA”.)</w:t>
                      </w:r>
                    </w:p>
                  </w:txbxContent>
                </v:textbox>
                <w10:wrap type="square"/>
              </v:shape>
            </w:pict>
          </mc:Fallback>
        </mc:AlternateContent>
      </w:r>
      <w:r>
        <w:rPr>
          <w:noProof/>
        </w:rPr>
        <w:drawing>
          <wp:inline distT="0" distB="0" distL="0" distR="0" wp14:anchorId="78A81D87" wp14:editId="6481AAB1">
            <wp:extent cx="2618509" cy="213550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8509" cy="2135505"/>
                    </a:xfrm>
                    <a:prstGeom prst="rect">
                      <a:avLst/>
                    </a:prstGeom>
                  </pic:spPr>
                </pic:pic>
              </a:graphicData>
            </a:graphic>
          </wp:inline>
        </w:drawing>
      </w:r>
    </w:p>
    <w:p w:rsidR="00CA5528" w:rsidRDefault="00CA5528" w:rsidP="00CA5528">
      <w:pPr>
        <w:spacing w:after="0"/>
        <w:ind w:firstLine="720"/>
        <w:jc w:val="both"/>
        <w:rPr>
          <w:noProof/>
        </w:rPr>
      </w:pPr>
    </w:p>
    <w:p w:rsidR="00CA5528" w:rsidRDefault="00CA5528" w:rsidP="00CA5528">
      <w:pPr>
        <w:spacing w:after="0"/>
        <w:ind w:firstLine="720"/>
        <w:jc w:val="both"/>
        <w:rPr>
          <w:noProof/>
        </w:rPr>
      </w:pPr>
    </w:p>
    <w:p w:rsidR="00CA5528" w:rsidRDefault="00CA5528" w:rsidP="00CA5528">
      <w:pPr>
        <w:spacing w:after="0"/>
        <w:ind w:firstLine="720"/>
        <w:jc w:val="both"/>
        <w:rPr>
          <w:noProof/>
        </w:rPr>
      </w:pPr>
    </w:p>
    <w:p w:rsidR="00CA5528" w:rsidRDefault="00CA5528" w:rsidP="00CA5528">
      <w:pPr>
        <w:spacing w:after="0"/>
        <w:ind w:firstLine="720"/>
        <w:jc w:val="both"/>
        <w:rPr>
          <w:noProof/>
        </w:rPr>
      </w:pPr>
    </w:p>
    <w:p w:rsidR="00CA5528" w:rsidRDefault="00CA5528" w:rsidP="00CA5528">
      <w:pPr>
        <w:spacing w:after="0"/>
        <w:ind w:firstLine="720"/>
        <w:jc w:val="both"/>
        <w:rPr>
          <w:noProof/>
        </w:rPr>
      </w:pPr>
    </w:p>
    <w:p w:rsidR="00CA5528" w:rsidRDefault="00CA5528" w:rsidP="00CA5528">
      <w:pPr>
        <w:spacing w:after="0"/>
        <w:ind w:firstLine="720"/>
        <w:jc w:val="both"/>
        <w:rPr>
          <w:noProof/>
        </w:rPr>
      </w:pPr>
    </w:p>
    <w:p w:rsidR="00CA5528" w:rsidRDefault="00CA5528" w:rsidP="00CA5528">
      <w:pPr>
        <w:spacing w:after="0"/>
        <w:ind w:firstLine="720"/>
        <w:rPr>
          <w:rFonts w:ascii="Times New Roman" w:hAnsi="Times New Roman"/>
          <w:sz w:val="24"/>
          <w:szCs w:val="24"/>
        </w:rPr>
      </w:pPr>
      <w:r w:rsidRPr="00BA2015">
        <w:rPr>
          <w:rFonts w:ascii="Times New Roman" w:hAnsi="Times New Roman"/>
          <w:noProof/>
          <w:sz w:val="24"/>
          <w:szCs w:val="24"/>
        </w:rPr>
        <mc:AlternateContent>
          <mc:Choice Requires="wps">
            <w:drawing>
              <wp:anchor distT="45720" distB="45720" distL="114300" distR="114300" simplePos="0" relativeHeight="251675136" behindDoc="0" locked="0" layoutInCell="1" allowOverlap="1" wp14:anchorId="5D7E42CF" wp14:editId="4FD5D85D">
                <wp:simplePos x="0" y="0"/>
                <wp:positionH relativeFrom="column">
                  <wp:posOffset>-685800</wp:posOffset>
                </wp:positionH>
                <wp:positionV relativeFrom="paragraph">
                  <wp:posOffset>106680</wp:posOffset>
                </wp:positionV>
                <wp:extent cx="2360930" cy="140462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A5528" w:rsidRDefault="00CA5528" w:rsidP="00CA5528">
                            <w:r>
                              <w:t xml:space="preserve">Cutting back </w:t>
                            </w:r>
                            <w:r w:rsidR="0031103A">
                              <w:t>2,500</w:t>
                            </w:r>
                            <w:r>
                              <w:t xml:space="preserve">,000 Mega Watts of electricity generation from coal powered electricity generation.  (1 Mega Watt of electricity generation from coal emits about 1 tCO2e “Energy Information Agency”.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7E42CF" id="_x0000_s1028" type="#_x0000_t202" style="position:absolute;left:0;text-align:left;margin-left:-54pt;margin-top:8.4pt;width:185.9pt;height:110.6pt;z-index:251675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j8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">
                <v:textbox style="mso-fit-shape-to-text:t">
                  <w:txbxContent>
                    <w:p w:rsidR="00CA5528" w:rsidRDefault="00CA5528" w:rsidP="00CA5528">
                      <w:r>
                        <w:t xml:space="preserve">Cutting back </w:t>
                      </w:r>
                      <w:r w:rsidR="0031103A">
                        <w:t>2,500</w:t>
                      </w:r>
                      <w:r>
                        <w:t xml:space="preserve">,000 Mega Watts of electricity generation from coal powered electricity generation.  (1 Mega Watt of electricity generation from coal emits about 1 tCO2e “Energy Information Agency”. </w:t>
                      </w:r>
                    </w:p>
                  </w:txbxContent>
                </v:textbox>
                <w10:wrap type="square"/>
              </v:shape>
            </w:pict>
          </mc:Fallback>
        </mc:AlternateContent>
      </w:r>
      <w:r>
        <w:rPr>
          <w:noProof/>
        </w:rPr>
        <w:drawing>
          <wp:anchor distT="0" distB="0" distL="114300" distR="114300" simplePos="0" relativeHeight="251674112" behindDoc="0" locked="0" layoutInCell="1" allowOverlap="1" wp14:anchorId="59DA4778" wp14:editId="25F49EB6">
            <wp:simplePos x="0" y="0"/>
            <wp:positionH relativeFrom="column">
              <wp:posOffset>2410460</wp:posOffset>
            </wp:positionH>
            <wp:positionV relativeFrom="paragraph">
              <wp:posOffset>0</wp:posOffset>
            </wp:positionV>
            <wp:extent cx="3082290" cy="2053590"/>
            <wp:effectExtent l="0" t="0" r="3810" b="3810"/>
            <wp:wrapSquare wrapText="bothSides"/>
            <wp:docPr id="11" name="Picture 11" descr="http://www.districtenergy.org/blog/wp-content/uploads/2015/03/power-plant-coal-pennsylv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strictenergy.org/blog/wp-content/uploads/2015/03/power-plant-coal-pennsylvani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2290" cy="2053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br w:type="textWrapping" w:clear="all"/>
      </w:r>
    </w:p>
    <w:p w:rsidR="00BC376A" w:rsidRDefault="00BC376A" w:rsidP="008A0F33">
      <w:pPr>
        <w:spacing w:after="0"/>
        <w:rPr>
          <w:rFonts w:ascii="Times New Roman" w:hAnsi="Times New Roman"/>
          <w:sz w:val="24"/>
          <w:szCs w:val="24"/>
        </w:rPr>
      </w:pPr>
    </w:p>
    <w:p w:rsidR="008A0F33" w:rsidRDefault="00C05F26" w:rsidP="008A0F33">
      <w:pPr>
        <w:spacing w:after="0"/>
        <w:rPr>
          <w:rFonts w:ascii="Times New Roman" w:hAnsi="Times New Roman"/>
          <w:sz w:val="24"/>
          <w:szCs w:val="24"/>
        </w:rPr>
      </w:pPr>
      <w:hyperlink r:id="rId14" w:history="1">
        <w:r w:rsidR="008A0F33" w:rsidRPr="00A0581A">
          <w:rPr>
            <w:rStyle w:val="Hyperlink"/>
            <w:rFonts w:ascii="Times New Roman" w:hAnsi="Times New Roman"/>
            <w:sz w:val="24"/>
            <w:szCs w:val="24"/>
          </w:rPr>
          <w:t>http://www.ccacoalition.org/en/content/about-us</w:t>
        </w:r>
      </w:hyperlink>
      <w:r w:rsidR="008A0F33" w:rsidRPr="00AB1BB9">
        <w:rPr>
          <w:rFonts w:ascii="Times New Roman" w:hAnsi="Times New Roman"/>
          <w:sz w:val="24"/>
          <w:szCs w:val="24"/>
        </w:rPr>
        <w:t>http://www.unep.org/climatechange/</w:t>
      </w:r>
    </w:p>
    <w:p w:rsidR="008A0F33" w:rsidRDefault="008A0F33" w:rsidP="008A0F33">
      <w:pPr>
        <w:spacing w:after="0"/>
        <w:rPr>
          <w:rFonts w:ascii="Times New Roman" w:hAnsi="Times New Roman"/>
          <w:sz w:val="24"/>
          <w:szCs w:val="24"/>
        </w:rPr>
      </w:pPr>
    </w:p>
    <w:p w:rsidR="008A0F33" w:rsidRDefault="008A0F33" w:rsidP="008A0F33">
      <w:pPr>
        <w:spacing w:after="0"/>
        <w:rPr>
          <w:rFonts w:ascii="Times New Roman" w:hAnsi="Times New Roman"/>
          <w:sz w:val="24"/>
          <w:szCs w:val="24"/>
        </w:rPr>
      </w:pPr>
    </w:p>
    <w:p w:rsidR="00E23C12" w:rsidRDefault="00E23C12" w:rsidP="008A0F33">
      <w:pPr>
        <w:spacing w:after="0"/>
        <w:rPr>
          <w:rFonts w:ascii="Times New Roman" w:hAnsi="Times New Roman"/>
          <w:sz w:val="24"/>
          <w:szCs w:val="24"/>
        </w:rPr>
      </w:pPr>
      <w:r>
        <w:rPr>
          <w:rFonts w:ascii="Times New Roman" w:hAnsi="Times New Roman"/>
          <w:sz w:val="24"/>
          <w:szCs w:val="24"/>
        </w:rPr>
        <w:t>Thomas J. Vessels, President of Vessels Coal Gas, Inc.</w:t>
      </w:r>
    </w:p>
    <w:p w:rsidR="008A0F33" w:rsidRDefault="008A0F33" w:rsidP="008A0F33">
      <w:pPr>
        <w:spacing w:after="0"/>
        <w:rPr>
          <w:rFonts w:ascii="Times New Roman" w:hAnsi="Times New Roman"/>
          <w:sz w:val="24"/>
          <w:szCs w:val="24"/>
        </w:rPr>
      </w:pPr>
    </w:p>
    <w:p w:rsidR="008A0F33" w:rsidRDefault="008A0F33" w:rsidP="008A0F33">
      <w:pPr>
        <w:spacing w:after="0"/>
        <w:rPr>
          <w:rFonts w:ascii="Times New Roman" w:hAnsi="Times New Roman"/>
          <w:sz w:val="24"/>
          <w:szCs w:val="24"/>
        </w:rPr>
      </w:pPr>
    </w:p>
    <w:p w:rsidR="008A0F33" w:rsidRPr="005E34D9" w:rsidRDefault="008A0F33" w:rsidP="008A0F33">
      <w:pPr>
        <w:spacing w:after="0"/>
        <w:rPr>
          <w:rFonts w:ascii="Times New Roman" w:hAnsi="Times New Roman"/>
          <w:sz w:val="24"/>
          <w:szCs w:val="24"/>
        </w:rPr>
      </w:pPr>
    </w:p>
    <w:p w:rsidR="00AB1BB9" w:rsidRPr="005E34D9" w:rsidRDefault="00AB1BB9" w:rsidP="008A0F33">
      <w:pPr>
        <w:spacing w:after="0"/>
        <w:rPr>
          <w:rFonts w:ascii="Times New Roman" w:hAnsi="Times New Roman"/>
          <w:sz w:val="24"/>
          <w:szCs w:val="24"/>
        </w:rPr>
      </w:pPr>
    </w:p>
    <w:sectPr w:rsidR="00AB1BB9" w:rsidRPr="005E34D9" w:rsidSect="00792D34">
      <w:footerReference w:type="default" r:id="rId1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26" w:rsidRDefault="00C05F26">
      <w:r>
        <w:separator/>
      </w:r>
    </w:p>
  </w:endnote>
  <w:endnote w:type="continuationSeparator" w:id="0">
    <w:p w:rsidR="00C05F26" w:rsidRDefault="00C0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13886"/>
      <w:docPartObj>
        <w:docPartGallery w:val="Page Numbers (Bottom of Page)"/>
        <w:docPartUnique/>
      </w:docPartObj>
    </w:sdtPr>
    <w:sdtEndPr>
      <w:rPr>
        <w:noProof/>
      </w:rPr>
    </w:sdtEndPr>
    <w:sdtContent>
      <w:p w:rsidR="004C4273" w:rsidRDefault="004C4273">
        <w:pPr>
          <w:pStyle w:val="Footer"/>
          <w:jc w:val="center"/>
        </w:pPr>
        <w:r>
          <w:fldChar w:fldCharType="begin"/>
        </w:r>
        <w:r>
          <w:instrText xml:space="preserve"> PAGE   \* MERGEFORMAT </w:instrText>
        </w:r>
        <w:r>
          <w:fldChar w:fldCharType="separate"/>
        </w:r>
        <w:r w:rsidR="0056197F">
          <w:rPr>
            <w:noProof/>
          </w:rPr>
          <w:t>5</w:t>
        </w:r>
        <w:r>
          <w:rPr>
            <w:noProof/>
          </w:rPr>
          <w:fldChar w:fldCharType="end"/>
        </w:r>
      </w:p>
    </w:sdtContent>
  </w:sdt>
  <w:p w:rsidR="004C4273" w:rsidRPr="00EA2D26" w:rsidRDefault="004C4273" w:rsidP="00EA2D26">
    <w:pPr>
      <w:pStyle w:val="Footer"/>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26" w:rsidRDefault="00C05F26">
      <w:r>
        <w:separator/>
      </w:r>
    </w:p>
  </w:footnote>
  <w:footnote w:type="continuationSeparator" w:id="0">
    <w:p w:rsidR="00C05F26" w:rsidRDefault="00C05F26">
      <w:r>
        <w:continuationSeparator/>
      </w:r>
    </w:p>
  </w:footnote>
  <w:footnote w:id="1">
    <w:p w:rsidR="00CA5528" w:rsidRPr="00E95A93" w:rsidRDefault="00CA5528" w:rsidP="00CA5528">
      <w:pPr>
        <w:pStyle w:val="FootnoteText"/>
        <w:rPr>
          <w:sz w:val="16"/>
        </w:rPr>
      </w:pPr>
      <w:r w:rsidRPr="00E95A93">
        <w:rPr>
          <w:rStyle w:val="FootnoteReference"/>
          <w:sz w:val="16"/>
        </w:rPr>
        <w:footnoteRef/>
      </w:r>
      <w:r w:rsidRPr="00E95A93">
        <w:rPr>
          <w:sz w:val="16"/>
        </w:rPr>
        <w:t xml:space="preserve"> </w:t>
      </w:r>
      <w:r w:rsidRPr="00E95A93">
        <w:rPr>
          <w:rFonts w:ascii="Times New Roman" w:hAnsi="Times New Roman"/>
          <w:szCs w:val="24"/>
        </w:rPr>
        <w:t xml:space="preserve">Uses current </w:t>
      </w:r>
      <w:r w:rsidR="0031103A">
        <w:rPr>
          <w:rFonts w:ascii="Times New Roman" w:hAnsi="Times New Roman"/>
          <w:szCs w:val="24"/>
        </w:rPr>
        <w:t>Climate and Clean Air Coalition findings</w:t>
      </w:r>
      <w:r w:rsidRPr="00E95A93">
        <w:rPr>
          <w:rFonts w:ascii="Times New Roman" w:hAnsi="Times New Roman"/>
          <w:szCs w:val="24"/>
        </w:rPr>
        <w:t xml:space="preserve"> for 20 year Global Warming Potential (GWP) of 100</w:t>
      </w:r>
      <w:r w:rsidR="0031103A">
        <w:rPr>
          <w:rFonts w:ascii="Times New Roman" w:hAnsi="Times New Roman"/>
          <w:szCs w:val="24"/>
        </w:rPr>
        <w:t xml:space="preserve"> for methane</w:t>
      </w:r>
      <w:r w:rsidRPr="00E95A93">
        <w:rPr>
          <w:rFonts w:ascii="Times New Roman" w:hAnsi="Times New Roman"/>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F1A4A"/>
    <w:multiLevelType w:val="hybridMultilevel"/>
    <w:tmpl w:val="5926580C"/>
    <w:lvl w:ilvl="0" w:tplc="155CDBF8">
      <w:start w:val="1"/>
      <w:numFmt w:val="bullet"/>
      <w:lvlText w:val=""/>
      <w:lvlJc w:val="left"/>
      <w:pPr>
        <w:tabs>
          <w:tab w:val="num" w:pos="720"/>
        </w:tabs>
        <w:ind w:left="720" w:hanging="360"/>
      </w:pPr>
      <w:rPr>
        <w:rFonts w:ascii="Wingdings" w:hAnsi="Wingdings" w:hint="default"/>
      </w:rPr>
    </w:lvl>
    <w:lvl w:ilvl="1" w:tplc="6F966394" w:tentative="1">
      <w:start w:val="1"/>
      <w:numFmt w:val="bullet"/>
      <w:lvlText w:val=""/>
      <w:lvlJc w:val="left"/>
      <w:pPr>
        <w:tabs>
          <w:tab w:val="num" w:pos="1440"/>
        </w:tabs>
        <w:ind w:left="1440" w:hanging="360"/>
      </w:pPr>
      <w:rPr>
        <w:rFonts w:ascii="Wingdings" w:hAnsi="Wingdings" w:hint="default"/>
      </w:rPr>
    </w:lvl>
    <w:lvl w:ilvl="2" w:tplc="B6AEC4D2" w:tentative="1">
      <w:start w:val="1"/>
      <w:numFmt w:val="bullet"/>
      <w:lvlText w:val=""/>
      <w:lvlJc w:val="left"/>
      <w:pPr>
        <w:tabs>
          <w:tab w:val="num" w:pos="2160"/>
        </w:tabs>
        <w:ind w:left="2160" w:hanging="360"/>
      </w:pPr>
      <w:rPr>
        <w:rFonts w:ascii="Wingdings" w:hAnsi="Wingdings" w:hint="default"/>
      </w:rPr>
    </w:lvl>
    <w:lvl w:ilvl="3" w:tplc="547ECA86" w:tentative="1">
      <w:start w:val="1"/>
      <w:numFmt w:val="bullet"/>
      <w:lvlText w:val=""/>
      <w:lvlJc w:val="left"/>
      <w:pPr>
        <w:tabs>
          <w:tab w:val="num" w:pos="2880"/>
        </w:tabs>
        <w:ind w:left="2880" w:hanging="360"/>
      </w:pPr>
      <w:rPr>
        <w:rFonts w:ascii="Wingdings" w:hAnsi="Wingdings" w:hint="default"/>
      </w:rPr>
    </w:lvl>
    <w:lvl w:ilvl="4" w:tplc="FB8CE04A" w:tentative="1">
      <w:start w:val="1"/>
      <w:numFmt w:val="bullet"/>
      <w:lvlText w:val=""/>
      <w:lvlJc w:val="left"/>
      <w:pPr>
        <w:tabs>
          <w:tab w:val="num" w:pos="3600"/>
        </w:tabs>
        <w:ind w:left="3600" w:hanging="360"/>
      </w:pPr>
      <w:rPr>
        <w:rFonts w:ascii="Wingdings" w:hAnsi="Wingdings" w:hint="default"/>
      </w:rPr>
    </w:lvl>
    <w:lvl w:ilvl="5" w:tplc="28F83E7E" w:tentative="1">
      <w:start w:val="1"/>
      <w:numFmt w:val="bullet"/>
      <w:lvlText w:val=""/>
      <w:lvlJc w:val="left"/>
      <w:pPr>
        <w:tabs>
          <w:tab w:val="num" w:pos="4320"/>
        </w:tabs>
        <w:ind w:left="4320" w:hanging="360"/>
      </w:pPr>
      <w:rPr>
        <w:rFonts w:ascii="Wingdings" w:hAnsi="Wingdings" w:hint="default"/>
      </w:rPr>
    </w:lvl>
    <w:lvl w:ilvl="6" w:tplc="F4424A1A" w:tentative="1">
      <w:start w:val="1"/>
      <w:numFmt w:val="bullet"/>
      <w:lvlText w:val=""/>
      <w:lvlJc w:val="left"/>
      <w:pPr>
        <w:tabs>
          <w:tab w:val="num" w:pos="5040"/>
        </w:tabs>
        <w:ind w:left="5040" w:hanging="360"/>
      </w:pPr>
      <w:rPr>
        <w:rFonts w:ascii="Wingdings" w:hAnsi="Wingdings" w:hint="default"/>
      </w:rPr>
    </w:lvl>
    <w:lvl w:ilvl="7" w:tplc="5E08C310" w:tentative="1">
      <w:start w:val="1"/>
      <w:numFmt w:val="bullet"/>
      <w:lvlText w:val=""/>
      <w:lvlJc w:val="left"/>
      <w:pPr>
        <w:tabs>
          <w:tab w:val="num" w:pos="5760"/>
        </w:tabs>
        <w:ind w:left="5760" w:hanging="360"/>
      </w:pPr>
      <w:rPr>
        <w:rFonts w:ascii="Wingdings" w:hAnsi="Wingdings" w:hint="default"/>
      </w:rPr>
    </w:lvl>
    <w:lvl w:ilvl="8" w:tplc="CB1A5C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54AB0"/>
    <w:multiLevelType w:val="hybridMultilevel"/>
    <w:tmpl w:val="F3547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15879"/>
    <w:multiLevelType w:val="hybridMultilevel"/>
    <w:tmpl w:val="AA62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D43B9"/>
    <w:multiLevelType w:val="hybridMultilevel"/>
    <w:tmpl w:val="9C14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F05A8"/>
    <w:multiLevelType w:val="hybridMultilevel"/>
    <w:tmpl w:val="46800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636F8"/>
    <w:multiLevelType w:val="hybridMultilevel"/>
    <w:tmpl w:val="FA16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44688"/>
    <w:multiLevelType w:val="hybridMultilevel"/>
    <w:tmpl w:val="31F0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F6091"/>
    <w:multiLevelType w:val="hybridMultilevel"/>
    <w:tmpl w:val="51EA05C4"/>
    <w:lvl w:ilvl="0" w:tplc="2C08AD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116E1"/>
    <w:multiLevelType w:val="hybridMultilevel"/>
    <w:tmpl w:val="FB34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714FD"/>
    <w:multiLevelType w:val="hybridMultilevel"/>
    <w:tmpl w:val="A2DA2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6051F"/>
    <w:multiLevelType w:val="hybridMultilevel"/>
    <w:tmpl w:val="335CB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D4E89"/>
    <w:multiLevelType w:val="hybridMultilevel"/>
    <w:tmpl w:val="6788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F4A00"/>
    <w:multiLevelType w:val="hybridMultilevel"/>
    <w:tmpl w:val="311A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56C49"/>
    <w:multiLevelType w:val="hybridMultilevel"/>
    <w:tmpl w:val="F996B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A7AF0"/>
    <w:multiLevelType w:val="hybridMultilevel"/>
    <w:tmpl w:val="02D2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6418D"/>
    <w:multiLevelType w:val="hybridMultilevel"/>
    <w:tmpl w:val="E58CF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1F7FC1"/>
    <w:multiLevelType w:val="hybridMultilevel"/>
    <w:tmpl w:val="AC0E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
  </w:num>
  <w:num w:numId="5">
    <w:abstractNumId w:val="7"/>
  </w:num>
  <w:num w:numId="6">
    <w:abstractNumId w:val="4"/>
  </w:num>
  <w:num w:numId="7">
    <w:abstractNumId w:val="2"/>
  </w:num>
  <w:num w:numId="8">
    <w:abstractNumId w:val="6"/>
  </w:num>
  <w:num w:numId="9">
    <w:abstractNumId w:val="16"/>
  </w:num>
  <w:num w:numId="10">
    <w:abstractNumId w:val="0"/>
  </w:num>
  <w:num w:numId="11">
    <w:abstractNumId w:val="13"/>
  </w:num>
  <w:num w:numId="12">
    <w:abstractNumId w:val="15"/>
  </w:num>
  <w:num w:numId="13">
    <w:abstractNumId w:val="10"/>
  </w:num>
  <w:num w:numId="14">
    <w:abstractNumId w:val="3"/>
  </w:num>
  <w:num w:numId="15">
    <w:abstractNumId w:val="9"/>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BB"/>
    <w:rsid w:val="000161C2"/>
    <w:rsid w:val="00016E1B"/>
    <w:rsid w:val="00021129"/>
    <w:rsid w:val="00025A3C"/>
    <w:rsid w:val="00026E55"/>
    <w:rsid w:val="00027175"/>
    <w:rsid w:val="000349FA"/>
    <w:rsid w:val="00036958"/>
    <w:rsid w:val="0003732F"/>
    <w:rsid w:val="000403E6"/>
    <w:rsid w:val="000409C6"/>
    <w:rsid w:val="00041610"/>
    <w:rsid w:val="000621AD"/>
    <w:rsid w:val="00076375"/>
    <w:rsid w:val="00080E9F"/>
    <w:rsid w:val="00082530"/>
    <w:rsid w:val="00082D7C"/>
    <w:rsid w:val="000879CF"/>
    <w:rsid w:val="000A54F7"/>
    <w:rsid w:val="000B048B"/>
    <w:rsid w:val="000B52EA"/>
    <w:rsid w:val="000B6F0D"/>
    <w:rsid w:val="000B77A6"/>
    <w:rsid w:val="000C13E2"/>
    <w:rsid w:val="000D192F"/>
    <w:rsid w:val="000D28CD"/>
    <w:rsid w:val="000D3085"/>
    <w:rsid w:val="000D44D4"/>
    <w:rsid w:val="000D4CA9"/>
    <w:rsid w:val="000E1AA8"/>
    <w:rsid w:val="000E55A5"/>
    <w:rsid w:val="000F27AD"/>
    <w:rsid w:val="000F3665"/>
    <w:rsid w:val="001023E3"/>
    <w:rsid w:val="00103010"/>
    <w:rsid w:val="00104B36"/>
    <w:rsid w:val="00104B79"/>
    <w:rsid w:val="00107D83"/>
    <w:rsid w:val="00117FE0"/>
    <w:rsid w:val="00120B7D"/>
    <w:rsid w:val="00123EF8"/>
    <w:rsid w:val="0012687B"/>
    <w:rsid w:val="00150A1B"/>
    <w:rsid w:val="001572AD"/>
    <w:rsid w:val="00170C29"/>
    <w:rsid w:val="00180C6D"/>
    <w:rsid w:val="00192F9D"/>
    <w:rsid w:val="00195653"/>
    <w:rsid w:val="001A4095"/>
    <w:rsid w:val="001B2DC3"/>
    <w:rsid w:val="001B3FE8"/>
    <w:rsid w:val="001C461A"/>
    <w:rsid w:val="001E2325"/>
    <w:rsid w:val="001E25EB"/>
    <w:rsid w:val="002031A7"/>
    <w:rsid w:val="002057EB"/>
    <w:rsid w:val="00205A55"/>
    <w:rsid w:val="00205ABD"/>
    <w:rsid w:val="00213DD6"/>
    <w:rsid w:val="00214073"/>
    <w:rsid w:val="002155CB"/>
    <w:rsid w:val="002177AF"/>
    <w:rsid w:val="0023050B"/>
    <w:rsid w:val="00231083"/>
    <w:rsid w:val="00234016"/>
    <w:rsid w:val="00235375"/>
    <w:rsid w:val="00244810"/>
    <w:rsid w:val="002450D6"/>
    <w:rsid w:val="00253D32"/>
    <w:rsid w:val="00254273"/>
    <w:rsid w:val="0025576D"/>
    <w:rsid w:val="00255E5A"/>
    <w:rsid w:val="0025726D"/>
    <w:rsid w:val="0027401F"/>
    <w:rsid w:val="00287295"/>
    <w:rsid w:val="002910FE"/>
    <w:rsid w:val="00293919"/>
    <w:rsid w:val="002942A7"/>
    <w:rsid w:val="00296DE4"/>
    <w:rsid w:val="002A65DE"/>
    <w:rsid w:val="002B1180"/>
    <w:rsid w:val="002C0775"/>
    <w:rsid w:val="002D5194"/>
    <w:rsid w:val="002D6031"/>
    <w:rsid w:val="002D70F3"/>
    <w:rsid w:val="002E5190"/>
    <w:rsid w:val="002F2DBA"/>
    <w:rsid w:val="0031103A"/>
    <w:rsid w:val="00311C16"/>
    <w:rsid w:val="003123BF"/>
    <w:rsid w:val="0033068F"/>
    <w:rsid w:val="00340B07"/>
    <w:rsid w:val="0034296F"/>
    <w:rsid w:val="003618C2"/>
    <w:rsid w:val="003622BB"/>
    <w:rsid w:val="003653B4"/>
    <w:rsid w:val="0037099A"/>
    <w:rsid w:val="00376F1E"/>
    <w:rsid w:val="00380577"/>
    <w:rsid w:val="00384E38"/>
    <w:rsid w:val="003903F6"/>
    <w:rsid w:val="003922FD"/>
    <w:rsid w:val="003968BB"/>
    <w:rsid w:val="003A1010"/>
    <w:rsid w:val="003A34C0"/>
    <w:rsid w:val="003B34C7"/>
    <w:rsid w:val="003B4293"/>
    <w:rsid w:val="003E03A8"/>
    <w:rsid w:val="003E3DFE"/>
    <w:rsid w:val="00405599"/>
    <w:rsid w:val="00410AB0"/>
    <w:rsid w:val="00411F00"/>
    <w:rsid w:val="00412767"/>
    <w:rsid w:val="00426C38"/>
    <w:rsid w:val="0043564E"/>
    <w:rsid w:val="004377E0"/>
    <w:rsid w:val="00443427"/>
    <w:rsid w:val="00445BEC"/>
    <w:rsid w:val="00466E6A"/>
    <w:rsid w:val="00474C04"/>
    <w:rsid w:val="00483AD0"/>
    <w:rsid w:val="00484AD9"/>
    <w:rsid w:val="00484BD2"/>
    <w:rsid w:val="00495445"/>
    <w:rsid w:val="004A0655"/>
    <w:rsid w:val="004A1563"/>
    <w:rsid w:val="004A2EEE"/>
    <w:rsid w:val="004A795B"/>
    <w:rsid w:val="004B0D82"/>
    <w:rsid w:val="004B49F0"/>
    <w:rsid w:val="004B761F"/>
    <w:rsid w:val="004C4273"/>
    <w:rsid w:val="004C5547"/>
    <w:rsid w:val="004C573B"/>
    <w:rsid w:val="004D2709"/>
    <w:rsid w:val="004D63BF"/>
    <w:rsid w:val="004D6BE6"/>
    <w:rsid w:val="004F16E3"/>
    <w:rsid w:val="004F7F85"/>
    <w:rsid w:val="00512A74"/>
    <w:rsid w:val="00527EE1"/>
    <w:rsid w:val="00536531"/>
    <w:rsid w:val="005370B7"/>
    <w:rsid w:val="0054002B"/>
    <w:rsid w:val="00542F4C"/>
    <w:rsid w:val="00551744"/>
    <w:rsid w:val="00551AA5"/>
    <w:rsid w:val="005527B1"/>
    <w:rsid w:val="00554C0A"/>
    <w:rsid w:val="0056197F"/>
    <w:rsid w:val="00564664"/>
    <w:rsid w:val="005647F5"/>
    <w:rsid w:val="00566D07"/>
    <w:rsid w:val="005802E7"/>
    <w:rsid w:val="00587269"/>
    <w:rsid w:val="005950EE"/>
    <w:rsid w:val="00595E70"/>
    <w:rsid w:val="005A62AA"/>
    <w:rsid w:val="005A774F"/>
    <w:rsid w:val="005B02AD"/>
    <w:rsid w:val="005C3641"/>
    <w:rsid w:val="005C4882"/>
    <w:rsid w:val="005D43CA"/>
    <w:rsid w:val="005D45C2"/>
    <w:rsid w:val="005E1CA8"/>
    <w:rsid w:val="005E34D9"/>
    <w:rsid w:val="005E6D91"/>
    <w:rsid w:val="005F29E3"/>
    <w:rsid w:val="005F2B35"/>
    <w:rsid w:val="005F4547"/>
    <w:rsid w:val="005F4C34"/>
    <w:rsid w:val="00601337"/>
    <w:rsid w:val="00612238"/>
    <w:rsid w:val="006137FA"/>
    <w:rsid w:val="006175D8"/>
    <w:rsid w:val="0062335C"/>
    <w:rsid w:val="00641CBE"/>
    <w:rsid w:val="006427A0"/>
    <w:rsid w:val="00645042"/>
    <w:rsid w:val="00650B6D"/>
    <w:rsid w:val="006535FB"/>
    <w:rsid w:val="00654B0C"/>
    <w:rsid w:val="0066159F"/>
    <w:rsid w:val="00662B9D"/>
    <w:rsid w:val="00672928"/>
    <w:rsid w:val="00696724"/>
    <w:rsid w:val="00697A98"/>
    <w:rsid w:val="006A7DA8"/>
    <w:rsid w:val="006B13BE"/>
    <w:rsid w:val="006C072C"/>
    <w:rsid w:val="006C69C8"/>
    <w:rsid w:val="006D0622"/>
    <w:rsid w:val="006D30C1"/>
    <w:rsid w:val="006E0020"/>
    <w:rsid w:val="006E5252"/>
    <w:rsid w:val="006F5D33"/>
    <w:rsid w:val="00702C42"/>
    <w:rsid w:val="00704686"/>
    <w:rsid w:val="00714B7B"/>
    <w:rsid w:val="00715D41"/>
    <w:rsid w:val="007179B2"/>
    <w:rsid w:val="00721F01"/>
    <w:rsid w:val="00723A90"/>
    <w:rsid w:val="00734090"/>
    <w:rsid w:val="00741648"/>
    <w:rsid w:val="00742FE2"/>
    <w:rsid w:val="007430DA"/>
    <w:rsid w:val="00744548"/>
    <w:rsid w:val="0074605C"/>
    <w:rsid w:val="007552D1"/>
    <w:rsid w:val="007568F4"/>
    <w:rsid w:val="00761EEB"/>
    <w:rsid w:val="00770B50"/>
    <w:rsid w:val="00770B7C"/>
    <w:rsid w:val="0077307D"/>
    <w:rsid w:val="007744A5"/>
    <w:rsid w:val="00792D34"/>
    <w:rsid w:val="0079358A"/>
    <w:rsid w:val="00793C5B"/>
    <w:rsid w:val="00795149"/>
    <w:rsid w:val="007A1CC6"/>
    <w:rsid w:val="007A3695"/>
    <w:rsid w:val="007A58C3"/>
    <w:rsid w:val="007B0198"/>
    <w:rsid w:val="007B0D12"/>
    <w:rsid w:val="007B6145"/>
    <w:rsid w:val="007C0ADE"/>
    <w:rsid w:val="007D10BA"/>
    <w:rsid w:val="007E2816"/>
    <w:rsid w:val="007F0C71"/>
    <w:rsid w:val="007F26F5"/>
    <w:rsid w:val="007F3207"/>
    <w:rsid w:val="007F337C"/>
    <w:rsid w:val="007F6040"/>
    <w:rsid w:val="0081271D"/>
    <w:rsid w:val="008154B0"/>
    <w:rsid w:val="00826188"/>
    <w:rsid w:val="00827C58"/>
    <w:rsid w:val="00831C35"/>
    <w:rsid w:val="00852F3D"/>
    <w:rsid w:val="008556D0"/>
    <w:rsid w:val="008653A4"/>
    <w:rsid w:val="0086780B"/>
    <w:rsid w:val="00873440"/>
    <w:rsid w:val="008808CA"/>
    <w:rsid w:val="00884CB3"/>
    <w:rsid w:val="008A0F33"/>
    <w:rsid w:val="008A3E4E"/>
    <w:rsid w:val="008B2074"/>
    <w:rsid w:val="008B24C1"/>
    <w:rsid w:val="008B39EA"/>
    <w:rsid w:val="008B676B"/>
    <w:rsid w:val="008C3B6D"/>
    <w:rsid w:val="008F5822"/>
    <w:rsid w:val="009001B9"/>
    <w:rsid w:val="009059DC"/>
    <w:rsid w:val="00912CDE"/>
    <w:rsid w:val="00913F86"/>
    <w:rsid w:val="009242D8"/>
    <w:rsid w:val="00925C92"/>
    <w:rsid w:val="00931DFE"/>
    <w:rsid w:val="00941CDA"/>
    <w:rsid w:val="00942B94"/>
    <w:rsid w:val="00943BAA"/>
    <w:rsid w:val="009502BB"/>
    <w:rsid w:val="00952F22"/>
    <w:rsid w:val="009562B9"/>
    <w:rsid w:val="009565CF"/>
    <w:rsid w:val="00956B30"/>
    <w:rsid w:val="009602B8"/>
    <w:rsid w:val="009712B6"/>
    <w:rsid w:val="00972076"/>
    <w:rsid w:val="009727CB"/>
    <w:rsid w:val="00974639"/>
    <w:rsid w:val="00980FE8"/>
    <w:rsid w:val="0098337F"/>
    <w:rsid w:val="00987678"/>
    <w:rsid w:val="00991E61"/>
    <w:rsid w:val="0099633C"/>
    <w:rsid w:val="009A1FC5"/>
    <w:rsid w:val="009B0EFD"/>
    <w:rsid w:val="009C0F61"/>
    <w:rsid w:val="009D3B2B"/>
    <w:rsid w:val="009D3EC5"/>
    <w:rsid w:val="009D7072"/>
    <w:rsid w:val="009F114D"/>
    <w:rsid w:val="009F56B4"/>
    <w:rsid w:val="00A01437"/>
    <w:rsid w:val="00A2603B"/>
    <w:rsid w:val="00A26D5D"/>
    <w:rsid w:val="00A313D9"/>
    <w:rsid w:val="00A320A5"/>
    <w:rsid w:val="00A36113"/>
    <w:rsid w:val="00A36259"/>
    <w:rsid w:val="00A37187"/>
    <w:rsid w:val="00A50008"/>
    <w:rsid w:val="00A622D6"/>
    <w:rsid w:val="00A71F2F"/>
    <w:rsid w:val="00A752BC"/>
    <w:rsid w:val="00A80F37"/>
    <w:rsid w:val="00A82705"/>
    <w:rsid w:val="00A9627F"/>
    <w:rsid w:val="00AA1CAB"/>
    <w:rsid w:val="00AB1BB9"/>
    <w:rsid w:val="00AB2310"/>
    <w:rsid w:val="00AB530E"/>
    <w:rsid w:val="00AB545F"/>
    <w:rsid w:val="00AC6102"/>
    <w:rsid w:val="00AC638C"/>
    <w:rsid w:val="00AD63A5"/>
    <w:rsid w:val="00AE0C12"/>
    <w:rsid w:val="00AE1230"/>
    <w:rsid w:val="00AE298E"/>
    <w:rsid w:val="00AF7429"/>
    <w:rsid w:val="00B01396"/>
    <w:rsid w:val="00B02362"/>
    <w:rsid w:val="00B028E1"/>
    <w:rsid w:val="00B02CBA"/>
    <w:rsid w:val="00B16A47"/>
    <w:rsid w:val="00B170BC"/>
    <w:rsid w:val="00B24C7C"/>
    <w:rsid w:val="00B2648A"/>
    <w:rsid w:val="00B42878"/>
    <w:rsid w:val="00B609A2"/>
    <w:rsid w:val="00B63897"/>
    <w:rsid w:val="00B70249"/>
    <w:rsid w:val="00B777CC"/>
    <w:rsid w:val="00B84839"/>
    <w:rsid w:val="00B849E0"/>
    <w:rsid w:val="00B93E4F"/>
    <w:rsid w:val="00B975B3"/>
    <w:rsid w:val="00B97BE1"/>
    <w:rsid w:val="00BA1639"/>
    <w:rsid w:val="00BA2015"/>
    <w:rsid w:val="00BB143B"/>
    <w:rsid w:val="00BC1A90"/>
    <w:rsid w:val="00BC376A"/>
    <w:rsid w:val="00BC5F1B"/>
    <w:rsid w:val="00BC6A7B"/>
    <w:rsid w:val="00BD4B99"/>
    <w:rsid w:val="00BD4E2D"/>
    <w:rsid w:val="00BD5643"/>
    <w:rsid w:val="00C0346E"/>
    <w:rsid w:val="00C05F26"/>
    <w:rsid w:val="00C14038"/>
    <w:rsid w:val="00C22B27"/>
    <w:rsid w:val="00C27F33"/>
    <w:rsid w:val="00C34657"/>
    <w:rsid w:val="00C359BE"/>
    <w:rsid w:val="00C41404"/>
    <w:rsid w:val="00C45CD2"/>
    <w:rsid w:val="00C46A40"/>
    <w:rsid w:val="00C51165"/>
    <w:rsid w:val="00C55C5D"/>
    <w:rsid w:val="00C56264"/>
    <w:rsid w:val="00C60516"/>
    <w:rsid w:val="00C6434E"/>
    <w:rsid w:val="00C7469F"/>
    <w:rsid w:val="00C85E27"/>
    <w:rsid w:val="00C86AE9"/>
    <w:rsid w:val="00C948C7"/>
    <w:rsid w:val="00C9791D"/>
    <w:rsid w:val="00CA5528"/>
    <w:rsid w:val="00CA722E"/>
    <w:rsid w:val="00CB0247"/>
    <w:rsid w:val="00CC3957"/>
    <w:rsid w:val="00CD00AE"/>
    <w:rsid w:val="00CD5ED5"/>
    <w:rsid w:val="00CF1C8F"/>
    <w:rsid w:val="00CF603C"/>
    <w:rsid w:val="00D053EF"/>
    <w:rsid w:val="00D20D0E"/>
    <w:rsid w:val="00D42941"/>
    <w:rsid w:val="00D436C2"/>
    <w:rsid w:val="00D603EA"/>
    <w:rsid w:val="00D60462"/>
    <w:rsid w:val="00D61495"/>
    <w:rsid w:val="00D70C98"/>
    <w:rsid w:val="00D71AC7"/>
    <w:rsid w:val="00D74621"/>
    <w:rsid w:val="00D74B1A"/>
    <w:rsid w:val="00D84F91"/>
    <w:rsid w:val="00DB51E4"/>
    <w:rsid w:val="00DB69F6"/>
    <w:rsid w:val="00DC00AB"/>
    <w:rsid w:val="00DC6C71"/>
    <w:rsid w:val="00DD0675"/>
    <w:rsid w:val="00DD0ABB"/>
    <w:rsid w:val="00DE00AA"/>
    <w:rsid w:val="00DE4A10"/>
    <w:rsid w:val="00DE7018"/>
    <w:rsid w:val="00DE7586"/>
    <w:rsid w:val="00DF0371"/>
    <w:rsid w:val="00E100F9"/>
    <w:rsid w:val="00E11953"/>
    <w:rsid w:val="00E200F1"/>
    <w:rsid w:val="00E23C12"/>
    <w:rsid w:val="00E375A8"/>
    <w:rsid w:val="00E478E4"/>
    <w:rsid w:val="00E50228"/>
    <w:rsid w:val="00E50B4C"/>
    <w:rsid w:val="00E610C7"/>
    <w:rsid w:val="00E6244D"/>
    <w:rsid w:val="00E67660"/>
    <w:rsid w:val="00E707B9"/>
    <w:rsid w:val="00E714DE"/>
    <w:rsid w:val="00E87631"/>
    <w:rsid w:val="00E9376D"/>
    <w:rsid w:val="00E964D6"/>
    <w:rsid w:val="00E968B5"/>
    <w:rsid w:val="00EA09C8"/>
    <w:rsid w:val="00EA2D26"/>
    <w:rsid w:val="00EB0AF5"/>
    <w:rsid w:val="00EB2E52"/>
    <w:rsid w:val="00EC5D4C"/>
    <w:rsid w:val="00EC74F4"/>
    <w:rsid w:val="00ED1D9A"/>
    <w:rsid w:val="00ED1ED5"/>
    <w:rsid w:val="00ED50E3"/>
    <w:rsid w:val="00EE3D66"/>
    <w:rsid w:val="00EE4323"/>
    <w:rsid w:val="00EE65F2"/>
    <w:rsid w:val="00EF2764"/>
    <w:rsid w:val="00EF4346"/>
    <w:rsid w:val="00F0087A"/>
    <w:rsid w:val="00F07FEB"/>
    <w:rsid w:val="00F1336A"/>
    <w:rsid w:val="00F24813"/>
    <w:rsid w:val="00F249A8"/>
    <w:rsid w:val="00F337A7"/>
    <w:rsid w:val="00F518C3"/>
    <w:rsid w:val="00F530A3"/>
    <w:rsid w:val="00F5334C"/>
    <w:rsid w:val="00F56E7D"/>
    <w:rsid w:val="00F60531"/>
    <w:rsid w:val="00F653F4"/>
    <w:rsid w:val="00F8378A"/>
    <w:rsid w:val="00F84A42"/>
    <w:rsid w:val="00F91DC4"/>
    <w:rsid w:val="00F960CD"/>
    <w:rsid w:val="00FA3B06"/>
    <w:rsid w:val="00FB036E"/>
    <w:rsid w:val="00FB6900"/>
    <w:rsid w:val="00FC59EC"/>
    <w:rsid w:val="00FD1751"/>
    <w:rsid w:val="00FD25B5"/>
    <w:rsid w:val="00FD7350"/>
    <w:rsid w:val="00FE67F1"/>
    <w:rsid w:val="00FE6F98"/>
    <w:rsid w:val="00FF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FF98071"/>
  <w15:docId w15:val="{07A362AA-F1E4-4558-A5C7-5B55AD50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5CD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D12"/>
    <w:pPr>
      <w:tabs>
        <w:tab w:val="center" w:pos="4320"/>
        <w:tab w:val="right" w:pos="8640"/>
      </w:tabs>
    </w:pPr>
  </w:style>
  <w:style w:type="paragraph" w:styleId="Footer">
    <w:name w:val="footer"/>
    <w:basedOn w:val="Normal"/>
    <w:link w:val="FooterChar"/>
    <w:uiPriority w:val="99"/>
    <w:rsid w:val="007B0D12"/>
    <w:pPr>
      <w:tabs>
        <w:tab w:val="center" w:pos="4320"/>
        <w:tab w:val="right" w:pos="8640"/>
      </w:tabs>
    </w:pPr>
  </w:style>
  <w:style w:type="paragraph" w:customStyle="1" w:styleId="DocID">
    <w:name w:val="DocID"/>
    <w:basedOn w:val="Normal"/>
    <w:next w:val="Normal"/>
    <w:rsid w:val="007B0D12"/>
    <w:pPr>
      <w:spacing w:after="0" w:line="240" w:lineRule="auto"/>
    </w:pPr>
    <w:rPr>
      <w:rFonts w:ascii="Garamond" w:hAnsi="Garamond"/>
      <w:sz w:val="20"/>
    </w:rPr>
  </w:style>
  <w:style w:type="paragraph" w:styleId="BalloonText">
    <w:name w:val="Balloon Text"/>
    <w:basedOn w:val="Normal"/>
    <w:semiHidden/>
    <w:rsid w:val="007B0D12"/>
    <w:rPr>
      <w:rFonts w:ascii="Tahoma" w:hAnsi="Tahoma" w:cs="Tahoma"/>
      <w:sz w:val="16"/>
      <w:szCs w:val="16"/>
    </w:rPr>
  </w:style>
  <w:style w:type="character" w:styleId="PageNumber">
    <w:name w:val="page number"/>
    <w:basedOn w:val="DefaultParagraphFont"/>
    <w:rsid w:val="00EA2D26"/>
  </w:style>
  <w:style w:type="paragraph" w:styleId="ListParagraph">
    <w:name w:val="List Paragraph"/>
    <w:basedOn w:val="Normal"/>
    <w:uiPriority w:val="34"/>
    <w:qFormat/>
    <w:rsid w:val="000403E6"/>
    <w:pPr>
      <w:ind w:left="720"/>
      <w:contextualSpacing/>
    </w:pPr>
  </w:style>
  <w:style w:type="character" w:styleId="Hyperlink">
    <w:name w:val="Hyperlink"/>
    <w:basedOn w:val="DefaultParagraphFont"/>
    <w:rsid w:val="00B170BC"/>
    <w:rPr>
      <w:color w:val="0000FF" w:themeColor="hyperlink"/>
      <w:u w:val="single"/>
    </w:rPr>
  </w:style>
  <w:style w:type="paragraph" w:styleId="Title">
    <w:name w:val="Title"/>
    <w:basedOn w:val="Normal"/>
    <w:link w:val="TitleChar"/>
    <w:qFormat/>
    <w:locked/>
    <w:rsid w:val="00E11953"/>
    <w:pPr>
      <w:spacing w:after="0" w:line="240" w:lineRule="auto"/>
      <w:jc w:val="center"/>
    </w:pPr>
    <w:rPr>
      <w:rFonts w:ascii="Arial" w:hAnsi="Arial"/>
      <w:b/>
      <w:szCs w:val="20"/>
    </w:rPr>
  </w:style>
  <w:style w:type="character" w:customStyle="1" w:styleId="TitleChar">
    <w:name w:val="Title Char"/>
    <w:basedOn w:val="DefaultParagraphFont"/>
    <w:link w:val="Title"/>
    <w:rsid w:val="00E11953"/>
    <w:rPr>
      <w:rFonts w:ascii="Arial" w:eastAsia="Times New Roman" w:hAnsi="Arial"/>
      <w:b/>
      <w:sz w:val="22"/>
    </w:rPr>
  </w:style>
  <w:style w:type="paragraph" w:customStyle="1" w:styleId="level1para">
    <w:name w:val="level 1 para"/>
    <w:basedOn w:val="Normal"/>
    <w:rsid w:val="00E11953"/>
    <w:pPr>
      <w:spacing w:after="0" w:line="240" w:lineRule="auto"/>
      <w:ind w:firstLine="720"/>
      <w:jc w:val="both"/>
    </w:pPr>
    <w:rPr>
      <w:rFonts w:ascii="Bookman" w:hAnsi="Bookman"/>
      <w:sz w:val="24"/>
      <w:szCs w:val="20"/>
    </w:rPr>
  </w:style>
  <w:style w:type="character" w:customStyle="1" w:styleId="FooterChar">
    <w:name w:val="Footer Char"/>
    <w:basedOn w:val="DefaultParagraphFont"/>
    <w:link w:val="Footer"/>
    <w:uiPriority w:val="99"/>
    <w:rsid w:val="00952F22"/>
    <w:rPr>
      <w:rFonts w:eastAsia="Times New Roman"/>
      <w:sz w:val="22"/>
      <w:szCs w:val="22"/>
    </w:rPr>
  </w:style>
  <w:style w:type="paragraph" w:styleId="NormalWeb">
    <w:name w:val="Normal (Web)"/>
    <w:basedOn w:val="Normal"/>
    <w:uiPriority w:val="99"/>
    <w:semiHidden/>
    <w:unhideWhenUsed/>
    <w:rsid w:val="00F960CD"/>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locked/>
    <w:rsid w:val="000E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A0F33"/>
    <w:pPr>
      <w:spacing w:after="0" w:line="240" w:lineRule="auto"/>
    </w:pPr>
    <w:rPr>
      <w:sz w:val="20"/>
      <w:szCs w:val="20"/>
    </w:rPr>
  </w:style>
  <w:style w:type="character" w:customStyle="1" w:styleId="FootnoteTextChar">
    <w:name w:val="Footnote Text Char"/>
    <w:basedOn w:val="DefaultParagraphFont"/>
    <w:link w:val="FootnoteText"/>
    <w:rsid w:val="008A0F33"/>
    <w:rPr>
      <w:rFonts w:eastAsia="Times New Roman"/>
    </w:rPr>
  </w:style>
  <w:style w:type="character" w:styleId="FootnoteReference">
    <w:name w:val="footnote reference"/>
    <w:basedOn w:val="DefaultParagraphFont"/>
    <w:semiHidden/>
    <w:unhideWhenUsed/>
    <w:rsid w:val="008A0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07684">
      <w:bodyDiv w:val="1"/>
      <w:marLeft w:val="0"/>
      <w:marRight w:val="0"/>
      <w:marTop w:val="0"/>
      <w:marBottom w:val="0"/>
      <w:divBdr>
        <w:top w:val="none" w:sz="0" w:space="0" w:color="auto"/>
        <w:left w:val="none" w:sz="0" w:space="0" w:color="auto"/>
        <w:bottom w:val="none" w:sz="0" w:space="0" w:color="auto"/>
        <w:right w:val="none" w:sz="0" w:space="0" w:color="auto"/>
      </w:divBdr>
    </w:div>
    <w:div w:id="117140356">
      <w:bodyDiv w:val="1"/>
      <w:marLeft w:val="0"/>
      <w:marRight w:val="0"/>
      <w:marTop w:val="0"/>
      <w:marBottom w:val="0"/>
      <w:divBdr>
        <w:top w:val="none" w:sz="0" w:space="0" w:color="auto"/>
        <w:left w:val="none" w:sz="0" w:space="0" w:color="auto"/>
        <w:bottom w:val="none" w:sz="0" w:space="0" w:color="auto"/>
        <w:right w:val="none" w:sz="0" w:space="0" w:color="auto"/>
      </w:divBdr>
    </w:div>
    <w:div w:id="520435280">
      <w:bodyDiv w:val="1"/>
      <w:marLeft w:val="0"/>
      <w:marRight w:val="0"/>
      <w:marTop w:val="0"/>
      <w:marBottom w:val="0"/>
      <w:divBdr>
        <w:top w:val="none" w:sz="0" w:space="0" w:color="auto"/>
        <w:left w:val="none" w:sz="0" w:space="0" w:color="auto"/>
        <w:bottom w:val="none" w:sz="0" w:space="0" w:color="auto"/>
        <w:right w:val="none" w:sz="0" w:space="0" w:color="auto"/>
      </w:divBdr>
    </w:div>
    <w:div w:id="825440813">
      <w:bodyDiv w:val="1"/>
      <w:marLeft w:val="0"/>
      <w:marRight w:val="0"/>
      <w:marTop w:val="0"/>
      <w:marBottom w:val="0"/>
      <w:divBdr>
        <w:top w:val="none" w:sz="0" w:space="0" w:color="auto"/>
        <w:left w:val="none" w:sz="0" w:space="0" w:color="auto"/>
        <w:bottom w:val="none" w:sz="0" w:space="0" w:color="auto"/>
        <w:right w:val="none" w:sz="0" w:space="0" w:color="auto"/>
      </w:divBdr>
    </w:div>
    <w:div w:id="1037698149">
      <w:bodyDiv w:val="1"/>
      <w:marLeft w:val="0"/>
      <w:marRight w:val="0"/>
      <w:marTop w:val="0"/>
      <w:marBottom w:val="0"/>
      <w:divBdr>
        <w:top w:val="none" w:sz="0" w:space="0" w:color="auto"/>
        <w:left w:val="none" w:sz="0" w:space="0" w:color="auto"/>
        <w:bottom w:val="none" w:sz="0" w:space="0" w:color="auto"/>
        <w:right w:val="none" w:sz="0" w:space="0" w:color="auto"/>
      </w:divBdr>
    </w:div>
    <w:div w:id="1228220560">
      <w:bodyDiv w:val="1"/>
      <w:marLeft w:val="0"/>
      <w:marRight w:val="0"/>
      <w:marTop w:val="0"/>
      <w:marBottom w:val="0"/>
      <w:divBdr>
        <w:top w:val="none" w:sz="0" w:space="0" w:color="auto"/>
        <w:left w:val="none" w:sz="0" w:space="0" w:color="auto"/>
        <w:bottom w:val="none" w:sz="0" w:space="0" w:color="auto"/>
        <w:right w:val="none" w:sz="0" w:space="0" w:color="auto"/>
      </w:divBdr>
    </w:div>
    <w:div w:id="1273127622">
      <w:bodyDiv w:val="1"/>
      <w:marLeft w:val="0"/>
      <w:marRight w:val="0"/>
      <w:marTop w:val="0"/>
      <w:marBottom w:val="0"/>
      <w:divBdr>
        <w:top w:val="none" w:sz="0" w:space="0" w:color="auto"/>
        <w:left w:val="none" w:sz="0" w:space="0" w:color="auto"/>
        <w:bottom w:val="none" w:sz="0" w:space="0" w:color="auto"/>
        <w:right w:val="none" w:sz="0" w:space="0" w:color="auto"/>
      </w:divBdr>
    </w:div>
    <w:div w:id="1284193755">
      <w:bodyDiv w:val="1"/>
      <w:marLeft w:val="0"/>
      <w:marRight w:val="0"/>
      <w:marTop w:val="0"/>
      <w:marBottom w:val="0"/>
      <w:divBdr>
        <w:top w:val="none" w:sz="0" w:space="0" w:color="auto"/>
        <w:left w:val="none" w:sz="0" w:space="0" w:color="auto"/>
        <w:bottom w:val="none" w:sz="0" w:space="0" w:color="auto"/>
        <w:right w:val="none" w:sz="0" w:space="0" w:color="auto"/>
      </w:divBdr>
    </w:div>
    <w:div w:id="1330408430">
      <w:bodyDiv w:val="1"/>
      <w:marLeft w:val="0"/>
      <w:marRight w:val="0"/>
      <w:marTop w:val="0"/>
      <w:marBottom w:val="0"/>
      <w:divBdr>
        <w:top w:val="none" w:sz="0" w:space="0" w:color="auto"/>
        <w:left w:val="none" w:sz="0" w:space="0" w:color="auto"/>
        <w:bottom w:val="none" w:sz="0" w:space="0" w:color="auto"/>
        <w:right w:val="none" w:sz="0" w:space="0" w:color="auto"/>
      </w:divBdr>
    </w:div>
    <w:div w:id="1890875256">
      <w:bodyDiv w:val="1"/>
      <w:marLeft w:val="0"/>
      <w:marRight w:val="0"/>
      <w:marTop w:val="0"/>
      <w:marBottom w:val="0"/>
      <w:divBdr>
        <w:top w:val="none" w:sz="0" w:space="0" w:color="auto"/>
        <w:left w:val="none" w:sz="0" w:space="0" w:color="auto"/>
        <w:bottom w:val="none" w:sz="0" w:space="0" w:color="auto"/>
        <w:right w:val="none" w:sz="0" w:space="0" w:color="auto"/>
      </w:divBdr>
    </w:div>
    <w:div w:id="20042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ccacoalition.org/en/content/about-u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IPCC</a:t>
            </a:r>
            <a:r>
              <a:rPr lang="en-US" baseline="0"/>
              <a:t> GWP evolution of methane.</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20 years</c:v>
                </c:pt>
              </c:strCache>
            </c:strRef>
          </c:tx>
          <c:spPr>
            <a:solidFill>
              <a:schemeClr val="accent1"/>
            </a:solidFill>
            <a:ln>
              <a:noFill/>
            </a:ln>
            <a:effectLst/>
          </c:spPr>
          <c:invertIfNegative val="0"/>
          <c:cat>
            <c:strRef>
              <c:f>Sheet1!$A$2:$A$6</c:f>
              <c:strCache>
                <c:ptCount val="4"/>
                <c:pt idx="0">
                  <c:v>2nd AR/ 1995</c:v>
                </c:pt>
                <c:pt idx="1">
                  <c:v>4th AR/ 2007</c:v>
                </c:pt>
                <c:pt idx="2">
                  <c:v>5th AR/ 2013</c:v>
                </c:pt>
                <c:pt idx="3">
                  <c:v>CCAC/ 2016</c:v>
                </c:pt>
              </c:strCache>
            </c:strRef>
          </c:cat>
          <c:val>
            <c:numRef>
              <c:f>Sheet1!$B$2:$B$6</c:f>
              <c:numCache>
                <c:formatCode>General</c:formatCode>
                <c:ptCount val="5"/>
                <c:pt idx="0">
                  <c:v>56</c:v>
                </c:pt>
                <c:pt idx="1">
                  <c:v>72</c:v>
                </c:pt>
                <c:pt idx="2">
                  <c:v>84</c:v>
                </c:pt>
                <c:pt idx="3">
                  <c:v>100</c:v>
                </c:pt>
              </c:numCache>
            </c:numRef>
          </c:val>
          <c:extLst>
            <c:ext xmlns:c16="http://schemas.microsoft.com/office/drawing/2014/chart" uri="{C3380CC4-5D6E-409C-BE32-E72D297353CC}">
              <c16:uniqueId val="{00000000-ED68-482B-B01E-BEB4992EB975}"/>
            </c:ext>
          </c:extLst>
        </c:ser>
        <c:ser>
          <c:idx val="1"/>
          <c:order val="1"/>
          <c:tx>
            <c:strRef>
              <c:f>Sheet1!$C$1</c:f>
              <c:strCache>
                <c:ptCount val="1"/>
                <c:pt idx="0">
                  <c:v>100 years</c:v>
                </c:pt>
              </c:strCache>
            </c:strRef>
          </c:tx>
          <c:spPr>
            <a:solidFill>
              <a:schemeClr val="accent2"/>
            </a:solidFill>
            <a:ln>
              <a:noFill/>
            </a:ln>
            <a:effectLst/>
          </c:spPr>
          <c:invertIfNegative val="0"/>
          <c:cat>
            <c:strRef>
              <c:f>Sheet1!$A$2:$A$6</c:f>
              <c:strCache>
                <c:ptCount val="4"/>
                <c:pt idx="0">
                  <c:v>2nd AR/ 1995</c:v>
                </c:pt>
                <c:pt idx="1">
                  <c:v>4th AR/ 2007</c:v>
                </c:pt>
                <c:pt idx="2">
                  <c:v>5th AR/ 2013</c:v>
                </c:pt>
                <c:pt idx="3">
                  <c:v>CCAC/ 2016</c:v>
                </c:pt>
              </c:strCache>
            </c:strRef>
          </c:cat>
          <c:val>
            <c:numRef>
              <c:f>Sheet1!$C$2:$C$6</c:f>
              <c:numCache>
                <c:formatCode>General</c:formatCode>
                <c:ptCount val="5"/>
                <c:pt idx="0">
                  <c:v>21</c:v>
                </c:pt>
                <c:pt idx="1">
                  <c:v>25</c:v>
                </c:pt>
                <c:pt idx="2">
                  <c:v>28</c:v>
                </c:pt>
                <c:pt idx="3">
                  <c:v>40</c:v>
                </c:pt>
              </c:numCache>
            </c:numRef>
          </c:val>
          <c:extLst>
            <c:ext xmlns:c16="http://schemas.microsoft.com/office/drawing/2014/chart" uri="{C3380CC4-5D6E-409C-BE32-E72D297353CC}">
              <c16:uniqueId val="{00000001-ED68-482B-B01E-BEB4992EB975}"/>
            </c:ext>
          </c:extLst>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4"/>
                <c:pt idx="0">
                  <c:v>2nd AR/ 1995</c:v>
                </c:pt>
                <c:pt idx="1">
                  <c:v>4th AR/ 2007</c:v>
                </c:pt>
                <c:pt idx="2">
                  <c:v>5th AR/ 2013</c:v>
                </c:pt>
                <c:pt idx="3">
                  <c:v>CCAC/ 2016</c:v>
                </c:pt>
              </c:strCache>
            </c:strRef>
          </c:cat>
          <c:val>
            <c:numRef>
              <c:f>Sheet1!$D$2:$D$6</c:f>
              <c:numCache>
                <c:formatCode>General</c:formatCode>
                <c:ptCount val="5"/>
              </c:numCache>
            </c:numRef>
          </c:val>
          <c:extLst>
            <c:ext xmlns:c16="http://schemas.microsoft.com/office/drawing/2014/chart" uri="{C3380CC4-5D6E-409C-BE32-E72D297353CC}">
              <c16:uniqueId val="{00000002-ED68-482B-B01E-BEB4992EB975}"/>
            </c:ext>
          </c:extLst>
        </c:ser>
        <c:dLbls>
          <c:showLegendKey val="0"/>
          <c:showVal val="0"/>
          <c:showCatName val="0"/>
          <c:showSerName val="0"/>
          <c:showPercent val="0"/>
          <c:showBubbleSize val="0"/>
        </c:dLbls>
        <c:gapWidth val="219"/>
        <c:overlap val="-27"/>
        <c:axId val="52576640"/>
        <c:axId val="52578176"/>
      </c:barChart>
      <c:catAx>
        <c:axId val="5257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78176"/>
        <c:crosses val="autoZero"/>
        <c:auto val="1"/>
        <c:lblAlgn val="ctr"/>
        <c:lblOffset val="100"/>
        <c:noMultiLvlLbl val="0"/>
      </c:catAx>
      <c:valAx>
        <c:axId val="5257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76640"/>
        <c:crosses val="autoZero"/>
        <c:crossBetween val="between"/>
      </c:valAx>
      <c:spPr>
        <a:noFill/>
        <a:ln>
          <a:noFill/>
        </a:ln>
        <a:effectLst/>
      </c:spPr>
    </c:plotArea>
    <c:legend>
      <c:legendPos val="b"/>
      <c:legendEntry>
        <c:idx val="2"/>
        <c:delete val="1"/>
      </c:legendEntry>
      <c:layout>
        <c:manualLayout>
          <c:xMode val="edge"/>
          <c:yMode val="edge"/>
          <c:x val="0.31108577573636631"/>
          <c:y val="0.91319397575303085"/>
          <c:w val="0.38245807815689703"/>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Global Warming Potential Factors used by Organzations 2016.</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100 years</c:v>
                </c:pt>
              </c:strCache>
            </c:strRef>
          </c:tx>
          <c:spPr>
            <a:solidFill>
              <a:schemeClr val="accent1"/>
            </a:solidFill>
            <a:ln>
              <a:noFill/>
            </a:ln>
            <a:effectLst/>
          </c:spPr>
          <c:invertIfNegative val="0"/>
          <c:cat>
            <c:strRef>
              <c:f>Sheet1!$A$2:$A$5</c:f>
              <c:strCache>
                <c:ptCount val="4"/>
                <c:pt idx="0">
                  <c:v>California 1995 IPCC</c:v>
                </c:pt>
                <c:pt idx="1">
                  <c:v>EPA 2007 IPCC</c:v>
                </c:pt>
                <c:pt idx="2">
                  <c:v>IPCC 2013  </c:v>
                </c:pt>
                <c:pt idx="3">
                  <c:v>CCAC 2016</c:v>
                </c:pt>
              </c:strCache>
            </c:strRef>
          </c:cat>
          <c:val>
            <c:numRef>
              <c:f>Sheet1!$B$2:$B$5</c:f>
              <c:numCache>
                <c:formatCode>General</c:formatCode>
                <c:ptCount val="4"/>
                <c:pt idx="0">
                  <c:v>21</c:v>
                </c:pt>
                <c:pt idx="1">
                  <c:v>25</c:v>
                </c:pt>
                <c:pt idx="2">
                  <c:v>28</c:v>
                </c:pt>
                <c:pt idx="3">
                  <c:v>40</c:v>
                </c:pt>
              </c:numCache>
            </c:numRef>
          </c:val>
          <c:extLst>
            <c:ext xmlns:c16="http://schemas.microsoft.com/office/drawing/2014/chart" uri="{C3380CC4-5D6E-409C-BE32-E72D297353CC}">
              <c16:uniqueId val="{00000000-EBBB-4AAB-BFC8-A3221F424D0E}"/>
            </c:ext>
          </c:extLst>
        </c:ser>
        <c:ser>
          <c:idx val="1"/>
          <c:order val="1"/>
          <c:tx>
            <c:strRef>
              <c:f>Sheet1!$C$1</c:f>
              <c:strCache>
                <c:ptCount val="1"/>
                <c:pt idx="0">
                  <c:v>20 years</c:v>
                </c:pt>
              </c:strCache>
            </c:strRef>
          </c:tx>
          <c:spPr>
            <a:solidFill>
              <a:schemeClr val="accent2"/>
            </a:solidFill>
            <a:ln>
              <a:noFill/>
            </a:ln>
            <a:effectLst/>
          </c:spPr>
          <c:invertIfNegative val="0"/>
          <c:cat>
            <c:strRef>
              <c:f>Sheet1!$A$2:$A$5</c:f>
              <c:strCache>
                <c:ptCount val="4"/>
                <c:pt idx="0">
                  <c:v>California 1995 IPCC</c:v>
                </c:pt>
                <c:pt idx="1">
                  <c:v>EPA 2007 IPCC</c:v>
                </c:pt>
                <c:pt idx="2">
                  <c:v>IPCC 2013  </c:v>
                </c:pt>
                <c:pt idx="3">
                  <c:v>CCAC 2016</c:v>
                </c:pt>
              </c:strCache>
            </c:strRef>
          </c:cat>
          <c:val>
            <c:numRef>
              <c:f>Sheet1!$C$2:$C$5</c:f>
              <c:numCache>
                <c:formatCode>General</c:formatCode>
                <c:ptCount val="4"/>
                <c:pt idx="2">
                  <c:v>84</c:v>
                </c:pt>
                <c:pt idx="3">
                  <c:v>100</c:v>
                </c:pt>
              </c:numCache>
            </c:numRef>
          </c:val>
          <c:extLst>
            <c:ext xmlns:c16="http://schemas.microsoft.com/office/drawing/2014/chart" uri="{C3380CC4-5D6E-409C-BE32-E72D297353CC}">
              <c16:uniqueId val="{00000001-EBBB-4AAB-BFC8-A3221F424D0E}"/>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California 1995 IPCC</c:v>
                </c:pt>
                <c:pt idx="1">
                  <c:v>EPA 2007 IPCC</c:v>
                </c:pt>
                <c:pt idx="2">
                  <c:v>IPCC 2013  </c:v>
                </c:pt>
                <c:pt idx="3">
                  <c:v>CCAC 2016</c:v>
                </c:pt>
              </c:strCache>
            </c:strRef>
          </c:cat>
          <c:val>
            <c:numRef>
              <c:f>Sheet1!$D$2:$D$5</c:f>
              <c:numCache>
                <c:formatCode>General</c:formatCode>
                <c:ptCount val="4"/>
              </c:numCache>
            </c:numRef>
          </c:val>
          <c:extLst>
            <c:ext xmlns:c16="http://schemas.microsoft.com/office/drawing/2014/chart" uri="{C3380CC4-5D6E-409C-BE32-E72D297353CC}">
              <c16:uniqueId val="{00000002-EBBB-4AAB-BFC8-A3221F424D0E}"/>
            </c:ext>
          </c:extLst>
        </c:ser>
        <c:dLbls>
          <c:showLegendKey val="0"/>
          <c:showVal val="0"/>
          <c:showCatName val="0"/>
          <c:showSerName val="0"/>
          <c:showPercent val="0"/>
          <c:showBubbleSize val="0"/>
        </c:dLbls>
        <c:gapWidth val="219"/>
        <c:overlap val="-27"/>
        <c:axId val="47793280"/>
        <c:axId val="47794816"/>
      </c:barChart>
      <c:catAx>
        <c:axId val="4779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94816"/>
        <c:crosses val="autoZero"/>
        <c:auto val="1"/>
        <c:lblAlgn val="ctr"/>
        <c:lblOffset val="100"/>
        <c:noMultiLvlLbl val="0"/>
      </c:catAx>
      <c:valAx>
        <c:axId val="4779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9328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Methane price vs CO2 price weighted GWP.  </a:t>
            </a:r>
            <a:endParaRPr lang="en-US"/>
          </a:p>
        </c:rich>
      </c:tx>
      <c:layout>
        <c:manualLayout>
          <c:xMode val="edge"/>
          <c:yMode val="edge"/>
          <c:x val="0.21763888888888885"/>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169291338582676E-2"/>
          <c:y val="0.27884920634920629"/>
          <c:w val="0.9190529308836396"/>
          <c:h val="0.53435164354455689"/>
        </c:manualLayout>
      </c:layout>
      <c:barChart>
        <c:barDir val="col"/>
        <c:grouping val="clustered"/>
        <c:varyColors val="0"/>
        <c:ser>
          <c:idx val="0"/>
          <c:order val="0"/>
          <c:tx>
            <c:strRef>
              <c:f>Sheet1!$B$1</c:f>
              <c:strCache>
                <c:ptCount val="1"/>
                <c:pt idx="0">
                  <c:v>Tonne of CO2 equivalent</c:v>
                </c:pt>
              </c:strCache>
            </c:strRef>
          </c:tx>
          <c:spPr>
            <a:solidFill>
              <a:schemeClr val="accent1"/>
            </a:solidFill>
            <a:ln>
              <a:noFill/>
            </a:ln>
            <a:effectLst/>
          </c:spPr>
          <c:invertIfNegative val="0"/>
          <c:cat>
            <c:strRef>
              <c:f>Sheet1!$A$2:$A$4</c:f>
              <c:strCache>
                <c:ptCount val="2"/>
                <c:pt idx="0">
                  <c:v>Offset price of 1 Tonne of CO2. </c:v>
                </c:pt>
                <c:pt idx="1">
                  <c:v>Price 1 tCO2e methane.</c:v>
                </c:pt>
              </c:strCache>
            </c:strRef>
          </c:cat>
          <c:val>
            <c:numRef>
              <c:f>Sheet1!$B$2:$B$4</c:f>
              <c:numCache>
                <c:formatCode>_("$"* #,##0.00_);_("$"* \(#,##0.00\);_("$"* "-"??_);_(@_)</c:formatCode>
                <c:ptCount val="3"/>
                <c:pt idx="0">
                  <c:v>11.6</c:v>
                </c:pt>
                <c:pt idx="1">
                  <c:v>2.9</c:v>
                </c:pt>
              </c:numCache>
            </c:numRef>
          </c:val>
          <c:extLst>
            <c:ext xmlns:c16="http://schemas.microsoft.com/office/drawing/2014/chart" uri="{C3380CC4-5D6E-409C-BE32-E72D297353CC}">
              <c16:uniqueId val="{00000000-E5D7-48B2-B79C-081D6E9A568E}"/>
            </c:ext>
          </c:extLst>
        </c:ser>
        <c:ser>
          <c:idx val="3"/>
          <c:order val="1"/>
          <c:tx>
            <c:strRef>
              <c:f>Sheet1!$C$1</c:f>
              <c:strCache>
                <c:ptCount val="1"/>
                <c:pt idx="0">
                  <c:v>Column2</c:v>
                </c:pt>
              </c:strCache>
            </c:strRef>
          </c:tx>
          <c:spPr>
            <a:solidFill>
              <a:schemeClr val="accent4"/>
            </a:solidFill>
            <a:ln>
              <a:noFill/>
            </a:ln>
            <a:effectLst/>
          </c:spPr>
          <c:invertIfNegative val="0"/>
          <c:cat>
            <c:strRef>
              <c:f>Sheet1!$A$2:$A$4</c:f>
              <c:strCache>
                <c:ptCount val="2"/>
                <c:pt idx="0">
                  <c:v>Offset price of 1 Tonne of CO2. </c:v>
                </c:pt>
                <c:pt idx="1">
                  <c:v>Price 1 tCO2e methane.</c:v>
                </c:pt>
              </c:strCache>
            </c:strRef>
          </c:cat>
          <c:val>
            <c:numRef>
              <c:f>Sheet1!$C$2:$C$4</c:f>
              <c:numCache>
                <c:formatCode>General</c:formatCode>
                <c:ptCount val="3"/>
              </c:numCache>
            </c:numRef>
          </c:val>
          <c:extLst>
            <c:ext xmlns:c16="http://schemas.microsoft.com/office/drawing/2014/chart" uri="{C3380CC4-5D6E-409C-BE32-E72D297353CC}">
              <c16:uniqueId val="{00000001-E5D7-48B2-B79C-081D6E9A568E}"/>
            </c:ext>
          </c:extLst>
        </c:ser>
        <c:dLbls>
          <c:showLegendKey val="0"/>
          <c:showVal val="0"/>
          <c:showCatName val="0"/>
          <c:showSerName val="0"/>
          <c:showPercent val="0"/>
          <c:showBubbleSize val="0"/>
        </c:dLbls>
        <c:gapWidth val="219"/>
        <c:overlap val="-27"/>
        <c:axId val="450252216"/>
        <c:axId val="450249264"/>
      </c:barChart>
      <c:catAx>
        <c:axId val="45025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249264"/>
        <c:crosses val="autoZero"/>
        <c:auto val="1"/>
        <c:lblAlgn val="ctr"/>
        <c:lblOffset val="100"/>
        <c:noMultiLvlLbl val="0"/>
      </c:catAx>
      <c:valAx>
        <c:axId val="45024926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252216"/>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45</TotalTime>
  <Pages>1</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dc:creator>
  <cp:lastModifiedBy>Tom</cp:lastModifiedBy>
  <cp:revision>9</cp:revision>
  <cp:lastPrinted>2016-10-19T18:20:00Z</cp:lastPrinted>
  <dcterms:created xsi:type="dcterms:W3CDTF">2016-11-04T21:04:00Z</dcterms:created>
  <dcterms:modified xsi:type="dcterms:W3CDTF">2016-11-04T22:46:00Z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-1</vt:lpwstr>
  </property>
  <property fmtid="{D5CDD505-2E9C-101B-9397-08002B2CF9AE}" pid="10" name="CUS_DocIDbchkTime">
    <vt:lpwstr>-1</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String">
    <vt:lpwstr>537334.03 </vt:lpwstr>
  </property>
  <property fmtid="{D5CDD505-2E9C-101B-9397-08002B2CF9AE}" pid="14" name="CUS_DocIDOperation">
    <vt:lpwstr>EVERY PAGE</vt:lpwstr>
  </property>
</Properties>
</file>