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F8E" w:rsidRPr="00FA4833" w:rsidRDefault="00D01F8E" w:rsidP="00D01F8E">
      <w:pPr>
        <w:jc w:val="right"/>
        <w:rPr>
          <w:rFonts w:ascii="Cambria" w:hAnsi="Cambria"/>
        </w:rPr>
      </w:pPr>
      <w:r w:rsidRPr="00FA4833">
        <w:rPr>
          <w:rFonts w:ascii="Cambria" w:hAnsi="Cambria"/>
        </w:rPr>
        <w:t>July 5, 2016</w:t>
      </w:r>
    </w:p>
    <w:p w:rsidR="00D01F8E" w:rsidRPr="00FA4833" w:rsidRDefault="00D01F8E" w:rsidP="00D01F8E">
      <w:pPr>
        <w:rPr>
          <w:rFonts w:ascii="Cambria" w:hAnsi="Cambria"/>
        </w:rPr>
      </w:pPr>
      <w:r w:rsidRPr="00FA4833">
        <w:rPr>
          <w:rFonts w:ascii="Cambria" w:hAnsi="Cambria"/>
        </w:rPr>
        <w:t>Air Resources Board and Staff</w:t>
      </w:r>
    </w:p>
    <w:p w:rsidR="00D01F8E" w:rsidRPr="00FA4833" w:rsidRDefault="00D01F8E" w:rsidP="00D01F8E">
      <w:pPr>
        <w:rPr>
          <w:rFonts w:ascii="Cambria" w:hAnsi="Cambria"/>
        </w:rPr>
      </w:pPr>
      <w:r w:rsidRPr="00FA4833">
        <w:rPr>
          <w:rFonts w:ascii="Cambria" w:hAnsi="Cambria"/>
        </w:rPr>
        <w:t>1001 I Street</w:t>
      </w:r>
    </w:p>
    <w:p w:rsidR="00D01F8E" w:rsidRPr="00FA4833" w:rsidRDefault="00D01F8E" w:rsidP="00D01F8E">
      <w:pPr>
        <w:rPr>
          <w:rFonts w:ascii="Cambria" w:hAnsi="Cambria"/>
        </w:rPr>
      </w:pPr>
      <w:r w:rsidRPr="00FA4833">
        <w:rPr>
          <w:rFonts w:ascii="Cambria" w:hAnsi="Cambria"/>
        </w:rPr>
        <w:t>Sacramento, CA 95814</w:t>
      </w:r>
    </w:p>
    <w:p w:rsidR="00D01F8E" w:rsidRPr="00FA4833" w:rsidRDefault="00D01F8E" w:rsidP="00D01F8E">
      <w:pPr>
        <w:rPr>
          <w:rFonts w:ascii="Cambria" w:hAnsi="Cambria"/>
        </w:rPr>
      </w:pPr>
    </w:p>
    <w:p w:rsidR="00D01F8E" w:rsidRPr="00FA4833" w:rsidRDefault="00D01F8E" w:rsidP="00D01F8E">
      <w:pPr>
        <w:rPr>
          <w:rFonts w:ascii="Cambria" w:hAnsi="Cambria"/>
        </w:rPr>
      </w:pPr>
      <w:r w:rsidRPr="00FA4833">
        <w:rPr>
          <w:rFonts w:ascii="Cambria" w:hAnsi="Cambria"/>
        </w:rPr>
        <w:t>Re: 2030 Target Scoping Plan Update Concept Paper, June 17, 2016</w:t>
      </w:r>
    </w:p>
    <w:p w:rsidR="00D01F8E" w:rsidRPr="00FA4833" w:rsidRDefault="00D01F8E" w:rsidP="00D01F8E">
      <w:pPr>
        <w:rPr>
          <w:rFonts w:ascii="Cambria" w:hAnsi="Cambria"/>
        </w:rPr>
      </w:pPr>
    </w:p>
    <w:p w:rsidR="00D01F8E" w:rsidRPr="00FA4833" w:rsidRDefault="00D01F8E" w:rsidP="00D01F8E">
      <w:pPr>
        <w:rPr>
          <w:rFonts w:ascii="Cambria" w:hAnsi="Cambria"/>
        </w:rPr>
      </w:pPr>
      <w:r w:rsidRPr="00FA4833">
        <w:rPr>
          <w:rFonts w:ascii="Cambria" w:hAnsi="Cambria"/>
        </w:rPr>
        <w:t>Dear Air Board Members and Staff:</w:t>
      </w:r>
    </w:p>
    <w:p w:rsidR="00D01F8E" w:rsidRPr="00FA4833" w:rsidRDefault="00D01F8E" w:rsidP="00D01F8E">
      <w:pPr>
        <w:rPr>
          <w:rFonts w:ascii="Cambria" w:hAnsi="Cambria"/>
        </w:rPr>
      </w:pPr>
    </w:p>
    <w:p w:rsidR="00D01F8E" w:rsidRPr="00FA4833" w:rsidRDefault="00D01F8E" w:rsidP="00D01F8E">
      <w:pPr>
        <w:rPr>
          <w:rFonts w:ascii="Cambria" w:hAnsi="Cambria"/>
          <w:color w:val="000000"/>
        </w:rPr>
      </w:pPr>
      <w:r w:rsidRPr="00FA4833">
        <w:rPr>
          <w:rFonts w:ascii="Cambria" w:hAnsi="Cambria"/>
        </w:rPr>
        <w:t>The following comments are from the California Forestry Association (CFA).</w:t>
      </w:r>
      <w:r w:rsidRPr="00FA4833">
        <w:rPr>
          <w:rFonts w:ascii="Cambria" w:hAnsi="Cambria"/>
          <w:b/>
        </w:rPr>
        <w:t xml:space="preserve">  </w:t>
      </w:r>
      <w:r w:rsidRPr="00FA4833">
        <w:rPr>
          <w:rFonts w:ascii="Cambria" w:hAnsi="Cambria"/>
        </w:rPr>
        <w:t xml:space="preserve">CFA </w:t>
      </w:r>
      <w:r w:rsidRPr="00FA4833">
        <w:rPr>
          <w:rFonts w:ascii="Cambria" w:hAnsi="Cambria"/>
          <w:color w:val="000000"/>
        </w:rPr>
        <w:t>has a membership consisting of most of the large industrial forest land owners, many non-industrial forest landowners, most of the 27 remaining medium and large sawmills and veneer mills, and several biomass powerplants and one shavings mill.  Our mission is to create a favorable operating environment for the forest products industry, ensure a reliable wood supply from public and private lands, and promote sustainable management of forest lands.</w:t>
      </w:r>
    </w:p>
    <w:p w:rsidR="00D01F8E" w:rsidRPr="00FA4833" w:rsidRDefault="00D01F8E" w:rsidP="00D01F8E">
      <w:pPr>
        <w:rPr>
          <w:rFonts w:ascii="Cambria" w:hAnsi="Cambria"/>
          <w:color w:val="000000"/>
        </w:rPr>
      </w:pPr>
    </w:p>
    <w:p w:rsidR="00D01F8E" w:rsidRPr="00FA4833" w:rsidRDefault="00D01F8E" w:rsidP="00D01F8E">
      <w:pPr>
        <w:rPr>
          <w:rFonts w:ascii="Cambria" w:hAnsi="Cambria"/>
          <w:color w:val="000000"/>
        </w:rPr>
      </w:pPr>
      <w:r w:rsidRPr="00FA4833">
        <w:rPr>
          <w:rFonts w:ascii="Cambria" w:hAnsi="Cambria"/>
          <w:color w:val="000000"/>
        </w:rPr>
        <w:t>CFA’s comments on the 2030 Target Scoping Plan Update Concept Paper (June 17, 2016) are specific to the Governor’s “Pillars” 4 and 5.  We will refer to this paper from here forward as the Concept Paper.  The Concept Paper, pg. 3 states:</w:t>
      </w:r>
    </w:p>
    <w:p w:rsidR="00D01F8E" w:rsidRPr="00FA4833" w:rsidRDefault="00D01F8E" w:rsidP="00D01F8E">
      <w:pPr>
        <w:rPr>
          <w:rFonts w:ascii="Cambria" w:hAnsi="Cambria"/>
          <w:color w:val="000000"/>
        </w:rPr>
      </w:pPr>
    </w:p>
    <w:p w:rsidR="00D01F8E" w:rsidRPr="00FA4833" w:rsidRDefault="00D01F8E" w:rsidP="00D01F8E">
      <w:pPr>
        <w:pStyle w:val="ListParagraph"/>
        <w:numPr>
          <w:ilvl w:val="0"/>
          <w:numId w:val="1"/>
        </w:numPr>
        <w:rPr>
          <w:rFonts w:ascii="Cambria" w:hAnsi="Cambria"/>
          <w:sz w:val="24"/>
          <w:szCs w:val="24"/>
        </w:rPr>
      </w:pPr>
      <w:r w:rsidRPr="00FA4833">
        <w:rPr>
          <w:rFonts w:ascii="Cambria" w:hAnsi="Cambria"/>
          <w:sz w:val="24"/>
          <w:szCs w:val="24"/>
        </w:rPr>
        <w:t>“Pillar 4: Reducing the release of methane, black carbon and other short lived climate pollutants”</w:t>
      </w:r>
    </w:p>
    <w:p w:rsidR="00D01F8E" w:rsidRDefault="00D01F8E" w:rsidP="00D01F8E">
      <w:pPr>
        <w:pStyle w:val="ListParagraph"/>
        <w:numPr>
          <w:ilvl w:val="0"/>
          <w:numId w:val="1"/>
        </w:numPr>
        <w:rPr>
          <w:rFonts w:ascii="Cambria" w:hAnsi="Cambria"/>
          <w:sz w:val="24"/>
          <w:szCs w:val="24"/>
        </w:rPr>
      </w:pPr>
      <w:r w:rsidRPr="00FA4833">
        <w:rPr>
          <w:rFonts w:ascii="Cambria" w:hAnsi="Cambria"/>
          <w:sz w:val="24"/>
          <w:szCs w:val="24"/>
        </w:rPr>
        <w:t>“Pillar 5: Managing . . . forests . . . so they can store carbon”</w:t>
      </w:r>
    </w:p>
    <w:p w:rsidR="003D4FC7" w:rsidRPr="003D4FC7" w:rsidRDefault="003D4FC7" w:rsidP="003D4FC7">
      <w:pPr>
        <w:rPr>
          <w:rFonts w:ascii="Cambria" w:hAnsi="Cambria"/>
        </w:rPr>
      </w:pPr>
      <w:r>
        <w:rPr>
          <w:rFonts w:ascii="Cambria" w:hAnsi="Cambria"/>
        </w:rPr>
        <w:t>CFA has also reviewed the “Healthy Landscapes 2030: California’s Climate Change Vision and Goals for Natural and Working Lands”.</w:t>
      </w:r>
    </w:p>
    <w:p w:rsidR="00D01F8E" w:rsidRDefault="00D01F8E" w:rsidP="003D4FC7">
      <w:pPr>
        <w:rPr>
          <w:rFonts w:ascii="Cambria" w:hAnsi="Cambria"/>
        </w:rPr>
      </w:pPr>
    </w:p>
    <w:p w:rsidR="003D4FC7" w:rsidRPr="003D4FC7" w:rsidRDefault="003D4FC7" w:rsidP="003D4FC7">
      <w:pPr>
        <w:rPr>
          <w:rFonts w:ascii="Cambria" w:hAnsi="Cambria"/>
        </w:rPr>
      </w:pPr>
    </w:p>
    <w:p w:rsidR="00D01F8E" w:rsidRPr="00FA4833" w:rsidRDefault="00D01F8E" w:rsidP="00D01F8E">
      <w:pPr>
        <w:rPr>
          <w:rFonts w:ascii="Cambria" w:eastAsia="Times New Roman" w:hAnsi="Cambria"/>
          <w:b/>
        </w:rPr>
      </w:pPr>
      <w:r w:rsidRPr="00FA4833">
        <w:rPr>
          <w:rFonts w:ascii="Cambria" w:eastAsia="Times New Roman" w:hAnsi="Cambria"/>
          <w:b/>
        </w:rPr>
        <w:t>Concept Paper Progress, pp.4-6</w:t>
      </w:r>
    </w:p>
    <w:p w:rsidR="00D01F8E" w:rsidRPr="00FA4833" w:rsidRDefault="00D01F8E" w:rsidP="00D01F8E">
      <w:pPr>
        <w:rPr>
          <w:rFonts w:ascii="Cambria" w:eastAsia="Times New Roman" w:hAnsi="Cambria"/>
          <w:b/>
        </w:rPr>
      </w:pPr>
    </w:p>
    <w:p w:rsidR="00D01F8E" w:rsidRPr="00FA4833" w:rsidRDefault="00D01F8E" w:rsidP="00D01F8E">
      <w:pPr>
        <w:rPr>
          <w:rFonts w:ascii="Cambria" w:eastAsia="Times New Roman" w:hAnsi="Cambria"/>
        </w:rPr>
      </w:pPr>
      <w:r w:rsidRPr="00FA4833">
        <w:rPr>
          <w:rFonts w:ascii="Cambria" w:eastAsia="Times New Roman" w:hAnsi="Cambria"/>
        </w:rPr>
        <w:t>CFA concurs that a natural and working lands carbon inventory is essential to have a comprehensive GHG emissions accounting for California.  Wildfire emissions alone are over 20 million tons of CO2 equivalent annually in the State and are not counted in Figure 1 on page 5 of the Concept Paper.  The Concept Paper should establish a date for when sufficient data will be compiled to include the forest sector in the annual emissions inventory.</w:t>
      </w:r>
    </w:p>
    <w:p w:rsidR="00D01F8E" w:rsidRDefault="00D01F8E" w:rsidP="00D01F8E">
      <w:pPr>
        <w:rPr>
          <w:rFonts w:ascii="Cambria" w:eastAsia="Times New Roman" w:hAnsi="Cambria"/>
        </w:rPr>
      </w:pPr>
    </w:p>
    <w:p w:rsidR="003D4FC7" w:rsidRDefault="003D4FC7" w:rsidP="00D01F8E">
      <w:pPr>
        <w:rPr>
          <w:rFonts w:ascii="Cambria" w:eastAsia="Times New Roman" w:hAnsi="Cambria"/>
        </w:rPr>
      </w:pPr>
    </w:p>
    <w:p w:rsidR="003D4FC7" w:rsidRPr="00FA4833" w:rsidRDefault="003D4FC7" w:rsidP="00D01F8E">
      <w:pPr>
        <w:rPr>
          <w:rFonts w:ascii="Cambria" w:eastAsia="Times New Roman" w:hAnsi="Cambria"/>
        </w:rPr>
      </w:pPr>
    </w:p>
    <w:p w:rsidR="00D01F8E" w:rsidRPr="00FA4833" w:rsidRDefault="00D01F8E" w:rsidP="00D01F8E">
      <w:pPr>
        <w:rPr>
          <w:rFonts w:ascii="Cambria" w:eastAsia="Times New Roman" w:hAnsi="Cambria"/>
          <w:b/>
        </w:rPr>
      </w:pPr>
      <w:r w:rsidRPr="00FA4833">
        <w:rPr>
          <w:rFonts w:ascii="Cambria" w:eastAsia="Times New Roman" w:hAnsi="Cambria"/>
          <w:b/>
        </w:rPr>
        <w:lastRenderedPageBreak/>
        <w:t>Concept Paper Strategy, Protecting, Enhancing, Innovating, and Increasing Sequestration in the Natural Environment (pp. 8-10)</w:t>
      </w:r>
    </w:p>
    <w:p w:rsidR="00D01F8E" w:rsidRPr="00FA4833" w:rsidRDefault="00D01F8E" w:rsidP="00D01F8E">
      <w:pPr>
        <w:rPr>
          <w:rFonts w:ascii="Cambria" w:eastAsia="Times New Roman" w:hAnsi="Cambria"/>
          <w:b/>
        </w:rPr>
      </w:pPr>
    </w:p>
    <w:p w:rsidR="00D01F8E" w:rsidRPr="00FA4833" w:rsidRDefault="00D01F8E" w:rsidP="00D01F8E">
      <w:pPr>
        <w:rPr>
          <w:rFonts w:ascii="Cambria" w:eastAsia="Times New Roman" w:hAnsi="Cambria"/>
        </w:rPr>
      </w:pPr>
      <w:r w:rsidRPr="00FA4833">
        <w:rPr>
          <w:rFonts w:ascii="Cambria" w:eastAsia="Times New Roman" w:hAnsi="Cambria"/>
        </w:rPr>
        <w:t>The concept paper strategy (p. 9) must not only address the increasing trend in the severity of wildfire in California, but, now, also must address the expanding insect and disease epidemic.  Last year there was an estimated 29 million trees killed by insect and disease (20 million bone dry tons dead). Early summer 2016, the estimate is now 66 million tree (likely about 40 million bone dry tons dead).  85 percent of the entire pine vegetative type on the Sierra National Forest east of Fresno is dead.  The epidemic continues to expand upslope and northward.</w:t>
      </w:r>
    </w:p>
    <w:p w:rsidR="00D01F8E" w:rsidRPr="00FA4833" w:rsidRDefault="00D01F8E" w:rsidP="00D01F8E">
      <w:pPr>
        <w:rPr>
          <w:rFonts w:ascii="Cambria" w:eastAsia="Times New Roman" w:hAnsi="Cambria"/>
        </w:rPr>
      </w:pPr>
      <w:r w:rsidRPr="00FA4833">
        <w:rPr>
          <w:rFonts w:ascii="Cambria" w:eastAsia="Times New Roman" w:hAnsi="Cambria"/>
        </w:rPr>
        <w:t>The high level objective for natural and working lands (Concept Paper p. 9) correctly includes:</w:t>
      </w:r>
    </w:p>
    <w:p w:rsidR="00D01F8E" w:rsidRPr="00FA4833" w:rsidRDefault="00D01F8E" w:rsidP="00D01F8E">
      <w:pPr>
        <w:rPr>
          <w:rFonts w:ascii="Cambria" w:eastAsia="Times New Roman" w:hAnsi="Cambria"/>
        </w:rPr>
      </w:pPr>
    </w:p>
    <w:p w:rsidR="00D01F8E" w:rsidRDefault="00D01F8E" w:rsidP="00D01F8E">
      <w:pPr>
        <w:pStyle w:val="ListParagraph"/>
        <w:numPr>
          <w:ilvl w:val="0"/>
          <w:numId w:val="2"/>
        </w:numPr>
        <w:rPr>
          <w:rFonts w:ascii="Cambria" w:eastAsia="Times New Roman" w:hAnsi="Cambria"/>
          <w:sz w:val="24"/>
          <w:szCs w:val="24"/>
        </w:rPr>
      </w:pPr>
      <w:r w:rsidRPr="00FA4833">
        <w:rPr>
          <w:rFonts w:ascii="Cambria" w:eastAsia="Times New Roman" w:hAnsi="Cambria"/>
          <w:sz w:val="24"/>
          <w:szCs w:val="24"/>
        </w:rPr>
        <w:t>“Manage and restore land to increase carbon storage and minimize GHG emissions in a sustainable manner so that the carbon bank is resilient and grows over time.”</w:t>
      </w:r>
    </w:p>
    <w:p w:rsidR="00884A1C" w:rsidRDefault="00884A1C" w:rsidP="00884A1C">
      <w:pPr>
        <w:rPr>
          <w:rFonts w:ascii="Cambria" w:eastAsia="Times New Roman" w:hAnsi="Cambria"/>
        </w:rPr>
      </w:pPr>
      <w:r>
        <w:rPr>
          <w:rFonts w:ascii="Cambria" w:eastAsia="Times New Roman" w:hAnsi="Cambria"/>
        </w:rPr>
        <w:t>There are two primary areas that the Strategy can lead to substantial increases in net sequestration; National Forest Management and creating a positive regulatory and economic pathway for non-industrial forest landowners to actively manage their forest.  Industrial forest landowners already have in-place CalFire-approved sustained yield plans.</w:t>
      </w:r>
    </w:p>
    <w:p w:rsidR="00884A1C" w:rsidRDefault="00884A1C" w:rsidP="00884A1C">
      <w:pPr>
        <w:rPr>
          <w:rFonts w:ascii="Cambria" w:eastAsia="Times New Roman" w:hAnsi="Cambria"/>
        </w:rPr>
      </w:pPr>
    </w:p>
    <w:p w:rsidR="00884A1C" w:rsidRDefault="00884A1C" w:rsidP="00884A1C">
      <w:pPr>
        <w:rPr>
          <w:rFonts w:ascii="Cambria" w:eastAsia="Times New Roman" w:hAnsi="Cambria"/>
          <w:b/>
          <w:u w:val="single"/>
        </w:rPr>
      </w:pPr>
      <w:r>
        <w:rPr>
          <w:rFonts w:ascii="Cambria" w:eastAsia="Times New Roman" w:hAnsi="Cambria"/>
          <w:b/>
          <w:u w:val="single"/>
        </w:rPr>
        <w:t>National Forests</w:t>
      </w:r>
    </w:p>
    <w:p w:rsidR="00884A1C" w:rsidRPr="00884A1C" w:rsidRDefault="00884A1C" w:rsidP="00884A1C">
      <w:pPr>
        <w:rPr>
          <w:rFonts w:ascii="Cambria" w:eastAsia="Times New Roman" w:hAnsi="Cambria"/>
          <w:b/>
          <w:u w:val="single"/>
        </w:rPr>
      </w:pPr>
    </w:p>
    <w:p w:rsidR="00D01F8E" w:rsidRPr="00FA4833" w:rsidRDefault="00D01F8E" w:rsidP="00D01F8E">
      <w:pPr>
        <w:rPr>
          <w:rFonts w:ascii="Cambria" w:eastAsia="Times New Roman" w:hAnsi="Cambria"/>
        </w:rPr>
      </w:pPr>
      <w:r w:rsidRPr="00FA4833">
        <w:rPr>
          <w:rFonts w:ascii="Cambria" w:eastAsia="Times New Roman" w:hAnsi="Cambria"/>
        </w:rPr>
        <w:t>Since over 65% of the insect and disease mortality and a disproportionate amount of wildfire acres burned being on national forests, the Concept Paper Strategy on “intergovernmental Collaboration” (p. 13) cannot be overstated.</w:t>
      </w:r>
    </w:p>
    <w:p w:rsidR="00D01F8E" w:rsidRPr="00FA4833" w:rsidRDefault="00D01F8E" w:rsidP="00D01F8E">
      <w:pPr>
        <w:rPr>
          <w:rFonts w:ascii="Cambria" w:eastAsia="Times New Roman" w:hAnsi="Cambria"/>
        </w:rPr>
      </w:pPr>
    </w:p>
    <w:p w:rsidR="00D01F8E" w:rsidRPr="00FA4833" w:rsidRDefault="00D01F8E" w:rsidP="00D01F8E">
      <w:pPr>
        <w:rPr>
          <w:rFonts w:ascii="Cambria" w:eastAsia="Times New Roman" w:hAnsi="Cambria"/>
        </w:rPr>
      </w:pPr>
      <w:r w:rsidRPr="00FA4833">
        <w:rPr>
          <w:rFonts w:ascii="Cambria" w:eastAsia="Times New Roman" w:hAnsi="Cambria"/>
        </w:rPr>
        <w:t>The State has seen particularly over the past 15 years that the Forest Service is not making progress to increase pace and scale in forest health and fuels reduction.  In fact, since 2011, the Forest Service’s pace and scale accomplishment has actually decreased.</w:t>
      </w:r>
    </w:p>
    <w:p w:rsidR="00D01F8E" w:rsidRPr="00FA4833" w:rsidRDefault="00D01F8E" w:rsidP="00D01F8E">
      <w:pPr>
        <w:rPr>
          <w:rFonts w:ascii="Cambria" w:eastAsia="Times New Roman" w:hAnsi="Cambria"/>
        </w:rPr>
      </w:pPr>
    </w:p>
    <w:p w:rsidR="00D01F8E" w:rsidRPr="00FA4833" w:rsidRDefault="00D01F8E" w:rsidP="00D01F8E">
      <w:pPr>
        <w:rPr>
          <w:rFonts w:ascii="Cambria" w:eastAsia="Times New Roman" w:hAnsi="Cambria"/>
        </w:rPr>
      </w:pPr>
      <w:r w:rsidRPr="00FA4833">
        <w:rPr>
          <w:rFonts w:ascii="Cambria" w:eastAsia="Times New Roman" w:hAnsi="Cambria"/>
        </w:rPr>
        <w:t>Further, since 1986, the Forest Service, California Region, annually tracks reforestation needs and accomplishments (Attachment #1).  About 3.5 million acres have the need but have not been accomplished.  This means nearly all of this acreage has type converted to brushfields.</w:t>
      </w:r>
    </w:p>
    <w:p w:rsidR="00D01F8E" w:rsidRPr="00FA4833" w:rsidRDefault="00D01F8E" w:rsidP="00D01F8E">
      <w:pPr>
        <w:rPr>
          <w:rFonts w:ascii="Cambria" w:eastAsia="Times New Roman" w:hAnsi="Cambria"/>
        </w:rPr>
      </w:pPr>
    </w:p>
    <w:p w:rsidR="00D01F8E" w:rsidRPr="00FA4833" w:rsidRDefault="00D01F8E" w:rsidP="00D01F8E">
      <w:pPr>
        <w:rPr>
          <w:rFonts w:ascii="Cambria" w:eastAsia="Times New Roman" w:hAnsi="Cambria"/>
        </w:rPr>
      </w:pPr>
      <w:r w:rsidRPr="00FA4833">
        <w:rPr>
          <w:rFonts w:ascii="Cambria" w:eastAsia="Times New Roman" w:hAnsi="Cambria"/>
        </w:rPr>
        <w:t xml:space="preserve">Much of the reforestation needs results from large scale wildfire.  Since 2001, on average, the national forests in California are burning at the rate of 320,000 </w:t>
      </w:r>
      <w:r w:rsidRPr="00FA4833">
        <w:rPr>
          <w:rFonts w:ascii="Cambria" w:eastAsia="Times New Roman" w:hAnsi="Cambria"/>
        </w:rPr>
        <w:lastRenderedPageBreak/>
        <w:t>acres/hear producing 2/3 of the State’s annual black carbon emissions and over 20 million tons of carbon dioxide equivalent (Attachment #2).</w:t>
      </w:r>
    </w:p>
    <w:p w:rsidR="00D01F8E" w:rsidRPr="00FA4833" w:rsidRDefault="00D01F8E" w:rsidP="00D01F8E">
      <w:pPr>
        <w:rPr>
          <w:rFonts w:ascii="Cambria" w:eastAsia="Times New Roman" w:hAnsi="Cambria"/>
        </w:rPr>
      </w:pPr>
    </w:p>
    <w:p w:rsidR="00D01F8E" w:rsidRPr="00FA4833" w:rsidRDefault="00D01F8E" w:rsidP="00D01F8E">
      <w:pPr>
        <w:rPr>
          <w:rFonts w:ascii="Cambria" w:eastAsia="Times New Roman" w:hAnsi="Cambria"/>
        </w:rPr>
      </w:pPr>
      <w:r w:rsidRPr="00FA4833">
        <w:rPr>
          <w:rFonts w:ascii="Cambria" w:eastAsia="Times New Roman" w:hAnsi="Cambria"/>
        </w:rPr>
        <w:t>And, now, we have substantial acres of national forest and private lands affected by insect and disease.  About 100,000 acres of the pine vegetative type on the Sierra National Forest is dead from insect and disease.  The epidemic continues to expand.  The preliminary results of insect intensity and extent on the Sierra National Forest (Attachment #3) shows that the current pace means California’s National Forests will never grow large trees (greater than 35” diameter) again.  The natural disturbance agents will have killed all the trees before they get large.  This means in part that the current “strategy” for managing for California Spotted Owl and Pacific Fisher is unsustainable and has to be changed.</w:t>
      </w:r>
    </w:p>
    <w:p w:rsidR="00D01F8E" w:rsidRPr="00FA4833" w:rsidRDefault="00D01F8E" w:rsidP="00D01F8E">
      <w:pPr>
        <w:rPr>
          <w:rFonts w:ascii="Cambria" w:eastAsia="Times New Roman" w:hAnsi="Cambria"/>
        </w:rPr>
      </w:pPr>
    </w:p>
    <w:p w:rsidR="00D01F8E" w:rsidRDefault="00D01F8E" w:rsidP="00D01F8E">
      <w:pPr>
        <w:rPr>
          <w:rFonts w:ascii="Cambria" w:eastAsia="Times New Roman" w:hAnsi="Cambria"/>
        </w:rPr>
      </w:pPr>
      <w:r w:rsidRPr="00FA4833">
        <w:rPr>
          <w:rFonts w:ascii="Cambria" w:eastAsia="Times New Roman" w:hAnsi="Cambria"/>
        </w:rPr>
        <w:t>The State must take a much more active role in Intergovernmental Collaboration with the Forest Service to reverse the natural disturbance trends of wildfire, insect and disease.  Further, the on-going trend of unmet acreage on the national forests needing reforestation has to also be reversed.  Sitting back and expecting the Forest Service to overcome their obstacles is not producing desired results.</w:t>
      </w:r>
    </w:p>
    <w:p w:rsidR="00884A1C" w:rsidRDefault="00884A1C" w:rsidP="00D01F8E">
      <w:pPr>
        <w:rPr>
          <w:rFonts w:ascii="Cambria" w:eastAsia="Times New Roman" w:hAnsi="Cambria"/>
        </w:rPr>
      </w:pPr>
    </w:p>
    <w:p w:rsidR="00CA5FC7" w:rsidRDefault="00CA5FC7" w:rsidP="00CA5FC7">
      <w:pPr>
        <w:rPr>
          <w:rFonts w:ascii="Cambria" w:eastAsia="Times New Roman" w:hAnsi="Cambria"/>
          <w:b/>
          <w:u w:val="single"/>
        </w:rPr>
      </w:pPr>
      <w:r>
        <w:rPr>
          <w:rFonts w:ascii="Cambria" w:eastAsia="Times New Roman" w:hAnsi="Cambria"/>
          <w:b/>
          <w:u w:val="single"/>
        </w:rPr>
        <w:t>Non-Federal forest lands</w:t>
      </w:r>
    </w:p>
    <w:p w:rsidR="00CA5FC7" w:rsidRDefault="00CA5FC7" w:rsidP="00CA5FC7">
      <w:pPr>
        <w:rPr>
          <w:rFonts w:ascii="Cambria" w:eastAsia="Times New Roman" w:hAnsi="Cambria"/>
          <w:b/>
          <w:u w:val="single"/>
        </w:rPr>
      </w:pPr>
    </w:p>
    <w:p w:rsidR="00CA5FC7" w:rsidRDefault="00CA5FC7" w:rsidP="00CA5FC7">
      <w:pPr>
        <w:rPr>
          <w:rFonts w:ascii="Cambria" w:eastAsia="Times New Roman" w:hAnsi="Cambria"/>
        </w:rPr>
      </w:pPr>
      <w:r>
        <w:rPr>
          <w:rFonts w:ascii="Cambria" w:eastAsia="Times New Roman" w:hAnsi="Cambria"/>
        </w:rPr>
        <w:t>Approximately 8 million acres of the State are classified as timberland.  This compares to the Federal component which is nearly 24 million acres.  Of this, 3.435 million acres is productive non-industrial timber land, with the remainder in industrial timberland. There are an average of 341 trees/acre on these lands (February 2016. PNW-GTR-913, Tables A2-5, A2-22 and A2-23).  These lands can generally only sustain about 20-100 trees/acre if they are to be resistant to insect, disease, and wildfire.</w:t>
      </w:r>
    </w:p>
    <w:p w:rsidR="00CA5FC7" w:rsidRDefault="00CA5FC7" w:rsidP="00CA5FC7">
      <w:pPr>
        <w:rPr>
          <w:rFonts w:ascii="Cambria" w:eastAsia="Times New Roman" w:hAnsi="Cambria"/>
        </w:rPr>
      </w:pPr>
      <w:r>
        <w:rPr>
          <w:rFonts w:ascii="Cambria" w:eastAsia="Times New Roman" w:hAnsi="Cambria"/>
        </w:rPr>
        <w:t>For the non-industrial forest landowners, management is a problematic exercise.  The regulatory and monetary hurdles simply make it impossible to actively manage their forest land economically.  Substantial streamlining of the regulatory process and incentives for work needed to prepare harvest plans, do wildlife and archaeology surveys, and the overarching environmental analysis requirements for CEQA are needed.  This is also true for industrial ownerships, but they have greater flexibility due to economies of scale.</w:t>
      </w:r>
    </w:p>
    <w:p w:rsidR="00CA5FC7" w:rsidRDefault="00CA5FC7" w:rsidP="00CA5FC7">
      <w:pPr>
        <w:rPr>
          <w:rFonts w:ascii="Cambria" w:eastAsia="Times New Roman" w:hAnsi="Cambria"/>
        </w:rPr>
      </w:pPr>
      <w:r>
        <w:rPr>
          <w:rFonts w:ascii="Cambria" w:eastAsia="Times New Roman" w:hAnsi="Cambria"/>
        </w:rPr>
        <w:t>The most critical necessity in this process is for an accurate representation of the effects of forest management on carbon sequestration.  We urge extreme caution when relying on Gonzales, Battle, et al.’s recommendations as indicated on the “</w:t>
      </w:r>
      <w:r>
        <w:rPr>
          <w:rFonts w:ascii="Cambria" w:eastAsia="Times New Roman" w:hAnsi="Cambria"/>
          <w:b/>
          <w:bCs/>
        </w:rPr>
        <w:t xml:space="preserve">California Greenhouse Gas Inventory - Forests and Other Lands” </w:t>
      </w:r>
      <w:r>
        <w:rPr>
          <w:rFonts w:ascii="Cambria" w:eastAsia="Times New Roman" w:hAnsi="Cambria"/>
          <w:bCs/>
        </w:rPr>
        <w:t>web page.</w:t>
      </w:r>
      <w:r>
        <w:rPr>
          <w:rFonts w:ascii="Cambria" w:eastAsia="Times New Roman" w:hAnsi="Cambria"/>
        </w:rPr>
        <w:t xml:space="preserve">  This study focused on live, above ground carbon stores, and proposes reliance on </w:t>
      </w:r>
      <w:r>
        <w:rPr>
          <w:rFonts w:ascii="Cambria" w:eastAsia="Times New Roman" w:hAnsi="Cambria"/>
        </w:rPr>
        <w:lastRenderedPageBreak/>
        <w:t>modeling and remote sensing that is does not focus on the full life cycle of wood products.  Its broad vegetation classification inappropriately groups timberlands with other vegetation types, which masks the true condition of timberlands sequestration role.</w:t>
      </w:r>
    </w:p>
    <w:p w:rsidR="00CA5FC7" w:rsidRDefault="00CA5FC7" w:rsidP="00CA5FC7">
      <w:pPr>
        <w:rPr>
          <w:rFonts w:ascii="Cambria" w:eastAsia="Times New Roman" w:hAnsi="Cambria"/>
        </w:rPr>
      </w:pPr>
      <w:r>
        <w:rPr>
          <w:rFonts w:ascii="Cambria" w:eastAsia="Times New Roman" w:hAnsi="Cambria"/>
        </w:rPr>
        <w:t>Currently, the Board of Forestry and Fire Protection is analyzing the effect of forest management on sequestration under its mandate pursuant to AB 1504.  In contrast, this study relies on ground inventory data collected by the Pacific Northwest Research Station Forest and Inventory Analysis group (FIA).  This study will:</w:t>
      </w:r>
    </w:p>
    <w:p w:rsidR="00CA5FC7" w:rsidRDefault="00CA5FC7" w:rsidP="00CA5FC7">
      <w:pPr>
        <w:ind w:left="720"/>
        <w:rPr>
          <w:rFonts w:ascii="Cambria" w:eastAsia="Times New Roman" w:hAnsi="Cambria"/>
        </w:rPr>
      </w:pPr>
      <w:r>
        <w:rPr>
          <w:rFonts w:ascii="Cambria" w:eastAsia="Times New Roman" w:hAnsi="Cambria"/>
        </w:rPr>
        <w:t xml:space="preserve">•Develop set of standardized forest carbon summary tables for annual AB1504 reporting to California Board of Forestry </w:t>
      </w:r>
    </w:p>
    <w:p w:rsidR="00CA5FC7" w:rsidRDefault="00CA5FC7" w:rsidP="00CA5FC7">
      <w:pPr>
        <w:ind w:left="720"/>
        <w:rPr>
          <w:rFonts w:ascii="Cambria" w:eastAsia="Times New Roman" w:hAnsi="Cambria"/>
        </w:rPr>
      </w:pPr>
      <w:r>
        <w:rPr>
          <w:rFonts w:ascii="Cambria" w:eastAsia="Times New Roman" w:hAnsi="Cambria"/>
        </w:rPr>
        <w:t xml:space="preserve">•Update all estimates of carbon stocks and stock changes to include 2015 plot measurements </w:t>
      </w:r>
    </w:p>
    <w:p w:rsidR="00CA5FC7" w:rsidRDefault="00CA5FC7" w:rsidP="00CA5FC7">
      <w:pPr>
        <w:ind w:left="720"/>
        <w:rPr>
          <w:rFonts w:ascii="Cambria" w:eastAsia="Times New Roman" w:hAnsi="Cambria"/>
        </w:rPr>
      </w:pPr>
      <w:r>
        <w:rPr>
          <w:rFonts w:ascii="Cambria" w:eastAsia="Times New Roman" w:hAnsi="Cambria"/>
        </w:rPr>
        <w:t xml:space="preserve">•Update estimate of net annual carbon sequestration </w:t>
      </w:r>
    </w:p>
    <w:p w:rsidR="00CA5FC7" w:rsidRDefault="00CA5FC7" w:rsidP="00CA5FC7">
      <w:pPr>
        <w:ind w:left="720"/>
        <w:rPr>
          <w:rFonts w:ascii="Cambria" w:eastAsia="Times New Roman" w:hAnsi="Cambria"/>
        </w:rPr>
      </w:pPr>
      <w:r>
        <w:rPr>
          <w:rFonts w:ascii="Cambria" w:eastAsia="Times New Roman" w:hAnsi="Cambria"/>
        </w:rPr>
        <w:t xml:space="preserve">•Establish Forest Management Reference Levels </w:t>
      </w:r>
    </w:p>
    <w:p w:rsidR="00CA5FC7" w:rsidRDefault="00CA5FC7" w:rsidP="00CA5FC7">
      <w:pPr>
        <w:ind w:left="720"/>
        <w:rPr>
          <w:rFonts w:ascii="Cambria" w:eastAsia="Times New Roman" w:hAnsi="Cambria"/>
        </w:rPr>
      </w:pPr>
      <w:r>
        <w:rPr>
          <w:rFonts w:ascii="Cambria" w:eastAsia="Times New Roman" w:hAnsi="Cambria"/>
        </w:rPr>
        <w:t xml:space="preserve">•Refine stock estimates as new data and algorithms become available </w:t>
      </w:r>
    </w:p>
    <w:p w:rsidR="00CA5FC7" w:rsidRDefault="00CA5FC7" w:rsidP="00CA5FC7">
      <w:pPr>
        <w:ind w:left="720"/>
        <w:rPr>
          <w:rFonts w:ascii="Cambria" w:eastAsia="Times New Roman" w:hAnsi="Cambria"/>
        </w:rPr>
      </w:pPr>
      <w:r>
        <w:rPr>
          <w:rFonts w:ascii="Cambria" w:eastAsia="Times New Roman" w:hAnsi="Cambria"/>
        </w:rPr>
        <w:t xml:space="preserve">•Account for harvested wood products </w:t>
      </w:r>
    </w:p>
    <w:p w:rsidR="00CA5FC7" w:rsidRDefault="00CA5FC7" w:rsidP="00CA5FC7">
      <w:pPr>
        <w:ind w:left="720"/>
        <w:rPr>
          <w:rFonts w:ascii="Cambria" w:eastAsia="Times New Roman" w:hAnsi="Cambria"/>
        </w:rPr>
      </w:pPr>
      <w:r>
        <w:rPr>
          <w:rFonts w:ascii="Cambria" w:eastAsia="Times New Roman" w:hAnsi="Cambria"/>
        </w:rPr>
        <w:t xml:space="preserve">•Initial estimates of forest carbon stocks projected forward through 2020 </w:t>
      </w:r>
    </w:p>
    <w:p w:rsidR="00CA5FC7" w:rsidRDefault="00CA5FC7" w:rsidP="00CA5FC7">
      <w:pPr>
        <w:ind w:left="720"/>
        <w:rPr>
          <w:rFonts w:ascii="Cambria" w:eastAsia="Times New Roman" w:hAnsi="Cambria"/>
        </w:rPr>
      </w:pPr>
      <w:r>
        <w:rPr>
          <w:rFonts w:ascii="Cambria" w:eastAsia="Times New Roman" w:hAnsi="Cambria"/>
        </w:rPr>
        <w:t xml:space="preserve">•Establish Forest Management References Levels based on 2001-2010 plot measurements - in accordance with IPCC guidelines under the Kyoto Protocol </w:t>
      </w:r>
    </w:p>
    <w:p w:rsidR="00CA5FC7" w:rsidRDefault="00CA5FC7" w:rsidP="00CA5FC7">
      <w:pPr>
        <w:ind w:left="720"/>
        <w:rPr>
          <w:rFonts w:ascii="Cambria" w:eastAsia="Times New Roman" w:hAnsi="Cambria"/>
        </w:rPr>
      </w:pPr>
    </w:p>
    <w:p w:rsidR="00CA5FC7" w:rsidRDefault="00CA5FC7" w:rsidP="00CA5FC7">
      <w:pPr>
        <w:rPr>
          <w:rFonts w:ascii="Cambria" w:eastAsia="Times New Roman" w:hAnsi="Cambria"/>
        </w:rPr>
      </w:pPr>
      <w:r>
        <w:rPr>
          <w:rFonts w:ascii="Cambria" w:eastAsia="Times New Roman" w:hAnsi="Cambria"/>
        </w:rPr>
        <w:t>Collaborating with the Board of Forestry on this existing effort will reduce redundancy and provide a more accurate review of the necessary information.</w:t>
      </w:r>
    </w:p>
    <w:p w:rsidR="00CA5FC7" w:rsidRDefault="00CA5FC7" w:rsidP="00CA5FC7">
      <w:pPr>
        <w:rPr>
          <w:rFonts w:ascii="Cambria" w:eastAsia="Times New Roman" w:hAnsi="Cambria"/>
        </w:rPr>
      </w:pPr>
      <w:r>
        <w:rPr>
          <w:rFonts w:ascii="Cambria" w:eastAsia="Times New Roman" w:hAnsi="Cambria"/>
        </w:rPr>
        <w:t>It should also be noted that FIA has determined that 9.6 million metric tons of CO2 equivalent per year are sequestered on California’s forests, but that the critical issue for consideration is the fate of Federal forests.  As noted above, the rate of loss through mortality and lack of meaningful rehabilitation are effectively turning these lands into emitters, in contrast to the non-Federal lands.</w:t>
      </w:r>
    </w:p>
    <w:p w:rsidR="00CA5FC7" w:rsidRDefault="00CA5FC7" w:rsidP="00CA5FC7">
      <w:pPr>
        <w:rPr>
          <w:rFonts w:ascii="Cambria" w:eastAsia="Times New Roman" w:hAnsi="Cambria"/>
        </w:rPr>
      </w:pPr>
      <w:r>
        <w:rPr>
          <w:rFonts w:ascii="Cambria" w:eastAsia="Times New Roman" w:hAnsi="Cambria"/>
        </w:rPr>
        <w:t>Finally, in setting a target of 500,000 acres on non-Federal lands to be brought under plans to advance forest health, including resilient carbon storage, along with management to further those goals, it should be noted that this number is derived from a “match” standard to the goal of the U.S. Forest Service’ 500,000 acres/year of restoration.  As noted earlier, this target of restoring 500,000 acre/year is unlikely to be achieved, as the USFS lacks the funding, personnel, and institutional capacity to achieve it, and makes for a dubious comparison or “match”.  Further, these private lands already are achieving sequestration through active management as previously note by FIA, rendering the necessity of imposing additional “plans” moot.</w:t>
      </w:r>
    </w:p>
    <w:p w:rsidR="00CA5FC7" w:rsidRDefault="00CA5FC7" w:rsidP="00CA5FC7">
      <w:pPr>
        <w:rPr>
          <w:rFonts w:ascii="Cambria" w:eastAsia="Times New Roman" w:hAnsi="Cambria"/>
        </w:rPr>
      </w:pPr>
    </w:p>
    <w:p w:rsidR="00CA5FC7" w:rsidRDefault="00CA5FC7" w:rsidP="00CA5FC7">
      <w:pPr>
        <w:rPr>
          <w:rFonts w:ascii="Cambria" w:eastAsia="Times New Roman" w:hAnsi="Cambria"/>
        </w:rPr>
      </w:pPr>
    </w:p>
    <w:p w:rsidR="00D01F8E" w:rsidRPr="00FA4833" w:rsidRDefault="00D01F8E" w:rsidP="00D01F8E">
      <w:pPr>
        <w:rPr>
          <w:rFonts w:ascii="Cambria" w:eastAsia="Times New Roman" w:hAnsi="Cambria"/>
          <w:b/>
        </w:rPr>
      </w:pPr>
    </w:p>
    <w:p w:rsidR="00D01F8E" w:rsidRPr="00FA4833" w:rsidRDefault="00D01F8E" w:rsidP="00D01F8E">
      <w:pPr>
        <w:rPr>
          <w:rFonts w:ascii="Cambria" w:eastAsia="Times New Roman" w:hAnsi="Cambria"/>
          <w:b/>
        </w:rPr>
      </w:pPr>
      <w:r w:rsidRPr="00FA4833">
        <w:rPr>
          <w:rFonts w:ascii="Cambria" w:eastAsia="Times New Roman" w:hAnsi="Cambria"/>
          <w:b/>
        </w:rPr>
        <w:lastRenderedPageBreak/>
        <w:t>Reducing Black Carbon and Methane</w:t>
      </w:r>
    </w:p>
    <w:p w:rsidR="00D01F8E" w:rsidRPr="00FA4833" w:rsidRDefault="00D01F8E" w:rsidP="00D01F8E">
      <w:pPr>
        <w:rPr>
          <w:rFonts w:ascii="Cambria" w:eastAsia="Times New Roman" w:hAnsi="Cambria"/>
          <w:b/>
        </w:rPr>
      </w:pPr>
    </w:p>
    <w:p w:rsidR="00D01F8E" w:rsidRPr="00FA4833" w:rsidRDefault="00D01F8E" w:rsidP="00D01F8E">
      <w:pPr>
        <w:rPr>
          <w:rFonts w:ascii="Cambria" w:eastAsia="Times New Roman" w:hAnsi="Cambria"/>
        </w:rPr>
      </w:pPr>
      <w:r w:rsidRPr="00FA4833">
        <w:rPr>
          <w:rFonts w:ascii="Cambria" w:eastAsia="Times New Roman" w:hAnsi="Cambria"/>
        </w:rPr>
        <w:t xml:space="preserve">CFA concurs with ARB that there are continuing opportunities to reduce emissions of short-lived climate pollutants (SCLPs) including black carbon and methane.  </w:t>
      </w:r>
    </w:p>
    <w:p w:rsidR="00D01F8E" w:rsidRPr="00FA4833" w:rsidRDefault="00D01F8E" w:rsidP="00D01F8E">
      <w:pPr>
        <w:rPr>
          <w:rFonts w:ascii="Cambria" w:eastAsia="Times New Roman" w:hAnsi="Cambria"/>
        </w:rPr>
      </w:pPr>
    </w:p>
    <w:p w:rsidR="00D01F8E" w:rsidRPr="00FA4833" w:rsidRDefault="00D01F8E" w:rsidP="00D01F8E">
      <w:pPr>
        <w:rPr>
          <w:rFonts w:ascii="Cambria" w:eastAsia="Times New Roman" w:hAnsi="Cambria"/>
        </w:rPr>
      </w:pPr>
      <w:r w:rsidRPr="00FA4833">
        <w:rPr>
          <w:rFonts w:ascii="Cambria" w:eastAsia="Times New Roman" w:hAnsi="Cambria"/>
        </w:rPr>
        <w:t xml:space="preserve">ARB has now publically acknowledged that wildfire contributes an average of two-thirds of the black carbon emissions annually in the State.  </w:t>
      </w:r>
    </w:p>
    <w:p w:rsidR="00D01F8E" w:rsidRPr="00FA4833" w:rsidRDefault="00D01F8E" w:rsidP="00D01F8E">
      <w:pPr>
        <w:rPr>
          <w:rFonts w:ascii="Cambria" w:eastAsia="Times New Roman" w:hAnsi="Cambria"/>
        </w:rPr>
      </w:pPr>
    </w:p>
    <w:p w:rsidR="00D01F8E" w:rsidRPr="00FA4833" w:rsidRDefault="00D01F8E" w:rsidP="00D01F8E">
      <w:pPr>
        <w:rPr>
          <w:rStyle w:val="data1"/>
          <w:rFonts w:ascii="Cambria" w:hAnsi="Cambria" w:cs="Arial"/>
          <w:lang w:val="en"/>
        </w:rPr>
      </w:pPr>
      <w:r w:rsidRPr="00FA4833">
        <w:rPr>
          <w:rFonts w:ascii="Cambria" w:eastAsia="Times New Roman" w:hAnsi="Cambria"/>
        </w:rPr>
        <w:t>An ARB-funded study at the California National Primate Research Center linked wildfire smoke exposure to reduced immune system function.  The study was done during 10 days in June 2008 when there were about 2,000 wildfires burning in Northern California.  During the time period of the study, 2.5 micron particulate matter was recorded at 50 to 80 micrograms per cubic meter; dramatically higher than the 35 microgram per cubic meter federal standard (</w:t>
      </w:r>
      <w:r w:rsidRPr="00FA4833">
        <w:rPr>
          <w:rStyle w:val="data1"/>
          <w:rFonts w:ascii="Cambria" w:hAnsi="Cambria" w:cs="Arial"/>
          <w:lang w:val="en"/>
        </w:rPr>
        <w:t>2013. Miller. “Persistent immune effects of wildfire PM exposure during childhood development”).</w:t>
      </w:r>
    </w:p>
    <w:p w:rsidR="00D01F8E" w:rsidRPr="00FA4833" w:rsidRDefault="00D01F8E" w:rsidP="00D01F8E">
      <w:pPr>
        <w:rPr>
          <w:rFonts w:ascii="Cambria" w:eastAsiaTheme="minorHAnsi" w:hAnsi="Cambria" w:cs="Arial"/>
          <w:color w:val="000000"/>
          <w:lang w:val="en"/>
        </w:rPr>
      </w:pPr>
    </w:p>
    <w:p w:rsidR="00D01F8E" w:rsidRPr="00FA4833" w:rsidRDefault="00D01F8E" w:rsidP="00D01F8E">
      <w:pPr>
        <w:rPr>
          <w:rFonts w:ascii="Cambria" w:eastAsia="Times New Roman" w:hAnsi="Cambria"/>
        </w:rPr>
      </w:pPr>
      <w:r w:rsidRPr="00FA4833">
        <w:rPr>
          <w:rFonts w:ascii="Cambria" w:eastAsia="Times New Roman" w:hAnsi="Cambria"/>
        </w:rPr>
        <w:t>There are only 3 reasonable options for agriculture, urban, and forest wood waste disposal.  They are: 1) disposal in landfills, 2) consumption in a biomass boiler, or 3) open field pile burning.  ARB plans to prepare a rule that by 2025 will eliminate organics going into landfills leaving only two options left.</w:t>
      </w:r>
    </w:p>
    <w:p w:rsidR="00D01F8E" w:rsidRPr="00FA4833" w:rsidRDefault="00D01F8E" w:rsidP="00D01F8E">
      <w:pPr>
        <w:rPr>
          <w:rFonts w:ascii="Cambria" w:eastAsia="Times New Roman" w:hAnsi="Cambria"/>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eastAsia="Times New Roman" w:hAnsi="Cambria"/>
        </w:rPr>
        <w:t>In a study published September 2015 by Springsteen etal (“</w:t>
      </w:r>
      <w:r w:rsidRPr="00FA4833">
        <w:rPr>
          <w:rFonts w:ascii="Cambria" w:hAnsi="Cambria" w:cs="MyriadPro-SemiboldCond"/>
        </w:rPr>
        <w:t xml:space="preserve">Forest biomass diversion in the Sierra Nevada: Energy, economics and emissions”), it was shown that consuming forest wood waste in a biomass boiler rather than open pile burning </w:t>
      </w:r>
      <w:r w:rsidRPr="00FA4833">
        <w:rPr>
          <w:rFonts w:ascii="Cambria" w:hAnsi="Cambria" w:cs="MyriadPro-SemiboldSemiCnIt"/>
          <w:iCs/>
        </w:rPr>
        <w:t xml:space="preserve">provided “air emissions reductions of 98%–99% for PM2.5, Carbon Monoxide, Non-Methane Organic Compounds,, Methane, and Black Carbon, and 20% for NOx and CO2-equivalent greenhouse gases.”  </w:t>
      </w:r>
    </w:p>
    <w:p w:rsidR="00D01F8E" w:rsidRPr="00FA4833" w:rsidRDefault="00D01F8E" w:rsidP="00D01F8E">
      <w:pPr>
        <w:autoSpaceDE w:val="0"/>
        <w:autoSpaceDN w:val="0"/>
        <w:adjustRightInd w:val="0"/>
        <w:rPr>
          <w:rFonts w:ascii="Cambria" w:hAnsi="Cambria" w:cs="MyriadPro-SemiboldSemiCnIt"/>
          <w:iCs/>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hAnsi="Cambria" w:cs="MyriadPro-SemiboldSemiCnIt"/>
          <w:iCs/>
        </w:rPr>
        <w:t xml:space="preserve">This study verifies a January 2011 study by Springsteen etal that also showed a 98% reduction in Black Carbon when burning wood waste in a biomass boiler versus open field pile burning and a U.C. Riverside study in 1979 (Attachment #4) that also showed a 98% reduction (Attachment #4).  All 3 studies show that burning forest wood waste in a biomass boiler rather than open pile burning provides a 98% or more reduction in Black Carbon, Methane, and other pollutants.  </w:t>
      </w:r>
    </w:p>
    <w:p w:rsidR="00D01F8E" w:rsidRPr="00FA4833" w:rsidRDefault="00D01F8E" w:rsidP="00D01F8E">
      <w:pPr>
        <w:autoSpaceDE w:val="0"/>
        <w:autoSpaceDN w:val="0"/>
        <w:adjustRightInd w:val="0"/>
        <w:rPr>
          <w:rFonts w:ascii="Cambria" w:hAnsi="Cambria" w:cs="MyriadPro-SemiboldSemiCnIt"/>
          <w:iCs/>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hAnsi="Cambria" w:cs="MyriadPro-SemiboldSemiCnIt"/>
          <w:iCs/>
        </w:rPr>
        <w:t>Disposal in landfills is not an option since California wants a rule to effectively eliminate organic disposal in landfills by 2025 (Strategy, page 8).  Therefore the only viable options are open field pile burning or consumption in a biomass boiler.</w:t>
      </w:r>
    </w:p>
    <w:p w:rsidR="00D01F8E" w:rsidRPr="00FA4833" w:rsidRDefault="00D01F8E" w:rsidP="00D01F8E">
      <w:pPr>
        <w:autoSpaceDE w:val="0"/>
        <w:autoSpaceDN w:val="0"/>
        <w:adjustRightInd w:val="0"/>
        <w:rPr>
          <w:rFonts w:ascii="Cambria" w:hAnsi="Cambria" w:cs="MyriadPro-SemiboldSemiCnIt"/>
          <w:iCs/>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hAnsi="Cambria" w:cs="MyriadPro-SemiboldSemiCnIt"/>
          <w:iCs/>
        </w:rPr>
        <w:lastRenderedPageBreak/>
        <w:t>Dr. Gregg Morris (1999. Morris. “The Value of Biomass Power”) (2006. Western Governors Association, Biomass Taskforce Report) has demonstrated there is an 11.4 cent/kW-hr environmental benefit by consuming wood waste in a biomass boiler compared to open field pile burning.  In California’s Renewable Portfolio Standard, today, subsidized Wind and Solar Power sell in the range of about 8 cents/kilowatt-hr.  Currently, Biomass Power is not incentivized.  Biomass power needs about 10-14 cents/kilowatt-hr.  So there’s clearly more than sufficient monetary uncompensated environmental benefit (11.4 cents/kW-hr) for biomass power to be competitive with other forms of renewable energy and even competitive with natural gas at 2.9 cents/kilowatt-hr.</w:t>
      </w:r>
    </w:p>
    <w:p w:rsidR="00D01F8E" w:rsidRPr="00FA4833" w:rsidRDefault="00D01F8E" w:rsidP="00D01F8E">
      <w:pPr>
        <w:autoSpaceDE w:val="0"/>
        <w:autoSpaceDN w:val="0"/>
        <w:adjustRightInd w:val="0"/>
        <w:rPr>
          <w:rFonts w:ascii="Cambria" w:hAnsi="Cambria" w:cs="MyriadPro-SemiboldSemiCnIt"/>
          <w:iCs/>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hAnsi="Cambria" w:cs="MyriadPro-SemiboldSemiCnIt"/>
          <w:iCs/>
        </w:rPr>
        <w:t>The annual usable wood waste stream for biomass heat and power in California was estimated in 2006 (California Biomass Collaborative, Roadmap, p. 12) at about 10 million bone dry tons.  Today, insect and disease just in the Southern Sierra Nevada Mountains has added about 40 million bone dry tons of dead wood.</w:t>
      </w:r>
    </w:p>
    <w:p w:rsidR="00D01F8E" w:rsidRPr="00FA4833" w:rsidRDefault="00D01F8E" w:rsidP="00D01F8E">
      <w:pPr>
        <w:autoSpaceDE w:val="0"/>
        <w:autoSpaceDN w:val="0"/>
        <w:adjustRightInd w:val="0"/>
        <w:ind w:left="360"/>
        <w:rPr>
          <w:rFonts w:ascii="Cambria" w:hAnsi="Cambria" w:cs="MyriadPro-SemiboldSemiCnIt"/>
          <w:iCs/>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hAnsi="Cambria" w:cs="MyriadPro-SemiboldSemiCnIt"/>
          <w:iCs/>
        </w:rPr>
        <w:t xml:space="preserve">Governor Schwarzenegger’s 2007 Bioenergy Action Plan recognized the wood waste disposal issue and the value of burning it in a biomass boiler by calling for doubling the biomass power capacity in the State to about 1,200 megawatts, which would consume about 10 million bone dry tons of agriculture, urban demolition wood, and forest mill residuals, timber harvest slash, and thinning. </w:t>
      </w:r>
    </w:p>
    <w:p w:rsidR="00D01F8E" w:rsidRPr="00FA4833" w:rsidRDefault="00D01F8E" w:rsidP="00D01F8E">
      <w:pPr>
        <w:autoSpaceDE w:val="0"/>
        <w:autoSpaceDN w:val="0"/>
        <w:adjustRightInd w:val="0"/>
        <w:rPr>
          <w:rFonts w:ascii="Cambria" w:hAnsi="Cambria" w:cs="MyriadPro-SemiboldSemiCnIt"/>
          <w:iCs/>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hAnsi="Cambria" w:cs="MyriadPro-SemiboldSemiCnIt"/>
          <w:iCs/>
        </w:rPr>
        <w:t>Governor Brown updated the Schwarzenegger Bioenergy Action Plan in August, 2012 calling for biomass power operating capacity to increase to about 900 megawatts.  Note, this was before the Governor’s Emergency Proclamation of Oct. 30, 2015 for the insect and disease epidemic. Today, the remaining operating biomass powerplants produce about 545 megawatts but 7 of those plants have expiring energy price contracts over the next 5 months, which could lead to total capacity dropping to about 350 megawatts.</w:t>
      </w:r>
    </w:p>
    <w:p w:rsidR="00D01F8E" w:rsidRPr="00FA4833" w:rsidRDefault="00D01F8E" w:rsidP="00D01F8E">
      <w:pPr>
        <w:autoSpaceDE w:val="0"/>
        <w:autoSpaceDN w:val="0"/>
        <w:adjustRightInd w:val="0"/>
        <w:rPr>
          <w:rFonts w:ascii="Cambria" w:hAnsi="Cambria" w:cs="MyriadPro-SemiboldSemiCnIt"/>
          <w:iCs/>
        </w:rPr>
      </w:pPr>
    </w:p>
    <w:p w:rsidR="00D01F8E" w:rsidRPr="00FA4833" w:rsidRDefault="00D01F8E" w:rsidP="00D01F8E">
      <w:pPr>
        <w:autoSpaceDE w:val="0"/>
        <w:autoSpaceDN w:val="0"/>
        <w:adjustRightInd w:val="0"/>
        <w:rPr>
          <w:rFonts w:ascii="Cambria" w:hAnsi="Cambria" w:cs="MyriadPro-SemiboldSemiCnIt"/>
          <w:iCs/>
        </w:rPr>
      </w:pPr>
      <w:r w:rsidRPr="00FA4833">
        <w:rPr>
          <w:rFonts w:ascii="Cambria" w:hAnsi="Cambria" w:cs="MyriadPro-SemiboldSemiCnIt"/>
          <w:iCs/>
        </w:rPr>
        <w:t>A 900 megawatt biomass powerplant industry in CA would consume 7.2 million bone dry tons of green wood waste.  A 1,200 megawatt industry would consume 9.6 million bone dry tons.  With an 11.4 cent/kW-hr environmental benefit, the State should be incentivizing the biomass powerplant industry to expand to at least an operating capacity of 1,200 megawatts (consume about 10 million bone dry tons of wood waste annually).</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 xml:space="preserve">It cost at least $5 million/1 MW to construct a biomass powerplant.  This includes a site plan, perform feasibility and engineering design, do CEQA, obtain a County Permit to Construct and construct the plant.  There are 21 biomass powerplants that </w:t>
      </w:r>
      <w:r w:rsidRPr="00FA4833">
        <w:rPr>
          <w:rFonts w:ascii="Cambria" w:eastAsia="Times New Roman" w:hAnsi="Cambria"/>
        </w:rPr>
        <w:lastRenderedPageBreak/>
        <w:t>could stay in business if they had new long-term power purchase agreements.  These 21 plants have already made the capital investment.  With the environmental benefit they provide, there is a huge inexpensive opportunity for the State of California to incentivize the biomass powerplant industry.</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Providing new long-term energy price contracts that would allow the 21 powerplants who need a new long-term power purchase agreement to remain in business, would increase the capacity of the industry to about 820 MW consuming about 6.6 million bone dry tons of wood waste from the agriculture, urban, and forest sectors.</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The Public Utilities Commission Ram Auction, which is currently underway only requires the 3 large Utilities to procure a total of 50 megawatts.</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The SB1122 three megawatt and smaller powerplants if fully built out only would produce 50 megawatts.  Currently none have been built.  The Beck Group (Dec. 2015,</w:t>
      </w:r>
      <w:r w:rsidRPr="00FA4833">
        <w:rPr>
          <w:rFonts w:ascii="Cambria" w:hAnsi="Cambria"/>
        </w:rPr>
        <w:t xml:space="preserve"> </w:t>
      </w:r>
      <w:hyperlink r:id="rId8" w:history="1">
        <w:r w:rsidRPr="00FA4833">
          <w:rPr>
            <w:rStyle w:val="Hyperlink"/>
            <w:rFonts w:ascii="Cambria" w:eastAsia="Times New Roman" w:hAnsi="Cambria"/>
          </w:rPr>
          <w:t>https://www.nationalforests.org/assets/pdfs/Phase-II-Executive-Summary-1-4-16.pdf</w:t>
        </w:r>
      </w:hyperlink>
      <w:r w:rsidRPr="00FA4833">
        <w:rPr>
          <w:rFonts w:ascii="Cambria" w:eastAsia="Times New Roman" w:hAnsi="Cambria"/>
        </w:rPr>
        <w:t xml:space="preserve"> ) has estimated that it would take an 18-22 cent/kilowatt-hr power purchase agreement for a three megawatt powerplant to be successful.  It’s simply not economic.</w:t>
      </w:r>
    </w:p>
    <w:p w:rsidR="00D01F8E" w:rsidRPr="00FA4833" w:rsidRDefault="00D01F8E" w:rsidP="00D01F8E">
      <w:pPr>
        <w:autoSpaceDE w:val="0"/>
        <w:autoSpaceDN w:val="0"/>
        <w:adjustRightInd w:val="0"/>
        <w:rPr>
          <w:rFonts w:ascii="Cambria" w:eastAsia="Times New Roman" w:hAnsi="Cambria"/>
        </w:rPr>
      </w:pPr>
    </w:p>
    <w:p w:rsid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 xml:space="preserve">The biomass powerplant industry capacity is estimated to decline to 350 MW by fall, 2016. That will leave about 7 million bone dry tons of Agriculture, Urban, and Forest wood waste to be open field pile burned and does not include the 40 million bone dry tons of dead trees from the insect and disease epidemic.  </w:t>
      </w:r>
    </w:p>
    <w:p w:rsidR="00873B67" w:rsidRDefault="00873B67">
      <w:pPr>
        <w:rPr>
          <w:rFonts w:ascii="Cambria" w:eastAsia="Times New Roman" w:hAnsi="Cambria"/>
        </w:rPr>
      </w:pPr>
    </w:p>
    <w:p w:rsidR="00873B67" w:rsidRPr="00FA4833" w:rsidRDefault="00873B67" w:rsidP="00873B67">
      <w:pPr>
        <w:autoSpaceDE w:val="0"/>
        <w:autoSpaceDN w:val="0"/>
        <w:adjustRightInd w:val="0"/>
        <w:rPr>
          <w:rFonts w:ascii="Cambria" w:eastAsia="Times New Roman" w:hAnsi="Cambria"/>
        </w:rPr>
      </w:pPr>
      <w:r w:rsidRPr="00FA4833">
        <w:rPr>
          <w:rFonts w:ascii="Cambria" w:eastAsia="Times New Roman" w:hAnsi="Cambria"/>
        </w:rPr>
        <w:t>From Springsteen etal (2015), the black carbon and methane impact for 7 million bone dry tons of wood waste annually will be:</w:t>
      </w:r>
    </w:p>
    <w:p w:rsidR="00873B67" w:rsidRPr="00FA4833" w:rsidRDefault="00873B67" w:rsidP="00873B67">
      <w:pPr>
        <w:autoSpaceDE w:val="0"/>
        <w:autoSpaceDN w:val="0"/>
        <w:adjustRightInd w:val="0"/>
        <w:rPr>
          <w:rFonts w:ascii="Cambria" w:eastAsia="Times New Roman" w:hAnsi="Cambria"/>
        </w:rPr>
      </w:pPr>
    </w:p>
    <w:p w:rsidR="00873B67" w:rsidRPr="00FA4833" w:rsidRDefault="00873B67" w:rsidP="00873B67">
      <w:pPr>
        <w:autoSpaceDE w:val="0"/>
        <w:autoSpaceDN w:val="0"/>
        <w:adjustRightInd w:val="0"/>
        <w:rPr>
          <w:rFonts w:ascii="Cambria" w:eastAsia="Times New Roman" w:hAnsi="Cambria"/>
        </w:rPr>
      </w:pPr>
    </w:p>
    <w:p w:rsidR="00873B67" w:rsidRPr="00FA4833" w:rsidRDefault="00873B67" w:rsidP="00873B6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Cambria" w:eastAsia="Times New Roman" w:hAnsi="Cambria"/>
          <w:u w:val="single"/>
        </w:rPr>
      </w:pPr>
      <w:r w:rsidRPr="00FA4833">
        <w:rPr>
          <w:rFonts w:ascii="Cambria" w:eastAsia="Times New Roman" w:hAnsi="Cambria"/>
          <w:u w:val="single"/>
        </w:rPr>
        <w:t>Pollutant</w:t>
      </w:r>
      <w:r w:rsidRPr="00FA4833">
        <w:rPr>
          <w:rFonts w:ascii="Cambria" w:eastAsia="Times New Roman" w:hAnsi="Cambria"/>
          <w:u w:val="single"/>
        </w:rPr>
        <w:tab/>
        <w:t>Consumed in Biomass Powerplant   versus</w:t>
      </w:r>
      <w:r w:rsidRPr="00FA4833">
        <w:rPr>
          <w:rFonts w:ascii="Cambria" w:eastAsia="Times New Roman" w:hAnsi="Cambria"/>
          <w:u w:val="single"/>
        </w:rPr>
        <w:tab/>
        <w:t>Open Field Pile Burned</w:t>
      </w:r>
    </w:p>
    <w:p w:rsidR="00873B67" w:rsidRPr="00FA4833" w:rsidRDefault="00873B67" w:rsidP="00873B6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Cambria" w:eastAsia="Times New Roman" w:hAnsi="Cambria"/>
          <w:u w:val="single"/>
        </w:rPr>
      </w:pPr>
    </w:p>
    <w:p w:rsidR="00873B67" w:rsidRPr="00FA4833" w:rsidRDefault="00873B67" w:rsidP="00873B6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Cambria" w:eastAsia="Times New Roman" w:hAnsi="Cambria"/>
        </w:rPr>
      </w:pPr>
      <w:r w:rsidRPr="00FA4833">
        <w:rPr>
          <w:rFonts w:ascii="Cambria" w:eastAsia="Times New Roman" w:hAnsi="Cambria"/>
        </w:rPr>
        <w:t>Black Carbon (2.5 micron)</w:t>
      </w:r>
      <w:r w:rsidRPr="00FA4833">
        <w:rPr>
          <w:rFonts w:ascii="Cambria" w:eastAsia="Times New Roman" w:hAnsi="Cambria"/>
        </w:rPr>
        <w:tab/>
      </w:r>
      <w:r>
        <w:rPr>
          <w:rFonts w:ascii="Cambria" w:eastAsia="Times New Roman" w:hAnsi="Cambria"/>
        </w:rPr>
        <w:tab/>
      </w:r>
      <w:r w:rsidRPr="00FA4833">
        <w:rPr>
          <w:rFonts w:ascii="Cambria" w:eastAsia="Times New Roman" w:hAnsi="Cambria"/>
        </w:rPr>
        <w:t>3.15 tons</w:t>
      </w:r>
      <w:r w:rsidRPr="00FA4833">
        <w:rPr>
          <w:rFonts w:ascii="Cambria" w:eastAsia="Times New Roman" w:hAnsi="Cambria"/>
        </w:rPr>
        <w:tab/>
      </w:r>
      <w:r w:rsidRPr="00FA4833">
        <w:rPr>
          <w:rFonts w:ascii="Cambria" w:eastAsia="Times New Roman" w:hAnsi="Cambria"/>
        </w:rPr>
        <w:tab/>
      </w:r>
      <w:r w:rsidRPr="00FA4833">
        <w:rPr>
          <w:rFonts w:ascii="Cambria" w:eastAsia="Times New Roman" w:hAnsi="Cambria"/>
        </w:rPr>
        <w:tab/>
      </w:r>
      <w:r w:rsidRPr="00FA4833">
        <w:rPr>
          <w:rFonts w:ascii="Cambria" w:eastAsia="Times New Roman" w:hAnsi="Cambria"/>
        </w:rPr>
        <w:tab/>
        <w:t>18,500 tons</w:t>
      </w:r>
    </w:p>
    <w:p w:rsidR="00873B67" w:rsidRPr="00FA4833" w:rsidRDefault="00873B67" w:rsidP="00873B6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Cambria" w:eastAsia="Times New Roman" w:hAnsi="Cambria"/>
        </w:rPr>
      </w:pPr>
    </w:p>
    <w:p w:rsidR="00873B67" w:rsidRPr="00FA4833" w:rsidRDefault="00873B67" w:rsidP="00873B6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Cambria" w:eastAsia="Times New Roman" w:hAnsi="Cambria"/>
        </w:rPr>
      </w:pPr>
      <w:r w:rsidRPr="00FA4833">
        <w:rPr>
          <w:rFonts w:ascii="Cambria" w:eastAsia="Times New Roman" w:hAnsi="Cambria"/>
        </w:rPr>
        <w:t>Methane</w:t>
      </w:r>
      <w:r w:rsidRPr="00FA4833">
        <w:rPr>
          <w:rFonts w:ascii="Cambria" w:eastAsia="Times New Roman" w:hAnsi="Cambria"/>
        </w:rPr>
        <w:tab/>
      </w:r>
      <w:r w:rsidRPr="00FA4833">
        <w:rPr>
          <w:rFonts w:ascii="Cambria" w:eastAsia="Times New Roman" w:hAnsi="Cambria"/>
        </w:rPr>
        <w:tab/>
      </w:r>
      <w:r w:rsidRPr="00FA4833">
        <w:rPr>
          <w:rFonts w:ascii="Cambria" w:eastAsia="Times New Roman" w:hAnsi="Cambria"/>
        </w:rPr>
        <w:tab/>
      </w:r>
      <w:r w:rsidRPr="00FA4833">
        <w:rPr>
          <w:rFonts w:ascii="Cambria" w:eastAsia="Times New Roman" w:hAnsi="Cambria"/>
        </w:rPr>
        <w:tab/>
        <w:t>0.25 tons</w:t>
      </w:r>
      <w:r w:rsidRPr="00FA4833">
        <w:rPr>
          <w:rFonts w:ascii="Cambria" w:eastAsia="Times New Roman" w:hAnsi="Cambria"/>
        </w:rPr>
        <w:tab/>
      </w:r>
      <w:r w:rsidRPr="00FA4833">
        <w:rPr>
          <w:rFonts w:ascii="Cambria" w:eastAsia="Times New Roman" w:hAnsi="Cambria"/>
        </w:rPr>
        <w:tab/>
      </w:r>
      <w:r w:rsidRPr="00FA4833">
        <w:rPr>
          <w:rFonts w:ascii="Cambria" w:eastAsia="Times New Roman" w:hAnsi="Cambria"/>
        </w:rPr>
        <w:tab/>
      </w:r>
      <w:r w:rsidRPr="00FA4833">
        <w:rPr>
          <w:rFonts w:ascii="Cambria" w:eastAsia="Times New Roman" w:hAnsi="Cambria"/>
        </w:rPr>
        <w:tab/>
        <w:t>17,500 tons</w:t>
      </w:r>
    </w:p>
    <w:p w:rsidR="00FA4833" w:rsidRDefault="00FA4833">
      <w:pPr>
        <w:rPr>
          <w:rFonts w:ascii="Cambria" w:eastAsia="Times New Roman" w:hAnsi="Cambria"/>
        </w:rPr>
      </w:pPr>
      <w:r>
        <w:rPr>
          <w:rFonts w:ascii="Cambria" w:eastAsia="Times New Roman" w:hAnsi="Cambria"/>
        </w:rPr>
        <w:br w:type="page"/>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Without incentivizing the biomass powerplant industry, the industry will continue in decline and will consume fewer and fewer bone dry tons of wood waste annually.  With an ARB goal of eliminating organic waste disposal in landfills by 2025, there would be no other reasonable option than open field pile burning, which produces the most black carbon and methane emissions/bone dry ton.</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b/>
        </w:rPr>
      </w:pPr>
      <w:r w:rsidRPr="00FA4833">
        <w:rPr>
          <w:rFonts w:ascii="Cambria" w:eastAsia="Times New Roman" w:hAnsi="Cambria"/>
          <w:b/>
        </w:rPr>
        <w:t>Strategies versus Actionable Items</w:t>
      </w:r>
    </w:p>
    <w:p w:rsidR="00D01F8E" w:rsidRPr="00FA4833" w:rsidRDefault="00D01F8E" w:rsidP="00D01F8E">
      <w:pPr>
        <w:autoSpaceDE w:val="0"/>
        <w:autoSpaceDN w:val="0"/>
        <w:adjustRightInd w:val="0"/>
        <w:rPr>
          <w:rFonts w:ascii="Cambria" w:eastAsia="Times New Roman" w:hAnsi="Cambria"/>
        </w:rPr>
      </w:pPr>
    </w:p>
    <w:p w:rsidR="00FA4833" w:rsidRPr="00A56727" w:rsidRDefault="00D01F8E" w:rsidP="00D01F8E">
      <w:pPr>
        <w:autoSpaceDE w:val="0"/>
        <w:autoSpaceDN w:val="0"/>
        <w:adjustRightInd w:val="0"/>
        <w:rPr>
          <w:rFonts w:ascii="Cambria" w:eastAsia="Times New Roman" w:hAnsi="Cambria"/>
        </w:rPr>
      </w:pPr>
      <w:r w:rsidRPr="00FA4833">
        <w:rPr>
          <w:rFonts w:ascii="Cambria" w:eastAsia="Times New Roman" w:hAnsi="Cambria"/>
        </w:rPr>
        <w:t>In part, the Concept Paper is looking to the Forest Carbon Plan and Proposed Short Lived Climate Pollutant Strategy (April 2016) to provide direction that will lead to a trend toward “robust, resilient” forests.  Both of these mentioned papers in their current form are short of Actionable Items to achieve the goal of increased net carbon sequestration and emissions reductions.  CFA believes the State must move toward Actionable Items quickly or there will be substantial opportunities lost.</w:t>
      </w:r>
    </w:p>
    <w:p w:rsidR="00FA4833" w:rsidRDefault="00FA4833" w:rsidP="00D01F8E">
      <w:pPr>
        <w:autoSpaceDE w:val="0"/>
        <w:autoSpaceDN w:val="0"/>
        <w:adjustRightInd w:val="0"/>
        <w:rPr>
          <w:rFonts w:ascii="Cambria" w:eastAsia="Times New Roman" w:hAnsi="Cambria"/>
          <w:b/>
        </w:rPr>
      </w:pPr>
    </w:p>
    <w:p w:rsidR="00D01F8E" w:rsidRPr="00FA4833" w:rsidRDefault="00D01F8E" w:rsidP="00D01F8E">
      <w:pPr>
        <w:autoSpaceDE w:val="0"/>
        <w:autoSpaceDN w:val="0"/>
        <w:adjustRightInd w:val="0"/>
        <w:rPr>
          <w:rFonts w:ascii="Cambria" w:eastAsia="Times New Roman" w:hAnsi="Cambria"/>
          <w:b/>
        </w:rPr>
      </w:pPr>
      <w:r w:rsidRPr="00FA4833">
        <w:rPr>
          <w:rFonts w:ascii="Cambria" w:eastAsia="Times New Roman" w:hAnsi="Cambria"/>
          <w:b/>
        </w:rPr>
        <w:t>Summary</w:t>
      </w:r>
    </w:p>
    <w:p w:rsidR="00D01F8E" w:rsidRPr="00FA4833" w:rsidRDefault="00D01F8E" w:rsidP="00D01F8E">
      <w:pPr>
        <w:autoSpaceDE w:val="0"/>
        <w:autoSpaceDN w:val="0"/>
        <w:adjustRightInd w:val="0"/>
        <w:rPr>
          <w:rFonts w:ascii="Cambria" w:eastAsia="Times New Roman" w:hAnsi="Cambria"/>
          <w:b/>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 xml:space="preserve">CFA believes much can be done including moving to Actionable Items quickly.  CFA believes those Actionable Items should include: </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pStyle w:val="ListParagraph"/>
        <w:numPr>
          <w:ilvl w:val="0"/>
          <w:numId w:val="3"/>
        </w:numPr>
        <w:autoSpaceDE w:val="0"/>
        <w:autoSpaceDN w:val="0"/>
        <w:adjustRightInd w:val="0"/>
        <w:spacing w:after="0" w:line="240" w:lineRule="auto"/>
        <w:rPr>
          <w:rFonts w:ascii="Cambria" w:eastAsia="Times New Roman" w:hAnsi="Cambria"/>
          <w:sz w:val="24"/>
          <w:szCs w:val="24"/>
        </w:rPr>
      </w:pPr>
      <w:r w:rsidRPr="00FA4833">
        <w:rPr>
          <w:rFonts w:ascii="Cambria" w:eastAsia="Times New Roman" w:hAnsi="Cambria"/>
          <w:sz w:val="24"/>
          <w:szCs w:val="24"/>
        </w:rPr>
        <w:t>Dramatically reducing wildfire black carbon and methane emissions through an aggressive national forest program of forest health and fuels reduction projects and reforestation accomplishments;</w:t>
      </w:r>
    </w:p>
    <w:p w:rsidR="00D01F8E" w:rsidRPr="00FA4833" w:rsidRDefault="00D01F8E" w:rsidP="00D01F8E">
      <w:pPr>
        <w:pStyle w:val="ListParagraph"/>
        <w:autoSpaceDE w:val="0"/>
        <w:autoSpaceDN w:val="0"/>
        <w:adjustRightInd w:val="0"/>
        <w:spacing w:after="0" w:line="240" w:lineRule="auto"/>
        <w:rPr>
          <w:rFonts w:ascii="Cambria" w:eastAsia="Times New Roman" w:hAnsi="Cambria"/>
          <w:sz w:val="24"/>
          <w:szCs w:val="24"/>
        </w:rPr>
      </w:pPr>
    </w:p>
    <w:p w:rsidR="00D01F8E" w:rsidRPr="00FA4833" w:rsidRDefault="00D01F8E" w:rsidP="00D01F8E">
      <w:pPr>
        <w:pStyle w:val="ListParagraph"/>
        <w:numPr>
          <w:ilvl w:val="0"/>
          <w:numId w:val="3"/>
        </w:numPr>
        <w:autoSpaceDE w:val="0"/>
        <w:autoSpaceDN w:val="0"/>
        <w:adjustRightInd w:val="0"/>
        <w:spacing w:after="0" w:line="240" w:lineRule="auto"/>
        <w:rPr>
          <w:rFonts w:ascii="Cambria" w:eastAsia="Times New Roman" w:hAnsi="Cambria"/>
          <w:sz w:val="24"/>
          <w:szCs w:val="24"/>
        </w:rPr>
      </w:pPr>
      <w:r w:rsidRPr="00FA4833">
        <w:rPr>
          <w:rFonts w:ascii="Cambria" w:eastAsia="Times New Roman" w:hAnsi="Cambria"/>
          <w:sz w:val="24"/>
          <w:szCs w:val="24"/>
        </w:rPr>
        <w:t>Finding pathways that allow non-industrial forest landowners in California to be able to economically manage their forests to promote resilience and thus maximize long-term carbon sequestration;</w:t>
      </w:r>
      <w:r w:rsidR="00A56727">
        <w:rPr>
          <w:rFonts w:ascii="Cambria" w:eastAsia="Times New Roman" w:hAnsi="Cambria"/>
          <w:sz w:val="24"/>
          <w:szCs w:val="24"/>
        </w:rPr>
        <w:t xml:space="preserve"> and</w:t>
      </w:r>
    </w:p>
    <w:p w:rsidR="00D01F8E" w:rsidRPr="00FA4833" w:rsidRDefault="00D01F8E" w:rsidP="00D01F8E">
      <w:pPr>
        <w:autoSpaceDE w:val="0"/>
        <w:autoSpaceDN w:val="0"/>
        <w:adjustRightInd w:val="0"/>
        <w:rPr>
          <w:rFonts w:ascii="Cambria" w:eastAsia="Times New Roman" w:hAnsi="Cambria"/>
        </w:rPr>
      </w:pPr>
    </w:p>
    <w:p w:rsidR="00D01F8E" w:rsidRDefault="00D01F8E" w:rsidP="00D01F8E">
      <w:pPr>
        <w:pStyle w:val="ListParagraph"/>
        <w:numPr>
          <w:ilvl w:val="0"/>
          <w:numId w:val="3"/>
        </w:numPr>
        <w:autoSpaceDE w:val="0"/>
        <w:autoSpaceDN w:val="0"/>
        <w:adjustRightInd w:val="0"/>
        <w:spacing w:after="0" w:line="240" w:lineRule="auto"/>
        <w:rPr>
          <w:rFonts w:ascii="Cambria" w:eastAsia="Times New Roman" w:hAnsi="Cambria"/>
          <w:sz w:val="24"/>
          <w:szCs w:val="24"/>
        </w:rPr>
      </w:pPr>
      <w:r w:rsidRPr="00FA4833">
        <w:rPr>
          <w:rFonts w:ascii="Cambria" w:eastAsia="Times New Roman" w:hAnsi="Cambria"/>
          <w:sz w:val="24"/>
          <w:szCs w:val="24"/>
        </w:rPr>
        <w:lastRenderedPageBreak/>
        <w:t>Incentivizing the biomass powerplant industry through paying for the 11 cent/kilowatt-hr environmental benefit to produce renewable heat and power through consuming the annual agriculture, urban, and forest woo</w:t>
      </w:r>
      <w:r w:rsidR="00873B67">
        <w:rPr>
          <w:rFonts w:ascii="Cambria" w:eastAsia="Times New Roman" w:hAnsi="Cambria"/>
          <w:sz w:val="24"/>
          <w:szCs w:val="24"/>
        </w:rPr>
        <w:t>d waste stream.</w:t>
      </w:r>
    </w:p>
    <w:p w:rsidR="00873B67" w:rsidRPr="00873B67" w:rsidRDefault="00873B67" w:rsidP="00873B67">
      <w:pPr>
        <w:pStyle w:val="ListParagraph"/>
        <w:rPr>
          <w:rFonts w:ascii="Cambria" w:eastAsia="Times New Roman" w:hAnsi="Cambria"/>
          <w:sz w:val="24"/>
          <w:szCs w:val="24"/>
        </w:rPr>
      </w:pPr>
    </w:p>
    <w:p w:rsidR="00873B67" w:rsidRDefault="00873B67">
      <w:pPr>
        <w:rPr>
          <w:rFonts w:ascii="Cambria" w:eastAsia="Times New Roman" w:hAnsi="Cambria"/>
        </w:rPr>
      </w:pPr>
      <w:r>
        <w:rPr>
          <w:rFonts w:ascii="Cambria" w:eastAsia="Times New Roman" w:hAnsi="Cambria"/>
        </w:rPr>
        <w:br w:type="page"/>
      </w:r>
    </w:p>
    <w:p w:rsidR="00873B67" w:rsidRPr="00FA4833" w:rsidRDefault="00873B67" w:rsidP="00873B67">
      <w:pPr>
        <w:pStyle w:val="ListParagraph"/>
        <w:autoSpaceDE w:val="0"/>
        <w:autoSpaceDN w:val="0"/>
        <w:adjustRightInd w:val="0"/>
        <w:spacing w:after="0" w:line="240" w:lineRule="auto"/>
        <w:rPr>
          <w:rFonts w:ascii="Cambria" w:eastAsia="Times New Roman" w:hAnsi="Cambria"/>
          <w:sz w:val="24"/>
          <w:szCs w:val="24"/>
        </w:rPr>
      </w:pP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Sincerely,</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hAnsi="Cambria"/>
          <w:noProof/>
        </w:rPr>
        <w:drawing>
          <wp:inline distT="0" distB="0" distL="0" distR="0" wp14:anchorId="236FE2EB" wp14:editId="166104DA">
            <wp:extent cx="2057400" cy="457200"/>
            <wp:effectExtent l="0" t="0" r="0" b="0"/>
            <wp:docPr id="11" name="Picture 11" descr="Steve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ve s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STEVEN A. BRINK</w:t>
      </w: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Vice President-Public Resources</w:t>
      </w:r>
    </w:p>
    <w:p w:rsidR="00D01F8E" w:rsidRPr="00FA4833" w:rsidRDefault="00873B67" w:rsidP="00D01F8E">
      <w:pPr>
        <w:autoSpaceDE w:val="0"/>
        <w:autoSpaceDN w:val="0"/>
        <w:adjustRightInd w:val="0"/>
        <w:rPr>
          <w:rFonts w:ascii="Cambria" w:eastAsia="Times New Roman" w:hAnsi="Cambria"/>
        </w:rPr>
      </w:pPr>
      <w:hyperlink r:id="rId10" w:history="1">
        <w:r w:rsidR="00D01F8E" w:rsidRPr="00FA4833">
          <w:rPr>
            <w:rStyle w:val="Hyperlink"/>
            <w:rFonts w:ascii="Cambria" w:eastAsia="Times New Roman" w:hAnsi="Cambria"/>
          </w:rPr>
          <w:t>steveb@calforests.org</w:t>
        </w:r>
      </w:hyperlink>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916-208-2425</w:t>
      </w:r>
    </w:p>
    <w:p w:rsidR="00D01F8E" w:rsidRPr="00FA4833" w:rsidRDefault="00D01F8E" w:rsidP="00D01F8E">
      <w:pPr>
        <w:autoSpaceDE w:val="0"/>
        <w:autoSpaceDN w:val="0"/>
        <w:adjustRightInd w:val="0"/>
        <w:rPr>
          <w:rFonts w:ascii="Cambria" w:eastAsia="Times New Roman" w:hAnsi="Cambria"/>
        </w:rPr>
      </w:pPr>
    </w:p>
    <w:p w:rsidR="00D01F8E" w:rsidRPr="00FA4833" w:rsidRDefault="00D01F8E" w:rsidP="00D01F8E">
      <w:pPr>
        <w:autoSpaceDE w:val="0"/>
        <w:autoSpaceDN w:val="0"/>
        <w:adjustRightInd w:val="0"/>
        <w:rPr>
          <w:rFonts w:ascii="Cambria" w:eastAsia="Times New Roman" w:hAnsi="Cambria"/>
        </w:rPr>
      </w:pPr>
      <w:r w:rsidRPr="00FA4833">
        <w:rPr>
          <w:rFonts w:ascii="Cambria" w:eastAsia="Times New Roman" w:hAnsi="Cambria"/>
        </w:rPr>
        <w:t>Enclosures</w:t>
      </w:r>
    </w:p>
    <w:p w:rsidR="00D01F8E" w:rsidRPr="000C65D7" w:rsidRDefault="00D01F8E" w:rsidP="00D01F8E">
      <w:pPr>
        <w:autoSpaceDE w:val="0"/>
        <w:autoSpaceDN w:val="0"/>
        <w:adjustRightInd w:val="0"/>
        <w:rPr>
          <w:rFonts w:ascii="Calibri" w:eastAsia="Times New Roman" w:hAnsi="Calibri"/>
          <w:sz w:val="28"/>
          <w:szCs w:val="28"/>
        </w:rPr>
      </w:pPr>
    </w:p>
    <w:p w:rsidR="00D01F8E" w:rsidRPr="00A56727" w:rsidRDefault="00D01F8E" w:rsidP="00D01F8E">
      <w:pPr>
        <w:rPr>
          <w:rFonts w:ascii="Cambria" w:eastAsia="Times New Roman" w:hAnsi="Cambria"/>
        </w:rPr>
      </w:pPr>
      <w:r w:rsidRPr="00A56727">
        <w:rPr>
          <w:rFonts w:ascii="Cambria" w:eastAsia="Times New Roman" w:hAnsi="Cambria"/>
        </w:rPr>
        <w:t>Bibliography</w:t>
      </w:r>
    </w:p>
    <w:p w:rsidR="00D01F8E" w:rsidRDefault="00D01F8E">
      <w:pPr>
        <w:rPr>
          <w:rFonts w:ascii="Calibri" w:eastAsia="Times New Roman" w:hAnsi="Calibri"/>
          <w:sz w:val="28"/>
          <w:szCs w:val="28"/>
        </w:rPr>
      </w:pPr>
      <w:r>
        <w:rPr>
          <w:rFonts w:ascii="Calibri" w:eastAsia="Times New Roman" w:hAnsi="Calibri"/>
          <w:sz w:val="28"/>
          <w:szCs w:val="28"/>
        </w:rPr>
        <w:br w:type="page"/>
      </w:r>
    </w:p>
    <w:p w:rsidR="00FA4833" w:rsidRDefault="00FA4833" w:rsidP="00FA4833">
      <w:pPr>
        <w:rPr>
          <w:b/>
          <w:sz w:val="28"/>
          <w:szCs w:val="28"/>
        </w:rPr>
      </w:pPr>
      <w:r>
        <w:rPr>
          <w:b/>
          <w:sz w:val="28"/>
          <w:szCs w:val="28"/>
        </w:rPr>
        <w:lastRenderedPageBreak/>
        <w:t>Enclosure #1</w:t>
      </w:r>
      <w:r w:rsidRPr="00794398">
        <w:rPr>
          <w:b/>
          <w:sz w:val="28"/>
          <w:szCs w:val="28"/>
        </w:rPr>
        <w:t xml:space="preserve"> - Acres Burned on National Forests and Statewide 2001-2015</w:t>
      </w:r>
    </w:p>
    <w:p w:rsidR="00FA4833" w:rsidRDefault="00FA4833" w:rsidP="00FA4833">
      <w:pPr>
        <w:rPr>
          <w:b/>
          <w:sz w:val="28"/>
          <w:szCs w:val="28"/>
        </w:rPr>
      </w:pPr>
    </w:p>
    <w:p w:rsidR="00FA4833" w:rsidRDefault="00FA4833" w:rsidP="00FA4833">
      <w:pPr>
        <w:rPr>
          <w:b/>
          <w:sz w:val="28"/>
          <w:szCs w:val="28"/>
        </w:rPr>
      </w:pPr>
    </w:p>
    <w:p w:rsidR="00FA4833" w:rsidRDefault="00FA4833" w:rsidP="00FA4833">
      <w:pPr>
        <w:rPr>
          <w:b/>
          <w:sz w:val="28"/>
          <w:szCs w:val="28"/>
        </w:rPr>
      </w:pPr>
    </w:p>
    <w:p w:rsidR="00FA4833" w:rsidRPr="00794398" w:rsidRDefault="00FA4833" w:rsidP="00FA4833">
      <w:pPr>
        <w:rPr>
          <w:b/>
          <w:sz w:val="28"/>
          <w:szCs w:val="28"/>
        </w:rPr>
      </w:pPr>
    </w:p>
    <w:tbl>
      <w:tblPr>
        <w:tblW w:w="0" w:type="auto"/>
        <w:tblInd w:w="-35" w:type="dxa"/>
        <w:tblLayout w:type="fixed"/>
        <w:tblCellMar>
          <w:left w:w="30" w:type="dxa"/>
          <w:right w:w="30" w:type="dxa"/>
        </w:tblCellMar>
        <w:tblLook w:val="0000" w:firstRow="0" w:lastRow="0" w:firstColumn="0" w:lastColumn="0" w:noHBand="0" w:noVBand="0"/>
      </w:tblPr>
      <w:tblGrid>
        <w:gridCol w:w="1032"/>
        <w:gridCol w:w="2950"/>
        <w:gridCol w:w="2013"/>
        <w:gridCol w:w="3175"/>
      </w:tblGrid>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rPr>
                <w:rFonts w:cs="Calibri"/>
                <w:b/>
                <w:color w:val="000000"/>
                <w:sz w:val="28"/>
                <w:szCs w:val="28"/>
              </w:rPr>
            </w:pPr>
            <w:r w:rsidRPr="00794398">
              <w:rPr>
                <w:rFonts w:cs="Calibri"/>
                <w:b/>
                <w:color w:val="000000"/>
                <w:sz w:val="28"/>
                <w:szCs w:val="28"/>
              </w:rPr>
              <w:t>Year</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rPr>
                <w:rFonts w:cs="Calibri"/>
                <w:b/>
                <w:color w:val="000000"/>
                <w:sz w:val="28"/>
                <w:szCs w:val="28"/>
              </w:rPr>
            </w:pPr>
            <w:r w:rsidRPr="00794398">
              <w:rPr>
                <w:rFonts w:cs="Calibri"/>
                <w:b/>
                <w:color w:val="000000"/>
                <w:sz w:val="28"/>
                <w:szCs w:val="28"/>
              </w:rPr>
              <w:t>Forest Service Acres Burned</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rPr>
                <w:rFonts w:cs="Calibri"/>
                <w:b/>
                <w:color w:val="000000"/>
                <w:sz w:val="28"/>
                <w:szCs w:val="28"/>
              </w:rPr>
            </w:pPr>
            <w:r w:rsidRPr="00794398">
              <w:rPr>
                <w:rFonts w:cs="Calibri"/>
                <w:b/>
                <w:color w:val="000000"/>
                <w:sz w:val="28"/>
                <w:szCs w:val="28"/>
              </w:rPr>
              <w:t>Total Acres Burned</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rPr>
                <w:rFonts w:cs="Calibri"/>
                <w:b/>
                <w:color w:val="000000"/>
                <w:sz w:val="28"/>
                <w:szCs w:val="28"/>
              </w:rPr>
            </w:pPr>
            <w:r w:rsidRPr="00794398">
              <w:rPr>
                <w:rFonts w:cs="Calibri"/>
                <w:b/>
                <w:color w:val="000000"/>
                <w:sz w:val="28"/>
                <w:szCs w:val="28"/>
              </w:rPr>
              <w:t>Estimated Total CO₂ equivalent Emissions</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b/>
                <w:color w:val="000000"/>
                <w:sz w:val="28"/>
                <w:szCs w:val="28"/>
              </w:rPr>
            </w:pP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b/>
                <w:color w:val="000000"/>
                <w:sz w:val="28"/>
                <w:szCs w:val="28"/>
              </w:rPr>
            </w:pP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b/>
                <w:color w:val="000000"/>
                <w:sz w:val="28"/>
                <w:szCs w:val="28"/>
              </w:rPr>
            </w:pP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rPr>
                <w:rFonts w:cs="Calibri"/>
                <w:b/>
                <w:color w:val="000000"/>
                <w:sz w:val="28"/>
                <w:szCs w:val="28"/>
              </w:rPr>
            </w:pPr>
            <w:r w:rsidRPr="00794398">
              <w:rPr>
                <w:rFonts w:cs="Calibri"/>
                <w:b/>
                <w:color w:val="000000"/>
                <w:sz w:val="28"/>
                <w:szCs w:val="28"/>
              </w:rPr>
              <w:t>(@37 tons/burned Acre)</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2001</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106,798</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329,126</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12,177,662</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2002</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365,945</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506,696</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18,747,752</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2003</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363,964</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793,402</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29,355,874</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2004</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49,437</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242,057</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8,956,109</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2005</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19,583</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202,754</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7,501,898</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2006</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453,500</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678,919</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25,120,003</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2007</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551,932</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1,087,110</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40,223,070</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2008</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919,716</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1,375,781</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50,903,897</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2009</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305,371</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405,585</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15,006,645</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2010</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39,288</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109,529</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4,052,573</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2011</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41,777</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126,854</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4,693,598</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2012</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297,212</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869,599</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32,175,163</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2013</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350,642</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577,675</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21,373,975</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2014</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400,005</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530,794</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19,639,378</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2015</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537,446</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893,362</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33,054,394</w:t>
            </w: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p>
        </w:tc>
      </w:tr>
      <w:tr w:rsidR="00FA4833" w:rsidRPr="00794398" w:rsidTr="00BD334E">
        <w:trPr>
          <w:trHeight w:val="290"/>
        </w:trPr>
        <w:tc>
          <w:tcPr>
            <w:tcW w:w="1032"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rPr>
                <w:rFonts w:cs="Calibri"/>
                <w:color w:val="000000"/>
                <w:sz w:val="28"/>
                <w:szCs w:val="28"/>
              </w:rPr>
            </w:pPr>
            <w:r w:rsidRPr="00794398">
              <w:rPr>
                <w:rFonts w:cs="Calibri"/>
                <w:color w:val="000000"/>
                <w:sz w:val="28"/>
                <w:szCs w:val="28"/>
              </w:rPr>
              <w:t>Average</w:t>
            </w:r>
          </w:p>
        </w:tc>
        <w:tc>
          <w:tcPr>
            <w:tcW w:w="2950"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320,174</w:t>
            </w:r>
          </w:p>
        </w:tc>
        <w:tc>
          <w:tcPr>
            <w:tcW w:w="2013"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581,950</w:t>
            </w:r>
          </w:p>
        </w:tc>
        <w:tc>
          <w:tcPr>
            <w:tcW w:w="3175" w:type="dxa"/>
            <w:tcBorders>
              <w:top w:val="single" w:sz="4" w:space="0" w:color="auto"/>
              <w:left w:val="single" w:sz="4" w:space="0" w:color="auto"/>
              <w:bottom w:val="single" w:sz="4" w:space="0" w:color="auto"/>
              <w:right w:val="single" w:sz="4" w:space="0" w:color="auto"/>
            </w:tcBorders>
          </w:tcPr>
          <w:p w:rsidR="00FA4833" w:rsidRPr="00794398" w:rsidRDefault="00FA4833" w:rsidP="00BD334E">
            <w:pPr>
              <w:autoSpaceDE w:val="0"/>
              <w:autoSpaceDN w:val="0"/>
              <w:adjustRightInd w:val="0"/>
              <w:jc w:val="right"/>
              <w:rPr>
                <w:rFonts w:cs="Calibri"/>
                <w:color w:val="000000"/>
                <w:sz w:val="28"/>
                <w:szCs w:val="28"/>
              </w:rPr>
            </w:pPr>
            <w:r w:rsidRPr="00794398">
              <w:rPr>
                <w:rFonts w:cs="Calibri"/>
                <w:color w:val="000000"/>
                <w:sz w:val="28"/>
                <w:szCs w:val="28"/>
              </w:rPr>
              <w:t>21,532,133</w:t>
            </w:r>
          </w:p>
        </w:tc>
      </w:tr>
      <w:tr w:rsidR="00FA4833" w:rsidRPr="001E4E76" w:rsidTr="00BD334E">
        <w:trPr>
          <w:trHeight w:val="290"/>
        </w:trPr>
        <w:tc>
          <w:tcPr>
            <w:tcW w:w="1032" w:type="dxa"/>
            <w:tcBorders>
              <w:top w:val="single" w:sz="4" w:space="0" w:color="auto"/>
              <w:left w:val="nil"/>
              <w:bottom w:val="nil"/>
              <w:right w:val="nil"/>
            </w:tcBorders>
          </w:tcPr>
          <w:p w:rsidR="00FA4833" w:rsidRPr="001E4E76" w:rsidRDefault="00FA4833" w:rsidP="00BD334E">
            <w:pPr>
              <w:autoSpaceDE w:val="0"/>
              <w:autoSpaceDN w:val="0"/>
              <w:adjustRightInd w:val="0"/>
              <w:jc w:val="right"/>
              <w:rPr>
                <w:rFonts w:ascii="Cambria" w:hAnsi="Cambria" w:cs="Calibri"/>
                <w:color w:val="000000"/>
              </w:rPr>
            </w:pPr>
          </w:p>
        </w:tc>
        <w:tc>
          <w:tcPr>
            <w:tcW w:w="2950" w:type="dxa"/>
            <w:tcBorders>
              <w:top w:val="single" w:sz="4" w:space="0" w:color="auto"/>
              <w:left w:val="nil"/>
              <w:bottom w:val="nil"/>
              <w:right w:val="nil"/>
            </w:tcBorders>
          </w:tcPr>
          <w:p w:rsidR="00FA4833" w:rsidRPr="001E4E76" w:rsidRDefault="00FA4833" w:rsidP="00BD334E">
            <w:pPr>
              <w:autoSpaceDE w:val="0"/>
              <w:autoSpaceDN w:val="0"/>
              <w:adjustRightInd w:val="0"/>
              <w:jc w:val="right"/>
              <w:rPr>
                <w:rFonts w:ascii="Cambria" w:hAnsi="Cambria" w:cs="Calibri"/>
                <w:color w:val="000000"/>
              </w:rPr>
            </w:pPr>
          </w:p>
        </w:tc>
        <w:tc>
          <w:tcPr>
            <w:tcW w:w="2013" w:type="dxa"/>
            <w:tcBorders>
              <w:top w:val="single" w:sz="4" w:space="0" w:color="auto"/>
              <w:left w:val="nil"/>
              <w:bottom w:val="nil"/>
              <w:right w:val="nil"/>
            </w:tcBorders>
          </w:tcPr>
          <w:p w:rsidR="00FA4833" w:rsidRPr="001E4E76" w:rsidRDefault="00FA4833" w:rsidP="00BD334E">
            <w:pPr>
              <w:autoSpaceDE w:val="0"/>
              <w:autoSpaceDN w:val="0"/>
              <w:adjustRightInd w:val="0"/>
              <w:jc w:val="right"/>
              <w:rPr>
                <w:rFonts w:ascii="Cambria" w:hAnsi="Cambria" w:cs="Calibri"/>
                <w:color w:val="000000"/>
              </w:rPr>
            </w:pPr>
          </w:p>
        </w:tc>
        <w:tc>
          <w:tcPr>
            <w:tcW w:w="3175" w:type="dxa"/>
            <w:tcBorders>
              <w:top w:val="single" w:sz="4" w:space="0" w:color="auto"/>
              <w:left w:val="nil"/>
              <w:bottom w:val="nil"/>
              <w:right w:val="nil"/>
            </w:tcBorders>
          </w:tcPr>
          <w:p w:rsidR="00FA4833" w:rsidRPr="001E4E76" w:rsidRDefault="00FA4833" w:rsidP="00BD334E">
            <w:pPr>
              <w:autoSpaceDE w:val="0"/>
              <w:autoSpaceDN w:val="0"/>
              <w:adjustRightInd w:val="0"/>
              <w:jc w:val="right"/>
              <w:rPr>
                <w:rFonts w:ascii="Cambria" w:hAnsi="Cambria" w:cs="Calibri"/>
                <w:color w:val="000000"/>
              </w:rPr>
            </w:pPr>
          </w:p>
        </w:tc>
      </w:tr>
      <w:tr w:rsidR="00FA4833" w:rsidRPr="00794398" w:rsidTr="00BD334E">
        <w:trPr>
          <w:trHeight w:val="290"/>
        </w:trPr>
        <w:tc>
          <w:tcPr>
            <w:tcW w:w="1032" w:type="dxa"/>
            <w:tcBorders>
              <w:top w:val="nil"/>
              <w:left w:val="nil"/>
              <w:bottom w:val="nil"/>
              <w:right w:val="nil"/>
            </w:tcBorders>
          </w:tcPr>
          <w:p w:rsidR="00FA4833" w:rsidRPr="00794398" w:rsidRDefault="00FA4833" w:rsidP="00BD334E">
            <w:pPr>
              <w:autoSpaceDE w:val="0"/>
              <w:autoSpaceDN w:val="0"/>
              <w:adjustRightInd w:val="0"/>
              <w:jc w:val="right"/>
              <w:rPr>
                <w:rFonts w:cs="Calibri"/>
                <w:color w:val="000000"/>
                <w:sz w:val="28"/>
                <w:szCs w:val="28"/>
              </w:rPr>
            </w:pPr>
          </w:p>
        </w:tc>
        <w:tc>
          <w:tcPr>
            <w:tcW w:w="2950" w:type="dxa"/>
            <w:tcBorders>
              <w:top w:val="nil"/>
              <w:left w:val="nil"/>
              <w:bottom w:val="nil"/>
              <w:right w:val="nil"/>
            </w:tcBorders>
          </w:tcPr>
          <w:p w:rsidR="00FA4833" w:rsidRPr="00794398" w:rsidRDefault="00FA4833" w:rsidP="00BD334E">
            <w:pPr>
              <w:autoSpaceDE w:val="0"/>
              <w:autoSpaceDN w:val="0"/>
              <w:adjustRightInd w:val="0"/>
              <w:jc w:val="right"/>
              <w:rPr>
                <w:rFonts w:cs="Calibri"/>
                <w:color w:val="000000"/>
                <w:sz w:val="28"/>
                <w:szCs w:val="28"/>
              </w:rPr>
            </w:pPr>
          </w:p>
        </w:tc>
        <w:tc>
          <w:tcPr>
            <w:tcW w:w="2013" w:type="dxa"/>
            <w:tcBorders>
              <w:top w:val="nil"/>
              <w:left w:val="nil"/>
              <w:bottom w:val="nil"/>
              <w:right w:val="nil"/>
            </w:tcBorders>
          </w:tcPr>
          <w:p w:rsidR="00FA4833" w:rsidRPr="00794398" w:rsidRDefault="00FA4833" w:rsidP="00BD334E">
            <w:pPr>
              <w:autoSpaceDE w:val="0"/>
              <w:autoSpaceDN w:val="0"/>
              <w:adjustRightInd w:val="0"/>
              <w:jc w:val="right"/>
              <w:rPr>
                <w:rFonts w:cs="Calibri"/>
                <w:color w:val="000000"/>
                <w:sz w:val="28"/>
                <w:szCs w:val="28"/>
              </w:rPr>
            </w:pPr>
          </w:p>
        </w:tc>
        <w:tc>
          <w:tcPr>
            <w:tcW w:w="3175" w:type="dxa"/>
            <w:tcBorders>
              <w:top w:val="nil"/>
              <w:left w:val="nil"/>
              <w:bottom w:val="nil"/>
              <w:right w:val="nil"/>
            </w:tcBorders>
          </w:tcPr>
          <w:p w:rsidR="00FA4833" w:rsidRPr="00794398" w:rsidRDefault="00FA4833" w:rsidP="00BD334E">
            <w:pPr>
              <w:autoSpaceDE w:val="0"/>
              <w:autoSpaceDN w:val="0"/>
              <w:adjustRightInd w:val="0"/>
              <w:jc w:val="right"/>
              <w:rPr>
                <w:rFonts w:cs="Calibri"/>
                <w:color w:val="000000"/>
                <w:sz w:val="28"/>
                <w:szCs w:val="28"/>
              </w:rPr>
            </w:pPr>
          </w:p>
        </w:tc>
      </w:tr>
    </w:tbl>
    <w:p w:rsidR="00FA4833" w:rsidRPr="00794398" w:rsidRDefault="00FA4833" w:rsidP="00FA4833">
      <w:pPr>
        <w:rPr>
          <w:sz w:val="28"/>
          <w:szCs w:val="28"/>
        </w:rPr>
      </w:pPr>
      <w:r w:rsidRPr="00794398">
        <w:rPr>
          <w:sz w:val="28"/>
          <w:szCs w:val="28"/>
        </w:rPr>
        <w:t>Source: National Interagency Fire Center, Fire Information, Historical Year-End Fire Statistics by State</w:t>
      </w:r>
    </w:p>
    <w:p w:rsidR="00FA4833" w:rsidRPr="00794398" w:rsidRDefault="00873B67" w:rsidP="00FA4833">
      <w:pPr>
        <w:rPr>
          <w:sz w:val="28"/>
          <w:szCs w:val="28"/>
        </w:rPr>
      </w:pPr>
      <w:hyperlink r:id="rId11" w:history="1">
        <w:r w:rsidR="00FA4833" w:rsidRPr="00794398">
          <w:rPr>
            <w:rStyle w:val="Hyperlink"/>
            <w:sz w:val="28"/>
            <w:szCs w:val="28"/>
          </w:rPr>
          <w:t>http://www.predictiveservices.nifc.gov/intelligence/2015_Statssumm/fires_acres15.pdf</w:t>
        </w:r>
      </w:hyperlink>
      <w:r w:rsidR="00FA4833" w:rsidRPr="00794398">
        <w:rPr>
          <w:sz w:val="28"/>
          <w:szCs w:val="28"/>
        </w:rPr>
        <w:t xml:space="preserve"> </w:t>
      </w:r>
    </w:p>
    <w:p w:rsidR="00FA4833" w:rsidRDefault="00FA4833" w:rsidP="00FA4833">
      <w:pPr>
        <w:rPr>
          <w:rFonts w:ascii="Cambria" w:hAnsi="Cambria"/>
        </w:rPr>
      </w:pPr>
    </w:p>
    <w:p w:rsidR="00FA4833" w:rsidRDefault="00FA4833" w:rsidP="00FA4833">
      <w:pPr>
        <w:rPr>
          <w:b/>
          <w:sz w:val="28"/>
          <w:szCs w:val="28"/>
        </w:rPr>
      </w:pPr>
      <w:r w:rsidRPr="00794398">
        <w:rPr>
          <w:b/>
          <w:sz w:val="28"/>
          <w:szCs w:val="28"/>
        </w:rPr>
        <w:t>Enclosure #2 –</w:t>
      </w:r>
      <w:r>
        <w:rPr>
          <w:b/>
          <w:sz w:val="28"/>
          <w:szCs w:val="28"/>
        </w:rPr>
        <w:t xml:space="preserve"> Forest Service, California Region, Reforestation Needs and Accomplishments 1985-2015</w:t>
      </w:r>
    </w:p>
    <w:p w:rsidR="00FA4833" w:rsidRDefault="00FA4833" w:rsidP="00FA4833">
      <w:pPr>
        <w:rPr>
          <w:b/>
          <w:sz w:val="28"/>
          <w:szCs w:val="28"/>
        </w:rPr>
      </w:pPr>
    </w:p>
    <w:p w:rsidR="00FA4833" w:rsidRDefault="00FA4833" w:rsidP="00FA4833">
      <w:pPr>
        <w:rPr>
          <w:b/>
          <w:sz w:val="28"/>
          <w:szCs w:val="28"/>
        </w:rPr>
      </w:pPr>
      <w:r>
        <w:rPr>
          <w:noProof/>
        </w:rPr>
        <w:drawing>
          <wp:inline distT="0" distB="0" distL="0" distR="0" wp14:anchorId="0F2946F0" wp14:editId="3D9323D4">
            <wp:extent cx="6477000" cy="37052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7823" w:rsidRDefault="00FA4833" w:rsidP="00FA4833">
      <w:pPr>
        <w:rPr>
          <w:sz w:val="28"/>
          <w:szCs w:val="28"/>
        </w:rPr>
      </w:pPr>
      <w:r>
        <w:rPr>
          <w:sz w:val="28"/>
          <w:szCs w:val="28"/>
        </w:rPr>
        <w:t>Source: Forest Service, California Region “FACTS” database</w:t>
      </w:r>
    </w:p>
    <w:p w:rsidR="00FA4833" w:rsidRDefault="00FA4833">
      <w:pPr>
        <w:rPr>
          <w:sz w:val="28"/>
          <w:szCs w:val="28"/>
        </w:rPr>
      </w:pPr>
      <w:r>
        <w:rPr>
          <w:sz w:val="28"/>
          <w:szCs w:val="28"/>
        </w:rPr>
        <w:br w:type="page"/>
      </w:r>
    </w:p>
    <w:p w:rsidR="00FA4833" w:rsidRPr="00794398" w:rsidRDefault="00FA4833" w:rsidP="00FA4833">
      <w:pPr>
        <w:pStyle w:val="ListParagraph"/>
        <w:ind w:left="0"/>
        <w:rPr>
          <w:b/>
          <w:sz w:val="28"/>
          <w:szCs w:val="28"/>
        </w:rPr>
      </w:pPr>
      <w:r w:rsidRPr="00794398">
        <w:rPr>
          <w:b/>
          <w:sz w:val="28"/>
          <w:szCs w:val="28"/>
        </w:rPr>
        <w:lastRenderedPageBreak/>
        <w:t>Enclosure #3 – Report on Insect and Disease Damage on the Sierra National Forest (October 2015)</w:t>
      </w:r>
    </w:p>
    <w:p w:rsidR="00FA4833" w:rsidRDefault="00FA4833" w:rsidP="00FA4833">
      <w:pPr>
        <w:rPr>
          <w:rFonts w:ascii="Cambria" w:hAnsi="Cambria"/>
          <w:b/>
        </w:rPr>
      </w:pPr>
      <w:r w:rsidRPr="001D75B6">
        <w:rPr>
          <w:rFonts w:ascii="Cambria" w:hAnsi="Cambria"/>
          <w:b/>
          <w:noProof/>
        </w:rPr>
        <w:drawing>
          <wp:inline distT="0" distB="0" distL="0" distR="0" wp14:anchorId="3FD5AB01" wp14:editId="030E0B0D">
            <wp:extent cx="6269355" cy="525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2830" cy="5260714"/>
                    </a:xfrm>
                    <a:prstGeom prst="rect">
                      <a:avLst/>
                    </a:prstGeom>
                    <a:noFill/>
                    <a:ln>
                      <a:noFill/>
                    </a:ln>
                  </pic:spPr>
                </pic:pic>
              </a:graphicData>
            </a:graphic>
          </wp:inline>
        </w:drawing>
      </w:r>
    </w:p>
    <w:p w:rsidR="00FA4833" w:rsidRDefault="00FA4833" w:rsidP="00FA4833">
      <w:pPr>
        <w:rPr>
          <w:rFonts w:ascii="Cambria" w:hAnsi="Cambria"/>
          <w:b/>
        </w:rPr>
      </w:pPr>
      <w:r w:rsidRPr="00715B05">
        <w:rPr>
          <w:rFonts w:ascii="Cambria" w:hAnsi="Cambria"/>
          <w:b/>
          <w:noProof/>
        </w:rPr>
        <w:lastRenderedPageBreak/>
        <w:drawing>
          <wp:inline distT="0" distB="0" distL="0" distR="0" wp14:anchorId="4CCAA25A" wp14:editId="14C32C1E">
            <wp:extent cx="6282055" cy="673417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801" cy="6739263"/>
                    </a:xfrm>
                    <a:prstGeom prst="rect">
                      <a:avLst/>
                    </a:prstGeom>
                    <a:noFill/>
                    <a:ln>
                      <a:noFill/>
                    </a:ln>
                  </pic:spPr>
                </pic:pic>
              </a:graphicData>
            </a:graphic>
          </wp:inline>
        </w:drawing>
      </w:r>
    </w:p>
    <w:p w:rsidR="00FA4833" w:rsidRDefault="00FA4833" w:rsidP="00FA4833">
      <w:pPr>
        <w:rPr>
          <w:rFonts w:ascii="Cambria" w:hAnsi="Cambria"/>
          <w:b/>
        </w:rPr>
      </w:pPr>
    </w:p>
    <w:p w:rsidR="00FA4833" w:rsidRDefault="00FA4833" w:rsidP="00FA4833">
      <w:pPr>
        <w:rPr>
          <w:rFonts w:ascii="Cambria" w:hAnsi="Cambria"/>
          <w:b/>
        </w:rPr>
      </w:pPr>
      <w:r w:rsidRPr="00715B05">
        <w:rPr>
          <w:rFonts w:ascii="Cambria" w:hAnsi="Cambria"/>
          <w:b/>
          <w:noProof/>
        </w:rPr>
        <w:lastRenderedPageBreak/>
        <w:drawing>
          <wp:inline distT="0" distB="0" distL="0" distR="0" wp14:anchorId="1E804814" wp14:editId="3A59DE30">
            <wp:extent cx="6444615" cy="6216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3669" cy="6225529"/>
                    </a:xfrm>
                    <a:prstGeom prst="rect">
                      <a:avLst/>
                    </a:prstGeom>
                    <a:noFill/>
                    <a:ln>
                      <a:noFill/>
                    </a:ln>
                  </pic:spPr>
                </pic:pic>
              </a:graphicData>
            </a:graphic>
          </wp:inline>
        </w:drawing>
      </w:r>
    </w:p>
    <w:p w:rsidR="00FA4833" w:rsidRDefault="00FA4833" w:rsidP="00FA4833">
      <w:pPr>
        <w:rPr>
          <w:rFonts w:ascii="Cambria" w:hAnsi="Cambria"/>
          <w:b/>
        </w:rPr>
      </w:pPr>
      <w:r w:rsidRPr="00715B05">
        <w:rPr>
          <w:rFonts w:ascii="Cambria" w:hAnsi="Cambria"/>
          <w:b/>
          <w:noProof/>
        </w:rPr>
        <w:lastRenderedPageBreak/>
        <w:drawing>
          <wp:inline distT="0" distB="0" distL="0" distR="0" wp14:anchorId="24ADB6C0" wp14:editId="37489906">
            <wp:extent cx="6371590" cy="540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5400" cy="5403904"/>
                    </a:xfrm>
                    <a:prstGeom prst="rect">
                      <a:avLst/>
                    </a:prstGeom>
                    <a:noFill/>
                    <a:ln>
                      <a:noFill/>
                    </a:ln>
                  </pic:spPr>
                </pic:pic>
              </a:graphicData>
            </a:graphic>
          </wp:inline>
        </w:drawing>
      </w:r>
    </w:p>
    <w:p w:rsidR="00FA4833" w:rsidRDefault="00FA4833" w:rsidP="00FA4833">
      <w:pPr>
        <w:rPr>
          <w:rFonts w:ascii="Cambria" w:hAnsi="Cambria"/>
          <w:b/>
        </w:rPr>
      </w:pPr>
    </w:p>
    <w:p w:rsidR="00FA4833" w:rsidRDefault="00FA4833" w:rsidP="00FA4833">
      <w:pPr>
        <w:rPr>
          <w:rFonts w:ascii="Cambria" w:hAnsi="Cambria"/>
          <w:b/>
        </w:rPr>
      </w:pPr>
      <w:r w:rsidRPr="00715B05">
        <w:rPr>
          <w:rFonts w:ascii="Cambria" w:hAnsi="Cambria"/>
          <w:b/>
          <w:noProof/>
        </w:rPr>
        <w:lastRenderedPageBreak/>
        <w:drawing>
          <wp:inline distT="0" distB="0" distL="0" distR="0" wp14:anchorId="77235AA3" wp14:editId="225908CA">
            <wp:extent cx="6409977" cy="4791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2151" cy="4792700"/>
                    </a:xfrm>
                    <a:prstGeom prst="rect">
                      <a:avLst/>
                    </a:prstGeom>
                    <a:noFill/>
                    <a:ln>
                      <a:noFill/>
                    </a:ln>
                  </pic:spPr>
                </pic:pic>
              </a:graphicData>
            </a:graphic>
          </wp:inline>
        </w:drawing>
      </w:r>
    </w:p>
    <w:p w:rsidR="00FA4833" w:rsidRDefault="00FA4833" w:rsidP="00FA4833">
      <w:pPr>
        <w:rPr>
          <w:rFonts w:ascii="Cambria" w:hAnsi="Cambria"/>
          <w:b/>
        </w:rPr>
      </w:pPr>
      <w:r w:rsidRPr="00715B05">
        <w:rPr>
          <w:rFonts w:ascii="Cambria" w:hAnsi="Cambria"/>
          <w:b/>
          <w:noProof/>
        </w:rPr>
        <w:lastRenderedPageBreak/>
        <w:drawing>
          <wp:inline distT="0" distB="0" distL="0" distR="0" wp14:anchorId="4CB304AC" wp14:editId="0AC72BC8">
            <wp:extent cx="6346259" cy="474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9449" cy="4745834"/>
                    </a:xfrm>
                    <a:prstGeom prst="rect">
                      <a:avLst/>
                    </a:prstGeom>
                    <a:noFill/>
                    <a:ln>
                      <a:noFill/>
                    </a:ln>
                  </pic:spPr>
                </pic:pic>
              </a:graphicData>
            </a:graphic>
          </wp:inline>
        </w:drawing>
      </w:r>
    </w:p>
    <w:p w:rsidR="00FA4833" w:rsidRDefault="00FA4833" w:rsidP="00FA4833">
      <w:pPr>
        <w:rPr>
          <w:rFonts w:ascii="Cambria" w:hAnsi="Cambria"/>
          <w:b/>
        </w:rPr>
      </w:pPr>
      <w:r w:rsidRPr="00715B05">
        <w:rPr>
          <w:rFonts w:ascii="Cambria" w:hAnsi="Cambria"/>
          <w:b/>
          <w:noProof/>
        </w:rPr>
        <w:lastRenderedPageBreak/>
        <w:drawing>
          <wp:inline distT="0" distB="0" distL="0" distR="0" wp14:anchorId="15E73D59" wp14:editId="632940D1">
            <wp:extent cx="6231568" cy="465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4834" cy="4660166"/>
                    </a:xfrm>
                    <a:prstGeom prst="rect">
                      <a:avLst/>
                    </a:prstGeom>
                    <a:noFill/>
                    <a:ln>
                      <a:noFill/>
                    </a:ln>
                  </pic:spPr>
                </pic:pic>
              </a:graphicData>
            </a:graphic>
          </wp:inline>
        </w:drawing>
      </w:r>
    </w:p>
    <w:p w:rsidR="00FA4833" w:rsidRDefault="00FA4833" w:rsidP="00FA4833">
      <w:pPr>
        <w:rPr>
          <w:rFonts w:ascii="Cambria" w:hAnsi="Cambria"/>
          <w:b/>
        </w:rPr>
      </w:pPr>
      <w:r w:rsidRPr="00715B05">
        <w:rPr>
          <w:rFonts w:ascii="Cambria" w:hAnsi="Cambria"/>
          <w:b/>
          <w:noProof/>
        </w:rPr>
        <w:lastRenderedPageBreak/>
        <w:drawing>
          <wp:inline distT="0" distB="0" distL="0" distR="0" wp14:anchorId="40A888B0" wp14:editId="1C909DF5">
            <wp:extent cx="6371746" cy="476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4118" cy="4764273"/>
                    </a:xfrm>
                    <a:prstGeom prst="rect">
                      <a:avLst/>
                    </a:prstGeom>
                    <a:noFill/>
                    <a:ln>
                      <a:noFill/>
                    </a:ln>
                  </pic:spPr>
                </pic:pic>
              </a:graphicData>
            </a:graphic>
          </wp:inline>
        </w:drawing>
      </w:r>
    </w:p>
    <w:p w:rsidR="00FA4833" w:rsidRDefault="00FA4833" w:rsidP="00FA4833">
      <w:pPr>
        <w:rPr>
          <w:rFonts w:ascii="Cambria" w:hAnsi="Cambria"/>
          <w:b/>
        </w:rPr>
      </w:pPr>
      <w:r w:rsidRPr="00715B05">
        <w:rPr>
          <w:rFonts w:ascii="Cambria" w:hAnsi="Cambria"/>
          <w:b/>
          <w:noProof/>
        </w:rPr>
        <w:lastRenderedPageBreak/>
        <w:drawing>
          <wp:inline distT="0" distB="0" distL="0" distR="0" wp14:anchorId="7308878F" wp14:editId="294564B3">
            <wp:extent cx="6257055" cy="467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0147" cy="4679086"/>
                    </a:xfrm>
                    <a:prstGeom prst="rect">
                      <a:avLst/>
                    </a:prstGeom>
                    <a:noFill/>
                    <a:ln>
                      <a:noFill/>
                    </a:ln>
                  </pic:spPr>
                </pic:pic>
              </a:graphicData>
            </a:graphic>
          </wp:inline>
        </w:drawing>
      </w:r>
    </w:p>
    <w:p w:rsidR="00FA4833" w:rsidRDefault="00FA4833" w:rsidP="00FA4833">
      <w:pPr>
        <w:rPr>
          <w:rFonts w:ascii="Cambria" w:hAnsi="Cambria"/>
          <w:b/>
        </w:rPr>
      </w:pPr>
      <w:r w:rsidRPr="00715B05">
        <w:rPr>
          <w:rFonts w:ascii="Cambria" w:hAnsi="Cambria"/>
          <w:b/>
          <w:noProof/>
        </w:rPr>
        <w:lastRenderedPageBreak/>
        <w:drawing>
          <wp:inline distT="0" distB="0" distL="0" distR="0" wp14:anchorId="6634E24B" wp14:editId="15DA4B17">
            <wp:extent cx="6473694" cy="48387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474" cy="4840031"/>
                    </a:xfrm>
                    <a:prstGeom prst="rect">
                      <a:avLst/>
                    </a:prstGeom>
                    <a:noFill/>
                    <a:ln>
                      <a:noFill/>
                    </a:ln>
                  </pic:spPr>
                </pic:pic>
              </a:graphicData>
            </a:graphic>
          </wp:inline>
        </w:drawing>
      </w:r>
    </w:p>
    <w:p w:rsidR="00FA4833" w:rsidRDefault="00FA4833" w:rsidP="00FA4833">
      <w:pPr>
        <w:rPr>
          <w:rFonts w:ascii="Cambria" w:hAnsi="Cambria"/>
          <w:b/>
        </w:rPr>
      </w:pPr>
    </w:p>
    <w:p w:rsidR="00FA4833" w:rsidRDefault="00FA4833" w:rsidP="00FA4833">
      <w:pPr>
        <w:rPr>
          <w:rFonts w:ascii="Cambria" w:hAnsi="Cambria"/>
          <w:b/>
        </w:rPr>
      </w:pPr>
      <w:r>
        <w:rPr>
          <w:rFonts w:ascii="Cambria" w:hAnsi="Cambria"/>
          <w:b/>
        </w:rPr>
        <w:br w:type="page"/>
      </w:r>
    </w:p>
    <w:p w:rsidR="00FA4833" w:rsidRDefault="00FA4833" w:rsidP="00FA4833">
      <w:pPr>
        <w:rPr>
          <w:rFonts w:ascii="Cambria" w:hAnsi="Cambria"/>
          <w:b/>
        </w:rPr>
      </w:pPr>
    </w:p>
    <w:p w:rsidR="00FA4833" w:rsidRDefault="00FA4833" w:rsidP="00FA4833">
      <w:pPr>
        <w:rPr>
          <w:rFonts w:ascii="Cambria" w:hAnsi="Cambria"/>
          <w:b/>
        </w:rPr>
      </w:pPr>
    </w:p>
    <w:p w:rsidR="00FA4833" w:rsidRDefault="00FA4833" w:rsidP="00FA4833">
      <w:pPr>
        <w:rPr>
          <w:rFonts w:ascii="Cambria" w:hAnsi="Cambria"/>
          <w:b/>
        </w:rPr>
      </w:pPr>
    </w:p>
    <w:p w:rsidR="00FA4833" w:rsidRPr="00FA4833" w:rsidRDefault="00FA4833" w:rsidP="00FA4833">
      <w:pPr>
        <w:rPr>
          <w:rFonts w:ascii="Cambria" w:hAnsi="Cambria"/>
          <w:b/>
        </w:rPr>
      </w:pPr>
    </w:p>
    <w:p w:rsidR="00FA4833" w:rsidRDefault="00FA4833" w:rsidP="00FA4833">
      <w:pPr>
        <w:rPr>
          <w:rFonts w:ascii="Cambria" w:hAnsi="Cambria"/>
          <w:b/>
        </w:rPr>
      </w:pPr>
      <w:r w:rsidRPr="00FA4833">
        <w:rPr>
          <w:rFonts w:ascii="Cambria" w:hAnsi="Cambria"/>
          <w:b/>
        </w:rPr>
        <w:t>Take Home Messages</w:t>
      </w:r>
    </w:p>
    <w:p w:rsidR="00FA4833" w:rsidRPr="00FA4833" w:rsidRDefault="00FA4833" w:rsidP="00FA4833">
      <w:pPr>
        <w:rPr>
          <w:rFonts w:ascii="Cambria" w:hAnsi="Cambria"/>
          <w:b/>
        </w:rPr>
      </w:pPr>
    </w:p>
    <w:p w:rsidR="00FA4833" w:rsidRPr="00FA4833" w:rsidRDefault="00FA4833" w:rsidP="00FA4833">
      <w:pPr>
        <w:pStyle w:val="Default"/>
        <w:rPr>
          <w:rFonts w:ascii="Cambria" w:hAnsi="Cambria"/>
        </w:rPr>
      </w:pPr>
      <w:r w:rsidRPr="00FA4833">
        <w:rPr>
          <w:rFonts w:ascii="Cambria" w:hAnsi="Cambria"/>
        </w:rPr>
        <w:t xml:space="preserve">The Southern Sierras are experiencing an unprecedented insect mortality outbreak - as a result on the average 1/3 of the trees in pine forests or forests with a mix of pine and white fir are dead. </w:t>
      </w:r>
    </w:p>
    <w:p w:rsidR="00FA4833" w:rsidRPr="00FA4833" w:rsidRDefault="00FA4833" w:rsidP="00FA4833">
      <w:pPr>
        <w:pStyle w:val="Default"/>
        <w:rPr>
          <w:rFonts w:ascii="Cambria" w:hAnsi="Cambria"/>
        </w:rPr>
      </w:pPr>
    </w:p>
    <w:p w:rsidR="00FA4833" w:rsidRPr="00FA4833" w:rsidRDefault="00FA4833" w:rsidP="00FA4833">
      <w:pPr>
        <w:pStyle w:val="Default"/>
        <w:rPr>
          <w:rFonts w:ascii="Cambria" w:hAnsi="Cambria"/>
        </w:rPr>
      </w:pPr>
      <w:r w:rsidRPr="00FA4833">
        <w:rPr>
          <w:rFonts w:ascii="Cambria" w:hAnsi="Cambria"/>
        </w:rPr>
        <w:t xml:space="preserve">1/3 of these pine forests or forests with a mix of pine and white fir are in a deforested condition. </w:t>
      </w:r>
    </w:p>
    <w:p w:rsidR="00FA4833" w:rsidRPr="00FA4833" w:rsidRDefault="00FA4833" w:rsidP="00FA4833">
      <w:pPr>
        <w:pStyle w:val="Default"/>
        <w:rPr>
          <w:rFonts w:ascii="Cambria" w:hAnsi="Cambria"/>
        </w:rPr>
      </w:pPr>
    </w:p>
    <w:p w:rsidR="00FA4833" w:rsidRPr="00FA4833" w:rsidRDefault="00FA4833" w:rsidP="00FA4833">
      <w:pPr>
        <w:pStyle w:val="Default"/>
        <w:rPr>
          <w:rFonts w:ascii="Cambria" w:hAnsi="Cambria"/>
        </w:rPr>
      </w:pPr>
      <w:r w:rsidRPr="00FA4833">
        <w:rPr>
          <w:rFonts w:ascii="Cambria" w:hAnsi="Cambria"/>
        </w:rPr>
        <w:t xml:space="preserve">The mortality will continue until drought weakened trees are all dead or several years of above normal rainfall occurs and trees regain vigor. </w:t>
      </w:r>
    </w:p>
    <w:p w:rsidR="00FA4833" w:rsidRPr="00FA4833" w:rsidRDefault="00FA4833" w:rsidP="00FA4833">
      <w:pPr>
        <w:pStyle w:val="Default"/>
        <w:rPr>
          <w:rFonts w:ascii="Cambria" w:hAnsi="Cambria"/>
        </w:rPr>
      </w:pPr>
    </w:p>
    <w:p w:rsidR="00FA4833" w:rsidRPr="00FA4833" w:rsidRDefault="00FA4833" w:rsidP="00FA4833">
      <w:pPr>
        <w:pStyle w:val="Default"/>
        <w:ind w:right="4069"/>
        <w:rPr>
          <w:rFonts w:ascii="Cambria" w:hAnsi="Cambria"/>
        </w:rPr>
      </w:pPr>
      <w:r w:rsidRPr="00FA4833">
        <w:rPr>
          <w:rFonts w:ascii="Cambria" w:hAnsi="Cambria"/>
        </w:rPr>
        <w:t xml:space="preserve">It appears that maintaining dense stands: </w:t>
      </w:r>
    </w:p>
    <w:p w:rsidR="00FA4833" w:rsidRPr="00FA4833" w:rsidRDefault="00FA4833" w:rsidP="00FA4833">
      <w:pPr>
        <w:pStyle w:val="Default"/>
        <w:ind w:right="4069"/>
        <w:rPr>
          <w:rFonts w:ascii="Cambria" w:hAnsi="Cambria"/>
        </w:rPr>
      </w:pPr>
    </w:p>
    <w:p w:rsidR="00FA4833" w:rsidRPr="00FA4833" w:rsidRDefault="00FA4833" w:rsidP="00FA4833">
      <w:pPr>
        <w:pStyle w:val="Default"/>
        <w:numPr>
          <w:ilvl w:val="0"/>
          <w:numId w:val="5"/>
        </w:numPr>
        <w:ind w:right="2748"/>
        <w:rPr>
          <w:rFonts w:ascii="Cambria" w:hAnsi="Cambria"/>
        </w:rPr>
      </w:pPr>
      <w:r w:rsidRPr="00FA4833">
        <w:rPr>
          <w:rFonts w:ascii="Cambria" w:hAnsi="Cambria"/>
        </w:rPr>
        <w:t xml:space="preserve">will not result in increasing large trees, </w:t>
      </w:r>
    </w:p>
    <w:p w:rsidR="00FA4833" w:rsidRPr="00FA4833" w:rsidRDefault="00FA4833" w:rsidP="00FA4833">
      <w:pPr>
        <w:pStyle w:val="Default"/>
        <w:numPr>
          <w:ilvl w:val="0"/>
          <w:numId w:val="5"/>
        </w:numPr>
        <w:rPr>
          <w:rFonts w:ascii="Cambria" w:hAnsi="Cambria"/>
        </w:rPr>
      </w:pPr>
      <w:r w:rsidRPr="00FA4833">
        <w:rPr>
          <w:rFonts w:ascii="Cambria" w:hAnsi="Cambria"/>
        </w:rPr>
        <w:t xml:space="preserve">Will not maintaining pine species, </w:t>
      </w:r>
    </w:p>
    <w:p w:rsidR="00FA4833" w:rsidRPr="00FA4833" w:rsidRDefault="00FA4833" w:rsidP="00FA4833">
      <w:pPr>
        <w:pStyle w:val="Default"/>
        <w:numPr>
          <w:ilvl w:val="0"/>
          <w:numId w:val="5"/>
        </w:numPr>
        <w:rPr>
          <w:rFonts w:ascii="Cambria" w:hAnsi="Cambria"/>
        </w:rPr>
      </w:pPr>
      <w:r w:rsidRPr="00FA4833">
        <w:rPr>
          <w:rFonts w:ascii="Cambria" w:hAnsi="Cambria"/>
        </w:rPr>
        <w:t xml:space="preserve">Will not maintaining owl habitat even without high severity fire. </w:t>
      </w:r>
    </w:p>
    <w:p w:rsidR="00FA4833" w:rsidRPr="00FA4833" w:rsidRDefault="00FA4833" w:rsidP="00FA4833">
      <w:pPr>
        <w:pStyle w:val="Default"/>
        <w:numPr>
          <w:ilvl w:val="0"/>
          <w:numId w:val="5"/>
        </w:numPr>
        <w:rPr>
          <w:rFonts w:ascii="Cambria" w:hAnsi="Cambria"/>
        </w:rPr>
      </w:pPr>
      <w:r w:rsidRPr="00FA4833">
        <w:rPr>
          <w:rFonts w:ascii="Cambria" w:hAnsi="Cambria"/>
        </w:rPr>
        <w:t xml:space="preserve">Insects are killing trees &gt;35” faster than they can be grown. </w:t>
      </w:r>
    </w:p>
    <w:p w:rsidR="00FA4833" w:rsidRPr="00FA4833" w:rsidRDefault="00FA4833" w:rsidP="00FA4833">
      <w:pPr>
        <w:pStyle w:val="ListParagraph"/>
        <w:numPr>
          <w:ilvl w:val="0"/>
          <w:numId w:val="5"/>
        </w:numPr>
        <w:rPr>
          <w:rFonts w:ascii="Cambria" w:hAnsi="Cambria"/>
          <w:b/>
          <w:sz w:val="24"/>
          <w:szCs w:val="24"/>
        </w:rPr>
      </w:pPr>
      <w:r w:rsidRPr="00FA4833">
        <w:rPr>
          <w:rFonts w:ascii="Cambria" w:hAnsi="Cambria"/>
          <w:sz w:val="24"/>
          <w:szCs w:val="24"/>
        </w:rPr>
        <w:t>The combination of high severity fire and insect mortality make the current objectives of maximizing owl/fisher habitat unsustainable.</w:t>
      </w:r>
    </w:p>
    <w:p w:rsidR="00FA4833" w:rsidRPr="00C44910" w:rsidRDefault="00FA4833" w:rsidP="00FA4833">
      <w:pPr>
        <w:rPr>
          <w:rFonts w:ascii="Cambria" w:hAnsi="Cambria"/>
        </w:rPr>
      </w:pPr>
      <w:r>
        <w:rPr>
          <w:rFonts w:ascii="Cambria" w:hAnsi="Cambria"/>
        </w:rPr>
        <w:br w:type="page"/>
      </w:r>
    </w:p>
    <w:p w:rsidR="00FA4833" w:rsidRPr="00794398" w:rsidRDefault="00FA4833" w:rsidP="00FA4833">
      <w:pPr>
        <w:pStyle w:val="ListParagraph"/>
        <w:ind w:left="0"/>
        <w:rPr>
          <w:b/>
          <w:sz w:val="28"/>
          <w:szCs w:val="28"/>
        </w:rPr>
      </w:pPr>
      <w:r w:rsidRPr="00794398">
        <w:rPr>
          <w:b/>
          <w:sz w:val="28"/>
          <w:szCs w:val="28"/>
        </w:rPr>
        <w:lastRenderedPageBreak/>
        <w:t>Enclosure #4 – 98% Reduction in Pollutants from Burning Wood Waste in a Biomass Boiler versus Open Field Pile Burning</w:t>
      </w:r>
    </w:p>
    <w:p w:rsidR="00FA4833" w:rsidRDefault="00FA4833" w:rsidP="00FA4833">
      <w:pPr>
        <w:pStyle w:val="ListParagraph"/>
        <w:ind w:left="0"/>
        <w:rPr>
          <w:rFonts w:ascii="Cambria" w:hAnsi="Cambria"/>
          <w:b/>
          <w:sz w:val="24"/>
          <w:szCs w:val="24"/>
        </w:rPr>
      </w:pPr>
    </w:p>
    <w:p w:rsidR="00FA4833" w:rsidRDefault="00FA4833" w:rsidP="00FA4833">
      <w:pPr>
        <w:pStyle w:val="ListParagraph"/>
        <w:ind w:left="0"/>
        <w:rPr>
          <w:rFonts w:ascii="Cambria" w:hAnsi="Cambria"/>
          <w:b/>
          <w:sz w:val="24"/>
          <w:szCs w:val="24"/>
        </w:rPr>
      </w:pPr>
    </w:p>
    <w:bookmarkStart w:id="0" w:name="_MON_1522931341"/>
    <w:bookmarkEnd w:id="0"/>
    <w:p w:rsidR="00FA4833" w:rsidRDefault="00FA4833" w:rsidP="00FA4833">
      <w:pPr>
        <w:pStyle w:val="ListParagraph"/>
        <w:ind w:left="0"/>
        <w:rPr>
          <w:rFonts w:ascii="Cambria" w:hAnsi="Cambria"/>
          <w:b/>
          <w:sz w:val="24"/>
          <w:szCs w:val="24"/>
        </w:rPr>
      </w:pPr>
      <w:r>
        <w:rPr>
          <w:rFonts w:ascii="Cambria" w:hAnsi="Cambria"/>
          <w:b/>
          <w:sz w:val="24"/>
          <w:szCs w:val="24"/>
        </w:rPr>
        <w:object w:dxaOrig="9586" w:dyaOrig="8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420pt" o:ole="">
            <v:imagedata r:id="rId23" o:title=""/>
          </v:shape>
          <o:OLEObject Type="Embed" ProgID="Word.Document.8" ShapeID="_x0000_i1025" DrawAspect="Content" ObjectID="_1529497277" r:id="rId24">
            <o:FieldCodes>\s</o:FieldCodes>
          </o:OLEObject>
        </w:object>
      </w:r>
    </w:p>
    <w:p w:rsidR="00FA4833" w:rsidRDefault="00FA4833" w:rsidP="00FA4833">
      <w:pPr>
        <w:rPr>
          <w:rFonts w:ascii="Cambria" w:hAnsi="Cambria"/>
          <w:b/>
        </w:rPr>
      </w:pPr>
      <w:r>
        <w:rPr>
          <w:rFonts w:ascii="Cambria" w:hAnsi="Cambria"/>
          <w:b/>
        </w:rPr>
        <w:br w:type="page"/>
      </w:r>
    </w:p>
    <w:p w:rsidR="00FA4833" w:rsidRPr="00794398" w:rsidRDefault="00FA4833" w:rsidP="00FA4833">
      <w:pPr>
        <w:pStyle w:val="ListParagraph"/>
        <w:ind w:left="0"/>
        <w:rPr>
          <w:b/>
          <w:sz w:val="28"/>
          <w:szCs w:val="28"/>
        </w:rPr>
      </w:pPr>
      <w:r w:rsidRPr="00794398">
        <w:rPr>
          <w:b/>
          <w:sz w:val="28"/>
          <w:szCs w:val="28"/>
        </w:rPr>
        <w:lastRenderedPageBreak/>
        <w:t>Enclosure #5 –</w:t>
      </w:r>
      <w:r w:rsidRPr="00FA4833">
        <w:rPr>
          <w:b/>
          <w:sz w:val="24"/>
          <w:szCs w:val="24"/>
        </w:rPr>
        <w:t xml:space="preserve"> California Biomass Powerplant Situation (April 2016)</w:t>
      </w:r>
    </w:p>
    <w:p w:rsidR="00FA4833" w:rsidRPr="00FA4833" w:rsidRDefault="00FA4833" w:rsidP="00FA4833">
      <w:pPr>
        <w:pStyle w:val="ListParagraph"/>
        <w:ind w:left="0"/>
        <w:rPr>
          <w:rFonts w:ascii="Cambria" w:hAnsi="Cambria"/>
          <w:b/>
        </w:rPr>
      </w:pPr>
    </w:p>
    <w:p w:rsidR="00FA4833" w:rsidRPr="00FA4833" w:rsidRDefault="00FA4833" w:rsidP="00FA4833">
      <w:pPr>
        <w:autoSpaceDE w:val="0"/>
        <w:autoSpaceDN w:val="0"/>
        <w:adjustRightInd w:val="0"/>
        <w:rPr>
          <w:rFonts w:cs="MyriadPro-SemiboldSemiCnIt"/>
          <w:iCs/>
        </w:rPr>
      </w:pPr>
      <w:r w:rsidRPr="00FA4833">
        <w:rPr>
          <w:rFonts w:cs="MyriadPro-SemiboldSemiCnIt"/>
          <w:iCs/>
        </w:rPr>
        <w:t>Today, there are 14 biomass powerplants idle due to expired energy price contracts.  They are:</w:t>
      </w:r>
    </w:p>
    <w:p w:rsidR="00FA4833" w:rsidRPr="00FA4833" w:rsidRDefault="00FA4833" w:rsidP="00FA4833">
      <w:pPr>
        <w:autoSpaceDE w:val="0"/>
        <w:autoSpaceDN w:val="0"/>
        <w:adjustRightInd w:val="0"/>
        <w:rPr>
          <w:rFonts w:cs="MyriadPro-SemiboldSemiCnIt"/>
          <w:iCs/>
          <w:sz w:val="22"/>
          <w:szCs w:val="22"/>
        </w:rPr>
      </w:pPr>
    </w:p>
    <w:tbl>
      <w:tblPr>
        <w:tblStyle w:val="TableGrid"/>
        <w:tblW w:w="0" w:type="auto"/>
        <w:tblLook w:val="04A0" w:firstRow="1" w:lastRow="0" w:firstColumn="1" w:lastColumn="0" w:noHBand="0" w:noVBand="1"/>
      </w:tblPr>
      <w:tblGrid>
        <w:gridCol w:w="4282"/>
        <w:gridCol w:w="4348"/>
      </w:tblGrid>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Biomass Powerplant</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Operating Capacity (Megawatts)(MW)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Blue Lake</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12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Brawley</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15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Burney Mountain Power</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12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Delano</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50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DG Fairhaven (Arcata)</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17.5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Dinuba</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11.5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Loyalton</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20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Madera</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25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Mendota</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25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Oroville</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18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Tracy</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18.5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Westwood</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12 MW</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Buena Vista (Ione)</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18</w:t>
            </w:r>
          </w:p>
        </w:tc>
      </w:tr>
      <w:tr w:rsidR="00FA4833" w:rsidRPr="00FA4833" w:rsidTr="00BD334E">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Total Capacity of these 14 Powerplants</w:t>
            </w:r>
          </w:p>
        </w:tc>
        <w:tc>
          <w:tcPr>
            <w:tcW w:w="4675" w:type="dxa"/>
          </w:tcPr>
          <w:p w:rsidR="00FA4833" w:rsidRPr="00FA4833" w:rsidRDefault="00FA4833" w:rsidP="00BD334E">
            <w:pPr>
              <w:autoSpaceDE w:val="0"/>
              <w:autoSpaceDN w:val="0"/>
              <w:adjustRightInd w:val="0"/>
              <w:rPr>
                <w:rFonts w:cs="MyriadPro-SemiboldSemiCnIt"/>
                <w:iCs/>
              </w:rPr>
            </w:pPr>
            <w:r w:rsidRPr="00FA4833">
              <w:rPr>
                <w:rFonts w:cs="MyriadPro-SemiboldSemiCnIt"/>
                <w:iCs/>
              </w:rPr>
              <w:t>254.5 MW (would consume 2 million bone dry tons of wood waste annually)</w:t>
            </w:r>
          </w:p>
        </w:tc>
      </w:tr>
    </w:tbl>
    <w:p w:rsidR="00FA4833" w:rsidRPr="00FA4833" w:rsidRDefault="00FA4833" w:rsidP="00FA4833">
      <w:pPr>
        <w:autoSpaceDE w:val="0"/>
        <w:autoSpaceDN w:val="0"/>
        <w:adjustRightInd w:val="0"/>
        <w:rPr>
          <w:rFonts w:cs="MyriadPro-SemiboldSemiCnIt"/>
          <w:iCs/>
          <w:sz w:val="22"/>
          <w:szCs w:val="22"/>
        </w:rPr>
      </w:pPr>
    </w:p>
    <w:p w:rsidR="00FA4833" w:rsidRPr="00FA4833" w:rsidRDefault="00FA4833" w:rsidP="00FA4833">
      <w:pPr>
        <w:autoSpaceDE w:val="0"/>
        <w:autoSpaceDN w:val="0"/>
        <w:adjustRightInd w:val="0"/>
        <w:rPr>
          <w:rFonts w:cs="MyriadPro-SemiboldSemiCnIt"/>
          <w:iCs/>
          <w:sz w:val="22"/>
          <w:szCs w:val="22"/>
        </w:rPr>
      </w:pPr>
    </w:p>
    <w:p w:rsidR="00FA4833" w:rsidRPr="00FA4833" w:rsidRDefault="00FA4833" w:rsidP="00FA4833">
      <w:pPr>
        <w:autoSpaceDE w:val="0"/>
        <w:autoSpaceDN w:val="0"/>
        <w:adjustRightInd w:val="0"/>
        <w:rPr>
          <w:rFonts w:eastAsia="Times New Roman"/>
          <w:sz w:val="22"/>
          <w:szCs w:val="22"/>
        </w:rPr>
      </w:pPr>
      <w:r w:rsidRPr="00FA4833">
        <w:rPr>
          <w:rFonts w:eastAsia="Times New Roman"/>
          <w:sz w:val="22"/>
          <w:szCs w:val="22"/>
        </w:rPr>
        <w:t>By October 2016, there are an additional 7 biomass powerplants whose energy price contracts will have expired and likely lead to the powerplants shutting down.  They have a combined operating capacity of 189 MW and would consume 1.5 million bone dry tons of wood waste annually.</w:t>
      </w:r>
    </w:p>
    <w:p w:rsidR="00FA4833" w:rsidRPr="00FA4833" w:rsidRDefault="00FA4833" w:rsidP="00FA4833">
      <w:pPr>
        <w:autoSpaceDE w:val="0"/>
        <w:autoSpaceDN w:val="0"/>
        <w:adjustRightInd w:val="0"/>
        <w:rPr>
          <w:rFonts w:eastAsia="Times New Roman"/>
          <w:sz w:val="22"/>
          <w:szCs w:val="22"/>
        </w:rPr>
      </w:pPr>
    </w:p>
    <w:tbl>
      <w:tblPr>
        <w:tblStyle w:val="TableGrid"/>
        <w:tblW w:w="0" w:type="auto"/>
        <w:tblLook w:val="04A0" w:firstRow="1" w:lastRow="0" w:firstColumn="1" w:lastColumn="0" w:noHBand="0" w:noVBand="1"/>
      </w:tblPr>
      <w:tblGrid>
        <w:gridCol w:w="4335"/>
        <w:gridCol w:w="4295"/>
      </w:tblGrid>
      <w:tr w:rsidR="00FA4833" w:rsidRPr="00FA4833" w:rsidTr="00BD334E">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Biomass Powerplant</w:t>
            </w:r>
          </w:p>
        </w:tc>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Operating Capacity (MW)</w:t>
            </w:r>
          </w:p>
        </w:tc>
      </w:tr>
      <w:tr w:rsidR="00FA4833" w:rsidRPr="00FA4833" w:rsidTr="00BD334E">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Wheelabrator (Anderson)</w:t>
            </w:r>
          </w:p>
        </w:tc>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54</w:t>
            </w:r>
          </w:p>
        </w:tc>
      </w:tr>
      <w:tr w:rsidR="00FA4833" w:rsidRPr="00FA4833" w:rsidTr="00BD334E">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 xml:space="preserve">Burney Forest Power </w:t>
            </w:r>
          </w:p>
        </w:tc>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30</w:t>
            </w:r>
          </w:p>
        </w:tc>
      </w:tr>
      <w:tr w:rsidR="00FA4833" w:rsidRPr="00FA4833" w:rsidTr="00BD334E">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Chinese Station</w:t>
            </w:r>
          </w:p>
        </w:tc>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22</w:t>
            </w:r>
          </w:p>
        </w:tc>
      </w:tr>
      <w:tr w:rsidR="00FA4833" w:rsidRPr="00FA4833" w:rsidTr="00BD334E">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Fresno-Rio Bravo</w:t>
            </w:r>
          </w:p>
        </w:tc>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24</w:t>
            </w:r>
          </w:p>
        </w:tc>
      </w:tr>
      <w:tr w:rsidR="00FA4833" w:rsidRPr="00FA4833" w:rsidTr="00BD334E">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Fresno-Rocklin</w:t>
            </w:r>
          </w:p>
        </w:tc>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24</w:t>
            </w:r>
          </w:p>
        </w:tc>
      </w:tr>
      <w:tr w:rsidR="00FA4833" w:rsidRPr="00FA4833" w:rsidTr="00BD334E">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Honey Lake Power (Wendel)</w:t>
            </w:r>
          </w:p>
        </w:tc>
        <w:tc>
          <w:tcPr>
            <w:tcW w:w="4675" w:type="dxa"/>
          </w:tcPr>
          <w:p w:rsidR="00FA4833" w:rsidRPr="00FA4833" w:rsidRDefault="00FA4833" w:rsidP="00BD334E">
            <w:pPr>
              <w:autoSpaceDE w:val="0"/>
              <w:autoSpaceDN w:val="0"/>
              <w:adjustRightInd w:val="0"/>
              <w:rPr>
                <w:rFonts w:eastAsia="Times New Roman"/>
              </w:rPr>
            </w:pPr>
            <w:r w:rsidRPr="00FA4833">
              <w:rPr>
                <w:rFonts w:eastAsia="Times New Roman"/>
              </w:rPr>
              <w:t>35</w:t>
            </w:r>
          </w:p>
        </w:tc>
      </w:tr>
    </w:tbl>
    <w:p w:rsidR="00FA4833" w:rsidRPr="00FA4833" w:rsidRDefault="00FA4833" w:rsidP="00FA4833">
      <w:pPr>
        <w:pStyle w:val="ListParagraph"/>
        <w:ind w:left="0"/>
      </w:pPr>
    </w:p>
    <w:p w:rsidR="00FA4833" w:rsidRDefault="00FA4833" w:rsidP="00FA4833">
      <w:pPr>
        <w:pStyle w:val="ListParagraph"/>
        <w:ind w:left="0"/>
      </w:pPr>
      <w:r w:rsidRPr="00FA4833">
        <w:t xml:space="preserve"> </w:t>
      </w:r>
    </w:p>
    <w:p w:rsidR="00FA4833" w:rsidRDefault="00FA4833">
      <w:pPr>
        <w:rPr>
          <w:rFonts w:eastAsiaTheme="minorHAnsi"/>
          <w:sz w:val="22"/>
          <w:szCs w:val="22"/>
        </w:rPr>
      </w:pPr>
      <w:r>
        <w:br w:type="page"/>
      </w:r>
    </w:p>
    <w:p w:rsidR="00FA4833" w:rsidRPr="00FA4833" w:rsidRDefault="00FA4833" w:rsidP="00FA4833">
      <w:pPr>
        <w:pStyle w:val="ListParagraph"/>
        <w:ind w:left="0"/>
      </w:pPr>
    </w:p>
    <w:p w:rsidR="00FA4833" w:rsidRDefault="00FA4833" w:rsidP="00873B67">
      <w:pPr>
        <w:pStyle w:val="ListParagraph"/>
        <w:ind w:left="0"/>
        <w:rPr>
          <w:b/>
          <w:sz w:val="28"/>
          <w:szCs w:val="28"/>
        </w:rPr>
      </w:pPr>
      <w:r w:rsidRPr="00794398">
        <w:rPr>
          <w:b/>
          <w:sz w:val="28"/>
          <w:szCs w:val="28"/>
        </w:rPr>
        <w:t>Bibliography:</w:t>
      </w:r>
    </w:p>
    <w:p w:rsidR="00873B67" w:rsidRPr="00873B67" w:rsidRDefault="00873B67" w:rsidP="00873B67">
      <w:pPr>
        <w:pStyle w:val="ListParagraph"/>
        <w:ind w:left="0"/>
        <w:rPr>
          <w:b/>
          <w:sz w:val="28"/>
          <w:szCs w:val="28"/>
        </w:rPr>
      </w:pPr>
    </w:p>
    <w:p w:rsidR="00FA4833" w:rsidRPr="00FA4833" w:rsidRDefault="00FA4833" w:rsidP="00FA4833">
      <w:pPr>
        <w:pStyle w:val="ListParagraph"/>
        <w:numPr>
          <w:ilvl w:val="0"/>
          <w:numId w:val="6"/>
        </w:numPr>
        <w:ind w:left="360"/>
        <w:rPr>
          <w:rStyle w:val="st1"/>
          <w:rFonts w:ascii="Cambria" w:hAnsi="Cambria"/>
          <w:sz w:val="24"/>
          <w:szCs w:val="24"/>
        </w:rPr>
      </w:pPr>
      <w:r w:rsidRPr="00FA4833">
        <w:rPr>
          <w:rFonts w:ascii="Cambria" w:hAnsi="Cambria"/>
          <w:sz w:val="24"/>
          <w:szCs w:val="24"/>
        </w:rPr>
        <w:t xml:space="preserve">1979. E.F. Darley, University of California, Riverside.  “Hydrocarbon Characterization of Agricultural Waste Burning”.  </w:t>
      </w:r>
      <w:r w:rsidRPr="00FA4833">
        <w:rPr>
          <w:rStyle w:val="st1"/>
          <w:rFonts w:ascii="Cambria" w:hAnsi="Cambria" w:cs="Arial"/>
          <w:color w:val="545454"/>
          <w:sz w:val="24"/>
          <w:szCs w:val="24"/>
          <w:lang w:val="en"/>
        </w:rPr>
        <w:t>CAL/ARB Project A7-068-30</w:t>
      </w:r>
    </w:p>
    <w:p w:rsidR="00FA4833" w:rsidRPr="00873B67" w:rsidRDefault="00873B67" w:rsidP="00873B67">
      <w:pPr>
        <w:pStyle w:val="ListParagraph"/>
        <w:ind w:left="360"/>
        <w:rPr>
          <w:rFonts w:ascii="Cambria" w:hAnsi="Cambria" w:cs="Arial"/>
          <w:color w:val="545454"/>
          <w:sz w:val="24"/>
          <w:szCs w:val="24"/>
          <w:lang w:val="en"/>
        </w:rPr>
      </w:pPr>
      <w:hyperlink r:id="rId25" w:history="1">
        <w:r w:rsidR="00FA4833" w:rsidRPr="00FA4833">
          <w:rPr>
            <w:rStyle w:val="Hyperlink"/>
            <w:rFonts w:ascii="Cambria" w:hAnsi="Cambria" w:cs="Arial"/>
            <w:sz w:val="24"/>
            <w:szCs w:val="24"/>
            <w:lang w:val="en"/>
          </w:rPr>
          <w:t>http://arb.ca.gov/research/apr/past/a7-068-30.pdf</w:t>
        </w:r>
      </w:hyperlink>
      <w:r w:rsidR="00FA4833" w:rsidRPr="00FA4833">
        <w:rPr>
          <w:rStyle w:val="st1"/>
          <w:rFonts w:ascii="Cambria" w:hAnsi="Cambria" w:cs="Arial"/>
          <w:color w:val="545454"/>
          <w:sz w:val="24"/>
          <w:szCs w:val="24"/>
          <w:lang w:val="en"/>
        </w:rPr>
        <w:t>.</w:t>
      </w:r>
    </w:p>
    <w:p w:rsidR="00FA4833" w:rsidRPr="00FA4833" w:rsidRDefault="00FA4833" w:rsidP="00FA4833">
      <w:pPr>
        <w:pStyle w:val="ListParagraph"/>
        <w:numPr>
          <w:ilvl w:val="0"/>
          <w:numId w:val="6"/>
        </w:numPr>
        <w:ind w:left="360"/>
        <w:rPr>
          <w:rFonts w:ascii="Cambria" w:hAnsi="Cambria"/>
          <w:sz w:val="24"/>
          <w:szCs w:val="24"/>
        </w:rPr>
      </w:pPr>
      <w:r w:rsidRPr="00FA4833">
        <w:rPr>
          <w:rFonts w:ascii="Cambria" w:hAnsi="Cambria" w:cs="MyriadPro-SemiboldSemiCnIt"/>
          <w:iCs/>
          <w:sz w:val="24"/>
          <w:szCs w:val="24"/>
        </w:rPr>
        <w:t>November 1999. Dr. Gregg Morris. “The Value of Biomass Power”.  National Renewable Energy Lab.</w:t>
      </w:r>
    </w:p>
    <w:p w:rsidR="00FA4833" w:rsidRPr="00873B67" w:rsidRDefault="00873B67" w:rsidP="00873B67">
      <w:pPr>
        <w:pStyle w:val="ListParagraph"/>
        <w:ind w:left="360"/>
        <w:rPr>
          <w:rFonts w:ascii="Cambria" w:hAnsi="Cambria"/>
          <w:sz w:val="24"/>
          <w:szCs w:val="24"/>
        </w:rPr>
      </w:pPr>
      <w:hyperlink r:id="rId26" w:history="1">
        <w:r w:rsidR="00FA4833" w:rsidRPr="00FA4833">
          <w:rPr>
            <w:rStyle w:val="Hyperlink"/>
            <w:rFonts w:ascii="Cambria" w:hAnsi="Cambria"/>
            <w:sz w:val="24"/>
            <w:szCs w:val="24"/>
          </w:rPr>
          <w:t>http://www.nrel.gov/docs/fy00osti/27541.pdf</w:t>
        </w:r>
      </w:hyperlink>
      <w:r w:rsidR="00FA4833" w:rsidRPr="00FA4833">
        <w:rPr>
          <w:rFonts w:ascii="Cambria" w:hAnsi="Cambria"/>
          <w:sz w:val="24"/>
          <w:szCs w:val="24"/>
        </w:rPr>
        <w:t xml:space="preserve"> </w:t>
      </w:r>
    </w:p>
    <w:p w:rsidR="00FA4833" w:rsidRPr="00FA4833" w:rsidRDefault="00FA4833" w:rsidP="00FA4833">
      <w:pPr>
        <w:pStyle w:val="ListParagraph"/>
        <w:numPr>
          <w:ilvl w:val="0"/>
          <w:numId w:val="6"/>
        </w:numPr>
        <w:ind w:left="360"/>
        <w:rPr>
          <w:rFonts w:ascii="Cambria" w:hAnsi="Cambria"/>
          <w:sz w:val="24"/>
          <w:szCs w:val="24"/>
        </w:rPr>
      </w:pPr>
      <w:r w:rsidRPr="00FA4833">
        <w:rPr>
          <w:rFonts w:ascii="Cambria" w:hAnsi="Cambria" w:cs="MyriadPro-SemiboldSemiCnIt"/>
          <w:iCs/>
          <w:sz w:val="24"/>
          <w:szCs w:val="24"/>
        </w:rPr>
        <w:t>January 2006. Western Governors Association: Biomass Taskforce Report.</w:t>
      </w:r>
    </w:p>
    <w:p w:rsidR="00FA4833" w:rsidRPr="00873B67" w:rsidRDefault="00873B67" w:rsidP="00873B67">
      <w:pPr>
        <w:pStyle w:val="ListParagraph"/>
        <w:ind w:left="360"/>
        <w:rPr>
          <w:rFonts w:ascii="Cambria" w:hAnsi="Cambria"/>
          <w:sz w:val="24"/>
          <w:szCs w:val="24"/>
        </w:rPr>
      </w:pPr>
      <w:hyperlink r:id="rId27" w:history="1">
        <w:r w:rsidR="00FA4833" w:rsidRPr="00FA4833">
          <w:rPr>
            <w:rStyle w:val="Hyperlink"/>
            <w:rFonts w:ascii="Cambria" w:hAnsi="Cambria"/>
            <w:sz w:val="24"/>
            <w:szCs w:val="24"/>
          </w:rPr>
          <w:t>http://webcache.googleusercontent.com/search?q=cache:Lx1feIgvWDAJ:www.westgov.org/component/docman/doc_download/93-biomass-supply%3FItemid%3D+&amp;cd=2&amp;hl=en&amp;ct=clnk&amp;gl=us</w:t>
        </w:r>
      </w:hyperlink>
      <w:r w:rsidR="00FA4833" w:rsidRPr="00FA4833">
        <w:rPr>
          <w:rFonts w:ascii="Cambria" w:hAnsi="Cambria"/>
          <w:sz w:val="24"/>
          <w:szCs w:val="24"/>
        </w:rPr>
        <w:t xml:space="preserve"> </w:t>
      </w:r>
    </w:p>
    <w:p w:rsidR="00FA4833" w:rsidRPr="00873B67" w:rsidRDefault="00FA4833" w:rsidP="00873B67">
      <w:pPr>
        <w:pStyle w:val="ListParagraph"/>
        <w:numPr>
          <w:ilvl w:val="0"/>
          <w:numId w:val="6"/>
        </w:numPr>
        <w:ind w:left="360"/>
        <w:rPr>
          <w:rFonts w:ascii="Cambria" w:hAnsi="Cambria"/>
          <w:sz w:val="24"/>
          <w:szCs w:val="24"/>
        </w:rPr>
      </w:pPr>
      <w:r w:rsidRPr="00FA4833">
        <w:rPr>
          <w:rFonts w:ascii="Cambria" w:hAnsi="Cambria"/>
          <w:sz w:val="24"/>
          <w:szCs w:val="24"/>
        </w:rPr>
        <w:t>December 2006. California Biomass Collaborative. A Preliminary Roadmap for the Development of Biomass in California. CEC-500-2006-095-D.</w:t>
      </w:r>
      <w:r w:rsidR="00873B67">
        <w:rPr>
          <w:rFonts w:ascii="Cambria" w:hAnsi="Cambria"/>
          <w:sz w:val="24"/>
          <w:szCs w:val="24"/>
        </w:rPr>
        <w:t xml:space="preserve"> </w:t>
      </w:r>
      <w:hyperlink r:id="rId28" w:history="1">
        <w:r w:rsidRPr="00873B67">
          <w:rPr>
            <w:rStyle w:val="Hyperlink"/>
            <w:rFonts w:ascii="Cambria" w:hAnsi="Cambria"/>
          </w:rPr>
          <w:t>http://www.energy.ca.gov/2006publications/CEC-500-2006-095/CEC-500-2006-095-D.PDF</w:t>
        </w:r>
      </w:hyperlink>
      <w:r w:rsidRPr="00873B67">
        <w:rPr>
          <w:rFonts w:ascii="Cambria" w:hAnsi="Cambria"/>
        </w:rPr>
        <w:t xml:space="preserve">. </w:t>
      </w:r>
    </w:p>
    <w:p w:rsidR="00FA4833" w:rsidRPr="00FA4833" w:rsidRDefault="00FA4833" w:rsidP="00FA4833">
      <w:pPr>
        <w:pStyle w:val="ListParagraph"/>
        <w:numPr>
          <w:ilvl w:val="0"/>
          <w:numId w:val="6"/>
        </w:numPr>
        <w:autoSpaceDE w:val="0"/>
        <w:autoSpaceDN w:val="0"/>
        <w:adjustRightInd w:val="0"/>
        <w:spacing w:after="0" w:line="240" w:lineRule="auto"/>
        <w:ind w:left="360"/>
        <w:rPr>
          <w:rFonts w:ascii="Cambria" w:hAnsi="Cambria" w:cs="HelveticaNeue-Roman"/>
          <w:sz w:val="24"/>
          <w:szCs w:val="24"/>
        </w:rPr>
      </w:pPr>
      <w:r w:rsidRPr="00FA4833">
        <w:rPr>
          <w:rFonts w:ascii="Cambria" w:hAnsi="Cambria" w:cs="MyriadPro-SemiboldSemiCnIt"/>
          <w:iCs/>
          <w:sz w:val="24"/>
          <w:szCs w:val="24"/>
        </w:rPr>
        <w:t>January 2011. Springsteen etal. “</w:t>
      </w:r>
      <w:r w:rsidRPr="00FA4833">
        <w:rPr>
          <w:rFonts w:ascii="Cambria" w:hAnsi="Cambria" w:cs="HelveticaNeue-Roman"/>
          <w:sz w:val="24"/>
          <w:szCs w:val="24"/>
        </w:rPr>
        <w:t xml:space="preserve">Emission Reductions from Woody Biomass Waste for Energy as an Alternative to Open Burning”. </w:t>
      </w:r>
      <w:r w:rsidRPr="00FA4833">
        <w:rPr>
          <w:rFonts w:ascii="Cambria" w:hAnsi="Cambria" w:cs="MyriadPro-SemiboldSemiCnIt"/>
          <w:iCs/>
          <w:sz w:val="24"/>
          <w:szCs w:val="24"/>
        </w:rPr>
        <w:t xml:space="preserve"> Journal of the Air and Waste Management Association. </w:t>
      </w:r>
      <w:r w:rsidRPr="00FA4833">
        <w:rPr>
          <w:rFonts w:ascii="Cambria" w:hAnsi="Cambria"/>
          <w:sz w:val="24"/>
          <w:szCs w:val="24"/>
        </w:rPr>
        <w:t>61:63-8. DOI: 10.3155/1047-3289.61.1.63.</w:t>
      </w:r>
    </w:p>
    <w:p w:rsidR="00FA4833" w:rsidRPr="00873B67" w:rsidRDefault="00FA4833" w:rsidP="00873B67">
      <w:pPr>
        <w:pStyle w:val="ListParagraph"/>
        <w:autoSpaceDE w:val="0"/>
        <w:autoSpaceDN w:val="0"/>
        <w:adjustRightInd w:val="0"/>
        <w:spacing w:after="0" w:line="240" w:lineRule="auto"/>
        <w:ind w:left="360"/>
        <w:rPr>
          <w:rFonts w:ascii="Cambria" w:hAnsi="Cambria" w:cs="Arial"/>
          <w:color w:val="202020"/>
          <w:sz w:val="24"/>
          <w:szCs w:val="24"/>
        </w:rPr>
      </w:pPr>
      <w:r w:rsidRPr="00FA4833">
        <w:rPr>
          <w:rFonts w:ascii="Cambria" w:hAnsi="Cambria" w:cs="Arial"/>
          <w:color w:val="202020"/>
          <w:sz w:val="24"/>
          <w:szCs w:val="24"/>
        </w:rPr>
        <w:t>ht</w:t>
      </w:r>
      <w:hyperlink r:id="rId29" w:history="1">
        <w:r w:rsidRPr="00FA4833">
          <w:rPr>
            <w:rFonts w:ascii="Cambria" w:hAnsi="Cambria" w:cs="Arial"/>
            <w:color w:val="1A0DAB"/>
            <w:sz w:val="24"/>
            <w:szCs w:val="24"/>
          </w:rPr>
          <w:t>tp://www.placer.ca.gov/~/media/apc/documents/APCD%20Biomass/EmissionReductionsFromWoodyBiomassAWMA.pdf</w:t>
        </w:r>
      </w:hyperlink>
      <w:r w:rsidRPr="00FA4833">
        <w:rPr>
          <w:rFonts w:ascii="Cambria" w:hAnsi="Cambria" w:cs="Arial"/>
          <w:color w:val="202020"/>
          <w:sz w:val="24"/>
          <w:szCs w:val="24"/>
        </w:rPr>
        <w:t>.</w:t>
      </w:r>
    </w:p>
    <w:p w:rsidR="00FA4833" w:rsidRPr="00FA4833" w:rsidRDefault="00FA4833" w:rsidP="00FA4833">
      <w:pPr>
        <w:pStyle w:val="ListParagraph"/>
        <w:numPr>
          <w:ilvl w:val="0"/>
          <w:numId w:val="6"/>
        </w:numPr>
        <w:autoSpaceDE w:val="0"/>
        <w:autoSpaceDN w:val="0"/>
        <w:adjustRightInd w:val="0"/>
        <w:spacing w:after="0" w:line="240" w:lineRule="auto"/>
        <w:ind w:left="360"/>
        <w:rPr>
          <w:rFonts w:ascii="Cambria" w:hAnsi="Cambria" w:cs="HelveticaNeue-Roman"/>
          <w:sz w:val="24"/>
          <w:szCs w:val="24"/>
        </w:rPr>
      </w:pPr>
      <w:r w:rsidRPr="00FA4833">
        <w:rPr>
          <w:rFonts w:ascii="Cambria" w:eastAsia="Times New Roman" w:hAnsi="Cambria"/>
          <w:sz w:val="24"/>
          <w:szCs w:val="24"/>
        </w:rPr>
        <w:t>September 2015. Springsteen etal. “</w:t>
      </w:r>
      <w:r w:rsidRPr="00FA4833">
        <w:rPr>
          <w:rFonts w:ascii="Cambria" w:hAnsi="Cambria" w:cs="MyriadPro-SemiboldCond"/>
          <w:sz w:val="24"/>
          <w:szCs w:val="24"/>
        </w:rPr>
        <w:t xml:space="preserve">Forest biomass diversion in the Sierra Nevada: Energy, economics and emissions”. University of California, California Agriculture </w:t>
      </w:r>
      <w:r w:rsidRPr="00FA4833">
        <w:rPr>
          <w:rFonts w:ascii="Cambria" w:hAnsi="Cambria"/>
          <w:sz w:val="24"/>
          <w:szCs w:val="24"/>
        </w:rPr>
        <w:t>69(3):142-149. DOI: 10.3733/ca.v069n03p142</w:t>
      </w:r>
      <w:r w:rsidRPr="00FA4833">
        <w:rPr>
          <w:rFonts w:ascii="Cambria" w:hAnsi="Cambria" w:cs="MyriadPro-SemiboldCond"/>
          <w:sz w:val="24"/>
          <w:szCs w:val="24"/>
        </w:rPr>
        <w:t>.</w:t>
      </w:r>
    </w:p>
    <w:p w:rsidR="00FA4833" w:rsidRPr="00873B67" w:rsidRDefault="00873B67" w:rsidP="00873B67">
      <w:pPr>
        <w:pStyle w:val="ListParagraph"/>
        <w:ind w:left="360"/>
        <w:rPr>
          <w:rFonts w:ascii="Cambria" w:hAnsi="Cambria" w:cs="MyriadPro-SemiboldCond"/>
          <w:sz w:val="24"/>
          <w:szCs w:val="24"/>
        </w:rPr>
      </w:pPr>
      <w:hyperlink r:id="rId30" w:history="1">
        <w:r w:rsidR="00FA4833" w:rsidRPr="00FA4833">
          <w:rPr>
            <w:rStyle w:val="Hyperlink"/>
            <w:rFonts w:ascii="Cambria" w:hAnsi="Cambria" w:cs="MyriadPro-SemiboldCond"/>
            <w:sz w:val="24"/>
            <w:szCs w:val="24"/>
          </w:rPr>
          <w:t>http://californiaagriculture.ucanr.edu/landingpage.cfm?article=ca.v069n03p142&amp;fulltext=yes</w:t>
        </w:r>
      </w:hyperlink>
      <w:r w:rsidR="00FA4833" w:rsidRPr="00FA4833">
        <w:rPr>
          <w:rFonts w:ascii="Cambria" w:hAnsi="Cambria" w:cs="Arial"/>
          <w:color w:val="202020"/>
          <w:sz w:val="24"/>
          <w:szCs w:val="24"/>
        </w:rPr>
        <w:t>.</w:t>
      </w:r>
      <w:bookmarkStart w:id="1" w:name="_GoBack"/>
      <w:bookmarkEnd w:id="1"/>
    </w:p>
    <w:p w:rsidR="00FA4833" w:rsidRDefault="00FA4833" w:rsidP="003D4FC7">
      <w:pPr>
        <w:pStyle w:val="ListParagraph"/>
        <w:numPr>
          <w:ilvl w:val="0"/>
          <w:numId w:val="6"/>
        </w:numPr>
        <w:ind w:left="360"/>
        <w:rPr>
          <w:rFonts w:ascii="Cambria" w:hAnsi="Cambria"/>
          <w:sz w:val="24"/>
          <w:szCs w:val="24"/>
        </w:rPr>
      </w:pPr>
      <w:r w:rsidRPr="00FA4833">
        <w:rPr>
          <w:rFonts w:ascii="Cambria" w:hAnsi="Cambria"/>
          <w:sz w:val="24"/>
          <w:szCs w:val="24"/>
        </w:rPr>
        <w:t>December 2015.  The Beck Group. “</w:t>
      </w:r>
      <w:r w:rsidRPr="00FA4833">
        <w:rPr>
          <w:rFonts w:ascii="Cambria" w:hAnsi="Cambria"/>
          <w:bCs/>
          <w:sz w:val="24"/>
          <w:szCs w:val="24"/>
        </w:rPr>
        <w:t>California Assessment of Wood Business Innovation Opportunities and Markets“</w:t>
      </w:r>
      <w:r w:rsidRPr="00FA4833">
        <w:rPr>
          <w:rFonts w:ascii="Cambria" w:hAnsi="Cambria"/>
          <w:sz w:val="24"/>
          <w:szCs w:val="24"/>
        </w:rPr>
        <w:t xml:space="preserve"> (</w:t>
      </w:r>
      <w:hyperlink r:id="rId31" w:history="1">
        <w:r w:rsidRPr="00FA4833">
          <w:rPr>
            <w:rStyle w:val="Hyperlink"/>
            <w:rFonts w:ascii="Cambria" w:hAnsi="Cambria"/>
            <w:sz w:val="24"/>
            <w:szCs w:val="24"/>
          </w:rPr>
          <w:t>https://www.nationalforests.org/assets/pdfs/Phase-II-Executive-Summary-1-4-16.pdf</w:t>
        </w:r>
      </w:hyperlink>
      <w:r w:rsidRPr="00FA4833">
        <w:rPr>
          <w:rFonts w:ascii="Cambria" w:hAnsi="Cambria"/>
          <w:sz w:val="24"/>
          <w:szCs w:val="24"/>
        </w:rPr>
        <w:t xml:space="preserve">) </w:t>
      </w:r>
    </w:p>
    <w:p w:rsidR="00E8742F" w:rsidRPr="00FA4833" w:rsidRDefault="00E8742F" w:rsidP="003D4FC7">
      <w:pPr>
        <w:pStyle w:val="ListParagraph"/>
        <w:numPr>
          <w:ilvl w:val="0"/>
          <w:numId w:val="6"/>
        </w:numPr>
        <w:ind w:left="360"/>
        <w:rPr>
          <w:rFonts w:ascii="Cambria" w:hAnsi="Cambria"/>
          <w:sz w:val="24"/>
          <w:szCs w:val="24"/>
        </w:rPr>
      </w:pPr>
      <w:r>
        <w:rPr>
          <w:rFonts w:ascii="Cambria" w:hAnsi="Cambria"/>
          <w:sz w:val="24"/>
          <w:szCs w:val="24"/>
        </w:rPr>
        <w:t>February 2016.  Pacific Northwest Research Station.  “California’s Forest Resources: Forest Inventory and Analysis, 2001-2010”.  PNW-GTR-913.</w:t>
      </w:r>
    </w:p>
    <w:sectPr w:rsidR="00E8742F" w:rsidRPr="00FA4833" w:rsidSect="00B77823">
      <w:headerReference w:type="default" r:id="rId32"/>
      <w:headerReference w:type="first" r:id="rId33"/>
      <w:pgSz w:w="12240" w:h="15840" w:code="1"/>
      <w:pgMar w:top="2520" w:right="1800" w:bottom="180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F8E" w:rsidRDefault="00D01F8E" w:rsidP="008F2441">
      <w:r>
        <w:separator/>
      </w:r>
    </w:p>
  </w:endnote>
  <w:endnote w:type="continuationSeparator" w:id="0">
    <w:p w:rsidR="00D01F8E" w:rsidRDefault="00D01F8E" w:rsidP="008F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Pro-SemiboldSemiCnIt">
    <w:panose1 w:val="00000000000000000000"/>
    <w:charset w:val="00"/>
    <w:family w:val="swiss"/>
    <w:notTrueType/>
    <w:pitch w:val="default"/>
    <w:sig w:usb0="00000003" w:usb1="00000000" w:usb2="00000000" w:usb3="00000000" w:csb0="00000001" w:csb1="00000000"/>
  </w:font>
  <w:font w:name="MyriadPro-SemiboldCond">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F8E" w:rsidRDefault="00D01F8E" w:rsidP="008F2441">
      <w:r>
        <w:separator/>
      </w:r>
    </w:p>
  </w:footnote>
  <w:footnote w:type="continuationSeparator" w:id="0">
    <w:p w:rsidR="00D01F8E" w:rsidRDefault="00D01F8E" w:rsidP="008F2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823" w:rsidRDefault="00B77823">
    <w:pPr>
      <w:pStyle w:val="Header"/>
      <w:rPr>
        <w:sz w:val="20"/>
      </w:rPr>
    </w:pPr>
  </w:p>
  <w:p w:rsidR="00B77823" w:rsidRDefault="00B77823">
    <w:pPr>
      <w:pStyle w:val="Header"/>
      <w:rPr>
        <w:sz w:val="20"/>
      </w:rPr>
    </w:pPr>
  </w:p>
  <w:sdt>
    <w:sdtPr>
      <w:rPr>
        <w:sz w:val="20"/>
      </w:rPr>
      <w:id w:val="250395305"/>
      <w:docPartObj>
        <w:docPartGallery w:val="Page Numbers (Top of Page)"/>
        <w:docPartUnique/>
      </w:docPartObj>
    </w:sdtPr>
    <w:sdtEndPr/>
    <w:sdtContent>
      <w:p w:rsidR="00B77823" w:rsidRDefault="00B77823">
        <w:pPr>
          <w:rPr>
            <w:sz w:val="20"/>
          </w:rPr>
        </w:pPr>
      </w:p>
      <w:p w:rsidR="00B77823" w:rsidRDefault="00B77823">
        <w:pPr>
          <w:rPr>
            <w:sz w:val="20"/>
          </w:rPr>
        </w:pPr>
      </w:p>
      <w:p w:rsidR="00B77823" w:rsidRPr="00B77823" w:rsidRDefault="00B77823" w:rsidP="00B77823">
        <w:pPr>
          <w:pBdr>
            <w:bottom w:val="single" w:sz="4" w:space="1" w:color="auto"/>
          </w:pBdr>
          <w:rPr>
            <w:sz w:val="20"/>
          </w:rPr>
        </w:pPr>
        <w:r w:rsidRPr="00B77823">
          <w:rPr>
            <w:sz w:val="20"/>
          </w:rPr>
          <w:t xml:space="preserve">Page </w:t>
        </w:r>
        <w:r w:rsidR="00264DD3" w:rsidRPr="00B77823">
          <w:rPr>
            <w:sz w:val="20"/>
          </w:rPr>
          <w:fldChar w:fldCharType="begin"/>
        </w:r>
        <w:r w:rsidRPr="00B77823">
          <w:rPr>
            <w:sz w:val="20"/>
          </w:rPr>
          <w:instrText xml:space="preserve"> PAGE </w:instrText>
        </w:r>
        <w:r w:rsidR="00264DD3" w:rsidRPr="00B77823">
          <w:rPr>
            <w:sz w:val="20"/>
          </w:rPr>
          <w:fldChar w:fldCharType="separate"/>
        </w:r>
        <w:r w:rsidR="00873B67">
          <w:rPr>
            <w:noProof/>
            <w:sz w:val="20"/>
          </w:rPr>
          <w:t>25</w:t>
        </w:r>
        <w:r w:rsidR="00264DD3" w:rsidRPr="00B77823">
          <w:rPr>
            <w:sz w:val="20"/>
          </w:rPr>
          <w:fldChar w:fldCharType="end"/>
        </w:r>
        <w:r w:rsidRPr="00B77823">
          <w:rPr>
            <w:sz w:val="20"/>
          </w:rPr>
          <w:t xml:space="preserve"> of </w:t>
        </w:r>
        <w:r w:rsidR="00264DD3" w:rsidRPr="00B77823">
          <w:rPr>
            <w:sz w:val="20"/>
          </w:rPr>
          <w:fldChar w:fldCharType="begin"/>
        </w:r>
        <w:r w:rsidRPr="00B77823">
          <w:rPr>
            <w:sz w:val="20"/>
          </w:rPr>
          <w:instrText xml:space="preserve"> NUMPAGES  </w:instrText>
        </w:r>
        <w:r w:rsidR="00264DD3" w:rsidRPr="00B77823">
          <w:rPr>
            <w:sz w:val="20"/>
          </w:rPr>
          <w:fldChar w:fldCharType="separate"/>
        </w:r>
        <w:r w:rsidR="00873B67">
          <w:rPr>
            <w:noProof/>
            <w:sz w:val="20"/>
          </w:rPr>
          <w:t>25</w:t>
        </w:r>
        <w:r w:rsidR="00264DD3" w:rsidRPr="00B77823">
          <w:rPr>
            <w:sz w:val="20"/>
          </w:rPr>
          <w:fldChar w:fldCharType="end"/>
        </w:r>
      </w:p>
    </w:sdtContent>
  </w:sdt>
  <w:p w:rsidR="00B77823" w:rsidRDefault="00B778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823" w:rsidRDefault="00B77823">
    <w:pPr>
      <w:pStyle w:val="Header"/>
    </w:pPr>
    <w:r>
      <w:rPr>
        <w:noProof/>
      </w:rPr>
      <w:drawing>
        <wp:anchor distT="0" distB="0" distL="114300" distR="114300" simplePos="0" relativeHeight="251658240" behindDoc="1" locked="0" layoutInCell="1" allowOverlap="1">
          <wp:simplePos x="0" y="0"/>
          <wp:positionH relativeFrom="column">
            <wp:posOffset>-1181100</wp:posOffset>
          </wp:positionH>
          <wp:positionV relativeFrom="paragraph">
            <wp:posOffset>-619125</wp:posOffset>
          </wp:positionV>
          <wp:extent cx="8001000" cy="1028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SYSTEM-02.png"/>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54FAB"/>
    <w:multiLevelType w:val="hybridMultilevel"/>
    <w:tmpl w:val="9E9414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565E2"/>
    <w:multiLevelType w:val="hybridMultilevel"/>
    <w:tmpl w:val="C96CD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D256BD"/>
    <w:multiLevelType w:val="hybridMultilevel"/>
    <w:tmpl w:val="A4FAB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6F7CE5"/>
    <w:multiLevelType w:val="hybridMultilevel"/>
    <w:tmpl w:val="5C0A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954D02"/>
    <w:multiLevelType w:val="hybridMultilevel"/>
    <w:tmpl w:val="36D4D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5BD7C58"/>
    <w:multiLevelType w:val="hybridMultilevel"/>
    <w:tmpl w:val="3CC6F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F8E"/>
    <w:rsid w:val="00137D72"/>
    <w:rsid w:val="00264DD3"/>
    <w:rsid w:val="003D4FC7"/>
    <w:rsid w:val="004A735C"/>
    <w:rsid w:val="00873B67"/>
    <w:rsid w:val="00884A1C"/>
    <w:rsid w:val="00896235"/>
    <w:rsid w:val="008A0CAF"/>
    <w:rsid w:val="008A5931"/>
    <w:rsid w:val="008F2441"/>
    <w:rsid w:val="0098208E"/>
    <w:rsid w:val="00A56727"/>
    <w:rsid w:val="00B77823"/>
    <w:rsid w:val="00BC1F49"/>
    <w:rsid w:val="00BE0125"/>
    <w:rsid w:val="00C040C5"/>
    <w:rsid w:val="00C046E5"/>
    <w:rsid w:val="00C44C22"/>
    <w:rsid w:val="00CA5FC7"/>
    <w:rsid w:val="00D01F8E"/>
    <w:rsid w:val="00D455EA"/>
    <w:rsid w:val="00DE1A3C"/>
    <w:rsid w:val="00DF3CA9"/>
    <w:rsid w:val="00E8742F"/>
    <w:rsid w:val="00F116A8"/>
    <w:rsid w:val="00FA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CB84530E-BFAE-4527-A61D-FD79D64C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441"/>
    <w:pPr>
      <w:tabs>
        <w:tab w:val="center" w:pos="4320"/>
        <w:tab w:val="right" w:pos="8640"/>
      </w:tabs>
    </w:pPr>
  </w:style>
  <w:style w:type="character" w:customStyle="1" w:styleId="HeaderChar">
    <w:name w:val="Header Char"/>
    <w:basedOn w:val="DefaultParagraphFont"/>
    <w:link w:val="Header"/>
    <w:uiPriority w:val="99"/>
    <w:rsid w:val="008F2441"/>
  </w:style>
  <w:style w:type="paragraph" w:styleId="Footer">
    <w:name w:val="footer"/>
    <w:basedOn w:val="Normal"/>
    <w:link w:val="FooterChar"/>
    <w:uiPriority w:val="99"/>
    <w:unhideWhenUsed/>
    <w:rsid w:val="008F2441"/>
    <w:pPr>
      <w:tabs>
        <w:tab w:val="center" w:pos="4320"/>
        <w:tab w:val="right" w:pos="8640"/>
      </w:tabs>
    </w:pPr>
  </w:style>
  <w:style w:type="character" w:customStyle="1" w:styleId="FooterChar">
    <w:name w:val="Footer Char"/>
    <w:basedOn w:val="DefaultParagraphFont"/>
    <w:link w:val="Footer"/>
    <w:uiPriority w:val="99"/>
    <w:rsid w:val="008F2441"/>
  </w:style>
  <w:style w:type="paragraph" w:styleId="BalloonText">
    <w:name w:val="Balloon Text"/>
    <w:basedOn w:val="Normal"/>
    <w:link w:val="BalloonTextChar"/>
    <w:uiPriority w:val="99"/>
    <w:semiHidden/>
    <w:unhideWhenUsed/>
    <w:rsid w:val="008F24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441"/>
    <w:rPr>
      <w:rFonts w:ascii="Lucida Grande" w:hAnsi="Lucida Grande" w:cs="Lucida Grande"/>
      <w:sz w:val="18"/>
      <w:szCs w:val="18"/>
    </w:rPr>
  </w:style>
  <w:style w:type="character" w:customStyle="1" w:styleId="data1">
    <w:name w:val="data1"/>
    <w:basedOn w:val="DefaultParagraphFont"/>
    <w:rsid w:val="00D01F8E"/>
    <w:rPr>
      <w:b w:val="0"/>
      <w:bCs w:val="0"/>
      <w:color w:val="000000"/>
    </w:rPr>
  </w:style>
  <w:style w:type="paragraph" w:styleId="ListParagraph">
    <w:name w:val="List Paragraph"/>
    <w:basedOn w:val="Normal"/>
    <w:uiPriority w:val="34"/>
    <w:qFormat/>
    <w:rsid w:val="00D01F8E"/>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D01F8E"/>
    <w:rPr>
      <w:color w:val="0000FF" w:themeColor="hyperlink"/>
      <w:u w:val="single"/>
    </w:rPr>
  </w:style>
  <w:style w:type="paragraph" w:customStyle="1" w:styleId="Default">
    <w:name w:val="Default"/>
    <w:rsid w:val="00FA4833"/>
    <w:pPr>
      <w:autoSpaceDE w:val="0"/>
      <w:autoSpaceDN w:val="0"/>
      <w:adjustRightInd w:val="0"/>
    </w:pPr>
    <w:rPr>
      <w:rFonts w:ascii="Calibri" w:eastAsiaTheme="minorHAnsi" w:hAnsi="Calibri" w:cs="Calibri"/>
      <w:color w:val="000000"/>
    </w:rPr>
  </w:style>
  <w:style w:type="table" w:styleId="TableGrid">
    <w:name w:val="Table Grid"/>
    <w:basedOn w:val="TableNormal"/>
    <w:uiPriority w:val="39"/>
    <w:rsid w:val="00FA483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A4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9175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forests.org/assets/pdfs/Phase-II-Executive-Summary-1-4-16.pdf"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www.nrel.gov/docs/fy00osti/27541.pdf"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hyperlink" Target="http://arb.ca.gov/research/apr/past/a7-068-30.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placer.ca.gov/~/media/apc/documents/APCD%20Biomass/EmissionReductionsFromWoodyBiomassAWM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dictiveservices.nifc.gov/intelligence/2015_Statssumm/fires_acres15.pdf" TargetMode="External"/><Relationship Id="rId24" Type="http://schemas.openxmlformats.org/officeDocument/2006/relationships/oleObject" Target="embeddings/Microsoft_Word_97_-_2003_Document1.doc"/><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www.energy.ca.gov/2006publications/CEC-500-2006-095/CEC-500-2006-095-D.PDF" TargetMode="External"/><Relationship Id="rId10" Type="http://schemas.openxmlformats.org/officeDocument/2006/relationships/hyperlink" Target="mailto:steveb@calforests.org" TargetMode="External"/><Relationship Id="rId19" Type="http://schemas.openxmlformats.org/officeDocument/2006/relationships/image" Target="media/image8.emf"/><Relationship Id="rId31" Type="http://schemas.openxmlformats.org/officeDocument/2006/relationships/hyperlink" Target="https://www.nationalforests.org/assets/pdfs/Phase-II-Executive-Summary-1-4-16.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yperlink" Target="http://webcache.googleusercontent.com/search?q=cache:Lx1feIgvWDAJ:www.westgov.org/component/docman/doc_download/93-biomass-supply%3FItemid%3D+&amp;cd=2&amp;hl=en&amp;ct=clnk&amp;gl=us" TargetMode="External"/><Relationship Id="rId30" Type="http://schemas.openxmlformats.org/officeDocument/2006/relationships/hyperlink" Target="http://californiaagriculture.ucanr.edu/landingpage.cfm?article=ca.v069n03p142&amp;fulltext=yes"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J:\Steve\Calforests%20Letterhea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lforests-nas\CFA_FILES\Government%20-%20Federal\Public%20Resources\Forest%20Service\R5%20Regional%20Info\160405%20Reforestation%20Needs%20by%20Ye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ysClr val="windowText" lastClr="000000"/>
                </a:solidFill>
              </a:rPr>
              <a:t>US Forest Service, California Region - </a:t>
            </a:r>
          </a:p>
          <a:p>
            <a:pPr>
              <a:defRPr/>
            </a:pPr>
            <a:r>
              <a:rPr lang="en-US" sz="1600" b="1">
                <a:solidFill>
                  <a:sysClr val="windowText" lastClr="000000"/>
                </a:solidFill>
              </a:rPr>
              <a:t>Reforestation Needs and Accomplishments by Year 1986-2015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506780964752858E-2"/>
          <c:y val="0.16261341890567563"/>
          <c:w val="0.86251243132741684"/>
          <c:h val="0.67377687918574358"/>
        </c:manualLayout>
      </c:layout>
      <c:barChart>
        <c:barDir val="col"/>
        <c:grouping val="clustered"/>
        <c:varyColors val="0"/>
        <c:ser>
          <c:idx val="0"/>
          <c:order val="0"/>
          <c:tx>
            <c:strRef>
              <c:f>'[160405 Reforestation Needs by Year.xlsx]Sheet1'!$A$4</c:f>
              <c:strCache>
                <c:ptCount val="1"/>
                <c:pt idx="0">
                  <c:v>Needs</c:v>
                </c:pt>
              </c:strCache>
            </c:strRef>
          </c:tx>
          <c:spPr>
            <a:solidFill>
              <a:srgbClr val="00B0F0"/>
            </a:solidFill>
            <a:ln>
              <a:noFill/>
            </a:ln>
            <a:effectLst/>
          </c:spPr>
          <c:invertIfNegative val="0"/>
          <c:cat>
            <c:numRef>
              <c:f>'[160405 Reforestation Needs by Year.xlsx]Sheet1'!$B$3:$AE$3</c:f>
              <c:numCache>
                <c:formatCode>General</c:formatCode>
                <c:ptCount val="30"/>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numCache>
            </c:numRef>
          </c:cat>
          <c:val>
            <c:numRef>
              <c:f>'[160405 Reforestation Needs by Year.xlsx]Sheet1'!$B$4:$AE$4</c:f>
              <c:numCache>
                <c:formatCode>#,##0</c:formatCode>
                <c:ptCount val="30"/>
                <c:pt idx="0">
                  <c:v>111000</c:v>
                </c:pt>
                <c:pt idx="1">
                  <c:v>220000</c:v>
                </c:pt>
                <c:pt idx="2">
                  <c:v>243000</c:v>
                </c:pt>
                <c:pt idx="3">
                  <c:v>243000</c:v>
                </c:pt>
                <c:pt idx="4">
                  <c:v>132000</c:v>
                </c:pt>
                <c:pt idx="5">
                  <c:v>173000</c:v>
                </c:pt>
                <c:pt idx="6">
                  <c:v>178000</c:v>
                </c:pt>
                <c:pt idx="7">
                  <c:v>159000</c:v>
                </c:pt>
                <c:pt idx="8">
                  <c:v>158000</c:v>
                </c:pt>
                <c:pt idx="9">
                  <c:v>149000</c:v>
                </c:pt>
                <c:pt idx="10">
                  <c:v>137000</c:v>
                </c:pt>
                <c:pt idx="11">
                  <c:v>131000</c:v>
                </c:pt>
                <c:pt idx="12">
                  <c:v>118000</c:v>
                </c:pt>
                <c:pt idx="13">
                  <c:v>124000</c:v>
                </c:pt>
                <c:pt idx="14">
                  <c:v>82000</c:v>
                </c:pt>
                <c:pt idx="15">
                  <c:v>127000</c:v>
                </c:pt>
                <c:pt idx="16">
                  <c:v>75000</c:v>
                </c:pt>
                <c:pt idx="17">
                  <c:v>84000</c:v>
                </c:pt>
                <c:pt idx="18">
                  <c:v>79000</c:v>
                </c:pt>
                <c:pt idx="19">
                  <c:v>85000</c:v>
                </c:pt>
                <c:pt idx="20">
                  <c:v>74000</c:v>
                </c:pt>
                <c:pt idx="21">
                  <c:v>136000</c:v>
                </c:pt>
                <c:pt idx="22">
                  <c:v>182000</c:v>
                </c:pt>
                <c:pt idx="23">
                  <c:v>148000</c:v>
                </c:pt>
                <c:pt idx="24">
                  <c:v>122823</c:v>
                </c:pt>
                <c:pt idx="25">
                  <c:v>108437</c:v>
                </c:pt>
                <c:pt idx="26">
                  <c:v>127121</c:v>
                </c:pt>
                <c:pt idx="27">
                  <c:v>128322</c:v>
                </c:pt>
                <c:pt idx="28">
                  <c:v>227810</c:v>
                </c:pt>
                <c:pt idx="29">
                  <c:v>230625</c:v>
                </c:pt>
              </c:numCache>
            </c:numRef>
          </c:val>
        </c:ser>
        <c:ser>
          <c:idx val="1"/>
          <c:order val="1"/>
          <c:tx>
            <c:strRef>
              <c:f>'[160405 Reforestation Needs by Year.xlsx]Sheet1'!$A$5</c:f>
              <c:strCache>
                <c:ptCount val="1"/>
                <c:pt idx="0">
                  <c:v>Accomplishments</c:v>
                </c:pt>
              </c:strCache>
            </c:strRef>
          </c:tx>
          <c:spPr>
            <a:solidFill>
              <a:schemeClr val="accent6">
                <a:lumMod val="75000"/>
              </a:schemeClr>
            </a:solidFill>
            <a:ln>
              <a:noFill/>
            </a:ln>
            <a:effectLst/>
          </c:spPr>
          <c:invertIfNegative val="0"/>
          <c:cat>
            <c:numRef>
              <c:f>'[160405 Reforestation Needs by Year.xlsx]Sheet1'!$B$3:$AE$3</c:f>
              <c:numCache>
                <c:formatCode>General</c:formatCode>
                <c:ptCount val="30"/>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numCache>
            </c:numRef>
          </c:cat>
          <c:val>
            <c:numRef>
              <c:f>'[160405 Reforestation Needs by Year.xlsx]Sheet1'!$B$5:$AE$5</c:f>
              <c:numCache>
                <c:formatCode>#,##0</c:formatCode>
                <c:ptCount val="30"/>
                <c:pt idx="0">
                  <c:v>33000</c:v>
                </c:pt>
                <c:pt idx="1">
                  <c:v>38000</c:v>
                </c:pt>
                <c:pt idx="2">
                  <c:v>47000</c:v>
                </c:pt>
                <c:pt idx="3">
                  <c:v>64000</c:v>
                </c:pt>
                <c:pt idx="4">
                  <c:v>60000</c:v>
                </c:pt>
                <c:pt idx="5">
                  <c:v>53000</c:v>
                </c:pt>
                <c:pt idx="6">
                  <c:v>50000</c:v>
                </c:pt>
                <c:pt idx="7">
                  <c:v>46000</c:v>
                </c:pt>
                <c:pt idx="8">
                  <c:v>37000</c:v>
                </c:pt>
                <c:pt idx="9">
                  <c:v>37000</c:v>
                </c:pt>
                <c:pt idx="10">
                  <c:v>30000</c:v>
                </c:pt>
                <c:pt idx="11">
                  <c:v>37000</c:v>
                </c:pt>
                <c:pt idx="12">
                  <c:v>30000</c:v>
                </c:pt>
                <c:pt idx="13">
                  <c:v>22000</c:v>
                </c:pt>
                <c:pt idx="14">
                  <c:v>18000</c:v>
                </c:pt>
                <c:pt idx="15">
                  <c:v>17000</c:v>
                </c:pt>
                <c:pt idx="16">
                  <c:v>13000</c:v>
                </c:pt>
                <c:pt idx="17">
                  <c:v>14000</c:v>
                </c:pt>
                <c:pt idx="18">
                  <c:v>11000</c:v>
                </c:pt>
                <c:pt idx="19">
                  <c:v>9400</c:v>
                </c:pt>
                <c:pt idx="20">
                  <c:v>14500</c:v>
                </c:pt>
                <c:pt idx="21">
                  <c:v>10000</c:v>
                </c:pt>
                <c:pt idx="22">
                  <c:v>13520</c:v>
                </c:pt>
                <c:pt idx="23">
                  <c:v>23381</c:v>
                </c:pt>
                <c:pt idx="24">
                  <c:v>39793</c:v>
                </c:pt>
                <c:pt idx="25">
                  <c:v>19761</c:v>
                </c:pt>
                <c:pt idx="26">
                  <c:v>14845</c:v>
                </c:pt>
                <c:pt idx="27">
                  <c:v>12305</c:v>
                </c:pt>
                <c:pt idx="28">
                  <c:v>5624</c:v>
                </c:pt>
                <c:pt idx="29">
                  <c:v>16166</c:v>
                </c:pt>
              </c:numCache>
            </c:numRef>
          </c:val>
        </c:ser>
        <c:dLbls>
          <c:showLegendKey val="0"/>
          <c:showVal val="0"/>
          <c:showCatName val="0"/>
          <c:showSerName val="0"/>
          <c:showPercent val="0"/>
          <c:showBubbleSize val="0"/>
        </c:dLbls>
        <c:gapWidth val="219"/>
        <c:overlap val="-27"/>
        <c:axId val="277425232"/>
        <c:axId val="277425624"/>
      </c:barChart>
      <c:lineChart>
        <c:grouping val="standard"/>
        <c:varyColors val="0"/>
        <c:ser>
          <c:idx val="2"/>
          <c:order val="2"/>
          <c:tx>
            <c:strRef>
              <c:f>'[160405 Reforestation Needs by Year.xlsx]Sheet1'!$A$6</c:f>
              <c:strCache>
                <c:ptCount val="1"/>
                <c:pt idx="0">
                  <c:v>Cumulative Need</c:v>
                </c:pt>
              </c:strCache>
            </c:strRef>
          </c:tx>
          <c:spPr>
            <a:ln w="28575" cap="rnd">
              <a:solidFill>
                <a:srgbClr val="FF0000"/>
              </a:solidFill>
              <a:round/>
            </a:ln>
            <a:effectLst/>
          </c:spPr>
          <c:marker>
            <c:symbol val="none"/>
          </c:marker>
          <c:cat>
            <c:numRef>
              <c:f>'[160405 Reforestation Needs by Year.xlsx]Sheet1'!$B$3:$AE$3</c:f>
              <c:numCache>
                <c:formatCode>General</c:formatCode>
                <c:ptCount val="30"/>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numCache>
            </c:numRef>
          </c:cat>
          <c:val>
            <c:numRef>
              <c:f>'[160405 Reforestation Needs by Year.xlsx]Sheet1'!$B$6:$AE$6</c:f>
              <c:numCache>
                <c:formatCode>#,##0</c:formatCode>
                <c:ptCount val="30"/>
                <c:pt idx="0">
                  <c:v>78000</c:v>
                </c:pt>
                <c:pt idx="1">
                  <c:v>260000</c:v>
                </c:pt>
                <c:pt idx="2">
                  <c:v>456000</c:v>
                </c:pt>
                <c:pt idx="3">
                  <c:v>635000</c:v>
                </c:pt>
                <c:pt idx="4">
                  <c:v>707000</c:v>
                </c:pt>
                <c:pt idx="5">
                  <c:v>827000</c:v>
                </c:pt>
                <c:pt idx="6">
                  <c:v>955000</c:v>
                </c:pt>
                <c:pt idx="7">
                  <c:v>1068000</c:v>
                </c:pt>
                <c:pt idx="8">
                  <c:v>1189000</c:v>
                </c:pt>
                <c:pt idx="9">
                  <c:v>1301000</c:v>
                </c:pt>
                <c:pt idx="10">
                  <c:v>1408000</c:v>
                </c:pt>
                <c:pt idx="11">
                  <c:v>1502000</c:v>
                </c:pt>
                <c:pt idx="12">
                  <c:v>1590000</c:v>
                </c:pt>
                <c:pt idx="13">
                  <c:v>1692000</c:v>
                </c:pt>
                <c:pt idx="14">
                  <c:v>1756000</c:v>
                </c:pt>
                <c:pt idx="15">
                  <c:v>1866000</c:v>
                </c:pt>
                <c:pt idx="16">
                  <c:v>1928000</c:v>
                </c:pt>
                <c:pt idx="17">
                  <c:v>1998000</c:v>
                </c:pt>
                <c:pt idx="18">
                  <c:v>2066000</c:v>
                </c:pt>
                <c:pt idx="19">
                  <c:v>2141600</c:v>
                </c:pt>
                <c:pt idx="20">
                  <c:v>2201100</c:v>
                </c:pt>
                <c:pt idx="21">
                  <c:v>2327000</c:v>
                </c:pt>
                <c:pt idx="22">
                  <c:v>2495480</c:v>
                </c:pt>
                <c:pt idx="23">
                  <c:v>2620099</c:v>
                </c:pt>
                <c:pt idx="24">
                  <c:v>2703129</c:v>
                </c:pt>
                <c:pt idx="25">
                  <c:v>2791805</c:v>
                </c:pt>
                <c:pt idx="26">
                  <c:v>2904081</c:v>
                </c:pt>
                <c:pt idx="27">
                  <c:v>3020098</c:v>
                </c:pt>
                <c:pt idx="28">
                  <c:v>3242284</c:v>
                </c:pt>
                <c:pt idx="29">
                  <c:v>3456743</c:v>
                </c:pt>
              </c:numCache>
            </c:numRef>
          </c:val>
          <c:smooth val="0"/>
        </c:ser>
        <c:dLbls>
          <c:showLegendKey val="0"/>
          <c:showVal val="0"/>
          <c:showCatName val="0"/>
          <c:showSerName val="0"/>
          <c:showPercent val="0"/>
          <c:showBubbleSize val="0"/>
        </c:dLbls>
        <c:marker val="1"/>
        <c:smooth val="0"/>
        <c:axId val="277426016"/>
        <c:axId val="277428760"/>
      </c:lineChart>
      <c:catAx>
        <c:axId val="27742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277425624"/>
        <c:crosses val="autoZero"/>
        <c:auto val="1"/>
        <c:lblAlgn val="ctr"/>
        <c:lblOffset val="100"/>
        <c:noMultiLvlLbl val="0"/>
      </c:catAx>
      <c:valAx>
        <c:axId val="277425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Acres</a:t>
                </a:r>
              </a:p>
            </c:rich>
          </c:tx>
          <c:layout>
            <c:manualLayout>
              <c:xMode val="edge"/>
              <c:yMode val="edge"/>
              <c:x val="7.001500761742256E-3"/>
              <c:y val="0.454501255658708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277425232"/>
        <c:crosses val="autoZero"/>
        <c:crossBetween val="between"/>
      </c:valAx>
      <c:valAx>
        <c:axId val="277428760"/>
        <c:scaling>
          <c:orientation val="minMax"/>
        </c:scaling>
        <c:delete val="0"/>
        <c:axPos val="r"/>
        <c:numFmt formatCode="#,##0" sourceLinked="1"/>
        <c:majorTickMark val="out"/>
        <c:minorTickMark val="none"/>
        <c:tickLblPos val="nextTo"/>
        <c:spPr>
          <a:noFill/>
          <a:ln>
            <a:solidFill>
              <a:srgbClr val="FF0000"/>
            </a:solid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277426016"/>
        <c:crosses val="max"/>
        <c:crossBetween val="between"/>
      </c:valAx>
      <c:catAx>
        <c:axId val="277426016"/>
        <c:scaling>
          <c:orientation val="minMax"/>
        </c:scaling>
        <c:delete val="1"/>
        <c:axPos val="b"/>
        <c:numFmt formatCode="General" sourceLinked="1"/>
        <c:majorTickMark val="out"/>
        <c:minorTickMark val="none"/>
        <c:tickLblPos val="nextTo"/>
        <c:crossAx val="277428760"/>
        <c:crosses val="autoZero"/>
        <c:auto val="1"/>
        <c:lblAlgn val="ctr"/>
        <c:lblOffset val="100"/>
        <c:noMultiLvlLbl val="0"/>
      </c:catAx>
      <c:spPr>
        <a:noFill/>
        <a:ln>
          <a:noFill/>
        </a:ln>
        <a:effectLst/>
      </c:spPr>
    </c:plotArea>
    <c:legend>
      <c:legendPos val="b"/>
      <c:layout>
        <c:manualLayout>
          <c:xMode val="edge"/>
          <c:yMode val="edge"/>
          <c:x val="0.35364331468212773"/>
          <c:y val="0.9112831670332705"/>
          <c:w val="0.38187189192743848"/>
          <c:h val="5.0505612593478813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2E8A4-FC32-4012-8BFE-84EF51088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Calforests Letterhead Template</Template>
  <TotalTime>37</TotalTime>
  <Pages>25</Pages>
  <Words>3555</Words>
  <Characters>20269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CMB Design Partners</Company>
  <LinksUpToDate>false</LinksUpToDate>
  <CharactersWithSpaces>23777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Brink</dc:creator>
  <cp:lastModifiedBy>Steven Brink</cp:lastModifiedBy>
  <cp:revision>7</cp:revision>
  <cp:lastPrinted>2016-07-08T22:26:00Z</cp:lastPrinted>
  <dcterms:created xsi:type="dcterms:W3CDTF">2016-06-26T22:40:00Z</dcterms:created>
  <dcterms:modified xsi:type="dcterms:W3CDTF">2016-07-08T22:35:00Z</dcterms:modified>
</cp:coreProperties>
</file>