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E4" w:rsidRPr="003F1060" w:rsidRDefault="00AC1CF6" w:rsidP="00AC1CF6">
      <w:pPr>
        <w:jc w:val="center"/>
        <w:rPr>
          <w:rFonts w:ascii="Times New Roman" w:hAnsi="Times New Roman" w:cs="Times New Roman"/>
          <w:sz w:val="24"/>
          <w:szCs w:val="24"/>
        </w:rPr>
      </w:pPr>
      <w:bookmarkStart w:id="0" w:name="_GoBack"/>
      <w:bookmarkEnd w:id="0"/>
      <w:r w:rsidRPr="003F1060">
        <w:rPr>
          <w:rFonts w:ascii="Times New Roman" w:hAnsi="Times New Roman" w:cs="Times New Roman"/>
          <w:sz w:val="24"/>
          <w:szCs w:val="24"/>
        </w:rPr>
        <w:t>California Air Resource Board</w:t>
      </w:r>
    </w:p>
    <w:p w:rsidR="00AC1CF6" w:rsidRPr="003F1060" w:rsidRDefault="00AC1CF6" w:rsidP="00AC1CF6">
      <w:pPr>
        <w:jc w:val="center"/>
        <w:rPr>
          <w:rFonts w:ascii="Times New Roman" w:hAnsi="Times New Roman" w:cs="Times New Roman"/>
          <w:sz w:val="24"/>
          <w:szCs w:val="24"/>
        </w:rPr>
      </w:pPr>
      <w:r w:rsidRPr="003F1060">
        <w:rPr>
          <w:rFonts w:ascii="Times New Roman" w:hAnsi="Times New Roman" w:cs="Times New Roman"/>
          <w:sz w:val="24"/>
          <w:szCs w:val="24"/>
        </w:rPr>
        <w:t>Potential Amendments to the</w:t>
      </w:r>
      <w:r w:rsidR="00201867" w:rsidRPr="003F1060">
        <w:rPr>
          <w:rFonts w:ascii="Times New Roman" w:hAnsi="Times New Roman" w:cs="Times New Roman"/>
          <w:sz w:val="24"/>
          <w:szCs w:val="24"/>
        </w:rPr>
        <w:t xml:space="preserve"> Regulations Governing Greenhouse Gas Emissions and Market-Based Compliance Mechanisms</w:t>
      </w:r>
    </w:p>
    <w:p w:rsidR="00201867" w:rsidRPr="003F1060" w:rsidRDefault="00201867" w:rsidP="00AC1CF6">
      <w:pPr>
        <w:jc w:val="center"/>
        <w:rPr>
          <w:rFonts w:ascii="Times New Roman" w:hAnsi="Times New Roman" w:cs="Times New Roman"/>
          <w:sz w:val="24"/>
          <w:szCs w:val="24"/>
        </w:rPr>
      </w:pPr>
      <w:r w:rsidRPr="003F1060">
        <w:rPr>
          <w:rFonts w:ascii="Times New Roman" w:hAnsi="Times New Roman" w:cs="Times New Roman"/>
          <w:sz w:val="24"/>
          <w:szCs w:val="24"/>
        </w:rPr>
        <w:t>Discussion Draft Issued January 31, 2014</w:t>
      </w:r>
    </w:p>
    <w:p w:rsidR="00201867" w:rsidRPr="003F1060" w:rsidRDefault="00201867" w:rsidP="00AC1CF6">
      <w:pPr>
        <w:jc w:val="center"/>
        <w:rPr>
          <w:rFonts w:ascii="Times New Roman" w:hAnsi="Times New Roman" w:cs="Times New Roman"/>
          <w:sz w:val="24"/>
          <w:szCs w:val="24"/>
        </w:rPr>
      </w:pPr>
      <w:proofErr w:type="gramStart"/>
      <w:r w:rsidRPr="003F1060">
        <w:rPr>
          <w:rFonts w:ascii="Times New Roman" w:hAnsi="Times New Roman" w:cs="Times New Roman"/>
          <w:sz w:val="24"/>
          <w:szCs w:val="24"/>
        </w:rPr>
        <w:t>Comments of Morgan Stanley Capital Group Inc.</w:t>
      </w:r>
      <w:proofErr w:type="gramEnd"/>
    </w:p>
    <w:p w:rsidR="00201867" w:rsidRPr="003F1060" w:rsidRDefault="00201867" w:rsidP="00201867">
      <w:pPr>
        <w:rPr>
          <w:rFonts w:ascii="Times New Roman" w:hAnsi="Times New Roman" w:cs="Times New Roman"/>
          <w:sz w:val="24"/>
          <w:szCs w:val="24"/>
        </w:rPr>
      </w:pPr>
    </w:p>
    <w:p w:rsidR="00201867" w:rsidRPr="003F1060" w:rsidRDefault="00201867" w:rsidP="00201867">
      <w:pPr>
        <w:rPr>
          <w:rFonts w:ascii="Times New Roman" w:hAnsi="Times New Roman" w:cs="Times New Roman"/>
          <w:sz w:val="24"/>
          <w:szCs w:val="24"/>
        </w:rPr>
      </w:pPr>
      <w:r w:rsidRPr="003F1060">
        <w:rPr>
          <w:rFonts w:ascii="Times New Roman" w:hAnsi="Times New Roman" w:cs="Times New Roman"/>
          <w:sz w:val="24"/>
          <w:szCs w:val="24"/>
        </w:rPr>
        <w:tab/>
        <w:t>Morgan Stanley Capital Group Inc. (MSCG) appreciates the opportunity to submit these comments on proposed changes to the Cap-and-Trade regulation, issued for discussion on January 31, 2014. These comments address only the incremental changes from the proposal reviewed by the Air Resource</w:t>
      </w:r>
      <w:r w:rsidR="00E70D3E">
        <w:rPr>
          <w:rFonts w:ascii="Times New Roman" w:hAnsi="Times New Roman" w:cs="Times New Roman"/>
          <w:sz w:val="24"/>
          <w:szCs w:val="24"/>
        </w:rPr>
        <w:t>s</w:t>
      </w:r>
      <w:r w:rsidRPr="003F1060">
        <w:rPr>
          <w:rFonts w:ascii="Times New Roman" w:hAnsi="Times New Roman" w:cs="Times New Roman"/>
          <w:sz w:val="24"/>
          <w:szCs w:val="24"/>
        </w:rPr>
        <w:t xml:space="preserve"> Board at its meeting on October 25, 2013. Comments previously made on proposed changes in that version, as a general matter, still represent the views of MSCG, except where the incremental changes of 1/31 are responsive to, or otherwise change the relevance of those prior comments. For any follow-up communication, please contact Steve Huhman at (914) 225-1592, or via e-mail at </w:t>
      </w:r>
      <w:hyperlink r:id="rId7" w:history="1">
        <w:r w:rsidR="00C141A7" w:rsidRPr="003F1060">
          <w:rPr>
            <w:rStyle w:val="Hyperlink"/>
            <w:rFonts w:ascii="Times New Roman" w:hAnsi="Times New Roman" w:cs="Times New Roman"/>
            <w:sz w:val="24"/>
            <w:szCs w:val="24"/>
          </w:rPr>
          <w:t>Steven.Huhman@morganstanley.com</w:t>
        </w:r>
      </w:hyperlink>
      <w:r w:rsidRPr="003F1060">
        <w:rPr>
          <w:rFonts w:ascii="Times New Roman" w:hAnsi="Times New Roman" w:cs="Times New Roman"/>
          <w:sz w:val="24"/>
          <w:szCs w:val="24"/>
        </w:rPr>
        <w:t>.</w:t>
      </w:r>
    </w:p>
    <w:p w:rsidR="00C141A7" w:rsidRPr="003F1060" w:rsidRDefault="00C141A7" w:rsidP="00201867">
      <w:pPr>
        <w:rPr>
          <w:rFonts w:ascii="Times New Roman" w:hAnsi="Times New Roman" w:cs="Times New Roman"/>
          <w:sz w:val="24"/>
          <w:szCs w:val="24"/>
        </w:rPr>
      </w:pPr>
    </w:p>
    <w:p w:rsidR="00C141A7" w:rsidRPr="003F1060" w:rsidRDefault="00F33CBA" w:rsidP="00F33CBA">
      <w:pPr>
        <w:pStyle w:val="ListParagraph"/>
        <w:numPr>
          <w:ilvl w:val="0"/>
          <w:numId w:val="2"/>
        </w:numPr>
        <w:rPr>
          <w:rFonts w:ascii="Times New Roman" w:hAnsi="Times New Roman" w:cs="Times New Roman"/>
          <w:sz w:val="24"/>
          <w:szCs w:val="24"/>
        </w:rPr>
      </w:pPr>
      <w:r w:rsidRPr="003F1060">
        <w:rPr>
          <w:rFonts w:ascii="Times New Roman" w:hAnsi="Times New Roman" w:cs="Times New Roman"/>
          <w:sz w:val="24"/>
          <w:szCs w:val="24"/>
        </w:rPr>
        <w:t xml:space="preserve">With regard to the new defined term, “Expected Termination Date”, MSCG finds </w:t>
      </w:r>
      <w:r w:rsidR="00732471">
        <w:rPr>
          <w:rFonts w:ascii="Times New Roman" w:hAnsi="Times New Roman" w:cs="Times New Roman"/>
          <w:sz w:val="24"/>
          <w:szCs w:val="24"/>
        </w:rPr>
        <w:t>confusi</w:t>
      </w:r>
      <w:r w:rsidRPr="003F1060">
        <w:rPr>
          <w:rFonts w:ascii="Times New Roman" w:hAnsi="Times New Roman" w:cs="Times New Roman"/>
          <w:sz w:val="24"/>
          <w:szCs w:val="24"/>
        </w:rPr>
        <w:t>n</w:t>
      </w:r>
      <w:r w:rsidR="00732471">
        <w:rPr>
          <w:rFonts w:ascii="Times New Roman" w:hAnsi="Times New Roman" w:cs="Times New Roman"/>
          <w:sz w:val="24"/>
          <w:szCs w:val="24"/>
        </w:rPr>
        <w:t>g the interaction of</w:t>
      </w:r>
      <w:r w:rsidRPr="003F1060">
        <w:rPr>
          <w:rFonts w:ascii="Times New Roman" w:hAnsi="Times New Roman" w:cs="Times New Roman"/>
          <w:sz w:val="24"/>
          <w:szCs w:val="24"/>
        </w:rPr>
        <w:t xml:space="preserve"> this new term with the term “Termination Date”. We appreciate ARB</w:t>
      </w:r>
      <w:r w:rsidR="00732471">
        <w:rPr>
          <w:rFonts w:ascii="Times New Roman" w:hAnsi="Times New Roman" w:cs="Times New Roman"/>
          <w:sz w:val="24"/>
          <w:szCs w:val="24"/>
        </w:rPr>
        <w:t>’s efforts</w:t>
      </w:r>
      <w:r w:rsidRPr="003F1060">
        <w:rPr>
          <w:rFonts w:ascii="Times New Roman" w:hAnsi="Times New Roman" w:cs="Times New Roman"/>
          <w:sz w:val="24"/>
          <w:szCs w:val="24"/>
        </w:rPr>
        <w:t xml:space="preserve"> to better define and clarify reporting requirements, and to create reporting requirements that better match commercial practices</w:t>
      </w:r>
      <w:r w:rsidR="00732471">
        <w:rPr>
          <w:rFonts w:ascii="Times New Roman" w:hAnsi="Times New Roman" w:cs="Times New Roman"/>
          <w:sz w:val="24"/>
          <w:szCs w:val="24"/>
        </w:rPr>
        <w:t>, and we</w:t>
      </w:r>
      <w:r w:rsidRPr="003F1060">
        <w:rPr>
          <w:rFonts w:ascii="Times New Roman" w:hAnsi="Times New Roman" w:cs="Times New Roman"/>
          <w:sz w:val="24"/>
          <w:szCs w:val="24"/>
        </w:rPr>
        <w:t xml:space="preserve"> </w:t>
      </w:r>
      <w:r w:rsidR="00987ABE">
        <w:rPr>
          <w:rFonts w:ascii="Times New Roman" w:hAnsi="Times New Roman" w:cs="Times New Roman"/>
          <w:sz w:val="24"/>
          <w:szCs w:val="24"/>
        </w:rPr>
        <w:t>presume</w:t>
      </w:r>
      <w:r w:rsidRPr="003F1060">
        <w:rPr>
          <w:rFonts w:ascii="Times New Roman" w:hAnsi="Times New Roman" w:cs="Times New Roman"/>
          <w:sz w:val="24"/>
          <w:szCs w:val="24"/>
        </w:rPr>
        <w:t xml:space="preserve"> that </w:t>
      </w:r>
      <w:r w:rsidR="00732471">
        <w:rPr>
          <w:rFonts w:ascii="Times New Roman" w:hAnsi="Times New Roman" w:cs="Times New Roman"/>
          <w:sz w:val="24"/>
          <w:szCs w:val="24"/>
        </w:rPr>
        <w:t>ARB’s revision is in this spirit</w:t>
      </w:r>
      <w:r w:rsidRPr="003F1060">
        <w:rPr>
          <w:rFonts w:ascii="Times New Roman" w:hAnsi="Times New Roman" w:cs="Times New Roman"/>
          <w:sz w:val="24"/>
          <w:szCs w:val="24"/>
        </w:rPr>
        <w:t xml:space="preserve">. </w:t>
      </w:r>
      <w:r w:rsidR="00732471">
        <w:rPr>
          <w:rFonts w:ascii="Times New Roman" w:hAnsi="Times New Roman" w:cs="Times New Roman"/>
          <w:sz w:val="24"/>
          <w:szCs w:val="24"/>
        </w:rPr>
        <w:t>However</w:t>
      </w:r>
      <w:r w:rsidRPr="003F1060">
        <w:rPr>
          <w:rFonts w:ascii="Times New Roman" w:hAnsi="Times New Roman" w:cs="Times New Roman"/>
          <w:sz w:val="24"/>
          <w:szCs w:val="24"/>
        </w:rPr>
        <w:t xml:space="preserve">, it is </w:t>
      </w:r>
      <w:r w:rsidR="00732471">
        <w:rPr>
          <w:rFonts w:ascii="Times New Roman" w:hAnsi="Times New Roman" w:cs="Times New Roman"/>
          <w:sz w:val="24"/>
          <w:szCs w:val="24"/>
        </w:rPr>
        <w:t>un</w:t>
      </w:r>
      <w:r w:rsidRPr="003F1060">
        <w:rPr>
          <w:rFonts w:ascii="Times New Roman" w:hAnsi="Times New Roman" w:cs="Times New Roman"/>
          <w:sz w:val="24"/>
          <w:szCs w:val="24"/>
        </w:rPr>
        <w:t xml:space="preserve">clear how an “expected” termination date differs from a simple Termination Date.  Typically, we would think that the “expected” termination date is the contractual termination date. Is the new term intended to describe a situation where no termination date is contractually specified, and the ARB desires the submitter to estimate such a date? Some additional clarification of the underlying intent behind two so nearly identical terms, without an obvious distinction of when each applies, would be appreciated. </w:t>
      </w:r>
    </w:p>
    <w:p w:rsidR="00C361C5" w:rsidRPr="003F1060" w:rsidRDefault="00C361C5" w:rsidP="00F33CBA">
      <w:pPr>
        <w:pStyle w:val="ListParagraph"/>
        <w:numPr>
          <w:ilvl w:val="0"/>
          <w:numId w:val="2"/>
        </w:numPr>
        <w:rPr>
          <w:rFonts w:ascii="Times New Roman" w:hAnsi="Times New Roman" w:cs="Times New Roman"/>
          <w:color w:val="000000" w:themeColor="text1"/>
          <w:sz w:val="24"/>
          <w:szCs w:val="24"/>
        </w:rPr>
      </w:pPr>
      <w:r w:rsidRPr="003F1060">
        <w:rPr>
          <w:rFonts w:ascii="Times New Roman" w:hAnsi="Times New Roman" w:cs="Times New Roman"/>
          <w:color w:val="000000" w:themeColor="text1"/>
          <w:sz w:val="24"/>
          <w:szCs w:val="24"/>
        </w:rPr>
        <w:t>MSCG appreciates ARB</w:t>
      </w:r>
      <w:r w:rsidR="00732471">
        <w:rPr>
          <w:rFonts w:ascii="Times New Roman" w:hAnsi="Times New Roman" w:cs="Times New Roman"/>
          <w:color w:val="000000" w:themeColor="text1"/>
          <w:sz w:val="24"/>
          <w:szCs w:val="24"/>
        </w:rPr>
        <w:t>’s</w:t>
      </w:r>
      <w:r w:rsidRPr="003F1060">
        <w:rPr>
          <w:rFonts w:ascii="Times New Roman" w:hAnsi="Times New Roman" w:cs="Times New Roman"/>
          <w:color w:val="000000" w:themeColor="text1"/>
          <w:sz w:val="24"/>
          <w:szCs w:val="24"/>
        </w:rPr>
        <w:t xml:space="preserve"> responsive</w:t>
      </w:r>
      <w:r w:rsidR="00732471">
        <w:rPr>
          <w:rFonts w:ascii="Times New Roman" w:hAnsi="Times New Roman" w:cs="Times New Roman"/>
          <w:color w:val="000000" w:themeColor="text1"/>
          <w:sz w:val="24"/>
          <w:szCs w:val="24"/>
        </w:rPr>
        <w:t>ness</w:t>
      </w:r>
      <w:r w:rsidRPr="003F1060">
        <w:rPr>
          <w:rFonts w:ascii="Times New Roman" w:hAnsi="Times New Roman" w:cs="Times New Roman"/>
          <w:color w:val="000000" w:themeColor="text1"/>
          <w:sz w:val="24"/>
          <w:szCs w:val="24"/>
        </w:rPr>
        <w:t xml:space="preserve"> to prior comments about the overreach of requirements for registration of an organization’s employees who have knowledge of Allowance transactions and rel</w:t>
      </w:r>
      <w:r w:rsidR="00E70D3E">
        <w:rPr>
          <w:rFonts w:ascii="Times New Roman" w:hAnsi="Times New Roman" w:cs="Times New Roman"/>
          <w:color w:val="000000" w:themeColor="text1"/>
          <w:sz w:val="24"/>
          <w:szCs w:val="24"/>
        </w:rPr>
        <w:t>ated information, as described i</w:t>
      </w:r>
      <w:r w:rsidRPr="003F1060">
        <w:rPr>
          <w:rFonts w:ascii="Times New Roman" w:hAnsi="Times New Roman" w:cs="Times New Roman"/>
          <w:color w:val="000000" w:themeColor="text1"/>
          <w:sz w:val="24"/>
          <w:szCs w:val="24"/>
        </w:rPr>
        <w:t>n Section 9583</w:t>
      </w:r>
      <w:r w:rsidR="006373FA" w:rsidRPr="003F1060">
        <w:rPr>
          <w:rFonts w:ascii="Times New Roman" w:hAnsi="Times New Roman" w:cs="Times New Roman"/>
          <w:color w:val="000000" w:themeColor="text1"/>
          <w:sz w:val="24"/>
          <w:szCs w:val="24"/>
        </w:rPr>
        <w:t>0</w:t>
      </w:r>
      <w:r w:rsidRPr="003F1060">
        <w:rPr>
          <w:rFonts w:ascii="Times New Roman" w:hAnsi="Times New Roman" w:cs="Times New Roman"/>
          <w:color w:val="000000" w:themeColor="text1"/>
          <w:sz w:val="24"/>
          <w:szCs w:val="24"/>
        </w:rPr>
        <w:t>(C)(1)(I)</w:t>
      </w:r>
      <w:r w:rsidR="006373FA" w:rsidRPr="003F1060">
        <w:rPr>
          <w:rFonts w:ascii="Times New Roman" w:hAnsi="Times New Roman" w:cs="Times New Roman"/>
          <w:color w:val="000000" w:themeColor="text1"/>
          <w:sz w:val="24"/>
          <w:szCs w:val="24"/>
        </w:rPr>
        <w:t>. The revised language appears to have substantially eliminated the need to register people with ca</w:t>
      </w:r>
      <w:r w:rsidR="00E70D3E">
        <w:rPr>
          <w:rFonts w:ascii="Times New Roman" w:hAnsi="Times New Roman" w:cs="Times New Roman"/>
          <w:color w:val="000000" w:themeColor="text1"/>
          <w:sz w:val="24"/>
          <w:szCs w:val="24"/>
        </w:rPr>
        <w:t>s</w:t>
      </w:r>
      <w:r w:rsidR="006373FA" w:rsidRPr="003F1060">
        <w:rPr>
          <w:rFonts w:ascii="Times New Roman" w:hAnsi="Times New Roman" w:cs="Times New Roman"/>
          <w:color w:val="000000" w:themeColor="text1"/>
          <w:sz w:val="24"/>
          <w:szCs w:val="24"/>
        </w:rPr>
        <w:t xml:space="preserve">ual or incidental knowledge of such transactions. This is a major improvement. Some concern remains, however, with regard to the term “review”. Does ARB intend this to mean any person who simply is authorized to “look at”, the various holding, compliance, </w:t>
      </w:r>
      <w:r w:rsidR="00E70D3E">
        <w:rPr>
          <w:rFonts w:ascii="Times New Roman" w:hAnsi="Times New Roman" w:cs="Times New Roman"/>
          <w:color w:val="000000" w:themeColor="text1"/>
          <w:sz w:val="24"/>
          <w:szCs w:val="24"/>
        </w:rPr>
        <w:t>etc.</w:t>
      </w:r>
      <w:r w:rsidR="006373FA" w:rsidRPr="003F1060">
        <w:rPr>
          <w:rFonts w:ascii="Times New Roman" w:hAnsi="Times New Roman" w:cs="Times New Roman"/>
          <w:color w:val="000000" w:themeColor="text1"/>
          <w:sz w:val="24"/>
          <w:szCs w:val="24"/>
        </w:rPr>
        <w:t xml:space="preserve"> accounts? Or is “review” in this context intended to capture someone who “reviews” a transaction in the sense of approving it for execution?  MSCG reiterate</w:t>
      </w:r>
      <w:r w:rsidR="00732471">
        <w:rPr>
          <w:rFonts w:ascii="Times New Roman" w:hAnsi="Times New Roman" w:cs="Times New Roman"/>
          <w:color w:val="000000" w:themeColor="text1"/>
          <w:sz w:val="24"/>
          <w:szCs w:val="24"/>
        </w:rPr>
        <w:t>s</w:t>
      </w:r>
      <w:r w:rsidR="006373FA" w:rsidRPr="003F1060">
        <w:rPr>
          <w:rFonts w:ascii="Times New Roman" w:hAnsi="Times New Roman" w:cs="Times New Roman"/>
          <w:color w:val="000000" w:themeColor="text1"/>
          <w:sz w:val="24"/>
          <w:szCs w:val="24"/>
        </w:rPr>
        <w:t xml:space="preserve"> its concern about the administrative </w:t>
      </w:r>
      <w:r w:rsidR="006373FA" w:rsidRPr="003F1060">
        <w:rPr>
          <w:rFonts w:ascii="Times New Roman" w:hAnsi="Times New Roman" w:cs="Times New Roman"/>
          <w:color w:val="000000" w:themeColor="text1"/>
          <w:sz w:val="24"/>
          <w:szCs w:val="24"/>
        </w:rPr>
        <w:lastRenderedPageBreak/>
        <w:t>burden imposed by requiring registration of more pe</w:t>
      </w:r>
      <w:r w:rsidR="00732471">
        <w:rPr>
          <w:rFonts w:ascii="Times New Roman" w:hAnsi="Times New Roman" w:cs="Times New Roman"/>
          <w:color w:val="000000" w:themeColor="text1"/>
          <w:sz w:val="24"/>
          <w:szCs w:val="24"/>
        </w:rPr>
        <w:t>rsonnel</w:t>
      </w:r>
      <w:r w:rsidR="006373FA" w:rsidRPr="003F1060">
        <w:rPr>
          <w:rFonts w:ascii="Times New Roman" w:hAnsi="Times New Roman" w:cs="Times New Roman"/>
          <w:color w:val="000000" w:themeColor="text1"/>
          <w:sz w:val="24"/>
          <w:szCs w:val="24"/>
        </w:rPr>
        <w:t xml:space="preserve"> than absolutely necessary, and advocates that th</w:t>
      </w:r>
      <w:r w:rsidR="00732471">
        <w:rPr>
          <w:rFonts w:ascii="Times New Roman" w:hAnsi="Times New Roman" w:cs="Times New Roman"/>
          <w:color w:val="000000" w:themeColor="text1"/>
          <w:sz w:val="24"/>
          <w:szCs w:val="24"/>
        </w:rPr>
        <w:t>e individuals deemed</w:t>
      </w:r>
      <w:r w:rsidR="006373FA" w:rsidRPr="003F1060">
        <w:rPr>
          <w:rFonts w:ascii="Times New Roman" w:hAnsi="Times New Roman" w:cs="Times New Roman"/>
          <w:color w:val="000000" w:themeColor="text1"/>
          <w:sz w:val="24"/>
          <w:szCs w:val="24"/>
        </w:rPr>
        <w:t xml:space="preserve"> “necessary” should only be those authorized to transact in the relevant accounts. To the extent ARB is not willing to </w:t>
      </w:r>
      <w:r w:rsidR="00732471">
        <w:rPr>
          <w:rFonts w:ascii="Times New Roman" w:hAnsi="Times New Roman" w:cs="Times New Roman"/>
          <w:color w:val="000000" w:themeColor="text1"/>
          <w:sz w:val="24"/>
          <w:szCs w:val="24"/>
        </w:rPr>
        <w:t xml:space="preserve">so </w:t>
      </w:r>
      <w:r w:rsidR="006373FA" w:rsidRPr="003F1060">
        <w:rPr>
          <w:rFonts w:ascii="Times New Roman" w:hAnsi="Times New Roman" w:cs="Times New Roman"/>
          <w:color w:val="000000" w:themeColor="text1"/>
          <w:sz w:val="24"/>
          <w:szCs w:val="24"/>
        </w:rPr>
        <w:t xml:space="preserve">restrict registration requirements, we would urge </w:t>
      </w:r>
      <w:r w:rsidR="00732471">
        <w:rPr>
          <w:rFonts w:ascii="Times New Roman" w:hAnsi="Times New Roman" w:cs="Times New Roman"/>
          <w:color w:val="000000" w:themeColor="text1"/>
          <w:sz w:val="24"/>
          <w:szCs w:val="24"/>
        </w:rPr>
        <w:t>ARB</w:t>
      </w:r>
      <w:r w:rsidR="006373FA" w:rsidRPr="003F1060">
        <w:rPr>
          <w:rFonts w:ascii="Times New Roman" w:hAnsi="Times New Roman" w:cs="Times New Roman"/>
          <w:color w:val="000000" w:themeColor="text1"/>
          <w:sz w:val="24"/>
          <w:szCs w:val="24"/>
        </w:rPr>
        <w:t xml:space="preserve"> to only </w:t>
      </w:r>
      <w:r w:rsidR="00732471">
        <w:rPr>
          <w:rFonts w:ascii="Times New Roman" w:hAnsi="Times New Roman" w:cs="Times New Roman"/>
          <w:color w:val="000000" w:themeColor="text1"/>
          <w:sz w:val="24"/>
          <w:szCs w:val="24"/>
        </w:rPr>
        <w:t>include</w:t>
      </w:r>
      <w:r w:rsidR="006373FA" w:rsidRPr="003F1060">
        <w:rPr>
          <w:rFonts w:ascii="Times New Roman" w:hAnsi="Times New Roman" w:cs="Times New Roman"/>
          <w:color w:val="000000" w:themeColor="text1"/>
          <w:sz w:val="24"/>
          <w:szCs w:val="24"/>
        </w:rPr>
        <w:t xml:space="preserve"> those who “review” transactions in the sense of having some approval or decision making authority over transactions, and not include those who merely “see” transactions or data. Last but not least, whatever ARB decides, we request that the intent behind “review” be clarified.</w:t>
      </w:r>
    </w:p>
    <w:p w:rsidR="00C21568" w:rsidRPr="003F1060" w:rsidRDefault="009D0305" w:rsidP="00C21568">
      <w:pPr>
        <w:pStyle w:val="ListParagraph"/>
        <w:numPr>
          <w:ilvl w:val="0"/>
          <w:numId w:val="2"/>
        </w:numPr>
        <w:rPr>
          <w:rFonts w:ascii="Times New Roman" w:hAnsi="Times New Roman" w:cs="Times New Roman"/>
          <w:sz w:val="24"/>
          <w:szCs w:val="24"/>
        </w:rPr>
      </w:pPr>
      <w:r w:rsidRPr="003F1060">
        <w:rPr>
          <w:rFonts w:ascii="Times New Roman" w:hAnsi="Times New Roman" w:cs="Times New Roman"/>
          <w:sz w:val="24"/>
          <w:szCs w:val="24"/>
        </w:rPr>
        <w:t>In Section 95912(d)(4)(E), covering requirements to maintain auction participation eligibility</w:t>
      </w:r>
      <w:r w:rsidR="00987ABE">
        <w:rPr>
          <w:rFonts w:ascii="Times New Roman" w:hAnsi="Times New Roman" w:cs="Times New Roman"/>
          <w:sz w:val="24"/>
          <w:szCs w:val="24"/>
        </w:rPr>
        <w:t>,</w:t>
      </w:r>
      <w:r w:rsidRPr="003F1060">
        <w:rPr>
          <w:rFonts w:ascii="Times New Roman" w:hAnsi="Times New Roman" w:cs="Times New Roman"/>
          <w:sz w:val="24"/>
          <w:szCs w:val="24"/>
        </w:rPr>
        <w:t xml:space="preserve"> ARB proposes to require “</w:t>
      </w:r>
      <w:r w:rsidR="00732471">
        <w:rPr>
          <w:rFonts w:ascii="Times New Roman" w:hAnsi="Times New Roman" w:cs="Times New Roman"/>
          <w:sz w:val="24"/>
          <w:szCs w:val="24"/>
        </w:rPr>
        <w:t>a</w:t>
      </w:r>
      <w:r w:rsidRPr="003F1060">
        <w:rPr>
          <w:rFonts w:ascii="Times New Roman" w:hAnsi="Times New Roman" w:cs="Times New Roman"/>
          <w:sz w:val="24"/>
          <w:szCs w:val="24"/>
        </w:rPr>
        <w:t>n attestation disclosing the existence and status of any ongoing investigation or an investigation that has occurred within the last ten years with respect to any alleged violation of any rule, regulation, or law associated with any commodity, securities or financial market…”. MSCG appreciates that ARB has a legitimate interest in monitoring</w:t>
      </w:r>
      <w:r w:rsidR="009C43C2" w:rsidRPr="003F1060">
        <w:rPr>
          <w:rFonts w:ascii="Times New Roman" w:hAnsi="Times New Roman" w:cs="Times New Roman"/>
          <w:sz w:val="24"/>
          <w:szCs w:val="24"/>
        </w:rPr>
        <w:t xml:space="preserve"> the reputation and trustworthiness of participants in its markets. It is, however, </w:t>
      </w:r>
      <w:r w:rsidR="00732471">
        <w:rPr>
          <w:rFonts w:ascii="Times New Roman" w:hAnsi="Times New Roman" w:cs="Times New Roman"/>
          <w:sz w:val="24"/>
          <w:szCs w:val="24"/>
        </w:rPr>
        <w:t xml:space="preserve">commonplace for market participants like MSCG to be subject to a variety of investigations (both formal and informal), data requests, settlement discussions and the like. This is due to both </w:t>
      </w:r>
      <w:r w:rsidR="009C43C2" w:rsidRPr="003F1060">
        <w:rPr>
          <w:rFonts w:ascii="Times New Roman" w:hAnsi="Times New Roman" w:cs="Times New Roman"/>
          <w:sz w:val="24"/>
          <w:szCs w:val="24"/>
        </w:rPr>
        <w:t>the large number of regulatory bodies with oversight over our various business areas, and the multitude of complex regulations in force</w:t>
      </w:r>
      <w:r w:rsidR="00732471">
        <w:rPr>
          <w:rFonts w:ascii="Times New Roman" w:hAnsi="Times New Roman" w:cs="Times New Roman"/>
          <w:sz w:val="24"/>
          <w:szCs w:val="24"/>
        </w:rPr>
        <w:t>. Moreover, such investigations may not necessarily be (and often may never become) public. T</w:t>
      </w:r>
      <w:r w:rsidR="009C43C2" w:rsidRPr="003F1060">
        <w:rPr>
          <w:rFonts w:ascii="Times New Roman" w:hAnsi="Times New Roman" w:cs="Times New Roman"/>
          <w:sz w:val="24"/>
          <w:szCs w:val="24"/>
        </w:rPr>
        <w:t xml:space="preserve">he </w:t>
      </w:r>
      <w:r w:rsidR="00732471">
        <w:rPr>
          <w:rFonts w:ascii="Times New Roman" w:hAnsi="Times New Roman" w:cs="Times New Roman"/>
          <w:sz w:val="24"/>
          <w:szCs w:val="24"/>
        </w:rPr>
        <w:t>breadth of the proposed requirement, however, creates</w:t>
      </w:r>
      <w:r w:rsidR="009C43C2" w:rsidRPr="003F1060">
        <w:rPr>
          <w:rFonts w:ascii="Times New Roman" w:hAnsi="Times New Roman" w:cs="Times New Roman"/>
          <w:sz w:val="24"/>
          <w:szCs w:val="24"/>
        </w:rPr>
        <w:t xml:space="preserve"> administrative burden</w:t>
      </w:r>
      <w:r w:rsidR="00732471">
        <w:rPr>
          <w:rFonts w:ascii="Times New Roman" w:hAnsi="Times New Roman" w:cs="Times New Roman"/>
          <w:sz w:val="24"/>
          <w:szCs w:val="24"/>
        </w:rPr>
        <w:t>s</w:t>
      </w:r>
      <w:r w:rsidR="009C43C2" w:rsidRPr="003F1060">
        <w:rPr>
          <w:rFonts w:ascii="Times New Roman" w:hAnsi="Times New Roman" w:cs="Times New Roman"/>
          <w:sz w:val="24"/>
          <w:szCs w:val="24"/>
        </w:rPr>
        <w:t xml:space="preserve"> that we do not believe </w:t>
      </w:r>
      <w:r w:rsidR="00732471">
        <w:rPr>
          <w:rFonts w:ascii="Times New Roman" w:hAnsi="Times New Roman" w:cs="Times New Roman"/>
          <w:sz w:val="24"/>
          <w:szCs w:val="24"/>
        </w:rPr>
        <w:t>are</w:t>
      </w:r>
      <w:r w:rsidR="009C43C2" w:rsidRPr="003F1060">
        <w:rPr>
          <w:rFonts w:ascii="Times New Roman" w:hAnsi="Times New Roman" w:cs="Times New Roman"/>
          <w:sz w:val="24"/>
          <w:szCs w:val="24"/>
        </w:rPr>
        <w:t xml:space="preserve"> commensurate with the risk posed to ARB markets. </w:t>
      </w:r>
      <w:r w:rsidR="00732471">
        <w:rPr>
          <w:rFonts w:ascii="Times New Roman" w:hAnsi="Times New Roman" w:cs="Times New Roman"/>
          <w:sz w:val="24"/>
          <w:szCs w:val="24"/>
        </w:rPr>
        <w:t>For that reason, MSCG suggests that the requirement be revised to require disclosures of only those matters that are matters of public record, or if not previously disclosed, those matters where the agency initiating the matter has not expressly required MSCG to maintain the confidence of the matter. This approach is co</w:t>
      </w:r>
      <w:r w:rsidR="00987ABE">
        <w:rPr>
          <w:rFonts w:ascii="Times New Roman" w:hAnsi="Times New Roman" w:cs="Times New Roman"/>
          <w:sz w:val="24"/>
          <w:szCs w:val="24"/>
        </w:rPr>
        <w:t>nsistent</w:t>
      </w:r>
      <w:r w:rsidR="00732471">
        <w:rPr>
          <w:rFonts w:ascii="Times New Roman" w:hAnsi="Times New Roman" w:cs="Times New Roman"/>
          <w:sz w:val="24"/>
          <w:szCs w:val="24"/>
        </w:rPr>
        <w:t xml:space="preserve"> with other requests typically promulgated by sponsors of Requests for Proposals in many markets.</w:t>
      </w:r>
    </w:p>
    <w:p w:rsidR="003F1060" w:rsidRDefault="003F1060" w:rsidP="00C21568">
      <w:pPr>
        <w:pStyle w:val="ListParagraph"/>
        <w:numPr>
          <w:ilvl w:val="0"/>
          <w:numId w:val="2"/>
        </w:numPr>
        <w:rPr>
          <w:rFonts w:ascii="Times New Roman" w:hAnsi="Times New Roman" w:cs="Times New Roman"/>
          <w:sz w:val="24"/>
          <w:szCs w:val="24"/>
        </w:rPr>
      </w:pPr>
      <w:r w:rsidRPr="003F1060">
        <w:rPr>
          <w:rFonts w:ascii="Times New Roman" w:hAnsi="Times New Roman" w:cs="Times New Roman"/>
          <w:sz w:val="24"/>
          <w:szCs w:val="24"/>
        </w:rPr>
        <w:t xml:space="preserve">With regard to Section 95921(a)(3), the proposed new language establishing a violation and </w:t>
      </w:r>
      <w:r w:rsidR="00732471">
        <w:rPr>
          <w:rFonts w:ascii="Times New Roman" w:hAnsi="Times New Roman" w:cs="Times New Roman"/>
          <w:sz w:val="24"/>
          <w:szCs w:val="24"/>
        </w:rPr>
        <w:t xml:space="preserve">authorizing </w:t>
      </w:r>
      <w:r w:rsidRPr="003F1060">
        <w:rPr>
          <w:rFonts w:ascii="Times New Roman" w:hAnsi="Times New Roman" w:cs="Times New Roman"/>
          <w:sz w:val="24"/>
          <w:szCs w:val="24"/>
        </w:rPr>
        <w:t>penalties for transactions not completed after three days f</w:t>
      </w:r>
      <w:r w:rsidR="00E70D3E">
        <w:rPr>
          <w:rFonts w:ascii="Times New Roman" w:hAnsi="Times New Roman" w:cs="Times New Roman"/>
          <w:sz w:val="24"/>
          <w:szCs w:val="24"/>
        </w:rPr>
        <w:t>rom</w:t>
      </w:r>
      <w:r w:rsidRPr="003F1060">
        <w:rPr>
          <w:rFonts w:ascii="Times New Roman" w:hAnsi="Times New Roman" w:cs="Times New Roman"/>
          <w:sz w:val="24"/>
          <w:szCs w:val="24"/>
        </w:rPr>
        <w:t xml:space="preserve"> submittal of a transfer request is puzzling. First, once a transfer request is submitted, it is ARB that controls when it takes place, not the parties to the transaction. So, in what circumstances could a transfer </w:t>
      </w:r>
      <w:r w:rsidR="00E70D3E">
        <w:rPr>
          <w:rFonts w:ascii="Times New Roman" w:hAnsi="Times New Roman" w:cs="Times New Roman"/>
          <w:sz w:val="24"/>
          <w:szCs w:val="24"/>
        </w:rPr>
        <w:t>not</w:t>
      </w:r>
      <w:r w:rsidRPr="003F1060">
        <w:rPr>
          <w:rFonts w:ascii="Times New Roman" w:hAnsi="Times New Roman" w:cs="Times New Roman"/>
          <w:sz w:val="24"/>
          <w:szCs w:val="24"/>
        </w:rPr>
        <w:t xml:space="preserve"> take place, except ARB’s failure to perform? And in that circumstance, why would it be equitable to find parties who submitted the request to be in violation and subject to a penalty? The only situation MSCG </w:t>
      </w:r>
      <w:r w:rsidR="00732471">
        <w:rPr>
          <w:rFonts w:ascii="Times New Roman" w:hAnsi="Times New Roman" w:cs="Times New Roman"/>
          <w:sz w:val="24"/>
          <w:szCs w:val="24"/>
        </w:rPr>
        <w:t>can conceive is one where</w:t>
      </w:r>
      <w:r w:rsidRPr="003F1060">
        <w:rPr>
          <w:rFonts w:ascii="Times New Roman" w:hAnsi="Times New Roman" w:cs="Times New Roman"/>
          <w:sz w:val="24"/>
          <w:szCs w:val="24"/>
        </w:rPr>
        <w:t xml:space="preserve"> a transfer request is submitted by one party (presumably the source account holder), but the recipient account counterparty fails to confirm. If this is indeed the case, the proposed “violation and penalty” remedy seems to be disproportionate to the offense. If violations and penalties are to be assessed for failure to confirm, which party would be deemed the violator - - source or recipient? It is not clear why failure to confirm should result in anything </w:t>
      </w:r>
      <w:r w:rsidRPr="003F1060">
        <w:rPr>
          <w:rFonts w:ascii="Times New Roman" w:hAnsi="Times New Roman" w:cs="Times New Roman"/>
          <w:sz w:val="24"/>
          <w:szCs w:val="24"/>
        </w:rPr>
        <w:lastRenderedPageBreak/>
        <w:t xml:space="preserve">other than ARB simply refusing to execute the transfer. </w:t>
      </w:r>
      <w:r>
        <w:rPr>
          <w:rFonts w:ascii="Times New Roman" w:hAnsi="Times New Roman" w:cs="Times New Roman"/>
          <w:sz w:val="24"/>
          <w:szCs w:val="24"/>
        </w:rPr>
        <w:t>In conclusion, MSCG urges ARB to clarify what sort of problem(s) this section is attempting to address, and unless it becomes clearer that such problem</w:t>
      </w:r>
      <w:r w:rsidR="00987ABE">
        <w:rPr>
          <w:rFonts w:ascii="Times New Roman" w:hAnsi="Times New Roman" w:cs="Times New Roman"/>
          <w:sz w:val="24"/>
          <w:szCs w:val="24"/>
        </w:rPr>
        <w:t>(s)</w:t>
      </w:r>
      <w:r>
        <w:rPr>
          <w:rFonts w:ascii="Times New Roman" w:hAnsi="Times New Roman" w:cs="Times New Roman"/>
          <w:sz w:val="24"/>
          <w:szCs w:val="24"/>
        </w:rPr>
        <w:t xml:space="preserve"> create</w:t>
      </w:r>
      <w:r w:rsidR="00987ABE">
        <w:rPr>
          <w:rFonts w:ascii="Times New Roman" w:hAnsi="Times New Roman" w:cs="Times New Roman"/>
          <w:sz w:val="24"/>
          <w:szCs w:val="24"/>
        </w:rPr>
        <w:t>s</w:t>
      </w:r>
      <w:r>
        <w:rPr>
          <w:rFonts w:ascii="Times New Roman" w:hAnsi="Times New Roman" w:cs="Times New Roman"/>
          <w:sz w:val="24"/>
          <w:szCs w:val="24"/>
        </w:rPr>
        <w:t xml:space="preserve"> a significant </w:t>
      </w:r>
      <w:r w:rsidR="00732471">
        <w:rPr>
          <w:rFonts w:ascii="Times New Roman" w:hAnsi="Times New Roman" w:cs="Times New Roman"/>
          <w:sz w:val="24"/>
          <w:szCs w:val="24"/>
        </w:rPr>
        <w:t>burden or disruption,</w:t>
      </w:r>
      <w:r>
        <w:rPr>
          <w:rFonts w:ascii="Times New Roman" w:hAnsi="Times New Roman" w:cs="Times New Roman"/>
          <w:sz w:val="24"/>
          <w:szCs w:val="24"/>
        </w:rPr>
        <w:t xml:space="preserve"> that it not hold out the possibility of a violation and penalty sanction. </w:t>
      </w:r>
    </w:p>
    <w:p w:rsidR="003F1060" w:rsidRPr="003F1060" w:rsidRDefault="000D261D" w:rsidP="00C2156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MSCG greatly appreciates and strongly supports the proposed language in Section 95920(f)(1)(B), General Prohibitions on Trading, which makes it clear that a contract for future delivery of allowances will not be viewed as </w:t>
      </w:r>
      <w:r w:rsidR="00DA6114">
        <w:rPr>
          <w:rFonts w:ascii="Times New Roman" w:hAnsi="Times New Roman" w:cs="Times New Roman"/>
          <w:sz w:val="24"/>
          <w:szCs w:val="24"/>
        </w:rPr>
        <w:t xml:space="preserve">constituting the prohibited act of </w:t>
      </w:r>
      <w:r>
        <w:rPr>
          <w:rFonts w:ascii="Times New Roman" w:hAnsi="Times New Roman" w:cs="Times New Roman"/>
          <w:sz w:val="24"/>
          <w:szCs w:val="24"/>
        </w:rPr>
        <w:t>holding compliance instruments in</w:t>
      </w:r>
      <w:r w:rsidR="00DA6114">
        <w:rPr>
          <w:rFonts w:ascii="Times New Roman" w:hAnsi="Times New Roman" w:cs="Times New Roman"/>
          <w:sz w:val="24"/>
          <w:szCs w:val="24"/>
        </w:rPr>
        <w:t xml:space="preserve"> </w:t>
      </w:r>
      <w:r>
        <w:rPr>
          <w:rFonts w:ascii="Times New Roman" w:hAnsi="Times New Roman" w:cs="Times New Roman"/>
          <w:sz w:val="24"/>
          <w:szCs w:val="24"/>
        </w:rPr>
        <w:t xml:space="preserve">one’s account for another entity. </w:t>
      </w:r>
    </w:p>
    <w:sectPr w:rsidR="003F1060" w:rsidRPr="003F1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5AAB"/>
    <w:multiLevelType w:val="hybridMultilevel"/>
    <w:tmpl w:val="6E10FE20"/>
    <w:lvl w:ilvl="0" w:tplc="5902358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0C3FF4"/>
    <w:multiLevelType w:val="hybridMultilevel"/>
    <w:tmpl w:val="D974E75C"/>
    <w:lvl w:ilvl="0" w:tplc="4942C18A">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F6"/>
    <w:rsid w:val="00046CE5"/>
    <w:rsid w:val="000D261D"/>
    <w:rsid w:val="00184021"/>
    <w:rsid w:val="001F7948"/>
    <w:rsid w:val="00201867"/>
    <w:rsid w:val="002609A1"/>
    <w:rsid w:val="00295782"/>
    <w:rsid w:val="003131B9"/>
    <w:rsid w:val="003C3774"/>
    <w:rsid w:val="003F1060"/>
    <w:rsid w:val="00406837"/>
    <w:rsid w:val="004728C6"/>
    <w:rsid w:val="004843F9"/>
    <w:rsid w:val="004F687E"/>
    <w:rsid w:val="00555E70"/>
    <w:rsid w:val="0058494B"/>
    <w:rsid w:val="006158E7"/>
    <w:rsid w:val="00633448"/>
    <w:rsid w:val="006373FA"/>
    <w:rsid w:val="00647083"/>
    <w:rsid w:val="00647A51"/>
    <w:rsid w:val="006526BB"/>
    <w:rsid w:val="00695344"/>
    <w:rsid w:val="00705A36"/>
    <w:rsid w:val="00732471"/>
    <w:rsid w:val="007645A4"/>
    <w:rsid w:val="00785424"/>
    <w:rsid w:val="00825B51"/>
    <w:rsid w:val="0085216C"/>
    <w:rsid w:val="008C76E4"/>
    <w:rsid w:val="008D0303"/>
    <w:rsid w:val="00987ABE"/>
    <w:rsid w:val="009C43C2"/>
    <w:rsid w:val="009D0305"/>
    <w:rsid w:val="00AA6F87"/>
    <w:rsid w:val="00AB3709"/>
    <w:rsid w:val="00AC1423"/>
    <w:rsid w:val="00AC1CF6"/>
    <w:rsid w:val="00B000A7"/>
    <w:rsid w:val="00B406FC"/>
    <w:rsid w:val="00B5568F"/>
    <w:rsid w:val="00B87336"/>
    <w:rsid w:val="00BD08ED"/>
    <w:rsid w:val="00C141A7"/>
    <w:rsid w:val="00C21568"/>
    <w:rsid w:val="00C361C5"/>
    <w:rsid w:val="00CA71F8"/>
    <w:rsid w:val="00CB12B5"/>
    <w:rsid w:val="00CC215E"/>
    <w:rsid w:val="00CE6C20"/>
    <w:rsid w:val="00D43DBA"/>
    <w:rsid w:val="00D631F3"/>
    <w:rsid w:val="00DA6114"/>
    <w:rsid w:val="00DA7692"/>
    <w:rsid w:val="00E155BD"/>
    <w:rsid w:val="00E70D3E"/>
    <w:rsid w:val="00E713FD"/>
    <w:rsid w:val="00F33CBA"/>
    <w:rsid w:val="00F46AE4"/>
    <w:rsid w:val="00F512B1"/>
    <w:rsid w:val="00FC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1A7"/>
    <w:rPr>
      <w:color w:val="0000FF" w:themeColor="hyperlink"/>
      <w:u w:val="single"/>
    </w:rPr>
  </w:style>
  <w:style w:type="paragraph" w:styleId="ListParagraph">
    <w:name w:val="List Paragraph"/>
    <w:basedOn w:val="Normal"/>
    <w:uiPriority w:val="34"/>
    <w:qFormat/>
    <w:rsid w:val="00F33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1A7"/>
    <w:rPr>
      <w:color w:val="0000FF" w:themeColor="hyperlink"/>
      <w:u w:val="single"/>
    </w:rPr>
  </w:style>
  <w:style w:type="paragraph" w:styleId="ListParagraph">
    <w:name w:val="List Paragraph"/>
    <w:basedOn w:val="Normal"/>
    <w:uiPriority w:val="34"/>
    <w:qFormat/>
    <w:rsid w:val="00F33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ven.Huhman@morganstanle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A6F9-FFB2-4D27-8217-19340D4E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Morgan Stanley</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Huhman, Steve (COMMOD)</dc:creator>
  <cp:lastModifiedBy>zaguiler</cp:lastModifiedBy>
  <cp:revision>2</cp:revision>
  <dcterms:created xsi:type="dcterms:W3CDTF">2014-02-18T16:10:00Z</dcterms:created>
  <dcterms:modified xsi:type="dcterms:W3CDTF">2014-02-18T16:10:00Z</dcterms:modified>
</cp:coreProperties>
</file>