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D27" w:rsidRPr="00A37235" w:rsidRDefault="00900D27" w:rsidP="003245FA">
      <w:pPr>
        <w:jc w:val="center"/>
        <w:rPr>
          <w:rFonts w:cstheme="minorHAnsi"/>
        </w:rPr>
      </w:pPr>
    </w:p>
    <w:p w:rsidR="00900D27" w:rsidRPr="00A37235" w:rsidRDefault="00900D27" w:rsidP="003245FA">
      <w:pPr>
        <w:jc w:val="center"/>
        <w:rPr>
          <w:rFonts w:cstheme="minorHAnsi"/>
        </w:rPr>
      </w:pPr>
    </w:p>
    <w:p w:rsidR="003245FA" w:rsidRPr="00A37235" w:rsidRDefault="003245FA" w:rsidP="003245FA">
      <w:pPr>
        <w:jc w:val="center"/>
        <w:rPr>
          <w:rFonts w:cstheme="minorHAnsi"/>
        </w:rPr>
      </w:pPr>
      <w:r w:rsidRPr="00A37235">
        <w:rPr>
          <w:rFonts w:cstheme="minorHAnsi"/>
        </w:rPr>
        <w:t>Comments on ARB Scoping Plan</w:t>
      </w:r>
    </w:p>
    <w:p w:rsidR="003245FA" w:rsidRPr="00A37235" w:rsidRDefault="003245FA" w:rsidP="003245FA">
      <w:pPr>
        <w:jc w:val="center"/>
        <w:rPr>
          <w:rFonts w:cstheme="minorHAnsi"/>
        </w:rPr>
      </w:pPr>
    </w:p>
    <w:p w:rsidR="003245FA" w:rsidRDefault="003245FA" w:rsidP="003245FA">
      <w:pPr>
        <w:jc w:val="center"/>
        <w:rPr>
          <w:rFonts w:cstheme="minorHAnsi"/>
        </w:rPr>
      </w:pPr>
      <w:r w:rsidRPr="00A37235">
        <w:rPr>
          <w:rFonts w:cstheme="minorHAnsi"/>
        </w:rPr>
        <w:t>Chris Jones, Energy and Resources Group, UC Berkeley</w:t>
      </w:r>
    </w:p>
    <w:p w:rsidR="00CF31B8" w:rsidRPr="00A37235" w:rsidRDefault="00CF31B8" w:rsidP="003245FA">
      <w:pPr>
        <w:jc w:val="center"/>
        <w:rPr>
          <w:rFonts w:cstheme="minorHAnsi"/>
        </w:rPr>
      </w:pPr>
      <w:r>
        <w:rPr>
          <w:rFonts w:cstheme="minorHAnsi"/>
        </w:rPr>
        <w:t xml:space="preserve"> </w:t>
      </w:r>
    </w:p>
    <w:p w:rsidR="003245FA" w:rsidRPr="00A37235" w:rsidRDefault="003245FA" w:rsidP="003245FA">
      <w:pPr>
        <w:jc w:val="center"/>
        <w:rPr>
          <w:rFonts w:cstheme="minorHAnsi"/>
        </w:rPr>
      </w:pPr>
    </w:p>
    <w:p w:rsidR="003245FA" w:rsidRPr="00A37235" w:rsidRDefault="003245FA" w:rsidP="003245FA">
      <w:pPr>
        <w:jc w:val="center"/>
        <w:rPr>
          <w:rFonts w:cstheme="minorHAnsi"/>
        </w:rPr>
      </w:pPr>
      <w:r w:rsidRPr="00A37235">
        <w:rPr>
          <w:rFonts w:cstheme="minorHAnsi"/>
        </w:rPr>
        <w:t>March 15, 2018</w:t>
      </w:r>
    </w:p>
    <w:p w:rsidR="003245FA" w:rsidRPr="00A37235" w:rsidRDefault="003245FA">
      <w:pPr>
        <w:rPr>
          <w:rFonts w:cstheme="minorHAnsi"/>
        </w:rPr>
      </w:pPr>
    </w:p>
    <w:p w:rsidR="001F6B0C" w:rsidRPr="00A37235" w:rsidRDefault="001F6B0C" w:rsidP="001F6B0C">
      <w:pPr>
        <w:rPr>
          <w:rFonts w:cstheme="minorHAnsi"/>
        </w:rPr>
      </w:pPr>
    </w:p>
    <w:p w:rsidR="00E16DA7" w:rsidRPr="00A37235" w:rsidRDefault="00E16DA7">
      <w:pPr>
        <w:rPr>
          <w:rFonts w:cstheme="minorHAnsi"/>
        </w:rPr>
      </w:pPr>
      <w:r w:rsidRPr="00A37235">
        <w:rPr>
          <w:rFonts w:cstheme="minorHAnsi"/>
        </w:rPr>
        <w:t xml:space="preserve">Analysis in the attached </w:t>
      </w:r>
      <w:r w:rsidR="00736139" w:rsidRPr="00A37235">
        <w:rPr>
          <w:rFonts w:cstheme="minorHAnsi"/>
        </w:rPr>
        <w:t xml:space="preserve">working </w:t>
      </w:r>
      <w:r w:rsidRPr="00A37235">
        <w:rPr>
          <w:rFonts w:cstheme="minorHAnsi"/>
        </w:rPr>
        <w:t xml:space="preserve">paper suggests California is at considerable risk of missing the 2030 target without </w:t>
      </w:r>
      <w:r w:rsidR="00900D27" w:rsidRPr="00A37235">
        <w:rPr>
          <w:rFonts w:cstheme="minorHAnsi"/>
        </w:rPr>
        <w:t>more and stronger regulatory measure</w:t>
      </w:r>
      <w:r w:rsidRPr="00A37235">
        <w:rPr>
          <w:rFonts w:cstheme="minorHAnsi"/>
        </w:rPr>
        <w:t xml:space="preserve">s </w:t>
      </w:r>
      <w:r w:rsidR="00736139" w:rsidRPr="00A37235">
        <w:rPr>
          <w:rFonts w:cstheme="minorHAnsi"/>
        </w:rPr>
        <w:t xml:space="preserve">and/or significantly </w:t>
      </w:r>
      <w:r w:rsidRPr="00A37235">
        <w:rPr>
          <w:rFonts w:cstheme="minorHAnsi"/>
        </w:rPr>
        <w:t xml:space="preserve">raising the cap-and-trade ceiling price. </w:t>
      </w:r>
    </w:p>
    <w:p w:rsidR="005043DD" w:rsidRPr="00A37235" w:rsidRDefault="005043DD">
      <w:pPr>
        <w:rPr>
          <w:rFonts w:cstheme="minorHAnsi"/>
        </w:rPr>
      </w:pPr>
    </w:p>
    <w:p w:rsidR="00841951" w:rsidRPr="00A37235" w:rsidRDefault="00E16DA7" w:rsidP="00322ACB">
      <w:pPr>
        <w:rPr>
          <w:rFonts w:cstheme="minorHAnsi"/>
        </w:rPr>
      </w:pPr>
      <w:r w:rsidRPr="00A37235">
        <w:rPr>
          <w:rFonts w:cstheme="minorHAnsi"/>
        </w:rPr>
        <w:t xml:space="preserve">A recent Energy Institute study estimates a 30% chance of hitting a $80/tCO2 cap-and-trade ceiling price, while </w:t>
      </w:r>
      <w:r w:rsidR="00841951" w:rsidRPr="00A37235">
        <w:rPr>
          <w:rFonts w:cstheme="minorHAnsi"/>
        </w:rPr>
        <w:t>a study using the</w:t>
      </w:r>
      <w:r w:rsidRPr="00A37235">
        <w:rPr>
          <w:rFonts w:cstheme="minorHAnsi"/>
        </w:rPr>
        <w:t xml:space="preserve"> REMI</w:t>
      </w:r>
      <w:r w:rsidR="00841951" w:rsidRPr="00A37235">
        <w:rPr>
          <w:rFonts w:cstheme="minorHAnsi"/>
        </w:rPr>
        <w:t xml:space="preserve"> model</w:t>
      </w:r>
      <w:r w:rsidRPr="00A37235">
        <w:rPr>
          <w:rFonts w:cstheme="minorHAnsi"/>
        </w:rPr>
        <w:t xml:space="preserve"> study suggests a $200/tCO2 price would be needed to meet the 2030 target. However,</w:t>
      </w:r>
      <w:r w:rsidR="00736139" w:rsidRPr="00A37235">
        <w:rPr>
          <w:rFonts w:cstheme="minorHAnsi"/>
        </w:rPr>
        <w:t xml:space="preserve"> </w:t>
      </w:r>
      <w:r w:rsidRPr="00A37235">
        <w:rPr>
          <w:rFonts w:cstheme="minorHAnsi"/>
        </w:rPr>
        <w:t>California</w:t>
      </w:r>
      <w:r w:rsidR="00736139" w:rsidRPr="00A37235">
        <w:rPr>
          <w:rFonts w:cstheme="minorHAnsi"/>
        </w:rPr>
        <w:t xml:space="preserve"> already has a natural experiment of the equivalent of a $200/tCO2 carbon tax on gasoline, and it failed to noticeably reduce </w:t>
      </w:r>
      <w:r w:rsidR="00322ACB" w:rsidRPr="00A37235">
        <w:rPr>
          <w:rFonts w:cstheme="minorHAnsi"/>
        </w:rPr>
        <w:t xml:space="preserve">emissions from transportation, the largest source of California’s GHG inventory. From 2003 to 2012 a </w:t>
      </w:r>
      <w:r w:rsidR="00682EC5" w:rsidRPr="00A37235">
        <w:rPr>
          <w:rFonts w:cstheme="minorHAnsi"/>
        </w:rPr>
        <w:t>$2/gallon increase in</w:t>
      </w:r>
      <w:r w:rsidR="00736139" w:rsidRPr="00A37235">
        <w:rPr>
          <w:rFonts w:cstheme="minorHAnsi"/>
        </w:rPr>
        <w:t xml:space="preserve"> gasoline</w:t>
      </w:r>
      <w:r w:rsidR="00682EC5" w:rsidRPr="00A37235">
        <w:rPr>
          <w:rFonts w:cstheme="minorHAnsi"/>
        </w:rPr>
        <w:t xml:space="preserve"> </w:t>
      </w:r>
      <w:r w:rsidR="00736139" w:rsidRPr="00A37235">
        <w:rPr>
          <w:rFonts w:cstheme="minorHAnsi"/>
        </w:rPr>
        <w:t>fuel</w:t>
      </w:r>
      <w:r w:rsidR="00682EC5" w:rsidRPr="00A37235">
        <w:rPr>
          <w:rFonts w:cstheme="minorHAnsi"/>
        </w:rPr>
        <w:t xml:space="preserve"> prices (equivalent to $200/tCO2e tax) </w:t>
      </w:r>
      <w:r w:rsidR="00322ACB" w:rsidRPr="00A37235">
        <w:rPr>
          <w:rFonts w:cstheme="minorHAnsi"/>
        </w:rPr>
        <w:t>correlated with</w:t>
      </w:r>
      <w:r w:rsidR="00682EC5" w:rsidRPr="00A37235">
        <w:rPr>
          <w:rFonts w:cstheme="minorHAnsi"/>
        </w:rPr>
        <w:t xml:space="preserve"> only a 10% decrease in </w:t>
      </w:r>
      <w:r w:rsidR="00736139" w:rsidRPr="00A37235">
        <w:rPr>
          <w:rFonts w:cstheme="minorHAnsi"/>
        </w:rPr>
        <w:t>gasoline</w:t>
      </w:r>
      <w:r w:rsidR="00682EC5" w:rsidRPr="00A37235">
        <w:rPr>
          <w:rFonts w:cstheme="minorHAnsi"/>
        </w:rPr>
        <w:t xml:space="preserve"> consumption in California</w:t>
      </w:r>
      <w:r w:rsidR="00E95E63" w:rsidRPr="00A37235">
        <w:rPr>
          <w:rFonts w:cstheme="minorHAnsi"/>
        </w:rPr>
        <w:t xml:space="preserve">. </w:t>
      </w:r>
      <w:r w:rsidR="00841951" w:rsidRPr="00A37235">
        <w:rPr>
          <w:rFonts w:cstheme="minorHAnsi"/>
        </w:rPr>
        <w:t>Yet the</w:t>
      </w:r>
      <w:r w:rsidR="00322ACB" w:rsidRPr="00A37235">
        <w:rPr>
          <w:rFonts w:cstheme="minorHAnsi"/>
        </w:rPr>
        <w:t xml:space="preserve"> timing of this</w:t>
      </w:r>
      <w:r w:rsidR="00841951" w:rsidRPr="00A37235">
        <w:rPr>
          <w:rFonts w:cstheme="minorHAnsi"/>
        </w:rPr>
        <w:t xml:space="preserve"> </w:t>
      </w:r>
      <w:r w:rsidR="00322ACB" w:rsidRPr="00A37235">
        <w:rPr>
          <w:rFonts w:cstheme="minorHAnsi"/>
        </w:rPr>
        <w:t xml:space="preserve">10% reduction corresponds much more </w:t>
      </w:r>
      <w:r w:rsidR="00841951" w:rsidRPr="00A37235">
        <w:rPr>
          <w:rFonts w:cstheme="minorHAnsi"/>
        </w:rPr>
        <w:t>closely</w:t>
      </w:r>
      <w:r w:rsidR="00322ACB" w:rsidRPr="00A37235">
        <w:rPr>
          <w:rFonts w:cstheme="minorHAnsi"/>
        </w:rPr>
        <w:t xml:space="preserve"> with the “Great Recession” than with fuel prices. Over this decade fuel economy standards were also reducing fuel consumption. </w:t>
      </w:r>
    </w:p>
    <w:p w:rsidR="008749FB" w:rsidRPr="00A37235" w:rsidRDefault="008749FB" w:rsidP="00322ACB">
      <w:pPr>
        <w:rPr>
          <w:rFonts w:cstheme="minorHAnsi"/>
        </w:rPr>
      </w:pPr>
    </w:p>
    <w:p w:rsidR="008749FB" w:rsidRPr="00A37235" w:rsidRDefault="008749FB" w:rsidP="008749FB">
      <w:pPr>
        <w:keepNext/>
        <w:rPr>
          <w:rFonts w:cstheme="minorHAnsi"/>
        </w:rPr>
      </w:pPr>
      <w:r w:rsidRPr="00A37235">
        <w:rPr>
          <w:rFonts w:cstheme="minorHAnsi"/>
          <w:noProof/>
        </w:rPr>
        <w:drawing>
          <wp:inline distT="0" distB="0" distL="0" distR="0" wp14:anchorId="07B58C31" wp14:editId="5ACFEA0C">
            <wp:extent cx="4584937" cy="3307222"/>
            <wp:effectExtent l="0" t="0" r="1270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6044" cy="3308021"/>
                    </a:xfrm>
                    <a:prstGeom prst="rect">
                      <a:avLst/>
                    </a:prstGeom>
                    <a:noFill/>
                    <a:ln>
                      <a:noFill/>
                    </a:ln>
                  </pic:spPr>
                </pic:pic>
              </a:graphicData>
            </a:graphic>
          </wp:inline>
        </w:drawing>
      </w:r>
    </w:p>
    <w:p w:rsidR="008749FB" w:rsidRPr="00A37235" w:rsidRDefault="008749FB" w:rsidP="008749FB">
      <w:pPr>
        <w:pStyle w:val="Caption"/>
        <w:rPr>
          <w:rFonts w:asciiTheme="minorHAnsi" w:hAnsiTheme="minorHAnsi" w:cstheme="minorHAnsi"/>
          <w:color w:val="auto"/>
          <w:sz w:val="24"/>
          <w:szCs w:val="24"/>
        </w:rPr>
      </w:pPr>
      <w:bookmarkStart w:id="0" w:name="_Toc279611303"/>
      <w:bookmarkStart w:id="1" w:name="_Toc280599144"/>
      <w:r w:rsidRPr="00A37235">
        <w:rPr>
          <w:rFonts w:asciiTheme="minorHAnsi" w:hAnsiTheme="minorHAnsi" w:cstheme="minorHAnsi"/>
          <w:color w:val="auto"/>
          <w:sz w:val="24"/>
          <w:szCs w:val="24"/>
        </w:rPr>
        <w:t>Gasoline prices (real USD) and long-distance vehicle (LDV) miles and fuel consumption per capita</w:t>
      </w:r>
      <w:bookmarkEnd w:id="0"/>
      <w:bookmarkEnd w:id="1"/>
      <w:r w:rsidRPr="00A37235">
        <w:rPr>
          <w:rFonts w:asciiTheme="minorHAnsi" w:hAnsiTheme="minorHAnsi" w:cstheme="minorHAnsi"/>
          <w:color w:val="auto"/>
          <w:sz w:val="24"/>
          <w:szCs w:val="24"/>
        </w:rPr>
        <w:t>.</w:t>
      </w:r>
      <w:r w:rsidRPr="00A37235">
        <w:rPr>
          <w:rFonts w:asciiTheme="minorHAnsi" w:hAnsiTheme="minorHAnsi" w:cstheme="minorHAnsi"/>
          <w:b w:val="0"/>
          <w:color w:val="auto"/>
          <w:sz w:val="24"/>
          <w:szCs w:val="24"/>
        </w:rPr>
        <w:t xml:space="preserve"> An equivalent of $200/tCO2 carbon tax resulted in only ~10% decrease in fuel </w:t>
      </w:r>
      <w:r w:rsidRPr="00A37235">
        <w:rPr>
          <w:rFonts w:asciiTheme="minorHAnsi" w:hAnsiTheme="minorHAnsi" w:cstheme="minorHAnsi"/>
          <w:b w:val="0"/>
          <w:color w:val="auto"/>
          <w:sz w:val="24"/>
          <w:szCs w:val="24"/>
        </w:rPr>
        <w:lastRenderedPageBreak/>
        <w:t>consumption over 5 years (2007-2012), with much of this change evidently caused by the economic crisis, not fuel prices.</w:t>
      </w:r>
      <w:r w:rsidRPr="00A37235">
        <w:rPr>
          <w:rFonts w:asciiTheme="minorHAnsi" w:hAnsiTheme="minorHAnsi" w:cstheme="minorHAnsi"/>
          <w:color w:val="auto"/>
          <w:sz w:val="24"/>
          <w:szCs w:val="24"/>
        </w:rPr>
        <w:t xml:space="preserve"> </w:t>
      </w:r>
    </w:p>
    <w:p w:rsidR="00841951" w:rsidRPr="00A37235" w:rsidRDefault="00322ACB" w:rsidP="00682EC5">
      <w:pPr>
        <w:rPr>
          <w:rFonts w:cstheme="minorHAnsi"/>
        </w:rPr>
      </w:pPr>
      <w:r w:rsidRPr="00A37235">
        <w:rPr>
          <w:rFonts w:cstheme="minorHAnsi"/>
        </w:rPr>
        <w:t>Based on this evidence, the Energy Institute study, the REMI study, and ARB’</w:t>
      </w:r>
      <w:r w:rsidR="00841951" w:rsidRPr="00A37235">
        <w:rPr>
          <w:rFonts w:cstheme="minorHAnsi"/>
        </w:rPr>
        <w:t xml:space="preserve">s own analysis appear </w:t>
      </w:r>
      <w:r w:rsidRPr="00A37235">
        <w:rPr>
          <w:rFonts w:cstheme="minorHAnsi"/>
        </w:rPr>
        <w:t>to overestimate the effect of carbon price</w:t>
      </w:r>
      <w:r w:rsidR="008749FB" w:rsidRPr="00A37235">
        <w:rPr>
          <w:rFonts w:cstheme="minorHAnsi"/>
        </w:rPr>
        <w:t>s</w:t>
      </w:r>
      <w:r w:rsidRPr="00A37235">
        <w:rPr>
          <w:rFonts w:cstheme="minorHAnsi"/>
        </w:rPr>
        <w:t xml:space="preserve"> on emissions.  T</w:t>
      </w:r>
      <w:r w:rsidR="00682EC5" w:rsidRPr="00A37235">
        <w:rPr>
          <w:rFonts w:cstheme="minorHAnsi"/>
        </w:rPr>
        <w:t xml:space="preserve">he Energy Institute Study assumes an elasticity of -0.2 – 0.4, while the REMI study assumes </w:t>
      </w:r>
      <w:r w:rsidR="008749FB" w:rsidRPr="00A37235">
        <w:rPr>
          <w:rFonts w:cstheme="minorHAnsi"/>
        </w:rPr>
        <w:t>even higher demand elasticities</w:t>
      </w:r>
      <w:r w:rsidRPr="00A37235">
        <w:rPr>
          <w:rFonts w:cstheme="minorHAnsi"/>
        </w:rPr>
        <w:t xml:space="preserve">. California’s own experience demonstrates a medium-term elasticity of demand at far less than -0.1. In fact, the </w:t>
      </w:r>
      <w:hyperlink r:id="rId6" w:history="1">
        <w:r w:rsidRPr="00A37235">
          <w:rPr>
            <w:rStyle w:val="Hyperlink"/>
            <w:rFonts w:cstheme="minorHAnsi"/>
          </w:rPr>
          <w:t>EIA</w:t>
        </w:r>
      </w:hyperlink>
      <w:r w:rsidRPr="00A37235">
        <w:rPr>
          <w:rFonts w:cstheme="minorHAnsi"/>
        </w:rPr>
        <w:t xml:space="preserve"> </w:t>
      </w:r>
      <w:r w:rsidR="008749FB" w:rsidRPr="00A37235">
        <w:rPr>
          <w:rFonts w:cstheme="minorHAnsi"/>
        </w:rPr>
        <w:t>suggests</w:t>
      </w:r>
      <w:r w:rsidRPr="00A37235">
        <w:rPr>
          <w:rFonts w:cstheme="minorHAnsi"/>
        </w:rPr>
        <w:t xml:space="preserve"> demand elasticities at -0.02 to -0.04 in the short term</w:t>
      </w:r>
      <w:r w:rsidR="003245FA" w:rsidRPr="00A37235">
        <w:rPr>
          <w:rFonts w:cstheme="minorHAnsi"/>
        </w:rPr>
        <w:t xml:space="preserve">, i.e., </w:t>
      </w:r>
      <w:r w:rsidRPr="00A37235">
        <w:rPr>
          <w:rFonts w:cstheme="minorHAnsi"/>
        </w:rPr>
        <w:t xml:space="preserve">it takes a 25% to 50% increase in fuel prices to reduce gasoline consumption by </w:t>
      </w:r>
      <w:r w:rsidR="003245FA" w:rsidRPr="00A37235">
        <w:rPr>
          <w:rFonts w:cstheme="minorHAnsi"/>
        </w:rPr>
        <w:t xml:space="preserve">just </w:t>
      </w:r>
      <w:r w:rsidRPr="00A37235">
        <w:rPr>
          <w:rFonts w:cstheme="minorHAnsi"/>
        </w:rPr>
        <w:t xml:space="preserve">1%. </w:t>
      </w:r>
      <w:r w:rsidR="00E95E63" w:rsidRPr="00A37235">
        <w:rPr>
          <w:rFonts w:cstheme="minorHAnsi"/>
        </w:rPr>
        <w:t xml:space="preserve">As a consequence, </w:t>
      </w:r>
      <w:r w:rsidR="00682EC5" w:rsidRPr="00A37235">
        <w:rPr>
          <w:rFonts w:cstheme="minorHAnsi"/>
        </w:rPr>
        <w:t xml:space="preserve">even a $200/tCO2 may have only a negligible effect on fuel consumption. </w:t>
      </w:r>
      <w:r w:rsidR="008749FB" w:rsidRPr="00A37235">
        <w:rPr>
          <w:rFonts w:cstheme="minorHAnsi"/>
        </w:rPr>
        <w:t xml:space="preserve"> </w:t>
      </w:r>
    </w:p>
    <w:p w:rsidR="00841951" w:rsidRPr="00A37235" w:rsidRDefault="00841951" w:rsidP="00682EC5">
      <w:pPr>
        <w:rPr>
          <w:rFonts w:cstheme="minorHAnsi"/>
        </w:rPr>
      </w:pPr>
    </w:p>
    <w:p w:rsidR="00E16DA7" w:rsidRPr="00A37235" w:rsidRDefault="00682EC5" w:rsidP="00682EC5">
      <w:pPr>
        <w:rPr>
          <w:rFonts w:cstheme="minorHAnsi"/>
        </w:rPr>
      </w:pPr>
      <w:r w:rsidRPr="00A37235">
        <w:rPr>
          <w:rFonts w:cstheme="minorHAnsi"/>
        </w:rPr>
        <w:t xml:space="preserve">Sperling et. al suggest </w:t>
      </w:r>
      <w:r w:rsidR="00E16DA7" w:rsidRPr="00A37235">
        <w:rPr>
          <w:rFonts w:cstheme="minorHAnsi"/>
        </w:rPr>
        <w:t xml:space="preserve">some reasons why </w:t>
      </w:r>
      <w:r w:rsidR="008749FB" w:rsidRPr="00A37235">
        <w:rPr>
          <w:rFonts w:cstheme="minorHAnsi"/>
        </w:rPr>
        <w:t xml:space="preserve">the </w:t>
      </w:r>
      <w:r w:rsidR="00E16DA7" w:rsidRPr="00A37235">
        <w:rPr>
          <w:rFonts w:cstheme="minorHAnsi"/>
        </w:rPr>
        <w:t xml:space="preserve">economic literature and economic models routinely overestimate the impact of fuel prices and carbon taxes on fuel consumption. Some of the reasons include </w:t>
      </w:r>
      <w:r w:rsidR="00A37235" w:rsidRPr="00A37235">
        <w:rPr>
          <w:rFonts w:cstheme="minorHAnsi"/>
        </w:rPr>
        <w:t>consumer preferences, lack of substitutes and structural forces</w:t>
      </w:r>
      <w:r w:rsidR="00A37235" w:rsidRPr="00A37235">
        <w:rPr>
          <w:rFonts w:cstheme="minorHAnsi"/>
        </w:rPr>
        <w:t xml:space="preserve">. Studies on price elasticities are also often outdated or focused on Europe or other countries were baseline prices are higher (elasticities are higher at higher prices). </w:t>
      </w:r>
    </w:p>
    <w:p w:rsidR="00841951" w:rsidRPr="00A37235" w:rsidRDefault="00841951" w:rsidP="00682EC5">
      <w:pPr>
        <w:rPr>
          <w:rFonts w:cstheme="minorHAnsi"/>
        </w:rPr>
      </w:pPr>
    </w:p>
    <w:p w:rsidR="008749FB" w:rsidRPr="00A37235" w:rsidRDefault="00841951" w:rsidP="00682EC5">
      <w:pPr>
        <w:rPr>
          <w:rFonts w:cstheme="minorHAnsi"/>
        </w:rPr>
      </w:pPr>
      <w:r w:rsidRPr="00A37235">
        <w:rPr>
          <w:rFonts w:cstheme="minorHAnsi"/>
        </w:rPr>
        <w:t>Rather than relying on floor and ceiling prices</w:t>
      </w:r>
      <w:r w:rsidR="00A37235" w:rsidRPr="00A37235">
        <w:rPr>
          <w:rFonts w:cstheme="minorHAnsi"/>
        </w:rPr>
        <w:t xml:space="preserve">, banking, carbon offsets </w:t>
      </w:r>
      <w:r w:rsidRPr="00A37235">
        <w:rPr>
          <w:rFonts w:cstheme="minorHAnsi"/>
        </w:rPr>
        <w:t>or other distortions to a purely market-based approach, our analysis suggests that increasing regulatory measures</w:t>
      </w:r>
      <w:r w:rsidR="008749FB" w:rsidRPr="00A37235">
        <w:rPr>
          <w:rFonts w:cstheme="minorHAnsi"/>
        </w:rPr>
        <w:t xml:space="preserve"> would de</w:t>
      </w:r>
      <w:r w:rsidRPr="00A37235">
        <w:rPr>
          <w:rFonts w:cstheme="minorHAnsi"/>
        </w:rPr>
        <w:t>crease economy-wide costs, while reducing the total number of permits needed in cap-an</w:t>
      </w:r>
      <w:r w:rsidR="008749FB" w:rsidRPr="00A37235">
        <w:rPr>
          <w:rFonts w:cstheme="minorHAnsi"/>
        </w:rPr>
        <w:t>d-trade and decreasing the chanc</w:t>
      </w:r>
      <w:r w:rsidRPr="00A37235">
        <w:rPr>
          <w:rFonts w:cstheme="minorHAnsi"/>
        </w:rPr>
        <w:t xml:space="preserve">e of hitting the ceiling price. </w:t>
      </w:r>
      <w:r w:rsidR="008749FB" w:rsidRPr="00A37235">
        <w:rPr>
          <w:rFonts w:cstheme="minorHAnsi"/>
        </w:rPr>
        <w:t>We constructed marginal abatement cost curves of the ARB Scoping Plan Scenario, the Alternative 1 scenario, and our own proposed scenario under different fuel prices. S</w:t>
      </w:r>
      <w:r w:rsidRPr="00A37235">
        <w:rPr>
          <w:rFonts w:cstheme="minorHAnsi"/>
        </w:rPr>
        <w:t xml:space="preserve">ome of the approaches we propose have been considered, but abandoned by ARB, while others are somewhat newer and more novel. </w:t>
      </w:r>
    </w:p>
    <w:p w:rsidR="008749FB" w:rsidRPr="00A37235" w:rsidRDefault="008749FB" w:rsidP="00682EC5">
      <w:pPr>
        <w:rPr>
          <w:rFonts w:cstheme="minorHAnsi"/>
        </w:rPr>
      </w:pPr>
    </w:p>
    <w:p w:rsidR="00841951" w:rsidRPr="00A37235" w:rsidRDefault="00841951" w:rsidP="00682EC5">
      <w:pPr>
        <w:rPr>
          <w:rFonts w:cstheme="minorHAnsi"/>
        </w:rPr>
      </w:pPr>
      <w:r w:rsidRPr="00A37235">
        <w:rPr>
          <w:rFonts w:cstheme="minorHAnsi"/>
        </w:rPr>
        <w:t xml:space="preserve">Regardless of the mix of regulatory approaches, more are clearly needed to ensure California meets it target. </w:t>
      </w:r>
      <w:r w:rsidR="008619E2" w:rsidRPr="00A37235">
        <w:rPr>
          <w:rFonts w:cstheme="minorHAnsi"/>
        </w:rPr>
        <w:t xml:space="preserve">California needs roughly 5% annual GHG abatement for the next 30 years to meet our 2030 and 2050 GHG targets. This is equivalent to the effect the Great Recession, compounded upon itself every year for thirty years, while increasing GDP and population. More attention is clearly needed on actual, measurable regulatory approaches at all levels of government, including local, regional and state action. </w:t>
      </w:r>
    </w:p>
    <w:p w:rsidR="008619E2" w:rsidRPr="00A37235" w:rsidRDefault="008619E2" w:rsidP="00682EC5">
      <w:pPr>
        <w:rPr>
          <w:rFonts w:cstheme="minorHAnsi"/>
        </w:rPr>
      </w:pPr>
    </w:p>
    <w:p w:rsidR="008619E2" w:rsidRPr="00A37235" w:rsidRDefault="008619E2" w:rsidP="00682EC5">
      <w:pPr>
        <w:rPr>
          <w:rFonts w:cstheme="minorHAnsi"/>
        </w:rPr>
      </w:pPr>
    </w:p>
    <w:p w:rsidR="00682EC5" w:rsidRPr="00A37235" w:rsidRDefault="00E16DA7" w:rsidP="00682EC5">
      <w:pPr>
        <w:rPr>
          <w:rFonts w:cstheme="minorHAnsi"/>
        </w:rPr>
      </w:pPr>
      <w:r w:rsidRPr="00A37235">
        <w:rPr>
          <w:rFonts w:cstheme="minorHAnsi"/>
        </w:rPr>
        <w:t xml:space="preserve"> </w:t>
      </w:r>
    </w:p>
    <w:p w:rsidR="003245FA" w:rsidRPr="00A37235" w:rsidRDefault="001A04A8" w:rsidP="00682EC5">
      <w:pPr>
        <w:rPr>
          <w:rFonts w:cstheme="minorHAnsi"/>
        </w:rPr>
      </w:pPr>
      <w:r w:rsidRPr="00A37235">
        <w:rPr>
          <w:rFonts w:cstheme="minorHAnsi"/>
        </w:rPr>
        <w:t>City R</w:t>
      </w:r>
      <w:r w:rsidR="008749FB" w:rsidRPr="00A37235">
        <w:rPr>
          <w:rFonts w:cstheme="minorHAnsi"/>
        </w:rPr>
        <w:t>eferences:</w:t>
      </w:r>
    </w:p>
    <w:p w:rsidR="001A04A8" w:rsidRPr="00A37235" w:rsidRDefault="001A04A8" w:rsidP="00682EC5">
      <w:pPr>
        <w:rPr>
          <w:rFonts w:cstheme="minorHAnsi"/>
        </w:rPr>
      </w:pPr>
    </w:p>
    <w:p w:rsidR="001A04A8" w:rsidRPr="00A37235" w:rsidRDefault="001A04A8" w:rsidP="001A04A8">
      <w:pPr>
        <w:rPr>
          <w:rFonts w:eastAsia="Times New Roman" w:cstheme="minorHAnsi"/>
        </w:rPr>
      </w:pPr>
      <w:proofErr w:type="spellStart"/>
      <w:r w:rsidRPr="001A04A8">
        <w:rPr>
          <w:rFonts w:eastAsia="Times New Roman" w:cstheme="minorHAnsi"/>
        </w:rPr>
        <w:t>Borenstein</w:t>
      </w:r>
      <w:proofErr w:type="spellEnd"/>
      <w:r w:rsidRPr="001A04A8">
        <w:rPr>
          <w:rFonts w:eastAsia="Times New Roman" w:cstheme="minorHAnsi"/>
        </w:rPr>
        <w:t xml:space="preserve">, </w:t>
      </w:r>
      <w:r w:rsidR="00A37235" w:rsidRPr="00A37235">
        <w:rPr>
          <w:rFonts w:eastAsia="Times New Roman" w:cstheme="minorHAnsi"/>
        </w:rPr>
        <w:t xml:space="preserve">S., </w:t>
      </w:r>
      <w:r w:rsidRPr="001A04A8">
        <w:rPr>
          <w:rFonts w:eastAsia="Times New Roman" w:cstheme="minorHAnsi"/>
        </w:rPr>
        <w:t xml:space="preserve">Bushnell, </w:t>
      </w:r>
      <w:r w:rsidR="00A37235" w:rsidRPr="00A37235">
        <w:rPr>
          <w:rFonts w:eastAsia="Times New Roman" w:cstheme="minorHAnsi"/>
        </w:rPr>
        <w:t xml:space="preserve">J., </w:t>
      </w:r>
      <w:r w:rsidRPr="001A04A8">
        <w:rPr>
          <w:rFonts w:eastAsia="Times New Roman" w:cstheme="minorHAnsi"/>
        </w:rPr>
        <w:t xml:space="preserve">and </w:t>
      </w:r>
      <w:proofErr w:type="spellStart"/>
      <w:r w:rsidRPr="001A04A8">
        <w:rPr>
          <w:rFonts w:eastAsia="Times New Roman" w:cstheme="minorHAnsi"/>
        </w:rPr>
        <w:t>Wolak</w:t>
      </w:r>
      <w:proofErr w:type="spellEnd"/>
      <w:r w:rsidR="00A37235" w:rsidRPr="00A37235">
        <w:rPr>
          <w:rFonts w:eastAsia="Times New Roman" w:cstheme="minorHAnsi"/>
        </w:rPr>
        <w:t>, F</w:t>
      </w:r>
      <w:r w:rsidRPr="00A37235">
        <w:rPr>
          <w:rFonts w:eastAsia="Times New Roman" w:cstheme="minorHAnsi"/>
        </w:rPr>
        <w:t>. “</w:t>
      </w:r>
      <w:r w:rsidRPr="001A04A8">
        <w:rPr>
          <w:rFonts w:eastAsia="Times New Roman" w:cstheme="minorHAnsi"/>
        </w:rPr>
        <w:t>California’s Cap-and-Trade Market Through 2030: A Preliminary Supply/Demand Analysis</w:t>
      </w:r>
      <w:r w:rsidRPr="00A37235">
        <w:rPr>
          <w:rFonts w:eastAsia="Times New Roman" w:cstheme="minorHAnsi"/>
        </w:rPr>
        <w:t>.” UC Berkeley. EI @ Haas WP 281</w:t>
      </w:r>
    </w:p>
    <w:p w:rsidR="001A04A8" w:rsidRPr="00A37235" w:rsidRDefault="001A04A8" w:rsidP="00682EC5">
      <w:pPr>
        <w:rPr>
          <w:rFonts w:cstheme="minorHAnsi"/>
        </w:rPr>
      </w:pPr>
    </w:p>
    <w:p w:rsidR="00A37235" w:rsidRPr="00A37235" w:rsidRDefault="00A37235" w:rsidP="00A37235">
      <w:pPr>
        <w:rPr>
          <w:rFonts w:cstheme="minorHAnsi"/>
        </w:rPr>
      </w:pPr>
      <w:r w:rsidRPr="00A37235">
        <w:rPr>
          <w:rFonts w:cstheme="minorHAnsi"/>
        </w:rPr>
        <w:t>EIA. “Gasoline prices tend to have little effect on demand for car travel.”</w:t>
      </w:r>
    </w:p>
    <w:p w:rsidR="00A37235" w:rsidRPr="00A37235" w:rsidRDefault="00A37235" w:rsidP="00A37235">
      <w:pPr>
        <w:rPr>
          <w:rFonts w:cstheme="minorHAnsi"/>
        </w:rPr>
      </w:pPr>
      <w:hyperlink r:id="rId7" w:history="1">
        <w:r w:rsidRPr="00A37235">
          <w:rPr>
            <w:rStyle w:val="Hyperlink"/>
            <w:rFonts w:cstheme="minorHAnsi"/>
          </w:rPr>
          <w:t>https://www.eia.gov/todayinenergy/detail.php?id=19191</w:t>
        </w:r>
      </w:hyperlink>
    </w:p>
    <w:p w:rsidR="00A37235" w:rsidRPr="00A37235" w:rsidRDefault="00A37235" w:rsidP="00682EC5">
      <w:pPr>
        <w:rPr>
          <w:rFonts w:cstheme="minorHAnsi"/>
        </w:rPr>
      </w:pPr>
    </w:p>
    <w:p w:rsidR="00A37235" w:rsidRPr="00A37235" w:rsidRDefault="00A37235" w:rsidP="00682EC5">
      <w:pPr>
        <w:rPr>
          <w:rFonts w:cstheme="minorHAnsi"/>
        </w:rPr>
      </w:pPr>
    </w:p>
    <w:p w:rsidR="00A37235" w:rsidRDefault="00A37235" w:rsidP="00A37235">
      <w:pPr>
        <w:pStyle w:val="Bibliography"/>
        <w:rPr>
          <w:rFonts w:cstheme="minorHAnsi"/>
        </w:rPr>
      </w:pPr>
      <w:r w:rsidRPr="00A37235">
        <w:rPr>
          <w:rFonts w:cstheme="minorHAnsi"/>
        </w:rPr>
        <w:lastRenderedPageBreak/>
        <w:t xml:space="preserve">Hughes, Jonathan E., Christopher R. </w:t>
      </w:r>
      <w:proofErr w:type="spellStart"/>
      <w:r w:rsidRPr="00A37235">
        <w:rPr>
          <w:rFonts w:cstheme="minorHAnsi"/>
        </w:rPr>
        <w:t>Knittel</w:t>
      </w:r>
      <w:proofErr w:type="spellEnd"/>
      <w:r w:rsidRPr="00A37235">
        <w:rPr>
          <w:rFonts w:cstheme="minorHAnsi"/>
        </w:rPr>
        <w:t xml:space="preserve">, and Daniel Sperling. 2006. </w:t>
      </w:r>
      <w:r w:rsidRPr="00A37235">
        <w:rPr>
          <w:rFonts w:cstheme="minorHAnsi"/>
          <w:i/>
          <w:iCs/>
        </w:rPr>
        <w:t>Evidence of a Shift in the Short-Run Price Elasticity of Gasoline Demand</w:t>
      </w:r>
      <w:r w:rsidRPr="00A37235">
        <w:rPr>
          <w:rFonts w:cstheme="minorHAnsi"/>
        </w:rPr>
        <w:t>. National Bureau of Economic Research. http://www.nber.org/papers/w12530 (October 30, 2014).</w:t>
      </w:r>
    </w:p>
    <w:p w:rsidR="006312D2" w:rsidRDefault="006312D2" w:rsidP="006312D2"/>
    <w:p w:rsidR="006312D2" w:rsidRPr="006312D2" w:rsidRDefault="006312D2" w:rsidP="006312D2">
      <w:pPr>
        <w:pStyle w:val="Bibliography"/>
        <w:rPr>
          <w:rFonts w:cstheme="minorHAnsi"/>
        </w:rPr>
      </w:pPr>
      <w:r w:rsidRPr="006312D2">
        <w:rPr>
          <w:rFonts w:cstheme="minorHAnsi"/>
        </w:rPr>
        <w:t xml:space="preserve">Jones, C.M. and </w:t>
      </w:r>
      <w:proofErr w:type="spellStart"/>
      <w:r w:rsidRPr="006312D2">
        <w:rPr>
          <w:rFonts w:cstheme="minorHAnsi"/>
        </w:rPr>
        <w:t>Kammen</w:t>
      </w:r>
      <w:proofErr w:type="spellEnd"/>
      <w:r w:rsidRPr="006312D2">
        <w:rPr>
          <w:rFonts w:cstheme="minorHAnsi"/>
        </w:rPr>
        <w:t xml:space="preserve">, D.M. 2018. </w:t>
      </w:r>
      <w:r w:rsidRPr="006312D2">
        <w:rPr>
          <w:rFonts w:cstheme="minorHAnsi"/>
        </w:rPr>
        <w:t>Pathway Analysis to Accelerate California’s Low Carbon Economy</w:t>
      </w:r>
      <w:r w:rsidRPr="006312D2">
        <w:rPr>
          <w:rFonts w:cstheme="minorHAnsi"/>
        </w:rPr>
        <w:t xml:space="preserve">. </w:t>
      </w:r>
      <w:r w:rsidRPr="006312D2">
        <w:rPr>
          <w:rFonts w:cstheme="minorHAnsi"/>
        </w:rPr>
        <w:t>In preparation.</w:t>
      </w:r>
    </w:p>
    <w:p w:rsidR="001A04A8" w:rsidRPr="00A37235" w:rsidRDefault="001A04A8" w:rsidP="006312D2">
      <w:pPr>
        <w:pStyle w:val="Bibliography"/>
        <w:rPr>
          <w:rFonts w:cstheme="minorHAnsi"/>
        </w:rPr>
      </w:pPr>
    </w:p>
    <w:p w:rsidR="006312D2" w:rsidRDefault="001A04A8" w:rsidP="001A04A8">
      <w:pPr>
        <w:rPr>
          <w:rFonts w:eastAsia="Times New Roman" w:cstheme="minorHAnsi"/>
          <w:color w:val="000000"/>
        </w:rPr>
      </w:pPr>
      <w:r w:rsidRPr="001A04A8">
        <w:rPr>
          <w:rFonts w:eastAsia="Times New Roman" w:cstheme="minorHAnsi"/>
          <w:color w:val="000000"/>
        </w:rPr>
        <w:t>Regional Economic Models Inc. (REMI). (2014).</w:t>
      </w:r>
      <w:r w:rsidRPr="00A37235">
        <w:rPr>
          <w:rFonts w:eastAsia="Times New Roman" w:cstheme="minorHAnsi"/>
          <w:color w:val="000000"/>
        </w:rPr>
        <w:t> </w:t>
      </w:r>
      <w:r w:rsidRPr="001A04A8">
        <w:rPr>
          <w:rFonts w:eastAsia="Times New Roman" w:cstheme="minorHAnsi"/>
          <w:i/>
          <w:iCs/>
          <w:color w:val="000000"/>
        </w:rPr>
        <w:t>Environmental Tax Reform in California: Economic and Climate Impact of a Carbon Tax Swap</w:t>
      </w:r>
      <w:r w:rsidRPr="001A04A8">
        <w:rPr>
          <w:rFonts w:eastAsia="Times New Roman" w:cstheme="minorHAnsi"/>
          <w:color w:val="000000"/>
        </w:rPr>
        <w:t>. Washington, DC.</w:t>
      </w:r>
    </w:p>
    <w:p w:rsidR="005D3B6B" w:rsidRPr="00A37235" w:rsidRDefault="006312D2" w:rsidP="00E47DAC">
      <w:pPr>
        <w:rPr>
          <w:rFonts w:cstheme="minorHAnsi"/>
        </w:rPr>
      </w:pPr>
      <w:r>
        <w:rPr>
          <w:rFonts w:eastAsia="Times New Roman" w:cstheme="minorHAnsi"/>
          <w:color w:val="000000"/>
        </w:rPr>
        <w:br w:type="page"/>
      </w:r>
      <w:bookmarkStart w:id="2" w:name="_GoBack"/>
      <w:bookmarkEnd w:id="2"/>
    </w:p>
    <w:p w:rsidR="00900D27" w:rsidRPr="00A37235" w:rsidRDefault="00900D27">
      <w:pPr>
        <w:rPr>
          <w:rFonts w:cstheme="minorHAnsi"/>
        </w:rPr>
      </w:pPr>
    </w:p>
    <w:sectPr w:rsidR="00900D27" w:rsidRPr="00A37235" w:rsidSect="003F5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07F2B"/>
    <w:multiLevelType w:val="hybridMultilevel"/>
    <w:tmpl w:val="BEC0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56C3B"/>
    <w:multiLevelType w:val="hybridMultilevel"/>
    <w:tmpl w:val="FC70FF38"/>
    <w:lvl w:ilvl="0" w:tplc="FC1C56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27"/>
    <w:rsid w:val="001A04A8"/>
    <w:rsid w:val="001F6B0C"/>
    <w:rsid w:val="00322ACB"/>
    <w:rsid w:val="003245FA"/>
    <w:rsid w:val="003F5F2E"/>
    <w:rsid w:val="004233CD"/>
    <w:rsid w:val="005043DD"/>
    <w:rsid w:val="005D3B6B"/>
    <w:rsid w:val="00626409"/>
    <w:rsid w:val="006312D2"/>
    <w:rsid w:val="006424A1"/>
    <w:rsid w:val="00682EC5"/>
    <w:rsid w:val="00712C72"/>
    <w:rsid w:val="00736139"/>
    <w:rsid w:val="00841951"/>
    <w:rsid w:val="008619E2"/>
    <w:rsid w:val="008749FB"/>
    <w:rsid w:val="008C679B"/>
    <w:rsid w:val="00900D27"/>
    <w:rsid w:val="00963D0F"/>
    <w:rsid w:val="00971D9F"/>
    <w:rsid w:val="00A37235"/>
    <w:rsid w:val="00BB11B7"/>
    <w:rsid w:val="00C76977"/>
    <w:rsid w:val="00CF31B8"/>
    <w:rsid w:val="00E16DA7"/>
    <w:rsid w:val="00E47DAC"/>
    <w:rsid w:val="00E574BA"/>
    <w:rsid w:val="00E9009B"/>
    <w:rsid w:val="00E9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66A0"/>
  <w15:chartTrackingRefBased/>
  <w15:docId w15:val="{17837DCD-D6B5-964F-966A-9C27DC32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245F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D3B6B"/>
    <w:pPr>
      <w:spacing w:after="200"/>
    </w:pPr>
    <w:rPr>
      <w:rFonts w:ascii="Calibri" w:eastAsia="Times New Roman" w:hAnsi="Calibri" w:cs="Times New Roman"/>
      <w:b/>
      <w:bCs/>
      <w:color w:val="4F81BD"/>
      <w:sz w:val="18"/>
      <w:szCs w:val="18"/>
    </w:rPr>
  </w:style>
  <w:style w:type="character" w:styleId="Hyperlink">
    <w:name w:val="Hyperlink"/>
    <w:basedOn w:val="DefaultParagraphFont"/>
    <w:uiPriority w:val="99"/>
    <w:unhideWhenUsed/>
    <w:rsid w:val="00322ACB"/>
    <w:rPr>
      <w:color w:val="0563C1" w:themeColor="hyperlink"/>
      <w:u w:val="single"/>
    </w:rPr>
  </w:style>
  <w:style w:type="character" w:styleId="UnresolvedMention">
    <w:name w:val="Unresolved Mention"/>
    <w:basedOn w:val="DefaultParagraphFont"/>
    <w:uiPriority w:val="99"/>
    <w:rsid w:val="00322ACB"/>
    <w:rPr>
      <w:color w:val="808080"/>
      <w:shd w:val="clear" w:color="auto" w:fill="E6E6E6"/>
    </w:rPr>
  </w:style>
  <w:style w:type="character" w:customStyle="1" w:styleId="Heading1Char">
    <w:name w:val="Heading 1 Char"/>
    <w:basedOn w:val="DefaultParagraphFont"/>
    <w:link w:val="Heading1"/>
    <w:uiPriority w:val="9"/>
    <w:rsid w:val="003245FA"/>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F6B0C"/>
    <w:pPr>
      <w:ind w:left="720"/>
      <w:contextualSpacing/>
    </w:pPr>
  </w:style>
  <w:style w:type="character" w:customStyle="1" w:styleId="apple-converted-space">
    <w:name w:val="apple-converted-space"/>
    <w:basedOn w:val="DefaultParagraphFont"/>
    <w:rsid w:val="001A04A8"/>
  </w:style>
  <w:style w:type="paragraph" w:styleId="Bibliography">
    <w:name w:val="Bibliography"/>
    <w:basedOn w:val="Normal"/>
    <w:next w:val="Normal"/>
    <w:uiPriority w:val="37"/>
    <w:semiHidden/>
    <w:unhideWhenUsed/>
    <w:rsid w:val="00A37235"/>
  </w:style>
  <w:style w:type="table" w:styleId="TableGrid">
    <w:name w:val="Table Grid"/>
    <w:basedOn w:val="TableNormal"/>
    <w:uiPriority w:val="59"/>
    <w:rsid w:val="006312D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12D2"/>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28172">
      <w:bodyDiv w:val="1"/>
      <w:marLeft w:val="0"/>
      <w:marRight w:val="0"/>
      <w:marTop w:val="0"/>
      <w:marBottom w:val="0"/>
      <w:divBdr>
        <w:top w:val="none" w:sz="0" w:space="0" w:color="auto"/>
        <w:left w:val="none" w:sz="0" w:space="0" w:color="auto"/>
        <w:bottom w:val="none" w:sz="0" w:space="0" w:color="auto"/>
        <w:right w:val="none" w:sz="0" w:space="0" w:color="auto"/>
      </w:divBdr>
    </w:div>
    <w:div w:id="1317033619">
      <w:bodyDiv w:val="1"/>
      <w:marLeft w:val="0"/>
      <w:marRight w:val="0"/>
      <w:marTop w:val="0"/>
      <w:marBottom w:val="0"/>
      <w:divBdr>
        <w:top w:val="none" w:sz="0" w:space="0" w:color="auto"/>
        <w:left w:val="none" w:sz="0" w:space="0" w:color="auto"/>
        <w:bottom w:val="none" w:sz="0" w:space="0" w:color="auto"/>
        <w:right w:val="none" w:sz="0" w:space="0" w:color="auto"/>
      </w:divBdr>
    </w:div>
    <w:div w:id="1511486700">
      <w:bodyDiv w:val="1"/>
      <w:marLeft w:val="0"/>
      <w:marRight w:val="0"/>
      <w:marTop w:val="0"/>
      <w:marBottom w:val="0"/>
      <w:divBdr>
        <w:top w:val="none" w:sz="0" w:space="0" w:color="auto"/>
        <w:left w:val="none" w:sz="0" w:space="0" w:color="auto"/>
        <w:bottom w:val="none" w:sz="0" w:space="0" w:color="auto"/>
        <w:right w:val="none" w:sz="0" w:space="0" w:color="auto"/>
      </w:divBdr>
    </w:div>
    <w:div w:id="1515264375">
      <w:bodyDiv w:val="1"/>
      <w:marLeft w:val="0"/>
      <w:marRight w:val="0"/>
      <w:marTop w:val="0"/>
      <w:marBottom w:val="0"/>
      <w:divBdr>
        <w:top w:val="none" w:sz="0" w:space="0" w:color="auto"/>
        <w:left w:val="none" w:sz="0" w:space="0" w:color="auto"/>
        <w:bottom w:val="none" w:sz="0" w:space="0" w:color="auto"/>
        <w:right w:val="none" w:sz="0" w:space="0" w:color="auto"/>
      </w:divBdr>
    </w:div>
    <w:div w:id="1912303911">
      <w:bodyDiv w:val="1"/>
      <w:marLeft w:val="0"/>
      <w:marRight w:val="0"/>
      <w:marTop w:val="0"/>
      <w:marBottom w:val="0"/>
      <w:divBdr>
        <w:top w:val="none" w:sz="0" w:space="0" w:color="auto"/>
        <w:left w:val="none" w:sz="0" w:space="0" w:color="auto"/>
        <w:bottom w:val="none" w:sz="0" w:space="0" w:color="auto"/>
        <w:right w:val="none" w:sz="0" w:space="0" w:color="auto"/>
      </w:divBdr>
    </w:div>
    <w:div w:id="20115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ia.gov/todayinenergy/detail.php?id=19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ia.gov/todayinenergy/detail.php?id=19191"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2018-03-16T23:59:00Z</dcterms:created>
  <dcterms:modified xsi:type="dcterms:W3CDTF">2018-03-16T23:59:00Z</dcterms:modified>
</cp:coreProperties>
</file>