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0E4" w:rsidRPr="00EC6C93" w:rsidRDefault="00EA7F1F" w:rsidP="00EC39BF">
      <w:pPr>
        <w:rPr>
          <w:rFonts w:ascii="Arial" w:hAnsi="Arial" w:cs="Arial"/>
        </w:rPr>
      </w:pPr>
      <w:r>
        <w:rPr>
          <w:rFonts w:ascii="Arial" w:hAnsi="Arial" w:cs="Arial"/>
        </w:rPr>
        <w:t>Date:</w:t>
      </w:r>
      <w:r>
        <w:rPr>
          <w:rFonts w:ascii="Arial" w:hAnsi="Arial" w:cs="Arial"/>
        </w:rPr>
        <w:tab/>
      </w:r>
      <w:r>
        <w:rPr>
          <w:rFonts w:ascii="Arial" w:hAnsi="Arial" w:cs="Arial"/>
        </w:rPr>
        <w:tab/>
        <w:t xml:space="preserve">April </w:t>
      </w:r>
      <w:r w:rsidR="006C2C76">
        <w:rPr>
          <w:rFonts w:ascii="Arial" w:hAnsi="Arial" w:cs="Arial"/>
        </w:rPr>
        <w:t>5</w:t>
      </w:r>
      <w:r w:rsidR="009A0D10">
        <w:rPr>
          <w:rFonts w:ascii="Arial" w:hAnsi="Arial" w:cs="Arial"/>
        </w:rPr>
        <w:t>, 2016</w:t>
      </w:r>
    </w:p>
    <w:p w:rsidR="000830E4" w:rsidRPr="00EC6C93" w:rsidRDefault="000830E4" w:rsidP="000830E4">
      <w:pPr>
        <w:rPr>
          <w:rFonts w:ascii="Arial" w:hAnsi="Arial" w:cs="Arial"/>
        </w:rPr>
      </w:pPr>
    </w:p>
    <w:p w:rsidR="0008366A" w:rsidRDefault="00EC39BF" w:rsidP="000830E4">
      <w:pPr>
        <w:pStyle w:val="Default"/>
        <w:rPr>
          <w:rFonts w:ascii="Arial" w:hAnsi="Arial" w:cs="Arial"/>
          <w:color w:val="auto"/>
        </w:rPr>
      </w:pPr>
      <w:r w:rsidRPr="00EC6C93">
        <w:rPr>
          <w:rFonts w:ascii="Arial" w:hAnsi="Arial" w:cs="Arial"/>
          <w:b/>
          <w:color w:val="auto"/>
        </w:rPr>
        <w:t>To</w:t>
      </w:r>
      <w:r w:rsidRPr="00EC6C93">
        <w:rPr>
          <w:rFonts w:ascii="Arial" w:hAnsi="Arial" w:cs="Arial"/>
          <w:color w:val="auto"/>
        </w:rPr>
        <w:t>:</w:t>
      </w:r>
      <w:r w:rsidRPr="00EC6C93">
        <w:rPr>
          <w:rFonts w:ascii="Arial" w:hAnsi="Arial" w:cs="Arial"/>
          <w:color w:val="auto"/>
        </w:rPr>
        <w:tab/>
      </w:r>
      <w:r w:rsidRPr="00EC6C93">
        <w:rPr>
          <w:rFonts w:ascii="Arial" w:hAnsi="Arial" w:cs="Arial"/>
          <w:color w:val="auto"/>
        </w:rPr>
        <w:tab/>
      </w:r>
      <w:proofErr w:type="spellStart"/>
      <w:r w:rsidR="00DA03F2">
        <w:rPr>
          <w:rFonts w:ascii="Arial" w:hAnsi="Arial" w:cs="Arial"/>
          <w:color w:val="auto"/>
        </w:rPr>
        <w:t>Marijke</w:t>
      </w:r>
      <w:proofErr w:type="spellEnd"/>
      <w:r w:rsidR="00DA03F2">
        <w:rPr>
          <w:rFonts w:ascii="Arial" w:hAnsi="Arial" w:cs="Arial"/>
          <w:color w:val="auto"/>
        </w:rPr>
        <w:t xml:space="preserve"> </w:t>
      </w:r>
      <w:proofErr w:type="spellStart"/>
      <w:r w:rsidR="00DA03F2">
        <w:rPr>
          <w:rFonts w:ascii="Arial" w:hAnsi="Arial" w:cs="Arial"/>
          <w:color w:val="auto"/>
        </w:rPr>
        <w:t>Bekken</w:t>
      </w:r>
      <w:proofErr w:type="spellEnd"/>
    </w:p>
    <w:p w:rsidR="000830E4" w:rsidRPr="00EC6C93" w:rsidRDefault="000830E4" w:rsidP="0008366A">
      <w:pPr>
        <w:pStyle w:val="Default"/>
        <w:ind w:left="720" w:firstLine="720"/>
        <w:rPr>
          <w:rFonts w:ascii="Arial" w:hAnsi="Arial" w:cs="Arial"/>
          <w:color w:val="auto"/>
        </w:rPr>
      </w:pPr>
      <w:r w:rsidRPr="00EC6C93">
        <w:rPr>
          <w:rFonts w:ascii="Arial" w:hAnsi="Arial" w:cs="Arial"/>
          <w:color w:val="auto"/>
        </w:rPr>
        <w:t xml:space="preserve">California Air Resources Board </w:t>
      </w:r>
    </w:p>
    <w:p w:rsidR="00E9111B" w:rsidRDefault="000830E4">
      <w:pPr>
        <w:ind w:left="720" w:firstLine="720"/>
        <w:rPr>
          <w:rFonts w:ascii="Arial" w:hAnsi="Arial" w:cs="Arial"/>
        </w:rPr>
      </w:pPr>
      <w:r w:rsidRPr="00EC6C93">
        <w:rPr>
          <w:rFonts w:ascii="Arial" w:hAnsi="Arial" w:cs="Arial"/>
        </w:rPr>
        <w:t>1001 “I” Street</w:t>
      </w:r>
    </w:p>
    <w:p w:rsidR="00E9111B" w:rsidRDefault="000830E4">
      <w:pPr>
        <w:ind w:left="720" w:firstLine="720"/>
        <w:rPr>
          <w:rFonts w:ascii="Arial" w:hAnsi="Arial" w:cs="Arial"/>
        </w:rPr>
      </w:pPr>
      <w:r w:rsidRPr="00EC6C93">
        <w:rPr>
          <w:rFonts w:ascii="Arial" w:hAnsi="Arial" w:cs="Arial"/>
        </w:rPr>
        <w:t>Sacramento, CA, 95812</w:t>
      </w:r>
    </w:p>
    <w:p w:rsidR="00EC39BF" w:rsidRPr="00EC6C93" w:rsidRDefault="00EC39BF" w:rsidP="00EC39BF">
      <w:pPr>
        <w:rPr>
          <w:rFonts w:ascii="Arial" w:hAnsi="Arial" w:cs="Arial"/>
          <w:b/>
        </w:rPr>
      </w:pPr>
    </w:p>
    <w:p w:rsidR="00EC39BF" w:rsidRPr="00EC6C93" w:rsidRDefault="00EC39BF" w:rsidP="00EC39BF">
      <w:pPr>
        <w:rPr>
          <w:rFonts w:ascii="Arial" w:hAnsi="Arial" w:cs="Arial"/>
        </w:rPr>
      </w:pPr>
      <w:r w:rsidRPr="00EC6C93">
        <w:rPr>
          <w:rFonts w:ascii="Arial" w:hAnsi="Arial" w:cs="Arial"/>
          <w:b/>
        </w:rPr>
        <w:t>From:</w:t>
      </w:r>
      <w:r w:rsidRPr="00EC6C93">
        <w:rPr>
          <w:rFonts w:ascii="Arial" w:hAnsi="Arial" w:cs="Arial"/>
          <w:b/>
        </w:rPr>
        <w:tab/>
      </w:r>
      <w:r w:rsidRPr="00EC6C93">
        <w:rPr>
          <w:rFonts w:ascii="Arial" w:hAnsi="Arial" w:cs="Arial"/>
          <w:b/>
        </w:rPr>
        <w:tab/>
      </w:r>
      <w:r w:rsidR="0008366A">
        <w:rPr>
          <w:rFonts w:ascii="Arial" w:hAnsi="Arial" w:cs="Arial"/>
        </w:rPr>
        <w:t>Dawn Fenton</w:t>
      </w:r>
    </w:p>
    <w:p w:rsidR="00EC39BF" w:rsidRPr="00EC6C93" w:rsidRDefault="00EC39BF" w:rsidP="00EC39BF">
      <w:pPr>
        <w:rPr>
          <w:rFonts w:ascii="Arial" w:hAnsi="Arial" w:cs="Arial"/>
        </w:rPr>
      </w:pPr>
      <w:r w:rsidRPr="00EC6C93">
        <w:rPr>
          <w:rFonts w:ascii="Arial" w:hAnsi="Arial" w:cs="Arial"/>
        </w:rPr>
        <w:tab/>
      </w:r>
      <w:r w:rsidRPr="00EC6C93">
        <w:rPr>
          <w:rFonts w:ascii="Arial" w:hAnsi="Arial" w:cs="Arial"/>
        </w:rPr>
        <w:tab/>
      </w:r>
      <w:r w:rsidR="0008366A">
        <w:rPr>
          <w:rFonts w:ascii="Arial" w:hAnsi="Arial" w:cs="Arial"/>
        </w:rPr>
        <w:t xml:space="preserve">Director, </w:t>
      </w:r>
      <w:r w:rsidR="009A0D10">
        <w:rPr>
          <w:rFonts w:ascii="Arial" w:hAnsi="Arial" w:cs="Arial"/>
        </w:rPr>
        <w:t>Sustainability &amp; Public Affairs</w:t>
      </w:r>
    </w:p>
    <w:p w:rsidR="00EC39BF" w:rsidRPr="00EC6C93" w:rsidRDefault="00EC39BF" w:rsidP="00EC39BF">
      <w:pPr>
        <w:rPr>
          <w:rFonts w:ascii="Arial" w:hAnsi="Arial" w:cs="Arial"/>
        </w:rPr>
      </w:pPr>
    </w:p>
    <w:p w:rsidR="000830E4" w:rsidRPr="00EC6C93" w:rsidRDefault="00EC39BF" w:rsidP="00EC39BF">
      <w:pPr>
        <w:ind w:left="1440" w:hanging="1440"/>
        <w:rPr>
          <w:rFonts w:ascii="Arial" w:hAnsi="Arial" w:cs="Arial"/>
          <w:b/>
        </w:rPr>
      </w:pPr>
      <w:r w:rsidRPr="00EC6C93">
        <w:rPr>
          <w:rFonts w:ascii="Arial" w:hAnsi="Arial" w:cs="Arial"/>
          <w:b/>
        </w:rPr>
        <w:t>Subject</w:t>
      </w:r>
      <w:r w:rsidRPr="00EC6C93">
        <w:rPr>
          <w:rFonts w:ascii="Arial" w:hAnsi="Arial" w:cs="Arial"/>
        </w:rPr>
        <w:t>:</w:t>
      </w:r>
      <w:r w:rsidRPr="00EC6C93">
        <w:rPr>
          <w:rFonts w:ascii="Arial" w:hAnsi="Arial" w:cs="Arial"/>
        </w:rPr>
        <w:tab/>
      </w:r>
      <w:r w:rsidR="000830E4" w:rsidRPr="00EC6C93">
        <w:rPr>
          <w:rFonts w:ascii="Arial" w:hAnsi="Arial" w:cs="Arial"/>
          <w:b/>
        </w:rPr>
        <w:t>Volvo Group Comments on CARB</w:t>
      </w:r>
      <w:r w:rsidR="008A0619" w:rsidRPr="00EC6C93">
        <w:rPr>
          <w:rFonts w:ascii="Arial" w:hAnsi="Arial" w:cs="Arial"/>
          <w:b/>
        </w:rPr>
        <w:t xml:space="preserve"> Draft Technology Assessment: </w:t>
      </w:r>
      <w:r w:rsidR="00DA03F2">
        <w:rPr>
          <w:rFonts w:ascii="Arial" w:hAnsi="Arial" w:cs="Arial"/>
          <w:b/>
        </w:rPr>
        <w:t xml:space="preserve">Medium- and </w:t>
      </w:r>
      <w:r w:rsidR="00B25E58">
        <w:rPr>
          <w:rFonts w:ascii="Arial" w:hAnsi="Arial" w:cs="Arial"/>
          <w:b/>
        </w:rPr>
        <w:t xml:space="preserve">Heavy-Duty </w:t>
      </w:r>
      <w:r w:rsidR="00DA03F2">
        <w:rPr>
          <w:rFonts w:ascii="Arial" w:hAnsi="Arial" w:cs="Arial"/>
          <w:b/>
        </w:rPr>
        <w:t>Battery Electric Trucks &amp; Buses</w:t>
      </w:r>
    </w:p>
    <w:p w:rsidR="008A0619" w:rsidRPr="00EC6C93" w:rsidRDefault="008A0619" w:rsidP="00EC39BF">
      <w:pPr>
        <w:rPr>
          <w:rFonts w:ascii="Arial" w:hAnsi="Arial" w:cs="Arial"/>
          <w:b/>
          <w:u w:val="single"/>
        </w:rPr>
      </w:pPr>
    </w:p>
    <w:p w:rsidR="00EC39BF" w:rsidRDefault="00B46CBD" w:rsidP="000830E4">
      <w:pPr>
        <w:rPr>
          <w:rFonts w:ascii="Arial" w:hAnsi="Arial" w:cs="Arial"/>
          <w:b/>
          <w:u w:val="single"/>
        </w:rPr>
      </w:pPr>
      <w:r w:rsidRPr="00B46CBD">
        <w:rPr>
          <w:rFonts w:ascii="Arial" w:hAnsi="Arial" w:cs="Arial"/>
          <w:b/>
          <w:u w:val="single"/>
        </w:rPr>
        <w:t>Introduction</w:t>
      </w:r>
    </w:p>
    <w:p w:rsidR="009A0D10" w:rsidRPr="00EC6C93" w:rsidRDefault="009A0D10" w:rsidP="000830E4">
      <w:pPr>
        <w:rPr>
          <w:rFonts w:ascii="Arial" w:hAnsi="Arial" w:cs="Arial"/>
          <w:b/>
          <w:u w:val="single"/>
        </w:rPr>
      </w:pPr>
    </w:p>
    <w:p w:rsidR="00C224EF" w:rsidRDefault="000830E4" w:rsidP="000830E4">
      <w:pPr>
        <w:rPr>
          <w:rFonts w:ascii="Arial" w:hAnsi="Arial" w:cs="Arial"/>
        </w:rPr>
      </w:pPr>
      <w:r w:rsidRPr="00EC6C93">
        <w:rPr>
          <w:rFonts w:ascii="Arial" w:hAnsi="Arial" w:cs="Arial"/>
        </w:rPr>
        <w:t xml:space="preserve">Volvo Group appreciates the opportunity to comment on the technology assessment </w:t>
      </w:r>
      <w:r w:rsidR="00EC39BF" w:rsidRPr="00EC6C93">
        <w:rPr>
          <w:rFonts w:ascii="Arial" w:hAnsi="Arial" w:cs="Arial"/>
        </w:rPr>
        <w:t>“</w:t>
      </w:r>
      <w:r w:rsidR="00485261" w:rsidRPr="00EC6C93">
        <w:rPr>
          <w:rFonts w:ascii="Arial" w:hAnsi="Arial" w:cs="Arial"/>
        </w:rPr>
        <w:t>Draft Heavy-Duty Technology Assessment</w:t>
      </w:r>
      <w:r w:rsidR="00B25E58">
        <w:rPr>
          <w:rFonts w:ascii="Arial" w:hAnsi="Arial" w:cs="Arial"/>
        </w:rPr>
        <w:t xml:space="preserve">: </w:t>
      </w:r>
      <w:r w:rsidR="00DA03F2">
        <w:rPr>
          <w:rFonts w:ascii="Arial" w:hAnsi="Arial" w:cs="Arial"/>
        </w:rPr>
        <w:t>Medium- and</w:t>
      </w:r>
      <w:r w:rsidR="00B25E58">
        <w:rPr>
          <w:rFonts w:ascii="Arial" w:hAnsi="Arial" w:cs="Arial"/>
        </w:rPr>
        <w:t xml:space="preserve"> Heavy-Duty </w:t>
      </w:r>
      <w:r w:rsidR="00DA03F2">
        <w:rPr>
          <w:rFonts w:ascii="Arial" w:hAnsi="Arial" w:cs="Arial"/>
        </w:rPr>
        <w:t>Battery Electric Trucks and Buses</w:t>
      </w:r>
      <w:r w:rsidR="00485261" w:rsidRPr="00EC6C93">
        <w:rPr>
          <w:rFonts w:ascii="Arial" w:hAnsi="Arial" w:cs="Arial"/>
        </w:rPr>
        <w:t xml:space="preserve">, </w:t>
      </w:r>
      <w:r w:rsidR="00DA03F2">
        <w:rPr>
          <w:rFonts w:ascii="Arial" w:hAnsi="Arial" w:cs="Arial"/>
        </w:rPr>
        <w:t>Oc</w:t>
      </w:r>
      <w:r w:rsidR="00B25E58">
        <w:rPr>
          <w:rFonts w:ascii="Arial" w:hAnsi="Arial" w:cs="Arial"/>
        </w:rPr>
        <w:t>t</w:t>
      </w:r>
      <w:r w:rsidR="00DA03F2">
        <w:rPr>
          <w:rFonts w:ascii="Arial" w:hAnsi="Arial" w:cs="Arial"/>
        </w:rPr>
        <w:t>o</w:t>
      </w:r>
      <w:r w:rsidR="00B25E58">
        <w:rPr>
          <w:rFonts w:ascii="Arial" w:hAnsi="Arial" w:cs="Arial"/>
        </w:rPr>
        <w:t xml:space="preserve">ber </w:t>
      </w:r>
      <w:r w:rsidR="00485261" w:rsidRPr="00EC6C93">
        <w:rPr>
          <w:rFonts w:ascii="Arial" w:hAnsi="Arial" w:cs="Arial"/>
        </w:rPr>
        <w:t>2015</w:t>
      </w:r>
      <w:r w:rsidR="00EC39BF" w:rsidRPr="00EC6C93">
        <w:rPr>
          <w:rFonts w:ascii="Arial" w:hAnsi="Arial" w:cs="Arial"/>
        </w:rPr>
        <w:t xml:space="preserve">,” </w:t>
      </w:r>
      <w:r w:rsidRPr="00EC6C93">
        <w:rPr>
          <w:rFonts w:ascii="Arial" w:hAnsi="Arial" w:cs="Arial"/>
        </w:rPr>
        <w:t xml:space="preserve">by the California Air Resources Board.  We </w:t>
      </w:r>
      <w:r w:rsidR="006009BE" w:rsidRPr="00EC6C93">
        <w:rPr>
          <w:rFonts w:ascii="Arial" w:hAnsi="Arial" w:cs="Arial"/>
        </w:rPr>
        <w:t>welcome</w:t>
      </w:r>
      <w:r w:rsidR="00C224EF">
        <w:rPr>
          <w:rFonts w:ascii="Arial" w:hAnsi="Arial" w:cs="Arial"/>
        </w:rPr>
        <w:t xml:space="preserve"> </w:t>
      </w:r>
      <w:r w:rsidR="008966D8">
        <w:rPr>
          <w:rFonts w:ascii="Arial" w:hAnsi="Arial" w:cs="Arial"/>
        </w:rPr>
        <w:t xml:space="preserve">a </w:t>
      </w:r>
      <w:r w:rsidRPr="00EC6C93">
        <w:rPr>
          <w:rFonts w:ascii="Arial" w:hAnsi="Arial" w:cs="Arial"/>
        </w:rPr>
        <w:t xml:space="preserve">methodical approach to assess the technical readiness, feasibility, suitability and impacts of various technologies as a matter of responsible policy development and rulemaking process.  </w:t>
      </w:r>
    </w:p>
    <w:p w:rsidR="006245C1" w:rsidRDefault="006245C1" w:rsidP="006245C1">
      <w:pPr>
        <w:tabs>
          <w:tab w:val="left" w:pos="6750"/>
        </w:tabs>
        <w:rPr>
          <w:rFonts w:ascii="Arial" w:hAnsi="Arial" w:cs="Arial"/>
        </w:rPr>
      </w:pPr>
    </w:p>
    <w:p w:rsidR="006245C1" w:rsidRDefault="006245C1" w:rsidP="006245C1">
      <w:pPr>
        <w:tabs>
          <w:tab w:val="left" w:pos="6750"/>
        </w:tabs>
        <w:rPr>
          <w:rFonts w:ascii="Arial" w:hAnsi="Arial" w:cs="Arial"/>
        </w:rPr>
      </w:pPr>
      <w:r w:rsidRPr="00EC6C93">
        <w:rPr>
          <w:rFonts w:ascii="Arial" w:hAnsi="Arial" w:cs="Arial"/>
        </w:rPr>
        <w:t xml:space="preserve">Volvo Group is one of the world’s leading manufacturers of trucks, buses, construction equipment and marine and industrial engines. The Group also provides complete solutions for financing and service.  Volvo Group, which employs </w:t>
      </w:r>
      <w:r w:rsidR="009A0D10">
        <w:rPr>
          <w:rFonts w:ascii="Arial" w:hAnsi="Arial" w:cs="Arial"/>
        </w:rPr>
        <w:t>some 100,</w:t>
      </w:r>
      <w:r>
        <w:rPr>
          <w:rFonts w:ascii="Arial" w:hAnsi="Arial" w:cs="Arial"/>
        </w:rPr>
        <w:t xml:space="preserve">000 </w:t>
      </w:r>
      <w:r w:rsidRPr="00EC6C93">
        <w:rPr>
          <w:rFonts w:ascii="Arial" w:hAnsi="Arial" w:cs="Arial"/>
        </w:rPr>
        <w:t xml:space="preserve">people worldwide, has production facilities in </w:t>
      </w:r>
      <w:r w:rsidR="003D02F2">
        <w:rPr>
          <w:rFonts w:ascii="Arial" w:hAnsi="Arial" w:cs="Arial"/>
        </w:rPr>
        <w:t xml:space="preserve">18 </w:t>
      </w:r>
      <w:r w:rsidRPr="00EC6C93">
        <w:rPr>
          <w:rFonts w:ascii="Arial" w:hAnsi="Arial" w:cs="Arial"/>
        </w:rPr>
        <w:t>countries and sells products in more than 190 markets. In the United States</w:t>
      </w:r>
      <w:r>
        <w:rPr>
          <w:rFonts w:ascii="Arial" w:hAnsi="Arial" w:cs="Arial"/>
        </w:rPr>
        <w:t xml:space="preserve">, </w:t>
      </w:r>
      <w:r w:rsidRPr="00EC6C93">
        <w:rPr>
          <w:rFonts w:ascii="Arial" w:hAnsi="Arial" w:cs="Arial"/>
        </w:rPr>
        <w:t>Volvo Group employs 12,000 people and has six manufacturing plants in five states.</w:t>
      </w:r>
      <w:r>
        <w:rPr>
          <w:rFonts w:ascii="Arial" w:hAnsi="Arial" w:cs="Arial"/>
        </w:rPr>
        <w:t xml:space="preserve"> </w:t>
      </w:r>
    </w:p>
    <w:p w:rsidR="00C224EF" w:rsidRDefault="00C224EF" w:rsidP="000830E4">
      <w:pPr>
        <w:rPr>
          <w:rFonts w:ascii="Arial" w:hAnsi="Arial" w:cs="Arial"/>
        </w:rPr>
      </w:pPr>
    </w:p>
    <w:p w:rsidR="000830E4" w:rsidRPr="00EC6C93" w:rsidRDefault="000830E4" w:rsidP="000830E4">
      <w:pPr>
        <w:rPr>
          <w:rFonts w:ascii="Arial" w:hAnsi="Arial" w:cs="Arial"/>
        </w:rPr>
      </w:pPr>
      <w:r w:rsidRPr="00EC6C93">
        <w:rPr>
          <w:rFonts w:ascii="Arial" w:hAnsi="Arial" w:cs="Arial"/>
        </w:rPr>
        <w:t>Volvo recognizes that this is a</w:t>
      </w:r>
      <w:r w:rsidR="00C224EF">
        <w:rPr>
          <w:rFonts w:ascii="Arial" w:hAnsi="Arial" w:cs="Arial"/>
        </w:rPr>
        <w:t xml:space="preserve"> </w:t>
      </w:r>
      <w:r w:rsidRPr="00EC6C93">
        <w:rPr>
          <w:rFonts w:ascii="Arial" w:hAnsi="Arial" w:cs="Arial"/>
        </w:rPr>
        <w:t xml:space="preserve">challenging and complex task, and we </w:t>
      </w:r>
      <w:r w:rsidR="006245C1">
        <w:rPr>
          <w:rFonts w:ascii="Arial" w:hAnsi="Arial" w:cs="Arial"/>
        </w:rPr>
        <w:t xml:space="preserve">are happy to provide additional detail if requested.  </w:t>
      </w:r>
      <w:r w:rsidR="00485261" w:rsidRPr="00EC6C93">
        <w:rPr>
          <w:rFonts w:ascii="Arial" w:hAnsi="Arial" w:cs="Arial"/>
        </w:rPr>
        <w:t>We reference the sections and page numbers of the document in our comments.</w:t>
      </w:r>
    </w:p>
    <w:p w:rsidR="00D47CB2" w:rsidRDefault="00D47CB2" w:rsidP="00DB01AF">
      <w:pPr>
        <w:tabs>
          <w:tab w:val="left" w:pos="6750"/>
        </w:tabs>
        <w:rPr>
          <w:rFonts w:ascii="Arial" w:hAnsi="Arial" w:cs="Arial"/>
        </w:rPr>
      </w:pPr>
    </w:p>
    <w:p w:rsidR="000830E4" w:rsidRPr="00EC6C93" w:rsidRDefault="00DA03F2" w:rsidP="00DB01AF">
      <w:pPr>
        <w:tabs>
          <w:tab w:val="left" w:pos="6750"/>
        </w:tabs>
        <w:rPr>
          <w:rFonts w:ascii="Arial" w:hAnsi="Arial" w:cs="Arial"/>
        </w:rPr>
      </w:pPr>
      <w:r>
        <w:rPr>
          <w:rFonts w:ascii="Arial" w:hAnsi="Arial" w:cs="Arial"/>
        </w:rPr>
        <w:t>For this report, Volvo will focus its comments on its areas of most relevant experience</w:t>
      </w:r>
      <w:r w:rsidR="00C224EF">
        <w:rPr>
          <w:rFonts w:ascii="Arial" w:hAnsi="Arial" w:cs="Arial"/>
        </w:rPr>
        <w:t xml:space="preserve"> – </w:t>
      </w:r>
      <w:r>
        <w:rPr>
          <w:rFonts w:ascii="Arial" w:hAnsi="Arial" w:cs="Arial"/>
        </w:rPr>
        <w:t>heavy-duty trucks and buses.</w:t>
      </w:r>
    </w:p>
    <w:p w:rsidR="000830E4" w:rsidRDefault="000830E4" w:rsidP="000830E4">
      <w:pPr>
        <w:rPr>
          <w:rFonts w:ascii="Arial" w:hAnsi="Arial" w:cs="Arial"/>
          <w:b/>
          <w:u w:val="single"/>
        </w:rPr>
      </w:pPr>
    </w:p>
    <w:p w:rsidR="00D37533" w:rsidRDefault="00D37533" w:rsidP="000830E4">
      <w:pPr>
        <w:rPr>
          <w:rFonts w:ascii="Arial" w:hAnsi="Arial" w:cs="Arial"/>
          <w:b/>
          <w:u w:val="single"/>
        </w:rPr>
      </w:pPr>
    </w:p>
    <w:p w:rsidR="00D37533" w:rsidRDefault="00D37533">
      <w:pPr>
        <w:rPr>
          <w:rFonts w:ascii="Arial" w:hAnsi="Arial" w:cs="Arial"/>
          <w:b/>
          <w:u w:val="single"/>
        </w:rPr>
      </w:pPr>
      <w:r>
        <w:rPr>
          <w:rFonts w:ascii="Arial" w:hAnsi="Arial" w:cs="Arial"/>
          <w:b/>
          <w:u w:val="single"/>
        </w:rPr>
        <w:br w:type="page"/>
      </w:r>
    </w:p>
    <w:p w:rsidR="007C4FC6" w:rsidRDefault="007C4FC6" w:rsidP="000830E4">
      <w:pPr>
        <w:rPr>
          <w:rFonts w:ascii="Arial" w:hAnsi="Arial" w:cs="Arial"/>
          <w:b/>
          <w:u w:val="single"/>
        </w:rPr>
      </w:pPr>
      <w:r w:rsidRPr="00A435DD">
        <w:rPr>
          <w:rFonts w:ascii="Arial" w:hAnsi="Arial" w:cs="Arial"/>
          <w:b/>
          <w:u w:val="single"/>
        </w:rPr>
        <w:lastRenderedPageBreak/>
        <w:t>Discussion</w:t>
      </w:r>
    </w:p>
    <w:p w:rsidR="00A13208" w:rsidRPr="00A435DD" w:rsidRDefault="00A13208" w:rsidP="000830E4">
      <w:pPr>
        <w:rPr>
          <w:rFonts w:ascii="Arial" w:hAnsi="Arial" w:cs="Arial"/>
          <w:b/>
          <w:u w:val="single"/>
        </w:rPr>
      </w:pPr>
    </w:p>
    <w:p w:rsidR="009603EA" w:rsidRDefault="000A685E" w:rsidP="000830E4">
      <w:pPr>
        <w:rPr>
          <w:rFonts w:ascii="Arial" w:hAnsi="Arial" w:cs="Arial"/>
        </w:rPr>
      </w:pPr>
      <w:r w:rsidRPr="00EC6C93">
        <w:rPr>
          <w:rFonts w:ascii="Arial" w:hAnsi="Arial" w:cs="Arial"/>
        </w:rPr>
        <w:t xml:space="preserve">The staff report </w:t>
      </w:r>
      <w:r w:rsidR="00474893">
        <w:rPr>
          <w:rFonts w:ascii="Arial" w:hAnsi="Arial" w:cs="Arial"/>
        </w:rPr>
        <w:t>looks at</w:t>
      </w:r>
      <w:r w:rsidRPr="00EC6C93">
        <w:rPr>
          <w:rFonts w:ascii="Arial" w:hAnsi="Arial" w:cs="Arial"/>
        </w:rPr>
        <w:t xml:space="preserve"> the challenges of </w:t>
      </w:r>
      <w:r w:rsidR="00DA03F2">
        <w:rPr>
          <w:rFonts w:ascii="Arial" w:hAnsi="Arial" w:cs="Arial"/>
        </w:rPr>
        <w:t>deploying battery electric technology in the medium- and</w:t>
      </w:r>
      <w:r w:rsidR="00474893">
        <w:rPr>
          <w:rFonts w:ascii="Arial" w:hAnsi="Arial" w:cs="Arial"/>
        </w:rPr>
        <w:t xml:space="preserve"> heavy-duty </w:t>
      </w:r>
      <w:r w:rsidR="00DA03F2">
        <w:rPr>
          <w:rFonts w:ascii="Arial" w:hAnsi="Arial" w:cs="Arial"/>
        </w:rPr>
        <w:t>sectors</w:t>
      </w:r>
      <w:r w:rsidR="00474893">
        <w:rPr>
          <w:rFonts w:ascii="Arial" w:hAnsi="Arial" w:cs="Arial"/>
        </w:rPr>
        <w:t xml:space="preserve"> during the next five</w:t>
      </w:r>
      <w:r w:rsidR="003D02F2">
        <w:rPr>
          <w:rFonts w:ascii="Arial" w:hAnsi="Arial" w:cs="Arial"/>
        </w:rPr>
        <w:t xml:space="preserve"> </w:t>
      </w:r>
      <w:r w:rsidR="00474893">
        <w:rPr>
          <w:rFonts w:ascii="Arial" w:hAnsi="Arial" w:cs="Arial"/>
        </w:rPr>
        <w:t>to</w:t>
      </w:r>
      <w:r w:rsidR="003D02F2">
        <w:rPr>
          <w:rFonts w:ascii="Arial" w:hAnsi="Arial" w:cs="Arial"/>
        </w:rPr>
        <w:t xml:space="preserve"> </w:t>
      </w:r>
      <w:r w:rsidR="00F02045">
        <w:rPr>
          <w:rFonts w:ascii="Arial" w:hAnsi="Arial" w:cs="Arial"/>
        </w:rPr>
        <w:t>10</w:t>
      </w:r>
      <w:r w:rsidR="00B83C67">
        <w:rPr>
          <w:rFonts w:ascii="Arial" w:hAnsi="Arial" w:cs="Arial"/>
        </w:rPr>
        <w:t xml:space="preserve"> </w:t>
      </w:r>
      <w:r w:rsidR="00474893">
        <w:rPr>
          <w:rFonts w:ascii="Arial" w:hAnsi="Arial" w:cs="Arial"/>
        </w:rPr>
        <w:t>years</w:t>
      </w:r>
      <w:r w:rsidR="00DA03F2">
        <w:rPr>
          <w:rFonts w:ascii="Arial" w:hAnsi="Arial" w:cs="Arial"/>
        </w:rPr>
        <w:t>. It notes that different sectors (such as the bus sector) appear to be further along in the technology development cycle than others (</w:t>
      </w:r>
      <w:r w:rsidR="00D47CB2">
        <w:rPr>
          <w:rFonts w:ascii="Arial" w:hAnsi="Arial" w:cs="Arial"/>
        </w:rPr>
        <w:t xml:space="preserve">i.e. </w:t>
      </w:r>
      <w:r w:rsidR="00DA03F2">
        <w:rPr>
          <w:rFonts w:ascii="Arial" w:hAnsi="Arial" w:cs="Arial"/>
        </w:rPr>
        <w:t>the Class 8 heavy-duty sector)</w:t>
      </w:r>
      <w:r w:rsidR="009603EA">
        <w:rPr>
          <w:rFonts w:ascii="Arial" w:hAnsi="Arial" w:cs="Arial"/>
        </w:rPr>
        <w:t>, but states</w:t>
      </w:r>
      <w:r w:rsidR="009603EA" w:rsidRPr="009603EA">
        <w:rPr>
          <w:rFonts w:ascii="Arial" w:hAnsi="Arial" w:cs="Arial"/>
        </w:rPr>
        <w:t xml:space="preserve"> </w:t>
      </w:r>
      <w:r w:rsidR="009603EA">
        <w:rPr>
          <w:rFonts w:ascii="Arial" w:hAnsi="Arial" w:cs="Arial"/>
        </w:rPr>
        <w:t>on page ES-1, that battery electric technology is “beginning to penetrate the medium</w:t>
      </w:r>
      <w:r w:rsidR="003D02F2">
        <w:rPr>
          <w:rFonts w:ascii="Arial" w:hAnsi="Arial" w:cs="Arial"/>
        </w:rPr>
        <w:t>-</w:t>
      </w:r>
      <w:r w:rsidR="009603EA">
        <w:rPr>
          <w:rFonts w:ascii="Arial" w:hAnsi="Arial" w:cs="Arial"/>
        </w:rPr>
        <w:t xml:space="preserve"> and heavy-duty vehicles market.”</w:t>
      </w:r>
      <w:r w:rsidR="00F02045">
        <w:rPr>
          <w:rFonts w:ascii="Arial" w:hAnsi="Arial" w:cs="Arial"/>
        </w:rPr>
        <w:t xml:space="preserve"> </w:t>
      </w:r>
      <w:r w:rsidR="003803AE">
        <w:rPr>
          <w:rFonts w:ascii="Arial" w:hAnsi="Arial" w:cs="Arial"/>
        </w:rPr>
        <w:t xml:space="preserve">While this is true, the </w:t>
      </w:r>
      <w:r w:rsidR="009603EA">
        <w:rPr>
          <w:rFonts w:ascii="Arial" w:hAnsi="Arial" w:cs="Arial"/>
        </w:rPr>
        <w:t>emphasis should be on “</w:t>
      </w:r>
      <w:r w:rsidR="009603EA" w:rsidRPr="006929BC">
        <w:rPr>
          <w:rFonts w:ascii="Arial" w:hAnsi="Arial" w:cs="Arial"/>
          <w:u w:val="single"/>
        </w:rPr>
        <w:t>beginning</w:t>
      </w:r>
      <w:r w:rsidR="009603EA" w:rsidRPr="008B53BC">
        <w:rPr>
          <w:rFonts w:ascii="Arial" w:hAnsi="Arial" w:cs="Arial"/>
        </w:rPr>
        <w:t xml:space="preserve">” </w:t>
      </w:r>
      <w:r w:rsidR="009603EA" w:rsidRPr="00A13208">
        <w:rPr>
          <w:rFonts w:ascii="Arial" w:hAnsi="Arial" w:cs="Arial"/>
        </w:rPr>
        <w:t>since the</w:t>
      </w:r>
      <w:r w:rsidR="009603EA">
        <w:rPr>
          <w:rFonts w:ascii="Arial" w:hAnsi="Arial" w:cs="Arial"/>
        </w:rPr>
        <w:t xml:space="preserve"> </w:t>
      </w:r>
      <w:r w:rsidR="003803AE">
        <w:rPr>
          <w:rFonts w:ascii="Arial" w:hAnsi="Arial" w:cs="Arial"/>
        </w:rPr>
        <w:t>number of vehicles</w:t>
      </w:r>
      <w:r w:rsidR="009603EA">
        <w:rPr>
          <w:rFonts w:ascii="Arial" w:hAnsi="Arial" w:cs="Arial"/>
        </w:rPr>
        <w:t xml:space="preserve"> operating</w:t>
      </w:r>
      <w:r w:rsidR="008713F0">
        <w:rPr>
          <w:rFonts w:ascii="Arial" w:hAnsi="Arial" w:cs="Arial"/>
        </w:rPr>
        <w:t xml:space="preserve"> in California is</w:t>
      </w:r>
      <w:r w:rsidR="003803AE">
        <w:rPr>
          <w:rFonts w:ascii="Arial" w:hAnsi="Arial" w:cs="Arial"/>
        </w:rPr>
        <w:t xml:space="preserve"> still extremely small</w:t>
      </w:r>
      <w:r w:rsidR="009603EA">
        <w:rPr>
          <w:rFonts w:ascii="Arial" w:hAnsi="Arial" w:cs="Arial"/>
        </w:rPr>
        <w:t>.</w:t>
      </w:r>
    </w:p>
    <w:p w:rsidR="009603EA" w:rsidRDefault="009603EA" w:rsidP="000830E4">
      <w:pPr>
        <w:rPr>
          <w:rFonts w:ascii="Arial" w:hAnsi="Arial" w:cs="Arial"/>
        </w:rPr>
      </w:pPr>
    </w:p>
    <w:p w:rsidR="00A13208" w:rsidRDefault="00DA03F2" w:rsidP="00A13208">
      <w:pPr>
        <w:rPr>
          <w:rFonts w:ascii="Arial" w:hAnsi="Arial" w:cs="Arial"/>
        </w:rPr>
      </w:pPr>
      <w:r>
        <w:rPr>
          <w:rFonts w:ascii="Arial" w:hAnsi="Arial" w:cs="Arial"/>
        </w:rPr>
        <w:t xml:space="preserve">For </w:t>
      </w:r>
      <w:r w:rsidR="007C4FC6">
        <w:rPr>
          <w:rFonts w:ascii="Arial" w:hAnsi="Arial" w:cs="Arial"/>
        </w:rPr>
        <w:t xml:space="preserve">this </w:t>
      </w:r>
      <w:r>
        <w:rPr>
          <w:rFonts w:ascii="Arial" w:hAnsi="Arial" w:cs="Arial"/>
        </w:rPr>
        <w:t>reason, w</w:t>
      </w:r>
      <w:r w:rsidR="00E95702">
        <w:rPr>
          <w:rFonts w:ascii="Arial" w:hAnsi="Arial" w:cs="Arial"/>
        </w:rPr>
        <w:t>e believe i</w:t>
      </w:r>
      <w:r w:rsidR="008966D8">
        <w:rPr>
          <w:rFonts w:ascii="Arial" w:hAnsi="Arial" w:cs="Arial"/>
        </w:rPr>
        <w:t>t’s premature to characterize the report as a “technology assessment”</w:t>
      </w:r>
      <w:r>
        <w:rPr>
          <w:rFonts w:ascii="Arial" w:hAnsi="Arial" w:cs="Arial"/>
        </w:rPr>
        <w:t xml:space="preserve"> if by technology assessment </w:t>
      </w:r>
      <w:r w:rsidR="007C4FC6">
        <w:rPr>
          <w:rFonts w:ascii="Arial" w:hAnsi="Arial" w:cs="Arial"/>
        </w:rPr>
        <w:t xml:space="preserve">CARB </w:t>
      </w:r>
      <w:r>
        <w:rPr>
          <w:rFonts w:ascii="Arial" w:hAnsi="Arial" w:cs="Arial"/>
        </w:rPr>
        <w:t xml:space="preserve">means the evaluation of a technology in use. </w:t>
      </w:r>
      <w:r w:rsidR="0051163E">
        <w:rPr>
          <w:rFonts w:ascii="Arial" w:hAnsi="Arial" w:cs="Arial"/>
        </w:rPr>
        <w:t>The CARB</w:t>
      </w:r>
      <w:r>
        <w:rPr>
          <w:rFonts w:ascii="Arial" w:hAnsi="Arial" w:cs="Arial"/>
        </w:rPr>
        <w:t xml:space="preserve"> report presents an overview of electric vehicle technology and a few examples of its initial </w:t>
      </w:r>
      <w:r w:rsidR="008F4C0B">
        <w:rPr>
          <w:rFonts w:ascii="Arial" w:hAnsi="Arial" w:cs="Arial"/>
        </w:rPr>
        <w:t xml:space="preserve">experimental </w:t>
      </w:r>
      <w:r>
        <w:rPr>
          <w:rFonts w:ascii="Arial" w:hAnsi="Arial" w:cs="Arial"/>
        </w:rPr>
        <w:t xml:space="preserve">use in medium- and heavy-duty vehicles, but </w:t>
      </w:r>
      <w:r w:rsidR="009603EA">
        <w:rPr>
          <w:rFonts w:ascii="Arial" w:hAnsi="Arial" w:cs="Arial"/>
        </w:rPr>
        <w:t xml:space="preserve">provides little information about </w:t>
      </w:r>
      <w:r>
        <w:rPr>
          <w:rFonts w:ascii="Arial" w:hAnsi="Arial" w:cs="Arial"/>
        </w:rPr>
        <w:t xml:space="preserve">how these technologies </w:t>
      </w:r>
      <w:r w:rsidR="009603EA">
        <w:rPr>
          <w:rFonts w:ascii="Arial" w:hAnsi="Arial" w:cs="Arial"/>
        </w:rPr>
        <w:t>perform</w:t>
      </w:r>
      <w:r w:rsidR="008B53BC">
        <w:rPr>
          <w:rFonts w:ascii="Arial" w:hAnsi="Arial" w:cs="Arial"/>
        </w:rPr>
        <w:t xml:space="preserve"> </w:t>
      </w:r>
      <w:r>
        <w:rPr>
          <w:rFonts w:ascii="Arial" w:hAnsi="Arial" w:cs="Arial"/>
        </w:rPr>
        <w:t>in real</w:t>
      </w:r>
      <w:r w:rsidR="003D02F2">
        <w:rPr>
          <w:rFonts w:ascii="Arial" w:hAnsi="Arial" w:cs="Arial"/>
        </w:rPr>
        <w:t>-</w:t>
      </w:r>
      <w:r>
        <w:rPr>
          <w:rFonts w:ascii="Arial" w:hAnsi="Arial" w:cs="Arial"/>
        </w:rPr>
        <w:t xml:space="preserve">world applications. </w:t>
      </w:r>
    </w:p>
    <w:p w:rsidR="00A13208" w:rsidRDefault="00A13208" w:rsidP="00A13208">
      <w:pPr>
        <w:rPr>
          <w:rFonts w:ascii="Arial" w:hAnsi="Arial" w:cs="Arial"/>
        </w:rPr>
      </w:pPr>
    </w:p>
    <w:p w:rsidR="00A13208" w:rsidRDefault="00A13208" w:rsidP="00A13208">
      <w:pPr>
        <w:rPr>
          <w:rFonts w:ascii="Arial" w:hAnsi="Arial" w:cs="Arial"/>
        </w:rPr>
      </w:pPr>
      <w:r w:rsidRPr="00A73BB5">
        <w:rPr>
          <w:rFonts w:ascii="Arial" w:hAnsi="Arial" w:cs="Arial"/>
        </w:rPr>
        <w:t>The report states (p. VIII-1), “These medium- and heavy-duty demonstration projects will help to better understand the economics surrounding BEV operations.” While it is true that these projects help to better assess the suitability of BEV technology in different applications, a true economic assessment will require consideration of commercial factors from a fleet perspective, many of which have not yet been addressed.</w:t>
      </w:r>
    </w:p>
    <w:p w:rsidR="00DA03F2" w:rsidRDefault="00DA03F2" w:rsidP="000830E4">
      <w:pPr>
        <w:rPr>
          <w:rFonts w:ascii="Arial" w:hAnsi="Arial" w:cs="Arial"/>
        </w:rPr>
      </w:pPr>
    </w:p>
    <w:p w:rsidR="00AD6C74" w:rsidRDefault="00DA03F2" w:rsidP="000830E4">
      <w:pPr>
        <w:rPr>
          <w:rFonts w:ascii="Arial" w:hAnsi="Arial" w:cs="Arial"/>
        </w:rPr>
      </w:pPr>
      <w:r>
        <w:rPr>
          <w:rFonts w:ascii="Arial" w:hAnsi="Arial" w:cs="Arial"/>
        </w:rPr>
        <w:t>B</w:t>
      </w:r>
      <w:r w:rsidR="008966D8">
        <w:rPr>
          <w:rFonts w:ascii="Arial" w:hAnsi="Arial" w:cs="Arial"/>
        </w:rPr>
        <w:t>ecause</w:t>
      </w:r>
      <w:r>
        <w:rPr>
          <w:rFonts w:ascii="Arial" w:hAnsi="Arial" w:cs="Arial"/>
        </w:rPr>
        <w:t xml:space="preserve"> of </w:t>
      </w:r>
      <w:r w:rsidR="009603EA">
        <w:rPr>
          <w:rFonts w:ascii="Arial" w:hAnsi="Arial" w:cs="Arial"/>
        </w:rPr>
        <w:t xml:space="preserve">this </w:t>
      </w:r>
      <w:r>
        <w:rPr>
          <w:rFonts w:ascii="Arial" w:hAnsi="Arial" w:cs="Arial"/>
        </w:rPr>
        <w:t>limited deploym</w:t>
      </w:r>
      <w:r w:rsidR="004050F3">
        <w:rPr>
          <w:rFonts w:ascii="Arial" w:hAnsi="Arial" w:cs="Arial"/>
        </w:rPr>
        <w:t>ent</w:t>
      </w:r>
      <w:r w:rsidR="007C4FC6">
        <w:rPr>
          <w:rFonts w:ascii="Arial" w:hAnsi="Arial" w:cs="Arial"/>
        </w:rPr>
        <w:t>,</w:t>
      </w:r>
      <w:r w:rsidR="004050F3">
        <w:rPr>
          <w:rFonts w:ascii="Arial" w:hAnsi="Arial" w:cs="Arial"/>
        </w:rPr>
        <w:t xml:space="preserve"> it</w:t>
      </w:r>
      <w:r w:rsidR="007C4FC6">
        <w:rPr>
          <w:rFonts w:ascii="Arial" w:hAnsi="Arial" w:cs="Arial"/>
        </w:rPr>
        <w:t xml:space="preserve">’s </w:t>
      </w:r>
      <w:r w:rsidR="004050F3">
        <w:rPr>
          <w:rFonts w:ascii="Arial" w:hAnsi="Arial" w:cs="Arial"/>
        </w:rPr>
        <w:t>difficult to evaluate how</w:t>
      </w:r>
      <w:r w:rsidR="008966D8">
        <w:rPr>
          <w:rFonts w:ascii="Arial" w:hAnsi="Arial" w:cs="Arial"/>
        </w:rPr>
        <w:t xml:space="preserve"> the technologies</w:t>
      </w:r>
      <w:r w:rsidR="004050F3">
        <w:rPr>
          <w:rFonts w:ascii="Arial" w:hAnsi="Arial" w:cs="Arial"/>
        </w:rPr>
        <w:t xml:space="preserve"> perform against their incumbent competition. While some cost and environmental comparisons are offered, the core evaluation of a technology </w:t>
      </w:r>
      <w:r w:rsidR="003D02F2">
        <w:rPr>
          <w:rFonts w:ascii="Arial" w:hAnsi="Arial" w:cs="Arial"/>
        </w:rPr>
        <w:t xml:space="preserve">in the heavy-duty truck and bus sectors </w:t>
      </w:r>
      <w:r w:rsidR="004050F3">
        <w:rPr>
          <w:rFonts w:ascii="Arial" w:hAnsi="Arial" w:cs="Arial"/>
        </w:rPr>
        <w:t xml:space="preserve">is based on its ability to cost-effectively perform a given task. </w:t>
      </w:r>
      <w:r w:rsidR="009F5482">
        <w:rPr>
          <w:rFonts w:ascii="Arial" w:hAnsi="Arial" w:cs="Arial"/>
        </w:rPr>
        <w:t xml:space="preserve">On page II-7 </w:t>
      </w:r>
      <w:r w:rsidR="004050F3">
        <w:rPr>
          <w:rFonts w:ascii="Arial" w:hAnsi="Arial" w:cs="Arial"/>
        </w:rPr>
        <w:t xml:space="preserve">the report </w:t>
      </w:r>
      <w:r w:rsidR="009C0768">
        <w:rPr>
          <w:rFonts w:ascii="Arial" w:hAnsi="Arial" w:cs="Arial"/>
        </w:rPr>
        <w:t>states</w:t>
      </w:r>
      <w:r w:rsidR="003D02F2">
        <w:rPr>
          <w:rFonts w:ascii="Arial" w:hAnsi="Arial" w:cs="Arial"/>
        </w:rPr>
        <w:t>,</w:t>
      </w:r>
      <w:r w:rsidR="009C0768">
        <w:rPr>
          <w:rFonts w:ascii="Arial" w:hAnsi="Arial" w:cs="Arial"/>
        </w:rPr>
        <w:t xml:space="preserve"> </w:t>
      </w:r>
      <w:r w:rsidR="00AD6C74">
        <w:rPr>
          <w:rFonts w:ascii="Arial" w:hAnsi="Arial" w:cs="Arial"/>
        </w:rPr>
        <w:t xml:space="preserve">“the vocation of the battery electric vehicle must be considered.” </w:t>
      </w:r>
      <w:r w:rsidR="009F5482">
        <w:rPr>
          <w:rFonts w:ascii="Arial" w:hAnsi="Arial" w:cs="Arial"/>
        </w:rPr>
        <w:t>We firmly agree</w:t>
      </w:r>
      <w:r w:rsidR="003D02F2">
        <w:rPr>
          <w:rFonts w:ascii="Arial" w:hAnsi="Arial" w:cs="Arial"/>
        </w:rPr>
        <w:t>,</w:t>
      </w:r>
      <w:r w:rsidR="009F5482">
        <w:rPr>
          <w:rFonts w:ascii="Arial" w:hAnsi="Arial" w:cs="Arial"/>
        </w:rPr>
        <w:t xml:space="preserve"> and therefore don’t believe accurate assumptions can be made and expectations set for a technology’s penetration in the marketplace without broader experience with the challenges </w:t>
      </w:r>
      <w:r w:rsidR="00AD6C74">
        <w:rPr>
          <w:rFonts w:ascii="Arial" w:hAnsi="Arial" w:cs="Arial"/>
        </w:rPr>
        <w:t>BEV heavy-duty vehicles must address.</w:t>
      </w:r>
      <w:r w:rsidR="00A73BB5">
        <w:rPr>
          <w:rFonts w:ascii="Arial" w:hAnsi="Arial" w:cs="Arial"/>
        </w:rPr>
        <w:t xml:space="preserve">  Vague projections of future reduced component costs and an appeal that the “economies of scale” will level the playing field </w:t>
      </w:r>
      <w:r w:rsidR="003D02F2">
        <w:rPr>
          <w:rFonts w:ascii="Arial" w:hAnsi="Arial" w:cs="Arial"/>
        </w:rPr>
        <w:t xml:space="preserve">are </w:t>
      </w:r>
      <w:r w:rsidR="00A73BB5">
        <w:rPr>
          <w:rFonts w:ascii="Arial" w:hAnsi="Arial" w:cs="Arial"/>
        </w:rPr>
        <w:t xml:space="preserve">not </w:t>
      </w:r>
      <w:bookmarkStart w:id="0" w:name="_GoBack"/>
      <w:bookmarkEnd w:id="0"/>
      <w:r w:rsidR="00A73BB5">
        <w:rPr>
          <w:rFonts w:ascii="Arial" w:hAnsi="Arial" w:cs="Arial"/>
        </w:rPr>
        <w:t>solid analys</w:t>
      </w:r>
      <w:r w:rsidR="003D02F2">
        <w:rPr>
          <w:rFonts w:ascii="Arial" w:hAnsi="Arial" w:cs="Arial"/>
        </w:rPr>
        <w:t>e</w:t>
      </w:r>
      <w:r w:rsidR="00A73BB5">
        <w:rPr>
          <w:rFonts w:ascii="Arial" w:hAnsi="Arial" w:cs="Arial"/>
        </w:rPr>
        <w:t>s.</w:t>
      </w:r>
    </w:p>
    <w:p w:rsidR="008966D8" w:rsidRDefault="008966D8" w:rsidP="000830E4">
      <w:pPr>
        <w:rPr>
          <w:rFonts w:ascii="Arial" w:hAnsi="Arial" w:cs="Arial"/>
        </w:rPr>
      </w:pPr>
    </w:p>
    <w:p w:rsidR="008966D8" w:rsidRDefault="00853242" w:rsidP="000830E4">
      <w:pPr>
        <w:rPr>
          <w:rFonts w:ascii="Arial" w:hAnsi="Arial" w:cs="Arial"/>
        </w:rPr>
      </w:pPr>
      <w:r>
        <w:rPr>
          <w:rFonts w:ascii="Arial" w:hAnsi="Arial" w:cs="Arial"/>
        </w:rPr>
        <w:t xml:space="preserve">In moving forward, there are </w:t>
      </w:r>
      <w:r w:rsidR="009F5482">
        <w:rPr>
          <w:rFonts w:ascii="Arial" w:hAnsi="Arial" w:cs="Arial"/>
        </w:rPr>
        <w:t xml:space="preserve">several </w:t>
      </w:r>
      <w:r>
        <w:rPr>
          <w:rFonts w:ascii="Arial" w:hAnsi="Arial" w:cs="Arial"/>
        </w:rPr>
        <w:t xml:space="preserve">issues which </w:t>
      </w:r>
      <w:r w:rsidR="00E166F7">
        <w:rPr>
          <w:rFonts w:ascii="Arial" w:hAnsi="Arial" w:cs="Arial"/>
        </w:rPr>
        <w:t>a fut</w:t>
      </w:r>
      <w:r>
        <w:rPr>
          <w:rFonts w:ascii="Arial" w:hAnsi="Arial" w:cs="Arial"/>
        </w:rPr>
        <w:t>ure report must appropriately and technically consider before drawing conclusions:</w:t>
      </w:r>
    </w:p>
    <w:p w:rsidR="009F5482" w:rsidRPr="00A73BB5" w:rsidRDefault="009F5482" w:rsidP="00A73BB5">
      <w:pPr>
        <w:rPr>
          <w:rFonts w:ascii="Arial" w:hAnsi="Arial" w:cs="Arial"/>
        </w:rPr>
      </w:pPr>
      <w:r w:rsidRPr="00A73BB5">
        <w:rPr>
          <w:rFonts w:ascii="Arial" w:hAnsi="Arial" w:cs="Arial"/>
        </w:rPr>
        <w:t xml:space="preserve"> </w:t>
      </w:r>
    </w:p>
    <w:p w:rsidR="00A73BB5" w:rsidRDefault="00A73BB5" w:rsidP="00A73BB5">
      <w:pPr>
        <w:rPr>
          <w:rFonts w:ascii="Arial" w:hAnsi="Arial" w:cs="Arial"/>
        </w:rPr>
      </w:pPr>
    </w:p>
    <w:p w:rsidR="00A73BB5" w:rsidRDefault="00D37533" w:rsidP="00A73BB5">
      <w:pPr>
        <w:rPr>
          <w:rFonts w:ascii="Arial" w:hAnsi="Arial" w:cs="Arial"/>
        </w:rPr>
      </w:pPr>
      <w:r>
        <w:rPr>
          <w:rFonts w:ascii="Arial" w:hAnsi="Arial" w:cs="Arial"/>
          <w:b/>
          <w:u w:val="single"/>
        </w:rPr>
        <w:lastRenderedPageBreak/>
        <w:t>Battery D</w:t>
      </w:r>
      <w:r w:rsidR="0011140E" w:rsidRPr="00A73BB5">
        <w:rPr>
          <w:rFonts w:ascii="Arial" w:hAnsi="Arial" w:cs="Arial"/>
          <w:b/>
          <w:u w:val="single"/>
        </w:rPr>
        <w:t>evelopment</w:t>
      </w:r>
      <w:r w:rsidR="0011140E" w:rsidRPr="00A73BB5">
        <w:rPr>
          <w:rFonts w:ascii="Arial" w:hAnsi="Arial" w:cs="Arial"/>
        </w:rPr>
        <w:t xml:space="preserve"> </w:t>
      </w:r>
    </w:p>
    <w:p w:rsidR="00A73BB5" w:rsidRDefault="00A73BB5" w:rsidP="00A73BB5">
      <w:pPr>
        <w:rPr>
          <w:rFonts w:ascii="Arial" w:hAnsi="Arial" w:cs="Arial"/>
        </w:rPr>
      </w:pPr>
    </w:p>
    <w:p w:rsidR="00853242" w:rsidRDefault="0011140E" w:rsidP="00A73BB5">
      <w:pPr>
        <w:rPr>
          <w:rFonts w:ascii="Arial" w:hAnsi="Arial" w:cs="Arial"/>
        </w:rPr>
      </w:pPr>
      <w:r w:rsidRPr="00A73BB5">
        <w:rPr>
          <w:rFonts w:ascii="Arial" w:hAnsi="Arial" w:cs="Arial"/>
        </w:rPr>
        <w:t xml:space="preserve">The executive summary states that </w:t>
      </w:r>
      <w:r w:rsidR="004050F3" w:rsidRPr="00A73BB5">
        <w:rPr>
          <w:rFonts w:ascii="Arial" w:hAnsi="Arial" w:cs="Arial"/>
        </w:rPr>
        <w:t>“Class 8 heavy-duty trucks remain a significant challenge</w:t>
      </w:r>
      <w:r w:rsidRPr="00A73BB5">
        <w:rPr>
          <w:rFonts w:ascii="Arial" w:hAnsi="Arial" w:cs="Arial"/>
        </w:rPr>
        <w:t>,</w:t>
      </w:r>
      <w:r w:rsidR="004050F3" w:rsidRPr="00A73BB5">
        <w:rPr>
          <w:rFonts w:ascii="Arial" w:hAnsi="Arial" w:cs="Arial"/>
        </w:rPr>
        <w:t xml:space="preserve">” </w:t>
      </w:r>
      <w:r w:rsidRPr="00A73BB5">
        <w:rPr>
          <w:rFonts w:ascii="Arial" w:hAnsi="Arial" w:cs="Arial"/>
        </w:rPr>
        <w:t>and l</w:t>
      </w:r>
      <w:r w:rsidR="004050F3" w:rsidRPr="00A73BB5">
        <w:rPr>
          <w:rFonts w:ascii="Arial" w:hAnsi="Arial" w:cs="Arial"/>
        </w:rPr>
        <w:t>ater in the report it is suggested that improved battery costs will help overcome the challenge (</w:t>
      </w:r>
      <w:r w:rsidR="008B53BC">
        <w:rPr>
          <w:rFonts w:ascii="Arial" w:hAnsi="Arial" w:cs="Arial"/>
        </w:rPr>
        <w:t xml:space="preserve">page </w:t>
      </w:r>
      <w:r w:rsidR="00E166F7" w:rsidRPr="00A73BB5">
        <w:rPr>
          <w:rFonts w:ascii="Arial" w:hAnsi="Arial" w:cs="Arial"/>
        </w:rPr>
        <w:t xml:space="preserve">VIII-1). We would suggest that </w:t>
      </w:r>
      <w:r w:rsidR="003D02F2">
        <w:rPr>
          <w:rFonts w:ascii="Arial" w:hAnsi="Arial" w:cs="Arial"/>
        </w:rPr>
        <w:t xml:space="preserve">there </w:t>
      </w:r>
      <w:r w:rsidR="00E166F7" w:rsidRPr="00A73BB5">
        <w:rPr>
          <w:rFonts w:ascii="Arial" w:hAnsi="Arial" w:cs="Arial"/>
        </w:rPr>
        <w:t xml:space="preserve">are </w:t>
      </w:r>
      <w:r w:rsidR="00852648" w:rsidRPr="00A73BB5">
        <w:rPr>
          <w:rFonts w:ascii="Arial" w:hAnsi="Arial" w:cs="Arial"/>
        </w:rPr>
        <w:t>several</w:t>
      </w:r>
      <w:r w:rsidR="009A0D10" w:rsidRPr="00A73BB5">
        <w:rPr>
          <w:rFonts w:ascii="Arial" w:hAnsi="Arial" w:cs="Arial"/>
        </w:rPr>
        <w:t xml:space="preserve"> </w:t>
      </w:r>
      <w:r w:rsidR="00E166F7" w:rsidRPr="00A73BB5">
        <w:rPr>
          <w:rFonts w:ascii="Arial" w:hAnsi="Arial" w:cs="Arial"/>
        </w:rPr>
        <w:t>issues that need to be addressed in addition to battery costs</w:t>
      </w:r>
      <w:r w:rsidR="00852648" w:rsidRPr="00A73BB5">
        <w:rPr>
          <w:rFonts w:ascii="Arial" w:hAnsi="Arial" w:cs="Arial"/>
        </w:rPr>
        <w:t>, including concerns related to range and recharging time</w:t>
      </w:r>
      <w:r w:rsidR="003D02F2">
        <w:rPr>
          <w:rFonts w:ascii="Arial" w:hAnsi="Arial" w:cs="Arial"/>
        </w:rPr>
        <w:t>,</w:t>
      </w:r>
      <w:r w:rsidR="00852648" w:rsidRPr="00A73BB5">
        <w:rPr>
          <w:rFonts w:ascii="Arial" w:hAnsi="Arial" w:cs="Arial"/>
        </w:rPr>
        <w:t xml:space="preserve"> which severely limit the potential use of BEVs in most applications</w:t>
      </w:r>
      <w:r w:rsidR="00E166F7" w:rsidRPr="00A73BB5">
        <w:rPr>
          <w:rFonts w:ascii="Arial" w:hAnsi="Arial" w:cs="Arial"/>
        </w:rPr>
        <w:t>.</w:t>
      </w:r>
    </w:p>
    <w:p w:rsidR="007D45AC" w:rsidRDefault="007D45AC" w:rsidP="00A73BB5">
      <w:pPr>
        <w:rPr>
          <w:rFonts w:ascii="Arial" w:hAnsi="Arial" w:cs="Arial"/>
        </w:rPr>
      </w:pPr>
    </w:p>
    <w:p w:rsidR="00A13208" w:rsidRDefault="009C0768" w:rsidP="00A13208">
      <w:pPr>
        <w:rPr>
          <w:rFonts w:ascii="Arial" w:hAnsi="Arial" w:cs="Arial"/>
          <w:b/>
          <w:u w:val="single"/>
        </w:rPr>
      </w:pPr>
      <w:r>
        <w:rPr>
          <w:rFonts w:ascii="Arial" w:hAnsi="Arial" w:cs="Arial"/>
          <w:b/>
          <w:u w:val="single"/>
        </w:rPr>
        <w:t>Duty Cycle Consideration</w:t>
      </w:r>
    </w:p>
    <w:p w:rsidR="009C0768" w:rsidRDefault="009C0768" w:rsidP="00A13208">
      <w:pPr>
        <w:rPr>
          <w:rFonts w:ascii="Arial" w:hAnsi="Arial" w:cs="Arial"/>
        </w:rPr>
      </w:pPr>
    </w:p>
    <w:p w:rsidR="00A13208" w:rsidRDefault="009C0768" w:rsidP="00A13208">
      <w:pPr>
        <w:rPr>
          <w:rFonts w:ascii="Arial" w:hAnsi="Arial" w:cs="Arial"/>
        </w:rPr>
      </w:pPr>
      <w:r>
        <w:rPr>
          <w:rFonts w:ascii="Arial" w:hAnsi="Arial" w:cs="Arial"/>
        </w:rPr>
        <w:t>When d</w:t>
      </w:r>
      <w:r w:rsidR="00A13208">
        <w:rPr>
          <w:rFonts w:ascii="Arial" w:hAnsi="Arial" w:cs="Arial"/>
        </w:rPr>
        <w:t>iscussing battery chemistry, the report states that “the vocation of the BEV must be considered.” We would argue that this approach should be taken across the spectrum for the application of battery technology to heavy-duty sectors. Specific applications where battery technology delivers more for the customer than competing technologies need to be sought in order to effectively introduce this technology to the marketplace.</w:t>
      </w:r>
    </w:p>
    <w:p w:rsidR="00A13208" w:rsidRDefault="00A13208" w:rsidP="00A13208">
      <w:pPr>
        <w:rPr>
          <w:rFonts w:ascii="Arial" w:hAnsi="Arial" w:cs="Arial"/>
        </w:rPr>
      </w:pPr>
    </w:p>
    <w:p w:rsidR="00A13208" w:rsidRDefault="00A13208" w:rsidP="00A13208">
      <w:pPr>
        <w:rPr>
          <w:rFonts w:ascii="Arial" w:hAnsi="Arial" w:cs="Arial"/>
        </w:rPr>
      </w:pPr>
      <w:r>
        <w:rPr>
          <w:rFonts w:ascii="Arial" w:hAnsi="Arial" w:cs="Arial"/>
        </w:rPr>
        <w:t xml:space="preserve">Further, the report discusses the “optimal duty cycle” for battery electric vehicles, such as “defined routes, lots of starts/stops, high idle time, lower average speed.” These applications should be the starting point of investigating the applicability of battery technology and the focus of demonstration projects, rather than any attempt at a broad introduction. </w:t>
      </w:r>
    </w:p>
    <w:p w:rsidR="00A73BB5" w:rsidRDefault="00A73BB5" w:rsidP="00A73BB5">
      <w:pPr>
        <w:rPr>
          <w:rFonts w:ascii="Arial" w:hAnsi="Arial" w:cs="Arial"/>
        </w:rPr>
      </w:pPr>
    </w:p>
    <w:p w:rsidR="00A73BB5" w:rsidRDefault="00D37533" w:rsidP="00A73BB5">
      <w:pPr>
        <w:rPr>
          <w:rFonts w:ascii="Arial" w:hAnsi="Arial" w:cs="Arial"/>
        </w:rPr>
      </w:pPr>
      <w:r>
        <w:rPr>
          <w:rFonts w:ascii="Arial" w:hAnsi="Arial" w:cs="Arial"/>
          <w:b/>
          <w:u w:val="single"/>
        </w:rPr>
        <w:t>Commercial V</w:t>
      </w:r>
      <w:r w:rsidR="005D78D6" w:rsidRPr="00A73BB5">
        <w:rPr>
          <w:rFonts w:ascii="Arial" w:hAnsi="Arial" w:cs="Arial"/>
          <w:b/>
          <w:u w:val="single"/>
        </w:rPr>
        <w:t>iability</w:t>
      </w:r>
      <w:r w:rsidR="0011140E" w:rsidRPr="00A73BB5">
        <w:rPr>
          <w:rFonts w:ascii="Arial" w:hAnsi="Arial" w:cs="Arial"/>
        </w:rPr>
        <w:t xml:space="preserve"> </w:t>
      </w:r>
      <w:r w:rsidR="005D78D6" w:rsidRPr="00A73BB5">
        <w:rPr>
          <w:rFonts w:ascii="Arial" w:hAnsi="Arial" w:cs="Arial"/>
        </w:rPr>
        <w:t xml:space="preserve"> </w:t>
      </w:r>
    </w:p>
    <w:p w:rsidR="00A73BB5" w:rsidRDefault="00A73BB5" w:rsidP="00A73BB5">
      <w:pPr>
        <w:rPr>
          <w:rFonts w:ascii="Arial" w:hAnsi="Arial" w:cs="Arial"/>
        </w:rPr>
      </w:pPr>
    </w:p>
    <w:p w:rsidR="00971EF2" w:rsidRDefault="005D78D6" w:rsidP="00A73BB5">
      <w:pPr>
        <w:rPr>
          <w:rFonts w:ascii="Arial" w:hAnsi="Arial" w:cs="Arial"/>
        </w:rPr>
      </w:pPr>
      <w:r w:rsidRPr="00A73BB5">
        <w:rPr>
          <w:rFonts w:ascii="Arial" w:hAnsi="Arial" w:cs="Arial"/>
        </w:rPr>
        <w:t xml:space="preserve">In our extensive experience, customers may be willing to embrace new technology, but only if it offers an equivalent or lower total cost of ownership.  </w:t>
      </w:r>
      <w:r w:rsidR="00971EF2">
        <w:rPr>
          <w:rFonts w:ascii="Arial" w:hAnsi="Arial" w:cs="Arial"/>
        </w:rPr>
        <w:t xml:space="preserve">While cost is a major limiting factor for heavy-duty BEV applications, fundamental operational considerations such as range, payload capacity, maximum front and rear axle loading, wheelbase, maneuverability and packaging have an even greater impact on market acceptance.  </w:t>
      </w:r>
    </w:p>
    <w:p w:rsidR="00971EF2" w:rsidRDefault="00971EF2" w:rsidP="00A73BB5">
      <w:pPr>
        <w:rPr>
          <w:rFonts w:ascii="Arial" w:hAnsi="Arial" w:cs="Arial"/>
        </w:rPr>
      </w:pPr>
    </w:p>
    <w:p w:rsidR="00971EF2" w:rsidRDefault="00971EF2" w:rsidP="00A73BB5">
      <w:pPr>
        <w:rPr>
          <w:rFonts w:ascii="Arial" w:hAnsi="Arial" w:cs="Arial"/>
        </w:rPr>
      </w:pPr>
      <w:r>
        <w:rPr>
          <w:rFonts w:ascii="Arial" w:hAnsi="Arial" w:cs="Arial"/>
        </w:rPr>
        <w:t xml:space="preserve">One of the biggest challenges for BEVs is found on </w:t>
      </w:r>
      <w:r w:rsidR="005D78D6" w:rsidRPr="00A73BB5">
        <w:rPr>
          <w:rFonts w:ascii="Arial" w:hAnsi="Arial" w:cs="Arial"/>
        </w:rPr>
        <w:t xml:space="preserve">page ES-10 which states that “increased battery pack size has negative impacts on weight and payload capacity.” </w:t>
      </w:r>
      <w:r>
        <w:rPr>
          <w:rFonts w:ascii="Arial" w:hAnsi="Arial" w:cs="Arial"/>
        </w:rPr>
        <w:t xml:space="preserve">The report also acknowledges that “reliability for medium- and heavy-duty BEVs is even more critical than for light-duty vehicles, since business depends on the reliability of these vehicles (page IV-1).”  </w:t>
      </w:r>
      <w:r w:rsidR="005D78D6" w:rsidRPr="00A73BB5">
        <w:rPr>
          <w:rFonts w:ascii="Arial" w:hAnsi="Arial" w:cs="Arial"/>
        </w:rPr>
        <w:t xml:space="preserve">This is a critical issue that strikes at the heart of customer issues with new technology. </w:t>
      </w:r>
    </w:p>
    <w:p w:rsidR="00971EF2" w:rsidRDefault="00971EF2" w:rsidP="00A73BB5">
      <w:pPr>
        <w:rPr>
          <w:rFonts w:ascii="Arial" w:hAnsi="Arial" w:cs="Arial"/>
        </w:rPr>
      </w:pPr>
    </w:p>
    <w:p w:rsidR="00507312" w:rsidRDefault="0011140E" w:rsidP="00A73BB5">
      <w:pPr>
        <w:rPr>
          <w:rFonts w:ascii="Arial" w:hAnsi="Arial" w:cs="Arial"/>
        </w:rPr>
      </w:pPr>
      <w:r w:rsidRPr="00A73BB5">
        <w:rPr>
          <w:rFonts w:ascii="Arial" w:hAnsi="Arial" w:cs="Arial"/>
        </w:rPr>
        <w:lastRenderedPageBreak/>
        <w:t>Compromises to performance or functionality (such as weight/load) undermine customer productivity and cannot be overcome</w:t>
      </w:r>
      <w:r w:rsidR="00971EF2">
        <w:rPr>
          <w:rFonts w:ascii="Arial" w:hAnsi="Arial" w:cs="Arial"/>
        </w:rPr>
        <w:t xml:space="preserve"> through the availability of </w:t>
      </w:r>
      <w:r w:rsidRPr="00A73BB5">
        <w:rPr>
          <w:rFonts w:ascii="Arial" w:hAnsi="Arial" w:cs="Arial"/>
        </w:rPr>
        <w:t>purchase incentives.</w:t>
      </w:r>
      <w:r w:rsidR="00971EF2">
        <w:rPr>
          <w:rFonts w:ascii="Arial" w:hAnsi="Arial" w:cs="Arial"/>
        </w:rPr>
        <w:t xml:space="preserve"> </w:t>
      </w:r>
      <w:r w:rsidR="00666313" w:rsidRPr="00A73BB5">
        <w:rPr>
          <w:rFonts w:ascii="Arial" w:hAnsi="Arial" w:cs="Arial"/>
        </w:rPr>
        <w:t xml:space="preserve">If </w:t>
      </w:r>
      <w:r w:rsidR="008F4C0B" w:rsidRPr="00A73BB5">
        <w:rPr>
          <w:rFonts w:ascii="Arial" w:hAnsi="Arial" w:cs="Arial"/>
        </w:rPr>
        <w:t xml:space="preserve">BEV </w:t>
      </w:r>
      <w:r w:rsidR="00666313" w:rsidRPr="00A73BB5">
        <w:rPr>
          <w:rFonts w:ascii="Arial" w:hAnsi="Arial" w:cs="Arial"/>
        </w:rPr>
        <w:t>technology is to be seen as viable</w:t>
      </w:r>
      <w:r w:rsidR="008F4C0B" w:rsidRPr="00A73BB5">
        <w:rPr>
          <w:rFonts w:ascii="Arial" w:hAnsi="Arial" w:cs="Arial"/>
        </w:rPr>
        <w:t>,</w:t>
      </w:r>
      <w:r w:rsidR="00666313" w:rsidRPr="00A73BB5">
        <w:rPr>
          <w:rFonts w:ascii="Arial" w:hAnsi="Arial" w:cs="Arial"/>
        </w:rPr>
        <w:t xml:space="preserve"> it must be able to stand on its own without subsidies. Otherwise it is likely to remain a minor player</w:t>
      </w:r>
      <w:r w:rsidR="003D02F2">
        <w:rPr>
          <w:rFonts w:ascii="Arial" w:hAnsi="Arial" w:cs="Arial"/>
        </w:rPr>
        <w:t>, similar to what</w:t>
      </w:r>
      <w:r w:rsidR="00666313" w:rsidRPr="00A73BB5">
        <w:rPr>
          <w:rFonts w:ascii="Arial" w:hAnsi="Arial" w:cs="Arial"/>
        </w:rPr>
        <w:t xml:space="preserve"> natural gas engines have become in heavy-duty trucks (as opposed to transit buses or refuse trucks</w:t>
      </w:r>
      <w:r w:rsidR="008F4C0B" w:rsidRPr="00A73BB5">
        <w:rPr>
          <w:rFonts w:ascii="Arial" w:hAnsi="Arial" w:cs="Arial"/>
        </w:rPr>
        <w:t xml:space="preserve">, where regulations </w:t>
      </w:r>
      <w:r w:rsidR="00A435DD" w:rsidRPr="00A73BB5">
        <w:rPr>
          <w:rFonts w:ascii="Arial" w:hAnsi="Arial" w:cs="Arial"/>
        </w:rPr>
        <w:t xml:space="preserve">and appropriate technology for the duty cycle </w:t>
      </w:r>
      <w:r w:rsidR="008F4C0B" w:rsidRPr="00A73BB5">
        <w:rPr>
          <w:rFonts w:ascii="Arial" w:hAnsi="Arial" w:cs="Arial"/>
        </w:rPr>
        <w:t>have created substantial markets</w:t>
      </w:r>
      <w:r w:rsidR="00666313" w:rsidRPr="00A73BB5">
        <w:rPr>
          <w:rFonts w:ascii="Arial" w:hAnsi="Arial" w:cs="Arial"/>
        </w:rPr>
        <w:t xml:space="preserve">).  </w:t>
      </w:r>
    </w:p>
    <w:p w:rsidR="007D45AC" w:rsidRDefault="007D45AC" w:rsidP="00A73BB5">
      <w:pPr>
        <w:rPr>
          <w:rFonts w:ascii="Arial" w:hAnsi="Arial" w:cs="Arial"/>
        </w:rPr>
      </w:pPr>
    </w:p>
    <w:p w:rsidR="007D45AC" w:rsidRDefault="007D45AC" w:rsidP="00A73BB5">
      <w:pPr>
        <w:rPr>
          <w:rFonts w:ascii="Arial" w:hAnsi="Arial" w:cs="Arial"/>
        </w:rPr>
      </w:pPr>
      <w:r>
        <w:rPr>
          <w:rFonts w:ascii="Arial" w:hAnsi="Arial" w:cs="Arial"/>
        </w:rPr>
        <w:t>In addition, factors external to BEV component costs, such as diesel and natural gas prices, will remain a major factor in marketplace competition and the potential commercialization of BEV technology</w:t>
      </w:r>
    </w:p>
    <w:p w:rsidR="00A73BB5" w:rsidRDefault="00A73BB5" w:rsidP="00A73BB5">
      <w:pPr>
        <w:rPr>
          <w:rFonts w:ascii="Arial" w:hAnsi="Arial" w:cs="Arial"/>
        </w:rPr>
      </w:pPr>
    </w:p>
    <w:p w:rsidR="00A73BB5" w:rsidRDefault="00D37533" w:rsidP="00A73BB5">
      <w:pPr>
        <w:rPr>
          <w:rFonts w:ascii="Arial" w:hAnsi="Arial" w:cs="Arial"/>
        </w:rPr>
      </w:pPr>
      <w:r>
        <w:rPr>
          <w:rFonts w:ascii="Arial" w:hAnsi="Arial" w:cs="Arial"/>
          <w:b/>
          <w:u w:val="single"/>
        </w:rPr>
        <w:t>Technology Development P</w:t>
      </w:r>
      <w:r w:rsidR="00A73BB5" w:rsidRPr="00A73BB5">
        <w:rPr>
          <w:rFonts w:ascii="Arial" w:hAnsi="Arial" w:cs="Arial"/>
          <w:b/>
          <w:u w:val="single"/>
        </w:rPr>
        <w:t>rocess</w:t>
      </w:r>
    </w:p>
    <w:p w:rsidR="00A73BB5" w:rsidRDefault="00A73BB5" w:rsidP="00A73BB5">
      <w:pPr>
        <w:rPr>
          <w:rFonts w:ascii="Arial" w:hAnsi="Arial" w:cs="Arial"/>
        </w:rPr>
      </w:pPr>
    </w:p>
    <w:p w:rsidR="00A259F2" w:rsidRDefault="00A73BB5" w:rsidP="00A73BB5">
      <w:pPr>
        <w:rPr>
          <w:rFonts w:ascii="Arial" w:hAnsi="Arial" w:cs="Arial"/>
        </w:rPr>
      </w:pPr>
      <w:r>
        <w:rPr>
          <w:rFonts w:ascii="Arial" w:hAnsi="Arial" w:cs="Arial"/>
        </w:rPr>
        <w:t>On page ES-4 it is noted that AQIP</w:t>
      </w:r>
      <w:r w:rsidR="003D02F2">
        <w:rPr>
          <w:rFonts w:ascii="Arial" w:hAnsi="Arial" w:cs="Arial"/>
        </w:rPr>
        <w:t>-</w:t>
      </w:r>
      <w:r>
        <w:rPr>
          <w:rFonts w:ascii="Arial" w:hAnsi="Arial" w:cs="Arial"/>
        </w:rPr>
        <w:t>funded pilot projects will support larger scale commercial deployments</w:t>
      </w:r>
      <w:r w:rsidR="003D02F2">
        <w:rPr>
          <w:rFonts w:ascii="Arial" w:hAnsi="Arial" w:cs="Arial"/>
        </w:rPr>
        <w:t xml:space="preserve"> “</w:t>
      </w:r>
      <w:r>
        <w:rPr>
          <w:rFonts w:ascii="Arial" w:hAnsi="Arial" w:cs="Arial"/>
        </w:rPr>
        <w:t>designed to help increase vehicle production levels to the point where significant economies of scale can be realized.”  In realit</w:t>
      </w:r>
      <w:r w:rsidR="00A259F2">
        <w:rPr>
          <w:rFonts w:ascii="Arial" w:hAnsi="Arial" w:cs="Arial"/>
        </w:rPr>
        <w:t>y, these demonstration projects</w:t>
      </w:r>
      <w:r>
        <w:rPr>
          <w:rFonts w:ascii="Arial" w:hAnsi="Arial" w:cs="Arial"/>
        </w:rPr>
        <w:t xml:space="preserve"> will still </w:t>
      </w:r>
      <w:r w:rsidR="003D02F2">
        <w:rPr>
          <w:rFonts w:ascii="Arial" w:hAnsi="Arial" w:cs="Arial"/>
        </w:rPr>
        <w:t>use</w:t>
      </w:r>
      <w:r>
        <w:rPr>
          <w:rFonts w:ascii="Arial" w:hAnsi="Arial" w:cs="Arial"/>
        </w:rPr>
        <w:t xml:space="preserve"> technologies at a middle technology readiness level.  This is before even a limited commercial product offering would be envisioned and far before any economies of scale could even begin to be realized.  </w:t>
      </w:r>
    </w:p>
    <w:p w:rsidR="00A259F2" w:rsidRDefault="00A259F2" w:rsidP="00A73BB5">
      <w:pPr>
        <w:rPr>
          <w:rFonts w:ascii="Arial" w:hAnsi="Arial" w:cs="Arial"/>
        </w:rPr>
      </w:pPr>
    </w:p>
    <w:p w:rsidR="009F0C86" w:rsidRDefault="00A259F2" w:rsidP="00A73BB5">
      <w:pPr>
        <w:rPr>
          <w:rFonts w:ascii="Arial" w:hAnsi="Arial" w:cs="Arial"/>
        </w:rPr>
      </w:pPr>
      <w:r>
        <w:rPr>
          <w:rFonts w:ascii="Arial" w:hAnsi="Arial" w:cs="Arial"/>
        </w:rPr>
        <w:t>Numbers of demonstration vehicles, such as those referenced on p. ES-5, do not equate to a product being close to commercialization. In Volvo’s development process, demonstration projects support technology development and system integration, but provide little contribution to the direct commercialization of a product.</w:t>
      </w:r>
      <w:r w:rsidR="00502817">
        <w:rPr>
          <w:rFonts w:ascii="Arial" w:hAnsi="Arial" w:cs="Arial"/>
        </w:rPr>
        <w:t xml:space="preserve"> </w:t>
      </w:r>
    </w:p>
    <w:p w:rsidR="009F0C86" w:rsidRDefault="009F0C86" w:rsidP="00A73BB5">
      <w:pPr>
        <w:rPr>
          <w:rFonts w:ascii="Arial" w:hAnsi="Arial" w:cs="Arial"/>
        </w:rPr>
      </w:pPr>
    </w:p>
    <w:p w:rsidR="00A259F2" w:rsidRDefault="009F0C86" w:rsidP="00A73BB5">
      <w:pPr>
        <w:rPr>
          <w:rFonts w:ascii="Arial" w:hAnsi="Arial" w:cs="Arial"/>
        </w:rPr>
      </w:pPr>
      <w:r>
        <w:rPr>
          <w:rFonts w:ascii="Arial" w:hAnsi="Arial" w:cs="Arial"/>
        </w:rPr>
        <w:t xml:space="preserve">On page ES-11it states, “Demonstrations allow manufacturers to fine-tune their products and showcase products that are in an early commercial readiness stage.”  </w:t>
      </w:r>
      <w:r w:rsidRPr="009A0D10">
        <w:rPr>
          <w:rFonts w:ascii="Arial" w:hAnsi="Arial" w:cs="Arial"/>
          <w:b/>
        </w:rPr>
        <w:t>This statement is emphatically false.</w:t>
      </w:r>
      <w:r>
        <w:rPr>
          <w:rFonts w:ascii="Arial" w:hAnsi="Arial" w:cs="Arial"/>
          <w:b/>
        </w:rPr>
        <w:t xml:space="preserve">  </w:t>
      </w:r>
      <w:r>
        <w:rPr>
          <w:rFonts w:ascii="Arial" w:hAnsi="Arial" w:cs="Arial"/>
        </w:rPr>
        <w:t xml:space="preserve">Demonstration projects serve to fine-tune and integrate technologies rather than products, and account for less than 20% of the time and cost to be expended by a company to achieve commercial readiness.  </w:t>
      </w:r>
    </w:p>
    <w:p w:rsidR="00A259F2" w:rsidRDefault="00A259F2" w:rsidP="00A73BB5">
      <w:pPr>
        <w:rPr>
          <w:rFonts w:ascii="Arial" w:hAnsi="Arial" w:cs="Arial"/>
        </w:rPr>
      </w:pPr>
    </w:p>
    <w:p w:rsidR="00A73BB5" w:rsidRDefault="00502817" w:rsidP="00A73BB5">
      <w:pPr>
        <w:rPr>
          <w:rFonts w:ascii="Arial" w:hAnsi="Arial" w:cs="Arial"/>
        </w:rPr>
      </w:pPr>
      <w:r>
        <w:rPr>
          <w:rFonts w:ascii="Arial" w:hAnsi="Arial" w:cs="Arial"/>
        </w:rPr>
        <w:t xml:space="preserve">As a result, the </w:t>
      </w:r>
      <w:r w:rsidR="00A73BB5">
        <w:rPr>
          <w:rFonts w:ascii="Arial" w:hAnsi="Arial" w:cs="Arial"/>
        </w:rPr>
        <w:t>claim that the ARB allocation solicitation for zero-emissi</w:t>
      </w:r>
      <w:r w:rsidR="00D37533">
        <w:rPr>
          <w:rFonts w:ascii="Arial" w:hAnsi="Arial" w:cs="Arial"/>
        </w:rPr>
        <w:t>on drayage truck demonstrations</w:t>
      </w:r>
      <w:r w:rsidR="00A73BB5">
        <w:rPr>
          <w:rFonts w:ascii="Arial" w:hAnsi="Arial" w:cs="Arial"/>
        </w:rPr>
        <w:t xml:space="preserve"> “will greatly expand the number of zero-emission BE</w:t>
      </w:r>
      <w:r>
        <w:rPr>
          <w:rFonts w:ascii="Arial" w:hAnsi="Arial" w:cs="Arial"/>
        </w:rPr>
        <w:t>V drayage trucks” is misleading.</w:t>
      </w:r>
    </w:p>
    <w:p w:rsidR="00A73BB5" w:rsidRDefault="00A73BB5" w:rsidP="00A73BB5">
      <w:pPr>
        <w:rPr>
          <w:rFonts w:ascii="Arial" w:hAnsi="Arial" w:cs="Arial"/>
        </w:rPr>
      </w:pPr>
    </w:p>
    <w:p w:rsidR="00D37533" w:rsidRDefault="00D37533">
      <w:pPr>
        <w:rPr>
          <w:rFonts w:ascii="Arial" w:hAnsi="Arial" w:cs="Arial"/>
          <w:b/>
          <w:u w:val="single"/>
        </w:rPr>
      </w:pPr>
      <w:r>
        <w:rPr>
          <w:rFonts w:ascii="Arial" w:hAnsi="Arial" w:cs="Arial"/>
          <w:b/>
          <w:u w:val="single"/>
        </w:rPr>
        <w:br w:type="page"/>
      </w:r>
    </w:p>
    <w:p w:rsidR="00A73BB5" w:rsidRDefault="00A73BB5" w:rsidP="00A73BB5">
      <w:pPr>
        <w:rPr>
          <w:rFonts w:ascii="Arial" w:hAnsi="Arial" w:cs="Arial"/>
        </w:rPr>
      </w:pPr>
      <w:r w:rsidRPr="00A73BB5">
        <w:rPr>
          <w:rFonts w:ascii="Arial" w:hAnsi="Arial" w:cs="Arial"/>
          <w:b/>
          <w:u w:val="single"/>
        </w:rPr>
        <w:lastRenderedPageBreak/>
        <w:t>Infrastructure</w:t>
      </w:r>
      <w:r>
        <w:rPr>
          <w:rFonts w:ascii="Arial" w:hAnsi="Arial" w:cs="Arial"/>
        </w:rPr>
        <w:t xml:space="preserve"> </w:t>
      </w:r>
    </w:p>
    <w:p w:rsidR="008B53BC" w:rsidRDefault="008B53BC" w:rsidP="00A73BB5">
      <w:pPr>
        <w:rPr>
          <w:rFonts w:ascii="Arial" w:hAnsi="Arial" w:cs="Arial"/>
        </w:rPr>
      </w:pPr>
    </w:p>
    <w:p w:rsidR="008B53BC" w:rsidRDefault="008B53BC" w:rsidP="00A73BB5">
      <w:pPr>
        <w:rPr>
          <w:rFonts w:ascii="Arial" w:hAnsi="Arial" w:cs="Arial"/>
        </w:rPr>
      </w:pPr>
      <w:r w:rsidRPr="008B53BC">
        <w:rPr>
          <w:rFonts w:ascii="Arial" w:hAnsi="Arial" w:cs="Arial"/>
        </w:rPr>
        <w:t>Infrastructure costs and challenges are presented in the report as presenting “obstacles (that) may be significant.” Volvo Group would like to underscore this as a cost and customer issue that has repercussions for the OEM. If a customer is concerned about costs of the vehicle and infrastructure, it undercuts the benefits that the technology might bring. This uncertainty makes the new technology that much harder of a sell in the market.</w:t>
      </w:r>
    </w:p>
    <w:p w:rsidR="008B53BC" w:rsidRDefault="008B53BC" w:rsidP="00A73BB5">
      <w:pPr>
        <w:rPr>
          <w:rFonts w:ascii="Arial" w:hAnsi="Arial" w:cs="Arial"/>
        </w:rPr>
      </w:pPr>
    </w:p>
    <w:p w:rsidR="00A73BB5" w:rsidRPr="00A73BB5" w:rsidRDefault="008B53BC" w:rsidP="00A73BB5">
      <w:pPr>
        <w:rPr>
          <w:rFonts w:ascii="Arial" w:hAnsi="Arial" w:cs="Arial"/>
        </w:rPr>
      </w:pPr>
      <w:r>
        <w:rPr>
          <w:rFonts w:ascii="Arial" w:hAnsi="Arial" w:cs="Arial"/>
        </w:rPr>
        <w:t xml:space="preserve">This concern about infrastructure cost is </w:t>
      </w:r>
      <w:r w:rsidR="00A73BB5" w:rsidRPr="00A73BB5">
        <w:rPr>
          <w:rFonts w:ascii="Arial" w:hAnsi="Arial" w:cs="Arial"/>
        </w:rPr>
        <w:t>accentuated by the fact that there is “no standard charging system or strategy.” The potential for stranded investment raises red flags to both OEMs and customers.</w:t>
      </w:r>
    </w:p>
    <w:p w:rsidR="008B53BC" w:rsidRDefault="008B53BC" w:rsidP="008B53BC">
      <w:pPr>
        <w:rPr>
          <w:rFonts w:ascii="Arial" w:hAnsi="Arial" w:cs="Arial"/>
        </w:rPr>
      </w:pPr>
    </w:p>
    <w:p w:rsidR="00A73BB5" w:rsidRPr="008B53BC" w:rsidRDefault="00A73BB5" w:rsidP="008B53BC">
      <w:pPr>
        <w:rPr>
          <w:rFonts w:ascii="Arial" w:hAnsi="Arial" w:cs="Arial"/>
        </w:rPr>
      </w:pPr>
      <w:r w:rsidRPr="008B53BC">
        <w:rPr>
          <w:rFonts w:ascii="Arial" w:hAnsi="Arial" w:cs="Arial"/>
        </w:rPr>
        <w:t xml:space="preserve">The issue of standardization for </w:t>
      </w:r>
      <w:proofErr w:type="spellStart"/>
      <w:r w:rsidRPr="008B53BC">
        <w:rPr>
          <w:rFonts w:ascii="Arial" w:hAnsi="Arial" w:cs="Arial"/>
        </w:rPr>
        <w:t>electromobility</w:t>
      </w:r>
      <w:proofErr w:type="spellEnd"/>
      <w:r w:rsidRPr="008B53BC">
        <w:rPr>
          <w:rFonts w:ascii="Arial" w:hAnsi="Arial" w:cs="Arial"/>
        </w:rPr>
        <w:t xml:space="preserve"> is mentioned several times throughout the assessment, noting </w:t>
      </w:r>
      <w:r w:rsidRPr="0051163E">
        <w:rPr>
          <w:rFonts w:ascii="Arial" w:hAnsi="Arial" w:cs="Arial"/>
        </w:rPr>
        <w:t xml:space="preserve">that </w:t>
      </w:r>
      <w:r w:rsidRPr="00D37533">
        <w:rPr>
          <w:rFonts w:ascii="Arial" w:hAnsi="Arial" w:cs="Arial"/>
        </w:rPr>
        <w:t>no standard charging system or strategy</w:t>
      </w:r>
      <w:r w:rsidRPr="008B53BC">
        <w:rPr>
          <w:rFonts w:ascii="Arial" w:hAnsi="Arial" w:cs="Arial"/>
        </w:rPr>
        <w:t xml:space="preserve"> currently exists and that coordinated effort</w:t>
      </w:r>
      <w:r w:rsidR="00EE7A31">
        <w:rPr>
          <w:rFonts w:ascii="Arial" w:hAnsi="Arial" w:cs="Arial"/>
        </w:rPr>
        <w:t>s</w:t>
      </w:r>
      <w:r w:rsidRPr="008B53BC">
        <w:rPr>
          <w:rFonts w:ascii="Arial" w:hAnsi="Arial" w:cs="Arial"/>
        </w:rPr>
        <w:t xml:space="preserve"> between SAE and</w:t>
      </w:r>
      <w:r w:rsidR="00EE7A31">
        <w:rPr>
          <w:rFonts w:ascii="Arial" w:hAnsi="Arial" w:cs="Arial"/>
        </w:rPr>
        <w:t xml:space="preserve"> the</w:t>
      </w:r>
      <w:r w:rsidRPr="008B53BC">
        <w:rPr>
          <w:rFonts w:ascii="Arial" w:hAnsi="Arial" w:cs="Arial"/>
        </w:rPr>
        <w:t xml:space="preserve"> industry is needed to meet the needs of cities.  Volvo Group agrees that a coordinated effort is essential, and supports the discussion of this topic within standards organizations such as the SAE.  Currently an SAE committee is working to establish common standards for high power (J3105) and low power (J3068) charging for transit buses.</w:t>
      </w:r>
    </w:p>
    <w:p w:rsidR="00A13208" w:rsidRDefault="00A13208" w:rsidP="00A73BB5">
      <w:pPr>
        <w:rPr>
          <w:rFonts w:ascii="Arial" w:hAnsi="Arial" w:cs="Arial"/>
          <w:b/>
          <w:u w:val="single"/>
        </w:rPr>
      </w:pPr>
    </w:p>
    <w:p w:rsidR="00A73BB5" w:rsidRDefault="00D37533" w:rsidP="00A73BB5">
      <w:pPr>
        <w:rPr>
          <w:rFonts w:ascii="Arial" w:hAnsi="Arial" w:cs="Arial"/>
        </w:rPr>
      </w:pPr>
      <w:r>
        <w:rPr>
          <w:rFonts w:ascii="Arial" w:hAnsi="Arial" w:cs="Arial"/>
          <w:b/>
          <w:u w:val="single"/>
        </w:rPr>
        <w:t xml:space="preserve">Relationship </w:t>
      </w:r>
      <w:proofErr w:type="gramStart"/>
      <w:r>
        <w:rPr>
          <w:rFonts w:ascii="Arial" w:hAnsi="Arial" w:cs="Arial"/>
          <w:b/>
          <w:u w:val="single"/>
        </w:rPr>
        <w:t>Between</w:t>
      </w:r>
      <w:proofErr w:type="gramEnd"/>
      <w:r>
        <w:rPr>
          <w:rFonts w:ascii="Arial" w:hAnsi="Arial" w:cs="Arial"/>
          <w:b/>
          <w:u w:val="single"/>
        </w:rPr>
        <w:t xml:space="preserve"> Light- and Heavy-Duty V</w:t>
      </w:r>
      <w:r w:rsidR="00A73BB5" w:rsidRPr="00A73BB5">
        <w:rPr>
          <w:rFonts w:ascii="Arial" w:hAnsi="Arial" w:cs="Arial"/>
          <w:b/>
          <w:u w:val="single"/>
        </w:rPr>
        <w:t>ehicles</w:t>
      </w:r>
    </w:p>
    <w:p w:rsidR="00A73BB5" w:rsidRPr="008713F0" w:rsidRDefault="00A73BB5" w:rsidP="00A73BB5">
      <w:pPr>
        <w:rPr>
          <w:rFonts w:ascii="Arial" w:hAnsi="Arial" w:cs="Arial"/>
        </w:rPr>
      </w:pPr>
    </w:p>
    <w:p w:rsidR="00921D69" w:rsidRPr="008713F0" w:rsidRDefault="00A73BB5" w:rsidP="00921D69">
      <w:pPr>
        <w:pStyle w:val="FootnoteText"/>
        <w:rPr>
          <w:rFonts w:ascii="Arial" w:hAnsi="Arial" w:cs="Arial"/>
          <w:sz w:val="24"/>
          <w:szCs w:val="24"/>
        </w:rPr>
      </w:pPr>
      <w:r w:rsidRPr="008713F0">
        <w:rPr>
          <w:rFonts w:ascii="Arial" w:hAnsi="Arial" w:cs="Arial"/>
          <w:sz w:val="24"/>
          <w:szCs w:val="24"/>
        </w:rPr>
        <w:t>Numerous references are made in the report about technologies being adapted from light</w:t>
      </w:r>
      <w:r w:rsidR="00EE7A31">
        <w:rPr>
          <w:rFonts w:ascii="Arial" w:hAnsi="Arial" w:cs="Arial"/>
          <w:sz w:val="24"/>
          <w:szCs w:val="24"/>
        </w:rPr>
        <w:t>-</w:t>
      </w:r>
      <w:r w:rsidRPr="008713F0">
        <w:rPr>
          <w:rFonts w:ascii="Arial" w:hAnsi="Arial" w:cs="Arial"/>
          <w:sz w:val="24"/>
          <w:szCs w:val="24"/>
        </w:rPr>
        <w:t>duty</w:t>
      </w:r>
      <w:r w:rsidR="008B53BC" w:rsidRPr="008713F0">
        <w:rPr>
          <w:rFonts w:ascii="Arial" w:hAnsi="Arial" w:cs="Arial"/>
          <w:sz w:val="24"/>
          <w:szCs w:val="24"/>
        </w:rPr>
        <w:t xml:space="preserve"> vehicle applications</w:t>
      </w:r>
      <w:r w:rsidRPr="008713F0">
        <w:rPr>
          <w:rFonts w:ascii="Arial" w:hAnsi="Arial" w:cs="Arial"/>
          <w:sz w:val="24"/>
          <w:szCs w:val="24"/>
        </w:rPr>
        <w:t>, particularly in battery technology, but</w:t>
      </w:r>
      <w:r w:rsidR="00921D69" w:rsidRPr="008713F0">
        <w:rPr>
          <w:rFonts w:ascii="Arial" w:hAnsi="Arial" w:cs="Arial"/>
          <w:sz w:val="24"/>
          <w:szCs w:val="24"/>
        </w:rPr>
        <w:t xml:space="preserve"> we believe the use of light-duty examples for predicting applicability and success in the heavy-duty sector are deceiving because of higher voltage and current capacities</w:t>
      </w:r>
      <w:r w:rsidR="00EE7A31">
        <w:rPr>
          <w:rFonts w:ascii="Arial" w:hAnsi="Arial" w:cs="Arial"/>
          <w:sz w:val="24"/>
          <w:szCs w:val="24"/>
        </w:rPr>
        <w:t>,</w:t>
      </w:r>
      <w:r w:rsidR="00921D69" w:rsidRPr="008713F0">
        <w:rPr>
          <w:rFonts w:ascii="Arial" w:hAnsi="Arial" w:cs="Arial"/>
          <w:sz w:val="24"/>
          <w:szCs w:val="24"/>
        </w:rPr>
        <w:t xml:space="preserve"> as well as more arduous </w:t>
      </w:r>
      <w:r w:rsidR="00666F1C">
        <w:rPr>
          <w:rFonts w:ascii="Arial" w:hAnsi="Arial" w:cs="Arial"/>
          <w:sz w:val="24"/>
          <w:szCs w:val="24"/>
        </w:rPr>
        <w:t>operational requirements</w:t>
      </w:r>
      <w:r w:rsidR="00921D69" w:rsidRPr="008713F0">
        <w:rPr>
          <w:rFonts w:ascii="Arial" w:hAnsi="Arial" w:cs="Arial"/>
          <w:sz w:val="24"/>
          <w:szCs w:val="24"/>
        </w:rPr>
        <w:t xml:space="preserve">. </w:t>
      </w:r>
    </w:p>
    <w:p w:rsidR="00921D69" w:rsidRPr="008713F0" w:rsidRDefault="00921D69" w:rsidP="00A73BB5">
      <w:pPr>
        <w:rPr>
          <w:rFonts w:ascii="Arial" w:hAnsi="Arial" w:cs="Arial"/>
        </w:rPr>
      </w:pPr>
    </w:p>
    <w:p w:rsidR="005D78D6" w:rsidRPr="008713F0" w:rsidRDefault="00921D69" w:rsidP="00A73BB5">
      <w:pPr>
        <w:rPr>
          <w:rFonts w:ascii="Arial" w:hAnsi="Arial" w:cs="Arial"/>
        </w:rPr>
      </w:pPr>
      <w:r w:rsidRPr="008713F0">
        <w:rPr>
          <w:rFonts w:ascii="Arial" w:hAnsi="Arial" w:cs="Arial"/>
        </w:rPr>
        <w:t>I</w:t>
      </w:r>
      <w:r w:rsidR="00A73BB5" w:rsidRPr="008713F0">
        <w:rPr>
          <w:rFonts w:ascii="Arial" w:hAnsi="Arial" w:cs="Arial"/>
        </w:rPr>
        <w:t>t should not be assumed th</w:t>
      </w:r>
      <w:r w:rsidR="00EE7A31">
        <w:rPr>
          <w:rFonts w:ascii="Arial" w:hAnsi="Arial" w:cs="Arial"/>
        </w:rPr>
        <w:t xml:space="preserve">at these technologies </w:t>
      </w:r>
      <w:r w:rsidR="00A73BB5" w:rsidRPr="008713F0">
        <w:rPr>
          <w:rFonts w:ascii="Arial" w:hAnsi="Arial" w:cs="Arial"/>
        </w:rPr>
        <w:t xml:space="preserve">will be capable of surviving in the heavy-duty work environment. The regulated useful life is much longer in the heavy-duty sector as well, with many </w:t>
      </w:r>
      <w:r w:rsidR="00EE7A31">
        <w:rPr>
          <w:rFonts w:ascii="Arial" w:hAnsi="Arial" w:cs="Arial"/>
        </w:rPr>
        <w:t>C</w:t>
      </w:r>
      <w:r w:rsidR="00A73BB5" w:rsidRPr="008713F0">
        <w:rPr>
          <w:rFonts w:ascii="Arial" w:hAnsi="Arial" w:cs="Arial"/>
        </w:rPr>
        <w:t>lass 8 trucks running 100,00</w:t>
      </w:r>
      <w:r w:rsidR="00460365">
        <w:rPr>
          <w:rFonts w:ascii="Arial" w:hAnsi="Arial" w:cs="Arial"/>
        </w:rPr>
        <w:t>0</w:t>
      </w:r>
      <w:r w:rsidR="00A73BB5" w:rsidRPr="008713F0">
        <w:rPr>
          <w:rFonts w:ascii="Arial" w:hAnsi="Arial" w:cs="Arial"/>
        </w:rPr>
        <w:t xml:space="preserve"> miles/year </w:t>
      </w:r>
      <w:proofErr w:type="gramStart"/>
      <w:r w:rsidR="00A73BB5" w:rsidRPr="008713F0">
        <w:rPr>
          <w:rFonts w:ascii="Arial" w:hAnsi="Arial" w:cs="Arial"/>
        </w:rPr>
        <w:t xml:space="preserve">for </w:t>
      </w:r>
      <w:r w:rsidR="00EE7A31">
        <w:rPr>
          <w:rFonts w:ascii="Arial" w:hAnsi="Arial" w:cs="Arial"/>
        </w:rPr>
        <w:t xml:space="preserve"> five</w:t>
      </w:r>
      <w:proofErr w:type="gramEnd"/>
      <w:r w:rsidR="00EE7A31">
        <w:rPr>
          <w:rFonts w:ascii="Arial" w:hAnsi="Arial" w:cs="Arial"/>
        </w:rPr>
        <w:t xml:space="preserve"> to 1</w:t>
      </w:r>
      <w:r w:rsidR="00A73BB5" w:rsidRPr="008713F0">
        <w:rPr>
          <w:rFonts w:ascii="Arial" w:hAnsi="Arial" w:cs="Arial"/>
        </w:rPr>
        <w:t>0 years. In the same way the light-duty sector found that scaling consumer batteries for automotive use was not a simple “sizing” task, moving batteries to the heavy-duty sector will require technology development and new battery management systems.</w:t>
      </w:r>
    </w:p>
    <w:p w:rsidR="00921D69" w:rsidRDefault="00921D69" w:rsidP="00921D69">
      <w:pPr>
        <w:rPr>
          <w:rFonts w:ascii="Arial" w:hAnsi="Arial" w:cs="Arial"/>
        </w:rPr>
      </w:pPr>
    </w:p>
    <w:p w:rsidR="00921D69" w:rsidRDefault="00921D69" w:rsidP="00921D69">
      <w:pPr>
        <w:rPr>
          <w:rFonts w:ascii="Arial" w:hAnsi="Arial" w:cs="Arial"/>
        </w:rPr>
      </w:pPr>
      <w:r w:rsidRPr="009A0D10">
        <w:rPr>
          <w:rFonts w:ascii="Arial" w:hAnsi="Arial" w:cs="Arial"/>
        </w:rPr>
        <w:t>This analogy between the light</w:t>
      </w:r>
      <w:r w:rsidR="00EE7A31">
        <w:rPr>
          <w:rFonts w:ascii="Arial" w:hAnsi="Arial" w:cs="Arial"/>
        </w:rPr>
        <w:t>-</w:t>
      </w:r>
      <w:r w:rsidRPr="009A0D10">
        <w:rPr>
          <w:rFonts w:ascii="Arial" w:hAnsi="Arial" w:cs="Arial"/>
        </w:rPr>
        <w:t xml:space="preserve"> and heavy-duty sectors is found again on page ES-10</w:t>
      </w:r>
      <w:r w:rsidR="00EE7A31">
        <w:rPr>
          <w:rFonts w:ascii="Arial" w:hAnsi="Arial" w:cs="Arial"/>
        </w:rPr>
        <w:t xml:space="preserve"> where it states</w:t>
      </w:r>
      <w:r w:rsidRPr="009A0D10">
        <w:rPr>
          <w:rFonts w:ascii="Arial" w:hAnsi="Arial" w:cs="Arial"/>
        </w:rPr>
        <w:t>, “Battery technology, the learning curve, and economies of scale found in the light-duty sector will readily transfer to the medium- and heavy-</w:t>
      </w:r>
      <w:r w:rsidRPr="009A0D10">
        <w:rPr>
          <w:rFonts w:ascii="Arial" w:hAnsi="Arial" w:cs="Arial"/>
        </w:rPr>
        <w:lastRenderedPageBreak/>
        <w:t>duty vehicle segment.”  In light of the difference in market volumes and duty cycles of light</w:t>
      </w:r>
      <w:r w:rsidR="00EE7A31">
        <w:rPr>
          <w:rFonts w:ascii="Arial" w:hAnsi="Arial" w:cs="Arial"/>
        </w:rPr>
        <w:t>-</w:t>
      </w:r>
      <w:r w:rsidRPr="009A0D10">
        <w:rPr>
          <w:rFonts w:ascii="Arial" w:hAnsi="Arial" w:cs="Arial"/>
        </w:rPr>
        <w:t xml:space="preserve"> and heavy-duty vehicle markets, it is perplexing to understand how such claims can be credibly believed, especially with evidence to the contrary.</w:t>
      </w:r>
    </w:p>
    <w:p w:rsidR="00EE7A31" w:rsidRPr="009A0D10" w:rsidRDefault="00EE7A31" w:rsidP="00921D69">
      <w:pPr>
        <w:rPr>
          <w:rFonts w:ascii="Arial" w:hAnsi="Arial" w:cs="Arial"/>
        </w:rPr>
      </w:pPr>
    </w:p>
    <w:p w:rsidR="00921D69" w:rsidRDefault="00921D69" w:rsidP="00921D69">
      <w:pPr>
        <w:rPr>
          <w:rFonts w:ascii="Arial" w:hAnsi="Arial" w:cs="Arial"/>
        </w:rPr>
      </w:pPr>
      <w:r w:rsidRPr="009A0D10">
        <w:rPr>
          <w:rFonts w:ascii="Arial" w:hAnsi="Arial" w:cs="Arial"/>
        </w:rPr>
        <w:t>Based on Volvo’s experience in the heavy-duty sector, expected savings from reduced maintenance costs may apply only in certain sectors, such as transit buses and refuse trucks. Drayage trucks may not encounter the same level of savings.</w:t>
      </w:r>
    </w:p>
    <w:p w:rsidR="007D45AC" w:rsidRDefault="007D45AC" w:rsidP="000830E4">
      <w:pPr>
        <w:rPr>
          <w:rFonts w:ascii="Arial" w:hAnsi="Arial" w:cs="Arial"/>
        </w:rPr>
      </w:pPr>
    </w:p>
    <w:p w:rsidR="008F4C0B" w:rsidRPr="008713F0" w:rsidRDefault="007D45AC" w:rsidP="005B40F4">
      <w:pPr>
        <w:pStyle w:val="FootnoteText"/>
        <w:rPr>
          <w:rFonts w:ascii="Arial" w:hAnsi="Arial" w:cs="Arial"/>
          <w:sz w:val="24"/>
          <w:szCs w:val="24"/>
        </w:rPr>
      </w:pPr>
      <w:r w:rsidRPr="008713F0">
        <w:rPr>
          <w:rFonts w:ascii="Arial" w:hAnsi="Arial" w:cs="Arial"/>
          <w:sz w:val="24"/>
          <w:szCs w:val="24"/>
        </w:rPr>
        <w:t xml:space="preserve">Costs of battery technology are mentioned throughout the report, which is appropriate given </w:t>
      </w:r>
      <w:r w:rsidR="00921D69" w:rsidRPr="008713F0">
        <w:rPr>
          <w:rFonts w:ascii="Arial" w:hAnsi="Arial" w:cs="Arial"/>
          <w:sz w:val="24"/>
          <w:szCs w:val="24"/>
        </w:rPr>
        <w:t xml:space="preserve">its </w:t>
      </w:r>
      <w:r w:rsidRPr="008713F0">
        <w:rPr>
          <w:rFonts w:ascii="Arial" w:hAnsi="Arial" w:cs="Arial"/>
          <w:sz w:val="24"/>
          <w:szCs w:val="24"/>
        </w:rPr>
        <w:t>role as a key challen</w:t>
      </w:r>
      <w:r w:rsidR="00921D69" w:rsidRPr="008713F0">
        <w:rPr>
          <w:rFonts w:ascii="Arial" w:hAnsi="Arial" w:cs="Arial"/>
          <w:sz w:val="24"/>
          <w:szCs w:val="24"/>
        </w:rPr>
        <w:t xml:space="preserve">ge for heavy-duty applications; yet we believe the </w:t>
      </w:r>
      <w:r w:rsidRPr="008713F0">
        <w:rPr>
          <w:rFonts w:ascii="Arial" w:hAnsi="Arial" w:cs="Arial"/>
          <w:sz w:val="24"/>
          <w:szCs w:val="24"/>
        </w:rPr>
        <w:t xml:space="preserve">presumption of cost reductions during the 10-year period the report covers is highly speculative. </w:t>
      </w:r>
      <w:r w:rsidR="00921D69" w:rsidRPr="008713F0">
        <w:rPr>
          <w:rFonts w:ascii="Arial" w:hAnsi="Arial" w:cs="Arial"/>
          <w:sz w:val="24"/>
          <w:szCs w:val="24"/>
        </w:rPr>
        <w:t xml:space="preserve">It is true that </w:t>
      </w:r>
      <w:r w:rsidRPr="008713F0">
        <w:rPr>
          <w:rFonts w:ascii="Arial" w:hAnsi="Arial" w:cs="Arial"/>
          <w:sz w:val="24"/>
          <w:szCs w:val="24"/>
        </w:rPr>
        <w:t>battery costs for a hybrid</w:t>
      </w:r>
      <w:r w:rsidR="00EE7A31">
        <w:rPr>
          <w:rFonts w:ascii="Arial" w:hAnsi="Arial" w:cs="Arial"/>
          <w:sz w:val="24"/>
          <w:szCs w:val="24"/>
        </w:rPr>
        <w:t>,</w:t>
      </w:r>
      <w:r w:rsidRPr="008713F0">
        <w:rPr>
          <w:rFonts w:ascii="Arial" w:hAnsi="Arial" w:cs="Arial"/>
          <w:sz w:val="24"/>
          <w:szCs w:val="24"/>
        </w:rPr>
        <w:t xml:space="preserve"> like the Toyota Prius</w:t>
      </w:r>
      <w:r w:rsidR="00EE7A31">
        <w:rPr>
          <w:rFonts w:ascii="Arial" w:hAnsi="Arial" w:cs="Arial"/>
          <w:sz w:val="24"/>
          <w:szCs w:val="24"/>
        </w:rPr>
        <w:t>,</w:t>
      </w:r>
      <w:r w:rsidRPr="008713F0">
        <w:rPr>
          <w:rFonts w:ascii="Arial" w:hAnsi="Arial" w:cs="Arial"/>
          <w:sz w:val="24"/>
          <w:szCs w:val="24"/>
        </w:rPr>
        <w:t xml:space="preserve"> have been reduced during its 15 years on the market, </w:t>
      </w:r>
      <w:r w:rsidR="00921D69" w:rsidRPr="008713F0">
        <w:rPr>
          <w:rFonts w:ascii="Arial" w:hAnsi="Arial" w:cs="Arial"/>
          <w:sz w:val="24"/>
          <w:szCs w:val="24"/>
        </w:rPr>
        <w:t xml:space="preserve">but </w:t>
      </w:r>
      <w:r w:rsidRPr="008713F0">
        <w:rPr>
          <w:rFonts w:ascii="Arial" w:hAnsi="Arial" w:cs="Arial"/>
          <w:sz w:val="24"/>
          <w:szCs w:val="24"/>
        </w:rPr>
        <w:t xml:space="preserve">the cost of the vehicle </w:t>
      </w:r>
      <w:r w:rsidR="00921D69" w:rsidRPr="008713F0">
        <w:rPr>
          <w:rFonts w:ascii="Arial" w:hAnsi="Arial" w:cs="Arial"/>
          <w:sz w:val="24"/>
          <w:szCs w:val="24"/>
        </w:rPr>
        <w:t xml:space="preserve">itself has actually </w:t>
      </w:r>
      <w:r w:rsidRPr="008713F0">
        <w:rPr>
          <w:rFonts w:ascii="Arial" w:hAnsi="Arial" w:cs="Arial"/>
          <w:sz w:val="24"/>
          <w:szCs w:val="24"/>
        </w:rPr>
        <w:t xml:space="preserve">increased over that time. While we would expect some reduction of the price differential between conventional trucks and electrics over time, </w:t>
      </w:r>
      <w:r w:rsidR="000034CA" w:rsidRPr="008713F0">
        <w:rPr>
          <w:rFonts w:ascii="Arial" w:hAnsi="Arial" w:cs="Arial"/>
          <w:sz w:val="24"/>
          <w:szCs w:val="24"/>
        </w:rPr>
        <w:t>we expect battery trucks to retain a significant price premium</w:t>
      </w:r>
      <w:r w:rsidR="000034CA">
        <w:rPr>
          <w:rFonts w:ascii="Arial" w:hAnsi="Arial" w:cs="Arial"/>
          <w:sz w:val="24"/>
          <w:szCs w:val="24"/>
        </w:rPr>
        <w:t xml:space="preserve"> </w:t>
      </w:r>
      <w:r w:rsidRPr="008713F0">
        <w:rPr>
          <w:rFonts w:ascii="Arial" w:hAnsi="Arial" w:cs="Arial"/>
          <w:sz w:val="24"/>
          <w:szCs w:val="24"/>
        </w:rPr>
        <w:t>barring a breakthrough in battery technology and cost</w:t>
      </w:r>
      <w:r w:rsidR="000034CA">
        <w:rPr>
          <w:rFonts w:ascii="Arial" w:hAnsi="Arial" w:cs="Arial"/>
          <w:sz w:val="24"/>
          <w:szCs w:val="24"/>
        </w:rPr>
        <w:t>.</w:t>
      </w:r>
    </w:p>
    <w:p w:rsidR="009A0D10" w:rsidRDefault="009A0D10" w:rsidP="00E15994">
      <w:pPr>
        <w:rPr>
          <w:rFonts w:ascii="Arial" w:hAnsi="Arial" w:cs="Arial"/>
          <w:b/>
        </w:rPr>
      </w:pPr>
    </w:p>
    <w:p w:rsidR="00E15994" w:rsidRPr="00D37533" w:rsidRDefault="00927B09" w:rsidP="00E15994">
      <w:pPr>
        <w:rPr>
          <w:rFonts w:ascii="Arial" w:hAnsi="Arial" w:cs="Arial"/>
          <w:b/>
          <w:u w:val="single"/>
        </w:rPr>
      </w:pPr>
      <w:r w:rsidRPr="00D37533">
        <w:rPr>
          <w:rFonts w:ascii="Arial" w:hAnsi="Arial" w:cs="Arial"/>
          <w:b/>
          <w:u w:val="single"/>
        </w:rPr>
        <w:t>Technology Costs</w:t>
      </w:r>
    </w:p>
    <w:p w:rsidR="00A832EA" w:rsidRPr="009A0D10" w:rsidRDefault="00A832EA" w:rsidP="00E15994">
      <w:pPr>
        <w:rPr>
          <w:rFonts w:ascii="Arial" w:hAnsi="Arial" w:cs="Arial"/>
        </w:rPr>
      </w:pPr>
    </w:p>
    <w:p w:rsidR="00A13208" w:rsidRPr="009F0C86" w:rsidRDefault="009F0C86" w:rsidP="00A13208">
      <w:pPr>
        <w:rPr>
          <w:rFonts w:ascii="Arial" w:hAnsi="Arial" w:cs="Arial"/>
        </w:rPr>
      </w:pPr>
      <w:r w:rsidRPr="009F0C86">
        <w:rPr>
          <w:rFonts w:ascii="Arial" w:hAnsi="Arial" w:cs="Arial"/>
        </w:rPr>
        <w:t>In “Next Steps” (p. VIII-1</w:t>
      </w:r>
      <w:r w:rsidR="00A13208" w:rsidRPr="009F0C86">
        <w:rPr>
          <w:rFonts w:ascii="Arial" w:hAnsi="Arial" w:cs="Arial"/>
        </w:rPr>
        <w:t>), the report notes that “ARB has allocated $25 million toward zero-emission drayage trucks and has another $20 million for the zero-emission truck and bus pilot project” in addition to other funds. The</w:t>
      </w:r>
      <w:r w:rsidRPr="009F0C86">
        <w:rPr>
          <w:rFonts w:ascii="Arial" w:hAnsi="Arial" w:cs="Arial"/>
        </w:rPr>
        <w:t>se</w:t>
      </w:r>
      <w:r w:rsidR="00A13208" w:rsidRPr="009F0C86">
        <w:rPr>
          <w:rFonts w:ascii="Arial" w:hAnsi="Arial" w:cs="Arial"/>
        </w:rPr>
        <w:t xml:space="preserve"> incentives are critical because the customer may not derive direct operational benefit from ZEV technologies while incurring substantial upfront costs. </w:t>
      </w:r>
    </w:p>
    <w:p w:rsidR="009F0C86" w:rsidRPr="009F0C86" w:rsidRDefault="009F0C86" w:rsidP="00A13208">
      <w:pPr>
        <w:rPr>
          <w:rFonts w:ascii="Arial" w:hAnsi="Arial" w:cs="Arial"/>
        </w:rPr>
      </w:pPr>
    </w:p>
    <w:p w:rsidR="00A13208" w:rsidRDefault="00A13208" w:rsidP="00A13208">
      <w:pPr>
        <w:rPr>
          <w:rFonts w:ascii="Arial" w:hAnsi="Arial" w:cs="Arial"/>
        </w:rPr>
      </w:pPr>
      <w:r w:rsidRPr="009F0C86">
        <w:rPr>
          <w:rFonts w:ascii="Arial" w:hAnsi="Arial" w:cs="Arial"/>
        </w:rPr>
        <w:t>Manufacturers will require significant, long</w:t>
      </w:r>
      <w:r w:rsidR="000034CA">
        <w:rPr>
          <w:rFonts w:ascii="Arial" w:hAnsi="Arial" w:cs="Arial"/>
        </w:rPr>
        <w:t>-</w:t>
      </w:r>
      <w:r w:rsidRPr="009F0C86">
        <w:rPr>
          <w:rFonts w:ascii="Arial" w:hAnsi="Arial" w:cs="Arial"/>
        </w:rPr>
        <w:t>term incentive commitments to have the confidence to foresee an active market for ZEV products before launching the investments necessary to industrialize them. In addition, market certainty should consider the life of a vehicle after the first owner. If a product has limited</w:t>
      </w:r>
      <w:r w:rsidR="00460365">
        <w:rPr>
          <w:rFonts w:ascii="Arial" w:hAnsi="Arial" w:cs="Arial"/>
        </w:rPr>
        <w:t xml:space="preserve"> or uncertain</w:t>
      </w:r>
      <w:r w:rsidR="00D37533">
        <w:rPr>
          <w:rFonts w:ascii="Arial" w:hAnsi="Arial" w:cs="Arial"/>
        </w:rPr>
        <w:t xml:space="preserve"> resale value </w:t>
      </w:r>
      <w:r w:rsidRPr="009F0C86">
        <w:rPr>
          <w:rFonts w:ascii="Arial" w:hAnsi="Arial" w:cs="Arial"/>
        </w:rPr>
        <w:t>it will not survive in the market. Incentives or regulations will not change that.</w:t>
      </w:r>
    </w:p>
    <w:p w:rsidR="00EB5E9F" w:rsidRPr="009A0D10" w:rsidRDefault="00EB5E9F" w:rsidP="00E15994">
      <w:pPr>
        <w:rPr>
          <w:rFonts w:ascii="Arial" w:hAnsi="Arial" w:cs="Arial"/>
        </w:rPr>
      </w:pPr>
    </w:p>
    <w:p w:rsidR="007B6937" w:rsidRDefault="009F0C86" w:rsidP="00E15994">
      <w:pPr>
        <w:rPr>
          <w:rFonts w:ascii="Arial" w:hAnsi="Arial" w:cs="Arial"/>
        </w:rPr>
      </w:pPr>
      <w:r>
        <w:rPr>
          <w:rFonts w:ascii="Arial" w:hAnsi="Arial" w:cs="Arial"/>
        </w:rPr>
        <w:t>It is important to remember that</w:t>
      </w:r>
      <w:r w:rsidR="00A11DD6">
        <w:rPr>
          <w:rFonts w:ascii="Arial" w:hAnsi="Arial" w:cs="Arial"/>
        </w:rPr>
        <w:t xml:space="preserve"> c</w:t>
      </w:r>
      <w:r w:rsidR="00EB5E9F">
        <w:rPr>
          <w:rFonts w:ascii="Arial" w:hAnsi="Arial" w:cs="Arial"/>
        </w:rPr>
        <w:t xml:space="preserve">ost implications should not be studied only on the basis of incremental component costs. Development </w:t>
      </w:r>
      <w:r w:rsidR="00A11DD6">
        <w:rPr>
          <w:rFonts w:ascii="Arial" w:hAnsi="Arial" w:cs="Arial"/>
        </w:rPr>
        <w:t xml:space="preserve">and integration </w:t>
      </w:r>
      <w:r w:rsidR="00EB5E9F">
        <w:rPr>
          <w:rFonts w:ascii="Arial" w:hAnsi="Arial" w:cs="Arial"/>
        </w:rPr>
        <w:t>costs</w:t>
      </w:r>
      <w:r w:rsidR="000034CA">
        <w:rPr>
          <w:rFonts w:ascii="Arial" w:hAnsi="Arial" w:cs="Arial"/>
        </w:rPr>
        <w:t>,</w:t>
      </w:r>
      <w:r w:rsidR="00A11DD6">
        <w:rPr>
          <w:rFonts w:ascii="Arial" w:hAnsi="Arial" w:cs="Arial"/>
        </w:rPr>
        <w:t xml:space="preserve"> as well as infrastructure costs (which are mentioned in the report)</w:t>
      </w:r>
      <w:r w:rsidR="000034CA">
        <w:rPr>
          <w:rFonts w:ascii="Arial" w:hAnsi="Arial" w:cs="Arial"/>
        </w:rPr>
        <w:t>,</w:t>
      </w:r>
      <w:r w:rsidR="00A11DD6">
        <w:rPr>
          <w:rFonts w:ascii="Arial" w:hAnsi="Arial" w:cs="Arial"/>
        </w:rPr>
        <w:t xml:space="preserve"> </w:t>
      </w:r>
      <w:r w:rsidR="00EB5E9F">
        <w:rPr>
          <w:rFonts w:ascii="Arial" w:hAnsi="Arial" w:cs="Arial"/>
        </w:rPr>
        <w:t xml:space="preserve">should all be included in any cost estimation. </w:t>
      </w:r>
      <w:r w:rsidR="00C827EA">
        <w:rPr>
          <w:rFonts w:ascii="Arial" w:hAnsi="Arial" w:cs="Arial"/>
        </w:rPr>
        <w:t xml:space="preserve">The charger costs can be both off-board and on-board, depending on the configuration of the vehicle. </w:t>
      </w:r>
    </w:p>
    <w:p w:rsidR="007B6937" w:rsidRDefault="007B6937" w:rsidP="00E15994">
      <w:pPr>
        <w:rPr>
          <w:rFonts w:ascii="Arial" w:hAnsi="Arial" w:cs="Arial"/>
        </w:rPr>
      </w:pPr>
    </w:p>
    <w:p w:rsidR="00EB5E9F" w:rsidRDefault="00C827EA" w:rsidP="00E15994">
      <w:pPr>
        <w:rPr>
          <w:rFonts w:ascii="Arial" w:hAnsi="Arial" w:cs="Arial"/>
        </w:rPr>
      </w:pPr>
      <w:r>
        <w:rPr>
          <w:rFonts w:ascii="Arial" w:hAnsi="Arial" w:cs="Arial"/>
        </w:rPr>
        <w:lastRenderedPageBreak/>
        <w:t>W</w:t>
      </w:r>
      <w:r w:rsidR="00A11DD6">
        <w:rPr>
          <w:rFonts w:ascii="Arial" w:hAnsi="Arial" w:cs="Arial"/>
        </w:rPr>
        <w:t xml:space="preserve">arranty costs for an electric vehicle are unknown in the segment and </w:t>
      </w:r>
      <w:r w:rsidR="00EA347B">
        <w:rPr>
          <w:rFonts w:ascii="Arial" w:hAnsi="Arial" w:cs="Arial"/>
        </w:rPr>
        <w:t xml:space="preserve">must </w:t>
      </w:r>
      <w:r w:rsidR="009F0C86">
        <w:rPr>
          <w:rFonts w:ascii="Arial" w:hAnsi="Arial" w:cs="Arial"/>
        </w:rPr>
        <w:t xml:space="preserve">also </w:t>
      </w:r>
      <w:r w:rsidR="00EA347B">
        <w:rPr>
          <w:rFonts w:ascii="Arial" w:hAnsi="Arial" w:cs="Arial"/>
        </w:rPr>
        <w:t xml:space="preserve">be considered.  </w:t>
      </w:r>
      <w:r w:rsidR="0003325B">
        <w:rPr>
          <w:rFonts w:ascii="Arial" w:hAnsi="Arial" w:cs="Arial"/>
        </w:rPr>
        <w:t>As is mentioned in the report, the heavy-duty sector is a much harsh</w:t>
      </w:r>
      <w:r w:rsidR="00C048B8">
        <w:rPr>
          <w:rFonts w:ascii="Arial" w:hAnsi="Arial" w:cs="Arial"/>
        </w:rPr>
        <w:t>er</w:t>
      </w:r>
      <w:r w:rsidR="0003325B">
        <w:rPr>
          <w:rFonts w:ascii="Arial" w:hAnsi="Arial" w:cs="Arial"/>
        </w:rPr>
        <w:t xml:space="preserve"> environment than the light-duty sector, so costs of maintenance and </w:t>
      </w:r>
      <w:r w:rsidR="00E47213">
        <w:rPr>
          <w:rFonts w:ascii="Arial" w:hAnsi="Arial" w:cs="Arial"/>
        </w:rPr>
        <w:t xml:space="preserve">repair </w:t>
      </w:r>
      <w:r w:rsidR="0003325B">
        <w:rPr>
          <w:rFonts w:ascii="Arial" w:hAnsi="Arial" w:cs="Arial"/>
        </w:rPr>
        <w:t>are likely to be higher.</w:t>
      </w:r>
    </w:p>
    <w:p w:rsidR="00C048B8" w:rsidRDefault="00C048B8" w:rsidP="00E15994">
      <w:pPr>
        <w:rPr>
          <w:rFonts w:ascii="Arial" w:hAnsi="Arial" w:cs="Arial"/>
        </w:rPr>
      </w:pPr>
    </w:p>
    <w:p w:rsidR="00B059E5" w:rsidRDefault="00B059E5" w:rsidP="00E15994">
      <w:pPr>
        <w:rPr>
          <w:rFonts w:ascii="Arial" w:hAnsi="Arial" w:cs="Arial"/>
        </w:rPr>
      </w:pPr>
      <w:r>
        <w:rPr>
          <w:rFonts w:ascii="Arial" w:hAnsi="Arial" w:cs="Arial"/>
        </w:rPr>
        <w:t xml:space="preserve">Volume impacts should also be considered, </w:t>
      </w:r>
      <w:r w:rsidR="0003325B">
        <w:rPr>
          <w:rFonts w:ascii="Arial" w:hAnsi="Arial" w:cs="Arial"/>
        </w:rPr>
        <w:t xml:space="preserve">but </w:t>
      </w:r>
      <w:r>
        <w:rPr>
          <w:rFonts w:ascii="Arial" w:hAnsi="Arial" w:cs="Arial"/>
        </w:rPr>
        <w:t>we don’t know the full regulatory landscape for the U</w:t>
      </w:r>
      <w:r w:rsidR="000034CA">
        <w:rPr>
          <w:rFonts w:ascii="Arial" w:hAnsi="Arial" w:cs="Arial"/>
        </w:rPr>
        <w:t>.</w:t>
      </w:r>
      <w:r>
        <w:rPr>
          <w:rFonts w:ascii="Arial" w:hAnsi="Arial" w:cs="Arial"/>
        </w:rPr>
        <w:t>S. If California</w:t>
      </w:r>
      <w:r w:rsidR="0003325B">
        <w:rPr>
          <w:rFonts w:ascii="Arial" w:hAnsi="Arial" w:cs="Arial"/>
        </w:rPr>
        <w:t xml:space="preserve"> i</w:t>
      </w:r>
      <w:r>
        <w:rPr>
          <w:rFonts w:ascii="Arial" w:hAnsi="Arial" w:cs="Arial"/>
        </w:rPr>
        <w:t xml:space="preserve">s </w:t>
      </w:r>
      <w:r w:rsidR="0003325B">
        <w:rPr>
          <w:rFonts w:ascii="Arial" w:hAnsi="Arial" w:cs="Arial"/>
        </w:rPr>
        <w:t>the only locale requiring zero</w:t>
      </w:r>
      <w:r w:rsidR="000034CA">
        <w:rPr>
          <w:rFonts w:ascii="Arial" w:hAnsi="Arial" w:cs="Arial"/>
        </w:rPr>
        <w:t>-</w:t>
      </w:r>
      <w:r w:rsidR="0003325B">
        <w:rPr>
          <w:rFonts w:ascii="Arial" w:hAnsi="Arial" w:cs="Arial"/>
        </w:rPr>
        <w:t>emission</w:t>
      </w:r>
      <w:r w:rsidR="009A0D10">
        <w:rPr>
          <w:rFonts w:ascii="Arial" w:hAnsi="Arial" w:cs="Arial"/>
        </w:rPr>
        <w:t xml:space="preserve"> </w:t>
      </w:r>
      <w:r w:rsidR="003E1237">
        <w:rPr>
          <w:rFonts w:ascii="Arial" w:hAnsi="Arial" w:cs="Arial"/>
        </w:rPr>
        <w:t>vehicles</w:t>
      </w:r>
      <w:r w:rsidR="00620EFF">
        <w:rPr>
          <w:rFonts w:ascii="Arial" w:hAnsi="Arial" w:cs="Arial"/>
        </w:rPr>
        <w:t xml:space="preserve">, the incremental costs will be even higher than those built on </w:t>
      </w:r>
      <w:r w:rsidR="000034CA">
        <w:rPr>
          <w:rFonts w:ascii="Arial" w:hAnsi="Arial" w:cs="Arial"/>
        </w:rPr>
        <w:t xml:space="preserve">the </w:t>
      </w:r>
      <w:r w:rsidR="00620EFF">
        <w:rPr>
          <w:rFonts w:ascii="Arial" w:hAnsi="Arial" w:cs="Arial"/>
        </w:rPr>
        <w:t>assumption of nationwide sales volumes</w:t>
      </w:r>
      <w:r w:rsidR="007B6937">
        <w:rPr>
          <w:rFonts w:ascii="Arial" w:hAnsi="Arial" w:cs="Arial"/>
        </w:rPr>
        <w:t>. This increases the likelihood of OEMs shunning the market as too costly to compete for such small volumes</w:t>
      </w:r>
      <w:r w:rsidR="003E1237">
        <w:rPr>
          <w:rFonts w:ascii="Arial" w:hAnsi="Arial" w:cs="Arial"/>
        </w:rPr>
        <w:t>, particularly in the truck market</w:t>
      </w:r>
      <w:r w:rsidR="007B6937">
        <w:rPr>
          <w:rFonts w:ascii="Arial" w:hAnsi="Arial" w:cs="Arial"/>
        </w:rPr>
        <w:t xml:space="preserve">. </w:t>
      </w:r>
    </w:p>
    <w:p w:rsidR="00C827EA" w:rsidRDefault="00C827EA" w:rsidP="00E15994">
      <w:pPr>
        <w:rPr>
          <w:rFonts w:ascii="Arial" w:hAnsi="Arial" w:cs="Arial"/>
        </w:rPr>
      </w:pPr>
    </w:p>
    <w:p w:rsidR="00C827EA" w:rsidRDefault="009F0C86" w:rsidP="00E15994">
      <w:pPr>
        <w:rPr>
          <w:rFonts w:ascii="Arial" w:hAnsi="Arial" w:cs="Arial"/>
        </w:rPr>
      </w:pPr>
      <w:r w:rsidRPr="009F0C86">
        <w:rPr>
          <w:rFonts w:ascii="Arial" w:hAnsi="Arial" w:cs="Arial"/>
        </w:rPr>
        <w:t xml:space="preserve">Finally, </w:t>
      </w:r>
      <w:r w:rsidR="0051163E">
        <w:rPr>
          <w:rFonts w:ascii="Arial" w:hAnsi="Arial" w:cs="Arial"/>
        </w:rPr>
        <w:t>i</w:t>
      </w:r>
      <w:r w:rsidRPr="009F0C86">
        <w:rPr>
          <w:rFonts w:ascii="Arial" w:hAnsi="Arial" w:cs="Arial"/>
        </w:rPr>
        <w:t>n the cost projections for BEV trucks included on page ES-9</w:t>
      </w:r>
      <w:r w:rsidR="00C827EA" w:rsidRPr="009F0C86">
        <w:rPr>
          <w:rFonts w:ascii="Arial" w:hAnsi="Arial" w:cs="Arial"/>
        </w:rPr>
        <w:t>, baseline trucks costs are show</w:t>
      </w:r>
      <w:r w:rsidR="007B6937" w:rsidRPr="009F0C86">
        <w:rPr>
          <w:rFonts w:ascii="Arial" w:hAnsi="Arial" w:cs="Arial"/>
        </w:rPr>
        <w:t>n</w:t>
      </w:r>
      <w:r w:rsidR="00C827EA" w:rsidRPr="009F0C86">
        <w:rPr>
          <w:rFonts w:ascii="Arial" w:hAnsi="Arial" w:cs="Arial"/>
        </w:rPr>
        <w:t xml:space="preserve"> to increase while glider costs do not. Even if those cost increases take into consideration inflation alone, </w:t>
      </w:r>
      <w:r w:rsidR="007B6937" w:rsidRPr="009F0C86">
        <w:rPr>
          <w:rFonts w:ascii="Arial" w:hAnsi="Arial" w:cs="Arial"/>
        </w:rPr>
        <w:t xml:space="preserve">and </w:t>
      </w:r>
      <w:r w:rsidR="00C827EA" w:rsidRPr="009F0C86">
        <w:rPr>
          <w:rFonts w:ascii="Arial" w:hAnsi="Arial" w:cs="Arial"/>
        </w:rPr>
        <w:t>much less regulatory equipment that might need to be added, the glider costs should also show an increase over the years.</w:t>
      </w:r>
      <w:r w:rsidR="00C827EA">
        <w:rPr>
          <w:rFonts w:ascii="Arial" w:hAnsi="Arial" w:cs="Arial"/>
        </w:rPr>
        <w:t xml:space="preserve"> </w:t>
      </w:r>
    </w:p>
    <w:p w:rsidR="00A832EA" w:rsidRDefault="00A832EA" w:rsidP="00E15994">
      <w:pPr>
        <w:rPr>
          <w:rFonts w:ascii="Arial" w:hAnsi="Arial" w:cs="Arial"/>
        </w:rPr>
      </w:pPr>
    </w:p>
    <w:p w:rsidR="00927B09" w:rsidRPr="007D45AC" w:rsidRDefault="007D45AC" w:rsidP="00E15994">
      <w:pPr>
        <w:rPr>
          <w:rFonts w:ascii="Arial" w:hAnsi="Arial" w:cs="Arial"/>
          <w:b/>
          <w:u w:val="single"/>
        </w:rPr>
      </w:pPr>
      <w:r w:rsidRPr="007D45AC">
        <w:rPr>
          <w:rFonts w:ascii="Arial" w:hAnsi="Arial" w:cs="Arial"/>
          <w:b/>
          <w:u w:val="single"/>
        </w:rPr>
        <w:t>Purchase I</w:t>
      </w:r>
      <w:r w:rsidR="00A13208">
        <w:rPr>
          <w:rFonts w:ascii="Arial" w:hAnsi="Arial" w:cs="Arial"/>
          <w:b/>
          <w:u w:val="single"/>
        </w:rPr>
        <w:t>nducements</w:t>
      </w:r>
    </w:p>
    <w:p w:rsidR="00517C62" w:rsidRDefault="00517C62" w:rsidP="00E15994">
      <w:pPr>
        <w:rPr>
          <w:rFonts w:ascii="Arial" w:hAnsi="Arial" w:cs="Arial"/>
        </w:rPr>
      </w:pPr>
    </w:p>
    <w:p w:rsidR="009F0C86" w:rsidRDefault="009F0C86" w:rsidP="00E15994">
      <w:pPr>
        <w:rPr>
          <w:rFonts w:ascii="Arial" w:hAnsi="Arial" w:cs="Arial"/>
        </w:rPr>
      </w:pPr>
      <w:r>
        <w:rPr>
          <w:rFonts w:ascii="Arial" w:hAnsi="Arial" w:cs="Arial"/>
        </w:rPr>
        <w:t>On page ES12 it states,</w:t>
      </w:r>
      <w:r w:rsidR="00517C62">
        <w:rPr>
          <w:rFonts w:ascii="Arial" w:hAnsi="Arial" w:cs="Arial"/>
        </w:rPr>
        <w:t xml:space="preserve"> </w:t>
      </w:r>
      <w:r w:rsidR="00A61577">
        <w:rPr>
          <w:rFonts w:ascii="Arial" w:hAnsi="Arial" w:cs="Arial"/>
        </w:rPr>
        <w:t>“ARB currently has several incentive programs</w:t>
      </w:r>
      <w:r w:rsidR="000034CA">
        <w:rPr>
          <w:rFonts w:ascii="Arial" w:hAnsi="Arial" w:cs="Arial"/>
        </w:rPr>
        <w:t xml:space="preserve"> … </w:t>
      </w:r>
      <w:r w:rsidR="00A61577">
        <w:rPr>
          <w:rFonts w:ascii="Arial" w:hAnsi="Arial" w:cs="Arial"/>
        </w:rPr>
        <w:t xml:space="preserve">that encourage the development and adoption of new BEV technologies.”  While it is true that purchase incentives contribute to new technology adoption by fleets, the influence on technology development decisions are minor in comparison.  </w:t>
      </w:r>
    </w:p>
    <w:p w:rsidR="009F0C86" w:rsidRDefault="009F0C86" w:rsidP="00E15994">
      <w:pPr>
        <w:rPr>
          <w:rFonts w:ascii="Arial" w:hAnsi="Arial" w:cs="Arial"/>
        </w:rPr>
      </w:pPr>
    </w:p>
    <w:p w:rsidR="0035459C" w:rsidRDefault="009F0C86" w:rsidP="00E15994">
      <w:pPr>
        <w:rPr>
          <w:rFonts w:ascii="Arial" w:hAnsi="Arial" w:cs="Arial"/>
        </w:rPr>
      </w:pPr>
      <w:r>
        <w:rPr>
          <w:rFonts w:ascii="Arial" w:hAnsi="Arial" w:cs="Arial"/>
        </w:rPr>
        <w:t xml:space="preserve">The report goes on to assert </w:t>
      </w:r>
      <w:r w:rsidR="00A13208">
        <w:rPr>
          <w:rFonts w:ascii="Arial" w:hAnsi="Arial" w:cs="Arial"/>
        </w:rPr>
        <w:t>that “ARB can employ policies that increase stringency of vehicle and emission performance standards, which in turn will help accelerate development and deployment of zero</w:t>
      </w:r>
      <w:r w:rsidR="000034CA">
        <w:rPr>
          <w:rFonts w:ascii="Arial" w:hAnsi="Arial" w:cs="Arial"/>
        </w:rPr>
        <w:t>-</w:t>
      </w:r>
      <w:r w:rsidR="00A13208">
        <w:rPr>
          <w:rFonts w:ascii="Arial" w:hAnsi="Arial" w:cs="Arial"/>
        </w:rPr>
        <w:t>emission technologies</w:t>
      </w:r>
      <w:r>
        <w:rPr>
          <w:rFonts w:ascii="Arial" w:hAnsi="Arial" w:cs="Arial"/>
        </w:rPr>
        <w:t xml:space="preserve"> (page ES-12)</w:t>
      </w:r>
      <w:r w:rsidR="00A13208">
        <w:rPr>
          <w:rFonts w:ascii="Arial" w:hAnsi="Arial" w:cs="Arial"/>
        </w:rPr>
        <w:t xml:space="preserve">.” The fallacy of this premise is that the “chosen” technology, battery electric vehicles, is somehow applicable </w:t>
      </w:r>
      <w:r w:rsidR="000034CA">
        <w:rPr>
          <w:rFonts w:ascii="Arial" w:hAnsi="Arial" w:cs="Arial"/>
        </w:rPr>
        <w:t xml:space="preserve">to </w:t>
      </w:r>
      <w:r w:rsidR="00A13208">
        <w:rPr>
          <w:rFonts w:ascii="Arial" w:hAnsi="Arial" w:cs="Arial"/>
        </w:rPr>
        <w:t xml:space="preserve">the needs of the entire heavy-duty sector. That remains to be seen. As has happened with other ARB technology initiatives, the results may be different than those envisioned by ARB staff as </w:t>
      </w:r>
      <w:r w:rsidR="000034CA">
        <w:rPr>
          <w:rFonts w:ascii="Arial" w:hAnsi="Arial" w:cs="Arial"/>
        </w:rPr>
        <w:t xml:space="preserve">the </w:t>
      </w:r>
      <w:r w:rsidR="00A13208">
        <w:rPr>
          <w:rFonts w:ascii="Arial" w:hAnsi="Arial" w:cs="Arial"/>
        </w:rPr>
        <w:t>industry strives to produce a product that not only meets the regulation but the requirements of customers.</w:t>
      </w:r>
    </w:p>
    <w:p w:rsidR="008713F0" w:rsidRDefault="008713F0" w:rsidP="008713F0">
      <w:pPr>
        <w:rPr>
          <w:rFonts w:ascii="Arial" w:hAnsi="Arial" w:cs="Arial"/>
          <w:b/>
          <w:u w:val="single"/>
        </w:rPr>
      </w:pPr>
    </w:p>
    <w:p w:rsidR="008713F0" w:rsidRPr="00A13208" w:rsidRDefault="008713F0" w:rsidP="008713F0">
      <w:pPr>
        <w:rPr>
          <w:rFonts w:ascii="Arial" w:hAnsi="Arial" w:cs="Arial"/>
          <w:b/>
          <w:u w:val="single"/>
        </w:rPr>
      </w:pPr>
      <w:r w:rsidRPr="00A13208">
        <w:rPr>
          <w:rFonts w:ascii="Arial" w:hAnsi="Arial" w:cs="Arial"/>
          <w:b/>
          <w:u w:val="single"/>
        </w:rPr>
        <w:t xml:space="preserve">Compete Vehicle Approach </w:t>
      </w:r>
    </w:p>
    <w:p w:rsidR="008713F0" w:rsidRDefault="008713F0" w:rsidP="008713F0">
      <w:pPr>
        <w:rPr>
          <w:rFonts w:ascii="Arial" w:hAnsi="Arial" w:cs="Arial"/>
        </w:rPr>
      </w:pPr>
    </w:p>
    <w:p w:rsidR="008713F0" w:rsidRDefault="008713F0" w:rsidP="008713F0">
      <w:pPr>
        <w:rPr>
          <w:rFonts w:ascii="Arial" w:hAnsi="Arial" w:cs="Arial"/>
        </w:rPr>
      </w:pPr>
      <w:r>
        <w:rPr>
          <w:rFonts w:ascii="Arial" w:hAnsi="Arial" w:cs="Arial"/>
        </w:rPr>
        <w:t xml:space="preserve">The </w:t>
      </w:r>
      <w:r w:rsidRPr="003414C3">
        <w:rPr>
          <w:rFonts w:ascii="Arial" w:hAnsi="Arial" w:cs="Arial"/>
        </w:rPr>
        <w:t xml:space="preserve">Volvo Group agrees that </w:t>
      </w:r>
      <w:r>
        <w:rPr>
          <w:rFonts w:ascii="Arial" w:hAnsi="Arial" w:cs="Arial"/>
        </w:rPr>
        <w:t xml:space="preserve">battery technology presents a great potential for local reductions of criteria emissions and GHG reductions depending on the charging infrastructure. </w:t>
      </w:r>
      <w:r w:rsidRPr="003414C3">
        <w:rPr>
          <w:rFonts w:ascii="Arial" w:hAnsi="Arial" w:cs="Arial"/>
        </w:rPr>
        <w:t>The Volvo Group approaches</w:t>
      </w:r>
      <w:r>
        <w:rPr>
          <w:rFonts w:ascii="Arial" w:hAnsi="Arial" w:cs="Arial"/>
        </w:rPr>
        <w:t xml:space="preserve"> </w:t>
      </w:r>
      <w:r w:rsidRPr="003414C3">
        <w:rPr>
          <w:rFonts w:ascii="Arial" w:hAnsi="Arial" w:cs="Arial"/>
        </w:rPr>
        <w:t xml:space="preserve">technology evaluation to </w:t>
      </w:r>
      <w:r w:rsidRPr="003414C3">
        <w:rPr>
          <w:rFonts w:ascii="Arial" w:hAnsi="Arial" w:cs="Arial"/>
        </w:rPr>
        <w:lastRenderedPageBreak/>
        <w:t>include integration of the powertrain and the complete vehicle</w:t>
      </w:r>
      <w:r>
        <w:rPr>
          <w:rFonts w:ascii="Arial" w:hAnsi="Arial" w:cs="Arial"/>
        </w:rPr>
        <w:t xml:space="preserve"> from the basis of customer needs. </w:t>
      </w:r>
    </w:p>
    <w:p w:rsidR="008713F0" w:rsidRDefault="008713F0" w:rsidP="008713F0">
      <w:pPr>
        <w:rPr>
          <w:rFonts w:ascii="Arial" w:hAnsi="Arial" w:cs="Arial"/>
        </w:rPr>
      </w:pPr>
    </w:p>
    <w:p w:rsidR="008713F0" w:rsidRDefault="008713F0" w:rsidP="008713F0">
      <w:pPr>
        <w:rPr>
          <w:rFonts w:ascii="Arial" w:hAnsi="Arial" w:cs="Arial"/>
        </w:rPr>
      </w:pPr>
      <w:r>
        <w:rPr>
          <w:rFonts w:ascii="Arial" w:hAnsi="Arial" w:cs="Arial"/>
        </w:rPr>
        <w:t xml:space="preserve">Volvo fully supports </w:t>
      </w:r>
      <w:r w:rsidRPr="00D7309C">
        <w:rPr>
          <w:rFonts w:ascii="Arial" w:hAnsi="Arial" w:cs="Arial"/>
        </w:rPr>
        <w:t>ARB’s</w:t>
      </w:r>
      <w:r>
        <w:rPr>
          <w:rFonts w:ascii="Arial" w:hAnsi="Arial" w:cs="Arial"/>
        </w:rPr>
        <w:t xml:space="preserve"> </w:t>
      </w:r>
      <w:r w:rsidRPr="00D7309C">
        <w:rPr>
          <w:rFonts w:ascii="Arial" w:hAnsi="Arial" w:cs="Arial"/>
        </w:rPr>
        <w:t>call for an “integrated approach”</w:t>
      </w:r>
      <w:r w:rsidRPr="00EC6C93">
        <w:rPr>
          <w:rFonts w:ascii="Arial" w:hAnsi="Arial" w:cs="Arial"/>
        </w:rPr>
        <w:t xml:space="preserve"> to developing and deploying advanced technologies</w:t>
      </w:r>
      <w:r>
        <w:rPr>
          <w:rFonts w:ascii="Arial" w:hAnsi="Arial" w:cs="Arial"/>
        </w:rPr>
        <w:t xml:space="preserve"> as stated in the Technology Assessment Overview released in April</w:t>
      </w:r>
      <w:r w:rsidRPr="00EC6C93">
        <w:rPr>
          <w:rFonts w:ascii="Arial" w:hAnsi="Arial" w:cs="Arial"/>
        </w:rPr>
        <w:t xml:space="preserve">. </w:t>
      </w:r>
      <w:r>
        <w:rPr>
          <w:rFonts w:ascii="Arial" w:hAnsi="Arial" w:cs="Arial"/>
        </w:rPr>
        <w:t xml:space="preserve">Such an </w:t>
      </w:r>
      <w:r w:rsidRPr="00EC6C93">
        <w:rPr>
          <w:rFonts w:ascii="Arial" w:hAnsi="Arial" w:cs="Arial"/>
        </w:rPr>
        <w:t xml:space="preserve">approach </w:t>
      </w:r>
      <w:r>
        <w:rPr>
          <w:rFonts w:ascii="Arial" w:hAnsi="Arial" w:cs="Arial"/>
        </w:rPr>
        <w:t>will</w:t>
      </w:r>
      <w:r w:rsidRPr="00EC6C93">
        <w:rPr>
          <w:rFonts w:ascii="Arial" w:hAnsi="Arial" w:cs="Arial"/>
        </w:rPr>
        <w:t xml:space="preserve"> lead to </w:t>
      </w:r>
      <w:r>
        <w:rPr>
          <w:rFonts w:ascii="Arial" w:hAnsi="Arial" w:cs="Arial"/>
        </w:rPr>
        <w:t>greater</w:t>
      </w:r>
      <w:r w:rsidRPr="00EC6C93">
        <w:rPr>
          <w:rFonts w:ascii="Arial" w:hAnsi="Arial" w:cs="Arial"/>
        </w:rPr>
        <w:t xml:space="preserve"> consideration of whole</w:t>
      </w:r>
      <w:r>
        <w:rPr>
          <w:rFonts w:ascii="Arial" w:hAnsi="Arial" w:cs="Arial"/>
        </w:rPr>
        <w:t>-</w:t>
      </w:r>
      <w:r w:rsidRPr="00EC6C93">
        <w:rPr>
          <w:rFonts w:ascii="Arial" w:hAnsi="Arial" w:cs="Arial"/>
        </w:rPr>
        <w:t xml:space="preserve">vehicle </w:t>
      </w:r>
      <w:r>
        <w:rPr>
          <w:rFonts w:ascii="Arial" w:hAnsi="Arial" w:cs="Arial"/>
        </w:rPr>
        <w:t xml:space="preserve">emissions and performance. </w:t>
      </w:r>
    </w:p>
    <w:p w:rsidR="008713F0" w:rsidRDefault="008713F0" w:rsidP="008713F0">
      <w:pPr>
        <w:rPr>
          <w:rFonts w:ascii="Arial" w:hAnsi="Arial" w:cs="Arial"/>
        </w:rPr>
      </w:pPr>
    </w:p>
    <w:p w:rsidR="008713F0" w:rsidRDefault="008713F0" w:rsidP="008713F0">
      <w:pPr>
        <w:rPr>
          <w:rFonts w:ascii="Arial" w:hAnsi="Arial" w:cs="Arial"/>
        </w:rPr>
      </w:pPr>
      <w:r>
        <w:rPr>
          <w:rFonts w:ascii="Arial" w:hAnsi="Arial" w:cs="Arial"/>
        </w:rPr>
        <w:t xml:space="preserve">We also would strongly suggest that ARB </w:t>
      </w:r>
      <w:r w:rsidRPr="00EC6C93">
        <w:rPr>
          <w:rFonts w:ascii="Arial" w:hAnsi="Arial" w:cs="Arial"/>
        </w:rPr>
        <w:t xml:space="preserve">look beyond engine regulations as the sole </w:t>
      </w:r>
      <w:r>
        <w:rPr>
          <w:rFonts w:ascii="Arial" w:hAnsi="Arial" w:cs="Arial"/>
        </w:rPr>
        <w:t xml:space="preserve">method </w:t>
      </w:r>
      <w:r w:rsidRPr="00EC6C93">
        <w:rPr>
          <w:rFonts w:ascii="Arial" w:hAnsi="Arial" w:cs="Arial"/>
        </w:rPr>
        <w:t>of measuring progress on</w:t>
      </w:r>
      <w:r>
        <w:rPr>
          <w:rFonts w:ascii="Arial" w:hAnsi="Arial" w:cs="Arial"/>
        </w:rPr>
        <w:t xml:space="preserve"> many</w:t>
      </w:r>
      <w:r w:rsidRPr="00EC6C93">
        <w:rPr>
          <w:rFonts w:ascii="Arial" w:hAnsi="Arial" w:cs="Arial"/>
        </w:rPr>
        <w:t xml:space="preserve"> environmental issues.</w:t>
      </w:r>
      <w:r>
        <w:rPr>
          <w:rFonts w:ascii="Arial" w:hAnsi="Arial" w:cs="Arial"/>
        </w:rPr>
        <w:t xml:space="preserve">  Integration should refer not only to the intersection between the fueling infrastructure and the vehicle, but also to the integration of emission reductions gained from improvements to the complete vehicle – not just the</w:t>
      </w:r>
      <w:r w:rsidR="000034CA">
        <w:rPr>
          <w:rFonts w:ascii="Arial" w:hAnsi="Arial" w:cs="Arial"/>
        </w:rPr>
        <w:t xml:space="preserve"> </w:t>
      </w:r>
      <w:r>
        <w:rPr>
          <w:rFonts w:ascii="Arial" w:hAnsi="Arial" w:cs="Arial"/>
        </w:rPr>
        <w:t>powertrain.</w:t>
      </w:r>
    </w:p>
    <w:p w:rsidR="008713F0" w:rsidRDefault="008713F0" w:rsidP="008713F0">
      <w:pPr>
        <w:rPr>
          <w:rFonts w:ascii="Arial" w:hAnsi="Arial" w:cs="Arial"/>
        </w:rPr>
      </w:pPr>
    </w:p>
    <w:p w:rsidR="008713F0" w:rsidRPr="00EC6C93" w:rsidRDefault="008713F0" w:rsidP="008713F0">
      <w:pPr>
        <w:rPr>
          <w:rFonts w:ascii="Arial" w:hAnsi="Arial" w:cs="Arial"/>
        </w:rPr>
      </w:pPr>
      <w:r>
        <w:rPr>
          <w:rFonts w:ascii="Arial" w:hAnsi="Arial" w:cs="Arial"/>
        </w:rPr>
        <w:t xml:space="preserve">Finally, we would like to emphasize that giving manufacturers the flexibility to implement </w:t>
      </w:r>
      <w:r w:rsidRPr="00AF0745">
        <w:rPr>
          <w:rFonts w:ascii="Arial" w:hAnsi="Arial" w:cs="Arial"/>
          <w:i/>
        </w:rPr>
        <w:t xml:space="preserve">vehicle </w:t>
      </w:r>
      <w:r>
        <w:rPr>
          <w:rFonts w:ascii="Arial" w:hAnsi="Arial" w:cs="Arial"/>
        </w:rPr>
        <w:t>efficiency technologies according to customer needs, rather than imposing strict engine or technology standards, facilitates and expedites the availability and acceptance of new technologies that build on other inherent NOx reductions that come from reduced engine workload and vehicle improvements.</w:t>
      </w:r>
    </w:p>
    <w:p w:rsidR="00963AA5" w:rsidRPr="00E15994" w:rsidRDefault="00963AA5" w:rsidP="00E15994">
      <w:pPr>
        <w:rPr>
          <w:rFonts w:ascii="Arial" w:hAnsi="Arial" w:cs="Arial"/>
        </w:rPr>
      </w:pPr>
    </w:p>
    <w:p w:rsidR="007D45AC" w:rsidRPr="00D37533" w:rsidRDefault="00D37533" w:rsidP="007D45AC">
      <w:pPr>
        <w:rPr>
          <w:rFonts w:ascii="Arial" w:hAnsi="Arial" w:cs="Arial"/>
          <w:b/>
          <w:bCs/>
          <w:iCs/>
          <w:u w:val="single"/>
        </w:rPr>
      </w:pPr>
      <w:r>
        <w:rPr>
          <w:rFonts w:ascii="Arial" w:hAnsi="Arial" w:cs="Arial"/>
          <w:b/>
          <w:bCs/>
          <w:iCs/>
          <w:u w:val="single"/>
        </w:rPr>
        <w:t>Transit Specific Comments</w:t>
      </w:r>
      <w:r w:rsidR="007D45AC" w:rsidRPr="00D37533">
        <w:rPr>
          <w:rFonts w:ascii="Arial" w:hAnsi="Arial" w:cs="Arial"/>
          <w:b/>
          <w:bCs/>
          <w:iCs/>
          <w:u w:val="single"/>
        </w:rPr>
        <w:t xml:space="preserve"> </w:t>
      </w:r>
    </w:p>
    <w:p w:rsidR="00843C40" w:rsidRDefault="00843C40" w:rsidP="007D45AC">
      <w:pPr>
        <w:rPr>
          <w:rFonts w:ascii="Arial" w:hAnsi="Arial" w:cs="Arial"/>
          <w:b/>
          <w:bCs/>
          <w:iCs/>
          <w:highlight w:val="yellow"/>
        </w:rPr>
      </w:pPr>
    </w:p>
    <w:p w:rsidR="007D45AC" w:rsidRDefault="00D37533" w:rsidP="007D45AC">
      <w:pPr>
        <w:rPr>
          <w:rFonts w:ascii="Arial" w:hAnsi="Arial" w:cs="Arial"/>
        </w:rPr>
      </w:pPr>
      <w:r>
        <w:rPr>
          <w:rFonts w:ascii="Arial" w:hAnsi="Arial" w:cs="Arial"/>
          <w:bCs/>
          <w:iCs/>
        </w:rPr>
        <w:t>P</w:t>
      </w:r>
      <w:r w:rsidR="00843C40" w:rsidRPr="00D37533">
        <w:rPr>
          <w:rFonts w:ascii="Arial" w:hAnsi="Arial" w:cs="Arial"/>
          <w:bCs/>
          <w:iCs/>
        </w:rPr>
        <w:t>age ES-2</w:t>
      </w:r>
      <w:r>
        <w:rPr>
          <w:rFonts w:ascii="Arial" w:hAnsi="Arial" w:cs="Arial"/>
          <w:bCs/>
          <w:iCs/>
        </w:rPr>
        <w:t>:</w:t>
      </w:r>
      <w:r w:rsidR="00843C40" w:rsidRPr="00D37533">
        <w:rPr>
          <w:rFonts w:ascii="Arial" w:hAnsi="Arial" w:cs="Arial"/>
          <w:bCs/>
          <w:iCs/>
        </w:rPr>
        <w:t xml:space="preserve"> CARB states that “There is currently no standard charging system of strategy.” It should be noted that </w:t>
      </w:r>
      <w:r w:rsidR="00A77A32">
        <w:rPr>
          <w:rFonts w:ascii="Arial" w:hAnsi="Arial" w:cs="Arial"/>
        </w:rPr>
        <w:t>s</w:t>
      </w:r>
      <w:r w:rsidR="00843C40" w:rsidRPr="00D37533">
        <w:rPr>
          <w:rFonts w:ascii="Arial" w:hAnsi="Arial" w:cs="Arial"/>
        </w:rPr>
        <w:t>tandardi</w:t>
      </w:r>
      <w:r w:rsidR="000034CA">
        <w:rPr>
          <w:rFonts w:ascii="Arial" w:hAnsi="Arial" w:cs="Arial"/>
        </w:rPr>
        <w:t>z</w:t>
      </w:r>
      <w:r w:rsidR="00843C40" w:rsidRPr="00D37533">
        <w:rPr>
          <w:rFonts w:ascii="Arial" w:hAnsi="Arial" w:cs="Arial"/>
        </w:rPr>
        <w:t xml:space="preserve">ation for </w:t>
      </w:r>
      <w:proofErr w:type="spellStart"/>
      <w:r w:rsidR="00843C40" w:rsidRPr="00D37533">
        <w:rPr>
          <w:rFonts w:ascii="Arial" w:hAnsi="Arial" w:cs="Arial"/>
        </w:rPr>
        <w:t>electromobility</w:t>
      </w:r>
      <w:proofErr w:type="spellEnd"/>
      <w:r w:rsidR="00843C40" w:rsidRPr="00D37533">
        <w:rPr>
          <w:rFonts w:ascii="Arial" w:hAnsi="Arial" w:cs="Arial"/>
        </w:rPr>
        <w:t xml:space="preserve"> is a current discussion topic, with an SAE committee working to establish common standards for high power (J3105) and low power (J3068) charging for transit buses. Nova Bus thinks coordination</w:t>
      </w:r>
      <w:r w:rsidR="00A77A32" w:rsidRPr="00D37533">
        <w:rPr>
          <w:rFonts w:ascii="Arial" w:hAnsi="Arial" w:cs="Arial"/>
        </w:rPr>
        <w:t xml:space="preserve"> through an organization such as SAE </w:t>
      </w:r>
      <w:r w:rsidR="00843C40" w:rsidRPr="00D37533">
        <w:rPr>
          <w:rFonts w:ascii="Arial" w:hAnsi="Arial" w:cs="Arial"/>
        </w:rPr>
        <w:t>is the best way to improve technologies and meet cities’ needs.</w:t>
      </w:r>
    </w:p>
    <w:p w:rsidR="000034CA" w:rsidRPr="009A0D10" w:rsidRDefault="000034CA" w:rsidP="007D45AC">
      <w:pPr>
        <w:rPr>
          <w:rFonts w:ascii="Arial" w:hAnsi="Arial" w:cs="Arial"/>
          <w:bCs/>
          <w:iCs/>
          <w:highlight w:val="yellow"/>
        </w:rPr>
      </w:pPr>
    </w:p>
    <w:p w:rsidR="007D45AC" w:rsidRPr="009A0D10" w:rsidRDefault="00A77A32" w:rsidP="007D45AC">
      <w:pPr>
        <w:rPr>
          <w:rFonts w:ascii="Arial" w:hAnsi="Arial" w:cs="Arial"/>
        </w:rPr>
      </w:pPr>
      <w:r>
        <w:rPr>
          <w:rFonts w:ascii="Arial" w:hAnsi="Arial" w:cs="Arial"/>
          <w:bCs/>
          <w:iCs/>
        </w:rPr>
        <w:t>On page ES-9</w:t>
      </w:r>
      <w:r w:rsidR="000034CA">
        <w:rPr>
          <w:rFonts w:ascii="Arial" w:hAnsi="Arial" w:cs="Arial"/>
          <w:bCs/>
          <w:iCs/>
        </w:rPr>
        <w:t>:</w:t>
      </w:r>
      <w:r>
        <w:rPr>
          <w:rFonts w:ascii="Arial" w:hAnsi="Arial" w:cs="Arial"/>
          <w:bCs/>
          <w:iCs/>
        </w:rPr>
        <w:t xml:space="preserve"> </w:t>
      </w:r>
      <w:r w:rsidR="007D45AC" w:rsidRPr="00D37533">
        <w:rPr>
          <w:rFonts w:ascii="Arial" w:hAnsi="Arial" w:cs="Arial"/>
          <w:bCs/>
          <w:iCs/>
        </w:rPr>
        <w:t xml:space="preserve">When looking at BEV vehicles in the transit market, Nova Bus would suggest that CARB clarify the </w:t>
      </w:r>
      <w:r w:rsidR="007D45AC" w:rsidRPr="00D37533">
        <w:rPr>
          <w:rFonts w:ascii="Arial" w:hAnsi="Arial" w:cs="Arial"/>
        </w:rPr>
        <w:t>term “improve range</w:t>
      </w:r>
      <w:r w:rsidR="000034CA">
        <w:rPr>
          <w:rFonts w:ascii="Arial" w:hAnsi="Arial" w:cs="Arial"/>
        </w:rPr>
        <w:t>,</w:t>
      </w:r>
      <w:r w:rsidR="007D45AC" w:rsidRPr="00D37533">
        <w:rPr>
          <w:rFonts w:ascii="Arial" w:hAnsi="Arial" w:cs="Arial"/>
        </w:rPr>
        <w:t xml:space="preserve">” in a way </w:t>
      </w:r>
      <w:r w:rsidR="000034CA">
        <w:rPr>
          <w:rFonts w:ascii="Arial" w:hAnsi="Arial" w:cs="Arial"/>
        </w:rPr>
        <w:t>so that it</w:t>
      </w:r>
      <w:r w:rsidR="007D45AC" w:rsidRPr="00D37533">
        <w:rPr>
          <w:rFonts w:ascii="Arial" w:hAnsi="Arial" w:cs="Arial"/>
        </w:rPr>
        <w:t xml:space="preserve"> consider</w:t>
      </w:r>
      <w:r w:rsidR="000034CA">
        <w:rPr>
          <w:rFonts w:ascii="Arial" w:hAnsi="Arial" w:cs="Arial"/>
        </w:rPr>
        <w:t>s</w:t>
      </w:r>
      <w:r w:rsidR="007D45AC" w:rsidRPr="00D37533">
        <w:rPr>
          <w:rFonts w:ascii="Arial" w:hAnsi="Arial" w:cs="Arial"/>
        </w:rPr>
        <w:t xml:space="preserve"> the capacity of the battery over its total lifetime instead of its capacity when initially brought to market.  This calculation should also account for the full use of auxiliary systems such as HVACs, heaters</w:t>
      </w:r>
      <w:r w:rsidR="00190188">
        <w:rPr>
          <w:rFonts w:ascii="Arial" w:hAnsi="Arial" w:cs="Arial"/>
        </w:rPr>
        <w:t>,</w:t>
      </w:r>
      <w:r w:rsidR="007D45AC" w:rsidRPr="00D37533">
        <w:rPr>
          <w:rFonts w:ascii="Arial" w:hAnsi="Arial" w:cs="Arial"/>
        </w:rPr>
        <w:t xml:space="preserve"> etc.</w:t>
      </w:r>
    </w:p>
    <w:p w:rsidR="007D45AC" w:rsidRPr="009A0D10" w:rsidRDefault="007D45AC" w:rsidP="007D45AC">
      <w:pPr>
        <w:rPr>
          <w:rFonts w:ascii="Arial" w:hAnsi="Arial" w:cs="Arial"/>
        </w:rPr>
      </w:pPr>
    </w:p>
    <w:p w:rsidR="007D45AC" w:rsidRPr="009A0D10" w:rsidRDefault="00D37533" w:rsidP="007D45AC">
      <w:pPr>
        <w:rPr>
          <w:rFonts w:ascii="Arial" w:hAnsi="Arial" w:cs="Arial"/>
        </w:rPr>
      </w:pPr>
      <w:r>
        <w:rPr>
          <w:rFonts w:ascii="Arial" w:hAnsi="Arial" w:cs="Arial"/>
          <w:bCs/>
          <w:iCs/>
        </w:rPr>
        <w:t>P</w:t>
      </w:r>
      <w:r w:rsidR="007D45AC" w:rsidRPr="009A0D10">
        <w:rPr>
          <w:rFonts w:ascii="Arial" w:hAnsi="Arial" w:cs="Arial"/>
          <w:bCs/>
          <w:iCs/>
        </w:rPr>
        <w:t>age IV-2</w:t>
      </w:r>
      <w:r>
        <w:rPr>
          <w:rFonts w:ascii="Arial" w:hAnsi="Arial" w:cs="Arial"/>
          <w:bCs/>
          <w:iCs/>
        </w:rPr>
        <w:t>: T</w:t>
      </w:r>
      <w:r w:rsidR="007D45AC" w:rsidRPr="009A0D10">
        <w:rPr>
          <w:rFonts w:ascii="Arial" w:hAnsi="Arial" w:cs="Arial"/>
          <w:bCs/>
          <w:iCs/>
        </w:rPr>
        <w:t>he report states, “</w:t>
      </w:r>
      <w:r w:rsidR="007D45AC" w:rsidRPr="009A0D10">
        <w:rPr>
          <w:rFonts w:ascii="Arial" w:hAnsi="Arial" w:cs="Arial"/>
        </w:rPr>
        <w:t xml:space="preserve">Currently in the US, there are three manufacturers that offer battery all-electric transit buses for sale: </w:t>
      </w:r>
      <w:proofErr w:type="spellStart"/>
      <w:r w:rsidR="007D45AC" w:rsidRPr="009A0D10">
        <w:rPr>
          <w:rFonts w:ascii="Arial" w:hAnsi="Arial" w:cs="Arial"/>
        </w:rPr>
        <w:t>Proterra</w:t>
      </w:r>
      <w:proofErr w:type="spellEnd"/>
      <w:r w:rsidR="007D45AC" w:rsidRPr="009A0D10">
        <w:rPr>
          <w:rFonts w:ascii="Arial" w:hAnsi="Arial" w:cs="Arial"/>
        </w:rPr>
        <w:t>; BYD; and New Flyer. Nova Bus</w:t>
      </w:r>
      <w:r w:rsidR="00971CAB">
        <w:rPr>
          <w:rFonts w:ascii="Arial" w:hAnsi="Arial" w:cs="Arial"/>
        </w:rPr>
        <w:t>’</w:t>
      </w:r>
      <w:r w:rsidR="007D45AC" w:rsidRPr="009A0D10">
        <w:rPr>
          <w:rFonts w:ascii="Arial" w:hAnsi="Arial" w:cs="Arial"/>
        </w:rPr>
        <w:t xml:space="preserve"> </w:t>
      </w:r>
      <w:proofErr w:type="spellStart"/>
      <w:r w:rsidR="007D45AC" w:rsidRPr="009A0D10">
        <w:rPr>
          <w:rFonts w:ascii="Arial" w:hAnsi="Arial" w:cs="Arial"/>
        </w:rPr>
        <w:t>LFSe</w:t>
      </w:r>
      <w:proofErr w:type="spellEnd"/>
      <w:r w:rsidR="007D45AC" w:rsidRPr="009A0D10">
        <w:rPr>
          <w:rFonts w:ascii="Arial" w:hAnsi="Arial" w:cs="Arial"/>
        </w:rPr>
        <w:t xml:space="preserve"> commercial model is now</w:t>
      </w:r>
      <w:r w:rsidR="00971CAB">
        <w:rPr>
          <w:rFonts w:ascii="Arial" w:hAnsi="Arial" w:cs="Arial"/>
        </w:rPr>
        <w:t xml:space="preserve"> ready to be demonstrated in</w:t>
      </w:r>
      <w:r w:rsidR="007D45AC" w:rsidRPr="009A0D10">
        <w:rPr>
          <w:rFonts w:ascii="Arial" w:hAnsi="Arial" w:cs="Arial"/>
        </w:rPr>
        <w:t xml:space="preserve"> Montreal</w:t>
      </w:r>
      <w:r w:rsidR="00971CAB">
        <w:rPr>
          <w:rFonts w:ascii="Arial" w:hAnsi="Arial" w:cs="Arial"/>
        </w:rPr>
        <w:t>, Canada.</w:t>
      </w:r>
      <w:r w:rsidR="007D45AC" w:rsidRPr="009A0D10">
        <w:rPr>
          <w:rFonts w:ascii="Arial" w:hAnsi="Arial" w:cs="Arial"/>
        </w:rPr>
        <w:t xml:space="preserve"> </w:t>
      </w:r>
      <w:r w:rsidR="002D7E7E">
        <w:rPr>
          <w:rFonts w:ascii="Arial" w:hAnsi="Arial" w:cs="Arial"/>
        </w:rPr>
        <w:t xml:space="preserve">Nova bus is </w:t>
      </w:r>
      <w:r w:rsidR="007D45AC" w:rsidRPr="009A0D10">
        <w:rPr>
          <w:rFonts w:ascii="Arial" w:hAnsi="Arial" w:cs="Arial"/>
        </w:rPr>
        <w:t xml:space="preserve">a division of the Volvo Group, </w:t>
      </w:r>
      <w:r w:rsidR="002D7E7E">
        <w:rPr>
          <w:rFonts w:ascii="Arial" w:hAnsi="Arial" w:cs="Arial"/>
        </w:rPr>
        <w:t xml:space="preserve">which </w:t>
      </w:r>
      <w:r w:rsidR="007D45AC" w:rsidRPr="009A0D10">
        <w:rPr>
          <w:rFonts w:ascii="Arial" w:hAnsi="Arial" w:cs="Arial"/>
        </w:rPr>
        <w:t xml:space="preserve">is engaged in a joint </w:t>
      </w:r>
      <w:r w:rsidR="002D7E7E">
        <w:rPr>
          <w:rFonts w:ascii="Arial" w:hAnsi="Arial" w:cs="Arial"/>
        </w:rPr>
        <w:t xml:space="preserve">bus </w:t>
      </w:r>
      <w:r w:rsidR="007D45AC" w:rsidRPr="009A0D10">
        <w:rPr>
          <w:rFonts w:ascii="Arial" w:hAnsi="Arial" w:cs="Arial"/>
        </w:rPr>
        <w:t xml:space="preserve">project with </w:t>
      </w:r>
      <w:r w:rsidR="00190188">
        <w:rPr>
          <w:rFonts w:ascii="Arial" w:hAnsi="Arial" w:cs="Arial"/>
        </w:rPr>
        <w:t>nine</w:t>
      </w:r>
      <w:r w:rsidR="007D45AC" w:rsidRPr="009A0D10">
        <w:rPr>
          <w:rFonts w:ascii="Arial" w:hAnsi="Arial" w:cs="Arial"/>
        </w:rPr>
        <w:t xml:space="preserve"> cities around the world using electric or electric-hybrid technologies. Montréal is the first North American city to participate in the project </w:t>
      </w:r>
      <w:r w:rsidR="007D45AC" w:rsidRPr="009A0D10">
        <w:rPr>
          <w:rFonts w:ascii="Arial" w:hAnsi="Arial" w:cs="Arial"/>
        </w:rPr>
        <w:lastRenderedPageBreak/>
        <w:t>and will install two quick-recharging stations along the route taken by the STM’s 36 – Monk bus line in order to put three fully</w:t>
      </w:r>
      <w:r w:rsidR="00190188">
        <w:rPr>
          <w:rFonts w:ascii="Arial" w:hAnsi="Arial" w:cs="Arial"/>
        </w:rPr>
        <w:t xml:space="preserve"> </w:t>
      </w:r>
      <w:r w:rsidR="007D45AC" w:rsidRPr="009A0D10">
        <w:rPr>
          <w:rFonts w:ascii="Arial" w:hAnsi="Arial" w:cs="Arial"/>
        </w:rPr>
        <w:t>electric Nova </w:t>
      </w:r>
      <w:proofErr w:type="spellStart"/>
      <w:r w:rsidR="007D45AC" w:rsidRPr="009A0D10">
        <w:rPr>
          <w:rFonts w:ascii="Arial" w:hAnsi="Arial" w:cs="Arial"/>
        </w:rPr>
        <w:t>LFSe</w:t>
      </w:r>
      <w:proofErr w:type="spellEnd"/>
      <w:r w:rsidR="007D45AC" w:rsidRPr="009A0D10">
        <w:rPr>
          <w:rFonts w:ascii="Arial" w:hAnsi="Arial" w:cs="Arial"/>
        </w:rPr>
        <w:t xml:space="preserve"> buses into passenger service. </w:t>
      </w:r>
    </w:p>
    <w:p w:rsidR="007D45AC" w:rsidRPr="009A0D10" w:rsidRDefault="007D45AC" w:rsidP="007D45AC">
      <w:pPr>
        <w:rPr>
          <w:rFonts w:ascii="Arial" w:hAnsi="Arial" w:cs="Arial"/>
        </w:rPr>
      </w:pPr>
    </w:p>
    <w:p w:rsidR="007D45AC" w:rsidRPr="009A0D10" w:rsidRDefault="00D37533" w:rsidP="007D45AC">
      <w:pPr>
        <w:rPr>
          <w:rFonts w:ascii="Arial" w:hAnsi="Arial" w:cs="Arial"/>
        </w:rPr>
      </w:pPr>
      <w:r>
        <w:rPr>
          <w:rFonts w:ascii="Arial" w:hAnsi="Arial" w:cs="Arial"/>
          <w:bCs/>
          <w:iCs/>
        </w:rPr>
        <w:t>Page IV-4:</w:t>
      </w:r>
      <w:r w:rsidR="007D45AC" w:rsidRPr="009A0D10">
        <w:rPr>
          <w:rFonts w:ascii="Arial" w:hAnsi="Arial" w:cs="Arial"/>
          <w:bCs/>
          <w:iCs/>
        </w:rPr>
        <w:t xml:space="preserve"> The report shows a Nova Bus, noting that it is not yet available for purchase.  This photo is not the actual </w:t>
      </w:r>
      <w:r w:rsidR="007D45AC" w:rsidRPr="009A0D10">
        <w:rPr>
          <w:rFonts w:ascii="Arial" w:hAnsi="Arial" w:cs="Arial"/>
        </w:rPr>
        <w:t xml:space="preserve">Nova Bus </w:t>
      </w:r>
      <w:proofErr w:type="spellStart"/>
      <w:r w:rsidR="007D45AC" w:rsidRPr="009A0D10">
        <w:rPr>
          <w:rFonts w:ascii="Arial" w:hAnsi="Arial" w:cs="Arial"/>
        </w:rPr>
        <w:t>LFSe</w:t>
      </w:r>
      <w:proofErr w:type="spellEnd"/>
      <w:r w:rsidR="00190188">
        <w:rPr>
          <w:rFonts w:ascii="Arial" w:hAnsi="Arial" w:cs="Arial"/>
        </w:rPr>
        <w:t>,</w:t>
      </w:r>
      <w:r w:rsidR="007D45AC" w:rsidRPr="009A0D10">
        <w:rPr>
          <w:rFonts w:ascii="Arial" w:hAnsi="Arial" w:cs="Arial"/>
        </w:rPr>
        <w:t xml:space="preserve"> and we would like to see it replaced with the picture provided along with these comments.  We would also like to note that the Nova Bus </w:t>
      </w:r>
      <w:proofErr w:type="spellStart"/>
      <w:r w:rsidR="007D45AC" w:rsidRPr="009A0D10">
        <w:rPr>
          <w:rFonts w:ascii="Arial" w:hAnsi="Arial" w:cs="Arial"/>
        </w:rPr>
        <w:t>LFSe</w:t>
      </w:r>
      <w:proofErr w:type="spellEnd"/>
      <w:r w:rsidR="007D45AC" w:rsidRPr="009A0D10">
        <w:rPr>
          <w:rFonts w:ascii="Arial" w:hAnsi="Arial" w:cs="Arial"/>
        </w:rPr>
        <w:t xml:space="preserve"> will begin testing at ALTOONA in the </w:t>
      </w:r>
      <w:r w:rsidR="00971CAB">
        <w:rPr>
          <w:rFonts w:ascii="Arial" w:hAnsi="Arial" w:cs="Arial"/>
        </w:rPr>
        <w:t>fall</w:t>
      </w:r>
      <w:r w:rsidR="00190188">
        <w:rPr>
          <w:rFonts w:ascii="Arial" w:hAnsi="Arial" w:cs="Arial"/>
        </w:rPr>
        <w:t xml:space="preserve"> </w:t>
      </w:r>
      <w:r w:rsidR="007D45AC" w:rsidRPr="009A0D10">
        <w:rPr>
          <w:rFonts w:ascii="Arial" w:hAnsi="Arial" w:cs="Arial"/>
        </w:rPr>
        <w:t>of 2016.</w:t>
      </w:r>
    </w:p>
    <w:p w:rsidR="00D37533" w:rsidRDefault="00D37533" w:rsidP="00D37533">
      <w:pPr>
        <w:rPr>
          <w:rFonts w:ascii="Arial" w:hAnsi="Arial" w:cs="Arial"/>
        </w:rPr>
      </w:pPr>
    </w:p>
    <w:p w:rsidR="00D37533" w:rsidRPr="00D37533" w:rsidRDefault="00D37533" w:rsidP="00D37533">
      <w:pPr>
        <w:rPr>
          <w:rFonts w:ascii="Arial" w:hAnsi="Arial" w:cs="Arial"/>
        </w:rPr>
      </w:pPr>
      <w:r w:rsidRPr="00D37533">
        <w:rPr>
          <w:rFonts w:ascii="Arial" w:hAnsi="Arial" w:cs="Arial"/>
        </w:rPr>
        <w:t>Pg.IV-5</w:t>
      </w:r>
      <w:r>
        <w:rPr>
          <w:rFonts w:ascii="Arial" w:hAnsi="Arial" w:cs="Arial"/>
        </w:rPr>
        <w:t>: T</w:t>
      </w:r>
      <w:r w:rsidRPr="00D37533">
        <w:rPr>
          <w:rFonts w:ascii="Arial" w:hAnsi="Arial" w:cs="Arial"/>
        </w:rPr>
        <w:t>he technology assessment states, “Note that the payback calculations do not include infrastructure costs, as these are highly variable and site-specific. Including these costs will increase the payback period; however, these costs are spread out over the fleet of electric buses, and are not on a per bus basis.”  Nova Bus would like to underline that a demonstration project with less than 10 buses doesn’t reflect the peak demand of a normal or large fleet of buses. As a result, it is important to remember that demonstration projects with less than 10 buses as a reference for evaluating potential costs and policy decisions relative to opportunity charging could be misleading.</w:t>
      </w:r>
    </w:p>
    <w:p w:rsidR="007D45AC" w:rsidRPr="009A0D10" w:rsidRDefault="007D45AC" w:rsidP="007D45AC">
      <w:pPr>
        <w:rPr>
          <w:rFonts w:ascii="Arial" w:hAnsi="Arial" w:cs="Arial"/>
        </w:rPr>
      </w:pPr>
    </w:p>
    <w:p w:rsidR="007D45AC" w:rsidRPr="009A0D10" w:rsidRDefault="007D45AC" w:rsidP="007D45AC">
      <w:pPr>
        <w:rPr>
          <w:rFonts w:ascii="Arial" w:hAnsi="Arial" w:cs="Arial"/>
        </w:rPr>
      </w:pPr>
      <w:proofErr w:type="gramStart"/>
      <w:r w:rsidRPr="009A0D10">
        <w:rPr>
          <w:rFonts w:ascii="Arial" w:hAnsi="Arial" w:cs="Arial"/>
        </w:rPr>
        <w:t>Page IV-6.</w:t>
      </w:r>
      <w:proofErr w:type="gramEnd"/>
      <w:r w:rsidRPr="009A0D10">
        <w:rPr>
          <w:rFonts w:ascii="Arial" w:hAnsi="Arial" w:cs="Arial"/>
        </w:rPr>
        <w:t xml:space="preserve">  We request that the Nova Bus </w:t>
      </w:r>
      <w:proofErr w:type="spellStart"/>
      <w:r w:rsidRPr="009A0D10">
        <w:rPr>
          <w:rFonts w:ascii="Arial" w:hAnsi="Arial" w:cs="Arial"/>
        </w:rPr>
        <w:t>LFSe</w:t>
      </w:r>
      <w:proofErr w:type="spellEnd"/>
      <w:r w:rsidRPr="009A0D10">
        <w:rPr>
          <w:rFonts w:ascii="Arial" w:hAnsi="Arial" w:cs="Arial"/>
        </w:rPr>
        <w:t xml:space="preserve"> specs be included in the chart presented in the report.</w:t>
      </w:r>
    </w:p>
    <w:p w:rsidR="007D45AC" w:rsidRPr="009A0D10" w:rsidRDefault="007D45AC" w:rsidP="007D45AC">
      <w:pPr>
        <w:rPr>
          <w:rFonts w:ascii="Arial" w:hAnsi="Arial" w:cs="Arial"/>
        </w:rPr>
      </w:pPr>
    </w:p>
    <w:tbl>
      <w:tblPr>
        <w:tblW w:w="5620" w:type="dxa"/>
        <w:jc w:val="center"/>
        <w:tblInd w:w="-15" w:type="dxa"/>
        <w:tblCellMar>
          <w:left w:w="0" w:type="dxa"/>
          <w:right w:w="0" w:type="dxa"/>
        </w:tblCellMar>
        <w:tblLook w:val="04A0" w:firstRow="1" w:lastRow="0" w:firstColumn="1" w:lastColumn="0" w:noHBand="0" w:noVBand="1"/>
      </w:tblPr>
      <w:tblGrid>
        <w:gridCol w:w="2320"/>
        <w:gridCol w:w="3300"/>
      </w:tblGrid>
      <w:tr w:rsidR="007D45AC" w:rsidRPr="0044062C" w:rsidTr="00BA795F">
        <w:trPr>
          <w:trHeight w:val="300"/>
          <w:jc w:val="center"/>
        </w:trPr>
        <w:tc>
          <w:tcPr>
            <w:tcW w:w="2320" w:type="dxa"/>
            <w:tcBorders>
              <w:top w:val="single" w:sz="8" w:space="0" w:color="auto"/>
              <w:left w:val="single" w:sz="8" w:space="0" w:color="auto"/>
              <w:bottom w:val="single" w:sz="8" w:space="0" w:color="auto"/>
              <w:right w:val="single" w:sz="8" w:space="0" w:color="auto"/>
            </w:tcBorders>
            <w:shd w:val="clear" w:color="auto" w:fill="43CEE1"/>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b/>
                <w:bCs/>
              </w:rPr>
            </w:pPr>
            <w:r w:rsidRPr="0044062C">
              <w:rPr>
                <w:rFonts w:ascii="Arial Narrow" w:hAnsi="Arial Narrow"/>
                <w:b/>
                <w:bCs/>
              </w:rPr>
              <w:t>Make</w:t>
            </w:r>
          </w:p>
        </w:tc>
        <w:tc>
          <w:tcPr>
            <w:tcW w:w="33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 xml:space="preserve">Nova Bus </w:t>
            </w:r>
            <w:proofErr w:type="spellStart"/>
            <w:r w:rsidRPr="0044062C">
              <w:rPr>
                <w:rFonts w:ascii="Arial Narrow" w:hAnsi="Arial Narrow"/>
              </w:rPr>
              <w:t>LFSe</w:t>
            </w:r>
            <w:proofErr w:type="spellEnd"/>
          </w:p>
        </w:tc>
      </w:tr>
      <w:tr w:rsidR="007D45AC" w:rsidRPr="0044062C" w:rsidTr="00BA795F">
        <w:trPr>
          <w:trHeight w:val="300"/>
          <w:jc w:val="center"/>
        </w:trPr>
        <w:tc>
          <w:tcPr>
            <w:tcW w:w="2320" w:type="dxa"/>
            <w:tcBorders>
              <w:top w:val="nil"/>
              <w:left w:val="single" w:sz="8" w:space="0" w:color="auto"/>
              <w:bottom w:val="single" w:sz="8" w:space="0" w:color="auto"/>
              <w:right w:val="single" w:sz="8" w:space="0" w:color="auto"/>
            </w:tcBorders>
            <w:shd w:val="clear" w:color="auto" w:fill="CDF2F7"/>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Model</w:t>
            </w:r>
          </w:p>
        </w:tc>
        <w:tc>
          <w:tcPr>
            <w:tcW w:w="3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40 foot</w:t>
            </w:r>
          </w:p>
        </w:tc>
      </w:tr>
      <w:tr w:rsidR="007D45AC" w:rsidRPr="0044062C" w:rsidTr="00BA795F">
        <w:trPr>
          <w:trHeight w:val="300"/>
          <w:jc w:val="center"/>
        </w:trPr>
        <w:tc>
          <w:tcPr>
            <w:tcW w:w="2320" w:type="dxa"/>
            <w:tcBorders>
              <w:top w:val="nil"/>
              <w:left w:val="single" w:sz="8" w:space="0" w:color="auto"/>
              <w:bottom w:val="single" w:sz="8" w:space="0" w:color="auto"/>
              <w:right w:val="single" w:sz="8" w:space="0" w:color="auto"/>
            </w:tcBorders>
            <w:shd w:val="clear" w:color="auto" w:fill="BCDFF6"/>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Price</w:t>
            </w:r>
          </w:p>
        </w:tc>
        <w:tc>
          <w:tcPr>
            <w:tcW w:w="3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Not available</w:t>
            </w:r>
          </w:p>
        </w:tc>
      </w:tr>
      <w:tr w:rsidR="007D45AC" w:rsidRPr="0044062C" w:rsidTr="00BA795F">
        <w:trPr>
          <w:trHeight w:val="300"/>
          <w:jc w:val="center"/>
        </w:trPr>
        <w:tc>
          <w:tcPr>
            <w:tcW w:w="2320" w:type="dxa"/>
            <w:tcBorders>
              <w:top w:val="nil"/>
              <w:left w:val="single" w:sz="8" w:space="0" w:color="auto"/>
              <w:bottom w:val="single" w:sz="8" w:space="0" w:color="auto"/>
              <w:right w:val="single" w:sz="8" w:space="0" w:color="auto"/>
            </w:tcBorders>
            <w:shd w:val="clear" w:color="auto" w:fill="CDF2F7"/>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Battery size (kWh)</w:t>
            </w:r>
          </w:p>
        </w:tc>
        <w:tc>
          <w:tcPr>
            <w:tcW w:w="3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76</w:t>
            </w:r>
          </w:p>
        </w:tc>
      </w:tr>
      <w:tr w:rsidR="007D45AC" w:rsidRPr="0044062C" w:rsidTr="00BA795F">
        <w:trPr>
          <w:trHeight w:val="300"/>
          <w:jc w:val="center"/>
        </w:trPr>
        <w:tc>
          <w:tcPr>
            <w:tcW w:w="2320" w:type="dxa"/>
            <w:tcBorders>
              <w:top w:val="nil"/>
              <w:left w:val="single" w:sz="8" w:space="0" w:color="auto"/>
              <w:bottom w:val="single" w:sz="8" w:space="0" w:color="auto"/>
              <w:right w:val="single" w:sz="8" w:space="0" w:color="auto"/>
            </w:tcBorders>
            <w:shd w:val="clear" w:color="auto" w:fill="BCDFF6"/>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Motor (kW)</w:t>
            </w:r>
          </w:p>
        </w:tc>
        <w:tc>
          <w:tcPr>
            <w:tcW w:w="3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230</w:t>
            </w:r>
          </w:p>
        </w:tc>
      </w:tr>
      <w:tr w:rsidR="007D45AC" w:rsidRPr="0044062C" w:rsidTr="00BA795F">
        <w:trPr>
          <w:trHeight w:val="300"/>
          <w:jc w:val="center"/>
        </w:trPr>
        <w:tc>
          <w:tcPr>
            <w:tcW w:w="2320" w:type="dxa"/>
            <w:tcBorders>
              <w:top w:val="nil"/>
              <w:left w:val="single" w:sz="8" w:space="0" w:color="auto"/>
              <w:bottom w:val="single" w:sz="8" w:space="0" w:color="auto"/>
              <w:right w:val="single" w:sz="8" w:space="0" w:color="auto"/>
            </w:tcBorders>
            <w:shd w:val="clear" w:color="auto" w:fill="CDF2F7"/>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Charge Time</w:t>
            </w:r>
          </w:p>
        </w:tc>
        <w:tc>
          <w:tcPr>
            <w:tcW w:w="3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&lt; 6 minutes</w:t>
            </w:r>
          </w:p>
        </w:tc>
      </w:tr>
      <w:tr w:rsidR="007D45AC" w:rsidRPr="0044062C" w:rsidTr="00BA795F">
        <w:trPr>
          <w:trHeight w:val="300"/>
          <w:jc w:val="center"/>
        </w:trPr>
        <w:tc>
          <w:tcPr>
            <w:tcW w:w="2320" w:type="dxa"/>
            <w:tcBorders>
              <w:top w:val="nil"/>
              <w:left w:val="single" w:sz="8" w:space="0" w:color="auto"/>
              <w:bottom w:val="single" w:sz="8" w:space="0" w:color="auto"/>
              <w:right w:val="single" w:sz="8" w:space="0" w:color="auto"/>
            </w:tcBorders>
            <w:shd w:val="clear" w:color="auto" w:fill="BCDFF6"/>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Range on Single Charge</w:t>
            </w:r>
          </w:p>
        </w:tc>
        <w:tc>
          <w:tcPr>
            <w:tcW w:w="3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D45AC" w:rsidRPr="0044062C" w:rsidRDefault="007D45AC" w:rsidP="00BA795F">
            <w:pPr>
              <w:jc w:val="center"/>
              <w:rPr>
                <w:rFonts w:ascii="Arial Narrow" w:hAnsi="Arial Narrow"/>
              </w:rPr>
            </w:pPr>
            <w:r w:rsidRPr="0044062C">
              <w:rPr>
                <w:rFonts w:ascii="Arial Narrow" w:hAnsi="Arial Narrow"/>
              </w:rPr>
              <w:t xml:space="preserve">15 miles* for end of life batteries </w:t>
            </w:r>
          </w:p>
        </w:tc>
      </w:tr>
    </w:tbl>
    <w:p w:rsidR="007D45AC" w:rsidRDefault="007D45AC" w:rsidP="007D45AC">
      <w:pPr>
        <w:rPr>
          <w:rFonts w:ascii="Arial" w:hAnsi="Arial" w:cs="Arial"/>
        </w:rPr>
      </w:pPr>
    </w:p>
    <w:p w:rsidR="00B5767F" w:rsidRPr="00D37533" w:rsidRDefault="00B5767F" w:rsidP="000830E4">
      <w:pPr>
        <w:rPr>
          <w:rFonts w:ascii="Arial" w:hAnsi="Arial" w:cs="Arial"/>
        </w:rPr>
      </w:pPr>
    </w:p>
    <w:p w:rsidR="00971CAB" w:rsidRPr="00971CAB" w:rsidRDefault="00971CAB" w:rsidP="000830E4">
      <w:pPr>
        <w:rPr>
          <w:rFonts w:ascii="Arial" w:hAnsi="Arial" w:cs="Arial"/>
        </w:rPr>
      </w:pPr>
    </w:p>
    <w:p w:rsidR="00A13208" w:rsidRPr="00D37533" w:rsidRDefault="00D37533" w:rsidP="00A13208">
      <w:pPr>
        <w:rPr>
          <w:rFonts w:ascii="Arial" w:hAnsi="Arial" w:cs="Arial"/>
          <w:b/>
          <w:u w:val="single"/>
        </w:rPr>
      </w:pPr>
      <w:r w:rsidRPr="00D37533">
        <w:rPr>
          <w:rFonts w:ascii="Arial" w:hAnsi="Arial" w:cs="Arial"/>
          <w:b/>
          <w:u w:val="single"/>
        </w:rPr>
        <w:t>Closing C</w:t>
      </w:r>
      <w:r w:rsidR="00A13208" w:rsidRPr="00D37533">
        <w:rPr>
          <w:rFonts w:ascii="Arial" w:hAnsi="Arial" w:cs="Arial"/>
          <w:b/>
          <w:u w:val="single"/>
        </w:rPr>
        <w:t>omments</w:t>
      </w:r>
    </w:p>
    <w:p w:rsidR="00D37533" w:rsidRDefault="00D37533" w:rsidP="00A13208">
      <w:pPr>
        <w:rPr>
          <w:rFonts w:ascii="Arial" w:hAnsi="Arial" w:cs="Arial"/>
        </w:rPr>
      </w:pPr>
    </w:p>
    <w:p w:rsidR="00A13208" w:rsidRDefault="00A13208" w:rsidP="00A13208">
      <w:pPr>
        <w:rPr>
          <w:rFonts w:ascii="Arial" w:hAnsi="Arial" w:cs="Arial"/>
        </w:rPr>
      </w:pPr>
      <w:r>
        <w:rPr>
          <w:rFonts w:ascii="Arial" w:hAnsi="Arial" w:cs="Arial"/>
        </w:rPr>
        <w:t>T</w:t>
      </w:r>
      <w:r w:rsidRPr="00EC6C93">
        <w:rPr>
          <w:rFonts w:ascii="Arial" w:hAnsi="Arial" w:cs="Arial"/>
        </w:rPr>
        <w:t xml:space="preserve">he heavy-duty sector is coming off a decade of dramatic improvements </w:t>
      </w:r>
      <w:r>
        <w:rPr>
          <w:rFonts w:ascii="Arial" w:hAnsi="Arial" w:cs="Arial"/>
        </w:rPr>
        <w:t>in tr</w:t>
      </w:r>
      <w:r w:rsidRPr="00EC6C93">
        <w:rPr>
          <w:rFonts w:ascii="Arial" w:hAnsi="Arial" w:cs="Arial"/>
        </w:rPr>
        <w:t>aditional</w:t>
      </w:r>
      <w:r>
        <w:rPr>
          <w:rFonts w:ascii="Arial" w:hAnsi="Arial" w:cs="Arial"/>
        </w:rPr>
        <w:t xml:space="preserve"> diesel</w:t>
      </w:r>
      <w:r w:rsidRPr="00EC6C93">
        <w:rPr>
          <w:rFonts w:ascii="Arial" w:hAnsi="Arial" w:cs="Arial"/>
        </w:rPr>
        <w:t xml:space="preserve"> engine technology. While advances have been significant, there also has been a learning curve </w:t>
      </w:r>
      <w:r>
        <w:rPr>
          <w:rFonts w:ascii="Arial" w:hAnsi="Arial" w:cs="Arial"/>
        </w:rPr>
        <w:t xml:space="preserve">associated with </w:t>
      </w:r>
      <w:r w:rsidRPr="00EC6C93">
        <w:rPr>
          <w:rFonts w:ascii="Arial" w:hAnsi="Arial" w:cs="Arial"/>
        </w:rPr>
        <w:t>the integration of these new technologies. In fact, th</w:t>
      </w:r>
      <w:r>
        <w:rPr>
          <w:rFonts w:ascii="Arial" w:hAnsi="Arial" w:cs="Arial"/>
        </w:rPr>
        <w:t>e</w:t>
      </w:r>
      <w:r w:rsidRPr="00EC6C93">
        <w:rPr>
          <w:rFonts w:ascii="Arial" w:hAnsi="Arial" w:cs="Arial"/>
        </w:rPr>
        <w:t xml:space="preserve">se technologies are still </w:t>
      </w:r>
      <w:r>
        <w:rPr>
          <w:rFonts w:ascii="Arial" w:hAnsi="Arial" w:cs="Arial"/>
        </w:rPr>
        <w:t xml:space="preserve">striving to attain full acceptance </w:t>
      </w:r>
      <w:r>
        <w:rPr>
          <w:rFonts w:ascii="Arial" w:hAnsi="Arial" w:cs="Arial"/>
        </w:rPr>
        <w:lastRenderedPageBreak/>
        <w:t xml:space="preserve">in the market. CARB’s </w:t>
      </w:r>
      <w:r w:rsidRPr="00EC6C93">
        <w:rPr>
          <w:rFonts w:ascii="Arial" w:hAnsi="Arial" w:cs="Arial"/>
        </w:rPr>
        <w:t>concern</w:t>
      </w:r>
      <w:r>
        <w:rPr>
          <w:rFonts w:ascii="Arial" w:hAnsi="Arial" w:cs="Arial"/>
        </w:rPr>
        <w:t xml:space="preserve">s expressed in various venues </w:t>
      </w:r>
      <w:r w:rsidRPr="00EC6C93">
        <w:rPr>
          <w:rFonts w:ascii="Arial" w:hAnsi="Arial" w:cs="Arial"/>
        </w:rPr>
        <w:t>about durability and warranty issues are testament to the fact that this “learning curve” is ongoing.</w:t>
      </w:r>
    </w:p>
    <w:p w:rsidR="00A13208" w:rsidRPr="00F02045" w:rsidRDefault="00A13208" w:rsidP="00A13208"/>
    <w:p w:rsidR="00A13208" w:rsidRDefault="00A13208" w:rsidP="00A13208">
      <w:pPr>
        <w:rPr>
          <w:rFonts w:ascii="Arial" w:hAnsi="Arial" w:cs="Arial"/>
        </w:rPr>
      </w:pPr>
      <w:r>
        <w:rPr>
          <w:rFonts w:ascii="Arial" w:hAnsi="Arial" w:cs="Arial"/>
        </w:rPr>
        <w:t xml:space="preserve">Volvo fully agrees with CARB’s view expressed in other technology assessments that “heavy-duty diesel internal combustion engines will continue to play a major role in the passenger and freight transportation industry of the nation.”  Manufacturers will be heavily taxed to develop the high efficiency and low NOx technologies of the future. </w:t>
      </w:r>
    </w:p>
    <w:p w:rsidR="00A13208" w:rsidRDefault="00A13208" w:rsidP="00A13208">
      <w:pPr>
        <w:rPr>
          <w:rFonts w:ascii="Arial" w:hAnsi="Arial" w:cs="Arial"/>
        </w:rPr>
      </w:pPr>
    </w:p>
    <w:p w:rsidR="00A13208" w:rsidRDefault="00A13208" w:rsidP="00A13208">
      <w:pPr>
        <w:rPr>
          <w:rFonts w:ascii="Arial" w:hAnsi="Arial" w:cs="Arial"/>
        </w:rPr>
      </w:pPr>
      <w:r>
        <w:rPr>
          <w:rFonts w:ascii="Arial" w:hAnsi="Arial" w:cs="Arial"/>
        </w:rPr>
        <w:t>Development and deployment of battery electric vehicles adds an additional layer of engineering expense and complexity.  Missteps can lead to premature technology offerings of marginal interest to fleets and owner-operators, which will only serve to delay the implementation of the cleanest, most efficient technologies.</w:t>
      </w:r>
    </w:p>
    <w:p w:rsidR="009654E0" w:rsidRDefault="009654E0" w:rsidP="007A4637">
      <w:pPr>
        <w:rPr>
          <w:rFonts w:ascii="Arial" w:hAnsi="Arial" w:cs="Arial"/>
        </w:rPr>
      </w:pPr>
    </w:p>
    <w:p w:rsidR="00A13208" w:rsidRDefault="006755C5" w:rsidP="007A4637">
      <w:pPr>
        <w:rPr>
          <w:rFonts w:ascii="Arial" w:hAnsi="Arial" w:cs="Arial"/>
        </w:rPr>
      </w:pPr>
      <w:r>
        <w:rPr>
          <w:rFonts w:ascii="Arial" w:hAnsi="Arial" w:cs="Arial"/>
        </w:rPr>
        <w:t xml:space="preserve">Volvo continues to encourage CARB to implement available policy options that can bring significant reductions to NOx emissions without cost-prohibitive, time-consuming technology development, such as accelerating the pace of replacement of older, higher emitting vehicles.  </w:t>
      </w:r>
    </w:p>
    <w:p w:rsidR="00A13208" w:rsidRDefault="00A13208" w:rsidP="007A4637">
      <w:pPr>
        <w:rPr>
          <w:rFonts w:ascii="Arial" w:hAnsi="Arial" w:cs="Arial"/>
        </w:rPr>
      </w:pPr>
    </w:p>
    <w:p w:rsidR="00921D69" w:rsidRPr="009A0D10" w:rsidRDefault="006755C5" w:rsidP="00921D69">
      <w:pPr>
        <w:rPr>
          <w:rFonts w:ascii="Arial" w:hAnsi="Arial" w:cs="Arial"/>
          <w:highlight w:val="yellow"/>
        </w:rPr>
      </w:pPr>
      <w:r w:rsidRPr="00D37533">
        <w:rPr>
          <w:rFonts w:ascii="Arial" w:hAnsi="Arial" w:cs="Arial"/>
        </w:rPr>
        <w:t xml:space="preserve">Finally, </w:t>
      </w:r>
      <w:r w:rsidR="00460365">
        <w:rPr>
          <w:rFonts w:ascii="Arial" w:hAnsi="Arial" w:cs="Arial"/>
        </w:rPr>
        <w:t>o</w:t>
      </w:r>
      <w:r w:rsidR="00921D69" w:rsidRPr="00D37533">
        <w:rPr>
          <w:rFonts w:ascii="Arial" w:hAnsi="Arial" w:cs="Arial"/>
        </w:rPr>
        <w:t xml:space="preserve">ther </w:t>
      </w:r>
      <w:r w:rsidR="005134D7">
        <w:rPr>
          <w:rFonts w:ascii="Arial" w:hAnsi="Arial" w:cs="Arial"/>
        </w:rPr>
        <w:t>policies and programs such as EPA’s GHG Phase II program and the U</w:t>
      </w:r>
      <w:r w:rsidR="00190188">
        <w:rPr>
          <w:rFonts w:ascii="Arial" w:hAnsi="Arial" w:cs="Arial"/>
        </w:rPr>
        <w:t>.</w:t>
      </w:r>
      <w:r w:rsidR="005134D7">
        <w:rPr>
          <w:rFonts w:ascii="Arial" w:hAnsi="Arial" w:cs="Arial"/>
        </w:rPr>
        <w:t>S</w:t>
      </w:r>
      <w:r w:rsidR="00190188">
        <w:rPr>
          <w:rFonts w:ascii="Arial" w:hAnsi="Arial" w:cs="Arial"/>
        </w:rPr>
        <w:t>.</w:t>
      </w:r>
      <w:r w:rsidR="005134D7">
        <w:rPr>
          <w:rFonts w:ascii="Arial" w:hAnsi="Arial" w:cs="Arial"/>
        </w:rPr>
        <w:t xml:space="preserve"> Department of Energy’s </w:t>
      </w:r>
      <w:proofErr w:type="spellStart"/>
      <w:r w:rsidR="005134D7">
        <w:rPr>
          <w:rFonts w:ascii="Arial" w:hAnsi="Arial" w:cs="Arial"/>
        </w:rPr>
        <w:t>SuperTruck</w:t>
      </w:r>
      <w:proofErr w:type="spellEnd"/>
      <w:r w:rsidR="005134D7">
        <w:rPr>
          <w:rFonts w:ascii="Arial" w:hAnsi="Arial" w:cs="Arial"/>
        </w:rPr>
        <w:t xml:space="preserve"> program are leading to </w:t>
      </w:r>
      <w:r w:rsidR="00921D69" w:rsidRPr="00D37533">
        <w:rPr>
          <w:rFonts w:ascii="Arial" w:hAnsi="Arial" w:cs="Arial"/>
        </w:rPr>
        <w:t xml:space="preserve">continued advances in current technology </w:t>
      </w:r>
      <w:r w:rsidR="005134D7">
        <w:rPr>
          <w:rFonts w:ascii="Arial" w:hAnsi="Arial" w:cs="Arial"/>
        </w:rPr>
        <w:t>to improve vehicle efficiencies and environmental performance</w:t>
      </w:r>
    </w:p>
    <w:p w:rsidR="00921D69" w:rsidRPr="009A0D10" w:rsidRDefault="00921D69" w:rsidP="00921D69">
      <w:pPr>
        <w:rPr>
          <w:rFonts w:ascii="Arial" w:hAnsi="Arial" w:cs="Arial"/>
          <w:highlight w:val="yellow"/>
        </w:rPr>
      </w:pPr>
    </w:p>
    <w:p w:rsidR="00921D69" w:rsidRDefault="00921D69" w:rsidP="00921D69">
      <w:pPr>
        <w:rPr>
          <w:rFonts w:ascii="Arial" w:hAnsi="Arial" w:cs="Arial"/>
        </w:rPr>
      </w:pPr>
      <w:r w:rsidRPr="00D37533">
        <w:rPr>
          <w:rFonts w:ascii="Arial" w:hAnsi="Arial" w:cs="Arial"/>
        </w:rPr>
        <w:t xml:space="preserve">Those aforementioned “other </w:t>
      </w:r>
      <w:r w:rsidR="002230D1" w:rsidRPr="00D37533">
        <w:rPr>
          <w:rFonts w:ascii="Arial" w:hAnsi="Arial" w:cs="Arial"/>
        </w:rPr>
        <w:t xml:space="preserve">policies and </w:t>
      </w:r>
      <w:r w:rsidRPr="00D37533">
        <w:rPr>
          <w:rFonts w:ascii="Arial" w:hAnsi="Arial" w:cs="Arial"/>
        </w:rPr>
        <w:t xml:space="preserve">programs” create a substantial workload at most OEMs </w:t>
      </w:r>
      <w:r w:rsidR="002230D1" w:rsidRPr="00D37533">
        <w:rPr>
          <w:rFonts w:ascii="Arial" w:hAnsi="Arial" w:cs="Arial"/>
        </w:rPr>
        <w:t xml:space="preserve">which inhibits their ability to develop specific technologies </w:t>
      </w:r>
      <w:r w:rsidR="00190188">
        <w:rPr>
          <w:rFonts w:ascii="Arial" w:hAnsi="Arial" w:cs="Arial"/>
        </w:rPr>
        <w:t xml:space="preserve">that </w:t>
      </w:r>
      <w:r w:rsidR="002230D1" w:rsidRPr="00D37533">
        <w:rPr>
          <w:rFonts w:ascii="Arial" w:hAnsi="Arial" w:cs="Arial"/>
        </w:rPr>
        <w:t xml:space="preserve">may </w:t>
      </w:r>
      <w:r w:rsidR="004E244A" w:rsidRPr="00D37533">
        <w:rPr>
          <w:rFonts w:ascii="Arial" w:hAnsi="Arial" w:cs="Arial"/>
        </w:rPr>
        <w:t xml:space="preserve">not </w:t>
      </w:r>
      <w:r w:rsidR="002230D1" w:rsidRPr="00D37533">
        <w:rPr>
          <w:rFonts w:ascii="Arial" w:hAnsi="Arial" w:cs="Arial"/>
        </w:rPr>
        <w:t>be seen as a priority to achieving those goals.</w:t>
      </w:r>
    </w:p>
    <w:p w:rsidR="00921D69" w:rsidRDefault="00921D69" w:rsidP="00921D69">
      <w:pPr>
        <w:rPr>
          <w:rFonts w:ascii="Arial" w:hAnsi="Arial" w:cs="Arial"/>
        </w:rPr>
      </w:pPr>
    </w:p>
    <w:p w:rsidR="00921D69" w:rsidRDefault="00921D69" w:rsidP="00921D69">
      <w:pPr>
        <w:rPr>
          <w:rFonts w:ascii="Arial" w:hAnsi="Arial" w:cs="Arial"/>
          <w:b/>
        </w:rPr>
      </w:pPr>
    </w:p>
    <w:p w:rsidR="00921D69" w:rsidRPr="00EC6C93" w:rsidRDefault="00921D69" w:rsidP="007A4637">
      <w:pPr>
        <w:rPr>
          <w:rFonts w:ascii="Arial" w:hAnsi="Arial" w:cs="Arial"/>
        </w:rPr>
      </w:pPr>
    </w:p>
    <w:sectPr w:rsidR="00921D69" w:rsidRPr="00EC6C93" w:rsidSect="001F1491">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6ED" w:rsidRDefault="003336ED">
      <w:r>
        <w:separator/>
      </w:r>
    </w:p>
  </w:endnote>
  <w:endnote w:type="continuationSeparator" w:id="0">
    <w:p w:rsidR="003336ED" w:rsidRDefault="00333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olvoSansLight">
    <w:altName w:val="Tw Cen MT Condensed Extra Bold"/>
    <w:charset w:val="00"/>
    <w:family w:val="auto"/>
    <w:pitch w:val="variable"/>
    <w:sig w:usb0="00000003" w:usb1="00000000" w:usb2="00000000" w:usb3="00000000" w:csb0="00000001" w:csb1="00000000"/>
  </w:font>
  <w:font w:name="VolvoSans">
    <w:altName w:val="Agency FB"/>
    <w:charset w:val="00"/>
    <w:family w:val="auto"/>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olvo Sans Pro Light">
    <w:altName w:val="Arial"/>
    <w:panose1 w:val="00000000000000000000"/>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184981720"/>
      <w:docPartObj>
        <w:docPartGallery w:val="Page Numbers (Bottom of Page)"/>
        <w:docPartUnique/>
      </w:docPartObj>
    </w:sdtPr>
    <w:sdtEndPr/>
    <w:sdtContent>
      <w:sdt>
        <w:sdtPr>
          <w:rPr>
            <w:rFonts w:ascii="Arial" w:hAnsi="Arial" w:cs="Arial"/>
            <w:sz w:val="20"/>
            <w:szCs w:val="20"/>
          </w:rPr>
          <w:id w:val="565050477"/>
          <w:docPartObj>
            <w:docPartGallery w:val="Page Numbers (Top of Page)"/>
            <w:docPartUnique/>
          </w:docPartObj>
        </w:sdtPr>
        <w:sdtEndPr/>
        <w:sdtContent>
          <w:p w:rsidR="007B6937" w:rsidRPr="00E47213" w:rsidRDefault="007B6937">
            <w:pPr>
              <w:pStyle w:val="Footer"/>
              <w:jc w:val="center"/>
              <w:rPr>
                <w:rFonts w:ascii="Arial" w:hAnsi="Arial" w:cs="Arial"/>
                <w:sz w:val="20"/>
                <w:szCs w:val="20"/>
              </w:rPr>
            </w:pPr>
            <w:r w:rsidRPr="00E47213">
              <w:rPr>
                <w:rFonts w:ascii="Arial" w:hAnsi="Arial" w:cs="Arial"/>
                <w:sz w:val="20"/>
                <w:szCs w:val="20"/>
              </w:rPr>
              <w:t xml:space="preserve">Page </w:t>
            </w:r>
            <w:r w:rsidRPr="00E47213">
              <w:rPr>
                <w:rFonts w:ascii="Arial" w:hAnsi="Arial" w:cs="Arial"/>
                <w:b/>
                <w:sz w:val="20"/>
                <w:szCs w:val="20"/>
              </w:rPr>
              <w:fldChar w:fldCharType="begin"/>
            </w:r>
            <w:r w:rsidRPr="00E47213">
              <w:rPr>
                <w:rFonts w:ascii="Arial" w:hAnsi="Arial" w:cs="Arial"/>
                <w:b/>
                <w:sz w:val="20"/>
                <w:szCs w:val="20"/>
              </w:rPr>
              <w:instrText xml:space="preserve"> PAGE </w:instrText>
            </w:r>
            <w:r w:rsidRPr="00E47213">
              <w:rPr>
                <w:rFonts w:ascii="Arial" w:hAnsi="Arial" w:cs="Arial"/>
                <w:b/>
                <w:sz w:val="20"/>
                <w:szCs w:val="20"/>
              </w:rPr>
              <w:fldChar w:fldCharType="separate"/>
            </w:r>
            <w:r w:rsidR="009B4D85">
              <w:rPr>
                <w:rFonts w:ascii="Arial" w:hAnsi="Arial" w:cs="Arial"/>
                <w:b/>
                <w:noProof/>
                <w:sz w:val="20"/>
                <w:szCs w:val="20"/>
              </w:rPr>
              <w:t>10</w:t>
            </w:r>
            <w:r w:rsidRPr="00E47213">
              <w:rPr>
                <w:rFonts w:ascii="Arial" w:hAnsi="Arial" w:cs="Arial"/>
                <w:b/>
                <w:sz w:val="20"/>
                <w:szCs w:val="20"/>
              </w:rPr>
              <w:fldChar w:fldCharType="end"/>
            </w:r>
            <w:r w:rsidRPr="00E47213">
              <w:rPr>
                <w:rFonts w:ascii="Arial" w:hAnsi="Arial" w:cs="Arial"/>
                <w:sz w:val="20"/>
                <w:szCs w:val="20"/>
              </w:rPr>
              <w:t xml:space="preserve"> of </w:t>
            </w:r>
            <w:r w:rsidRPr="00E47213">
              <w:rPr>
                <w:rFonts w:ascii="Arial" w:hAnsi="Arial" w:cs="Arial"/>
                <w:b/>
                <w:sz w:val="20"/>
                <w:szCs w:val="20"/>
              </w:rPr>
              <w:fldChar w:fldCharType="begin"/>
            </w:r>
            <w:r w:rsidRPr="00E47213">
              <w:rPr>
                <w:rFonts w:ascii="Arial" w:hAnsi="Arial" w:cs="Arial"/>
                <w:b/>
                <w:sz w:val="20"/>
                <w:szCs w:val="20"/>
              </w:rPr>
              <w:instrText xml:space="preserve"> NUMPAGES  </w:instrText>
            </w:r>
            <w:r w:rsidRPr="00E47213">
              <w:rPr>
                <w:rFonts w:ascii="Arial" w:hAnsi="Arial" w:cs="Arial"/>
                <w:b/>
                <w:sz w:val="20"/>
                <w:szCs w:val="20"/>
              </w:rPr>
              <w:fldChar w:fldCharType="separate"/>
            </w:r>
            <w:r w:rsidR="009B4D85">
              <w:rPr>
                <w:rFonts w:ascii="Arial" w:hAnsi="Arial" w:cs="Arial"/>
                <w:b/>
                <w:noProof/>
                <w:sz w:val="20"/>
                <w:szCs w:val="20"/>
              </w:rPr>
              <w:t>10</w:t>
            </w:r>
            <w:r w:rsidRPr="00E47213">
              <w:rPr>
                <w:rFonts w:ascii="Arial" w:hAnsi="Arial" w:cs="Arial"/>
                <w:b/>
                <w:sz w:val="20"/>
                <w:szCs w:val="20"/>
              </w:rPr>
              <w:fldChar w:fldCharType="end"/>
            </w:r>
          </w:p>
        </w:sdtContent>
      </w:sdt>
    </w:sdtContent>
  </w:sdt>
  <w:p w:rsidR="00DB6D49" w:rsidRDefault="00DB6D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6ED" w:rsidRDefault="003336ED">
      <w:r>
        <w:separator/>
      </w:r>
    </w:p>
  </w:footnote>
  <w:footnote w:type="continuationSeparator" w:id="0">
    <w:p w:rsidR="003336ED" w:rsidRDefault="003336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D49" w:rsidRDefault="00DB6D49" w:rsidP="004F741D">
    <w:pPr>
      <w:tabs>
        <w:tab w:val="center" w:pos="4320"/>
        <w:tab w:val="right" w:pos="8640"/>
      </w:tabs>
    </w:pPr>
    <w:r>
      <w:tab/>
    </w:r>
    <w:r>
      <w:tab/>
    </w:r>
  </w:p>
  <w:p w:rsidR="00DB6D49" w:rsidRDefault="00DB6D49" w:rsidP="00894B90">
    <w:pPr>
      <w:spacing w:before="120" w:after="30"/>
      <w:jc w:val="center"/>
      <w:rPr>
        <w:rFonts w:ascii="Volvo Sans Pro Light" w:hAnsi="Volvo Sans Pro Light"/>
        <w:b/>
        <w:sz w:val="16"/>
        <w:szCs w:val="16"/>
      </w:rPr>
    </w:pPr>
    <w:r>
      <w:rPr>
        <w:rFonts w:ascii="Volvo Sans Pro Light" w:hAnsi="Volvo Sans Pro Light"/>
        <w:b/>
        <w:noProof/>
        <w:sz w:val="16"/>
        <w:szCs w:val="16"/>
      </w:rPr>
      <w:drawing>
        <wp:inline distT="0" distB="0" distL="0" distR="0">
          <wp:extent cx="2343150" cy="971550"/>
          <wp:effectExtent l="0" t="0" r="0" b="0"/>
          <wp:docPr id="1" name="Picture 1" descr="VG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GNA Logo"/>
                  <pic:cNvPicPr>
                    <a:picLocks noChangeAspect="1" noChangeArrowheads="1"/>
                  </pic:cNvPicPr>
                </pic:nvPicPr>
                <pic:blipFill>
                  <a:blip r:embed="rId1">
                    <a:extLst>
                      <a:ext uri="{28A0092B-C50C-407E-A947-70E740481C1C}">
                        <a14:useLocalDpi xmlns:a14="http://schemas.microsoft.com/office/drawing/2010/main" val="0"/>
                      </a:ext>
                    </a:extLst>
                  </a:blip>
                  <a:srcRect l="35591" t="42697" r="21701" b="34381"/>
                  <a:stretch>
                    <a:fillRect/>
                  </a:stretch>
                </pic:blipFill>
                <pic:spPr bwMode="auto">
                  <a:xfrm>
                    <a:off x="0" y="0"/>
                    <a:ext cx="2343150" cy="971550"/>
                  </a:xfrm>
                  <a:prstGeom prst="rect">
                    <a:avLst/>
                  </a:prstGeom>
                  <a:noFill/>
                  <a:ln>
                    <a:noFill/>
                  </a:ln>
                </pic:spPr>
              </pic:pic>
            </a:graphicData>
          </a:graphic>
        </wp:inline>
      </w:drawing>
    </w:r>
  </w:p>
  <w:p w:rsidR="00DB6D49" w:rsidRPr="00024900" w:rsidRDefault="00DB6D49" w:rsidP="00894B90">
    <w:pPr>
      <w:spacing w:before="120" w:after="30"/>
      <w:jc w:val="center"/>
      <w:rPr>
        <w:rFonts w:ascii="Volvo Sans Pro Light" w:hAnsi="Volvo Sans Pro Light"/>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25F62"/>
    <w:multiLevelType w:val="hybridMultilevel"/>
    <w:tmpl w:val="A524DC26"/>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2717E1"/>
    <w:multiLevelType w:val="hybridMultilevel"/>
    <w:tmpl w:val="DDCA3E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97E1D1D"/>
    <w:multiLevelType w:val="hybridMultilevel"/>
    <w:tmpl w:val="57001804"/>
    <w:lvl w:ilvl="0" w:tplc="B22A8C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C18362F"/>
    <w:multiLevelType w:val="hybridMultilevel"/>
    <w:tmpl w:val="3F204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2D1339"/>
    <w:multiLevelType w:val="hybridMultilevel"/>
    <w:tmpl w:val="09D8E69A"/>
    <w:lvl w:ilvl="0" w:tplc="FE40A84C">
      <w:start w:val="1"/>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E70123"/>
    <w:multiLevelType w:val="hybridMultilevel"/>
    <w:tmpl w:val="1B92339C"/>
    <w:lvl w:ilvl="0" w:tplc="40EE3B98">
      <w:start w:val="1"/>
      <w:numFmt w:val="low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603DEC"/>
    <w:multiLevelType w:val="hybridMultilevel"/>
    <w:tmpl w:val="18447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D134D4"/>
    <w:multiLevelType w:val="hybridMultilevel"/>
    <w:tmpl w:val="55120E58"/>
    <w:lvl w:ilvl="0" w:tplc="27AE96B0">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BF01D7"/>
    <w:multiLevelType w:val="hybridMultilevel"/>
    <w:tmpl w:val="3490022A"/>
    <w:lvl w:ilvl="0" w:tplc="D610C6C0">
      <w:start w:val="5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7"/>
  </w:num>
  <w:num w:numId="5">
    <w:abstractNumId w:val="6"/>
  </w:num>
  <w:num w:numId="6">
    <w:abstractNumId w:val="0"/>
  </w:num>
  <w:num w:numId="7">
    <w:abstractNumId w:val="2"/>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3E1"/>
    <w:rsid w:val="000034CA"/>
    <w:rsid w:val="000051ED"/>
    <w:rsid w:val="000145AB"/>
    <w:rsid w:val="000149BE"/>
    <w:rsid w:val="00022DDB"/>
    <w:rsid w:val="00024900"/>
    <w:rsid w:val="0003325B"/>
    <w:rsid w:val="00043719"/>
    <w:rsid w:val="00044305"/>
    <w:rsid w:val="0004775D"/>
    <w:rsid w:val="00050C63"/>
    <w:rsid w:val="00070413"/>
    <w:rsid w:val="0007074D"/>
    <w:rsid w:val="00072810"/>
    <w:rsid w:val="0008212B"/>
    <w:rsid w:val="00082971"/>
    <w:rsid w:val="000830E4"/>
    <w:rsid w:val="0008366A"/>
    <w:rsid w:val="0008399F"/>
    <w:rsid w:val="000868B5"/>
    <w:rsid w:val="000919F4"/>
    <w:rsid w:val="000A4781"/>
    <w:rsid w:val="000A685E"/>
    <w:rsid w:val="000B101A"/>
    <w:rsid w:val="000C34BA"/>
    <w:rsid w:val="000C458B"/>
    <w:rsid w:val="000D640A"/>
    <w:rsid w:val="000F653E"/>
    <w:rsid w:val="00102CA6"/>
    <w:rsid w:val="0010356D"/>
    <w:rsid w:val="0011140E"/>
    <w:rsid w:val="001147C7"/>
    <w:rsid w:val="001231C5"/>
    <w:rsid w:val="00133EB1"/>
    <w:rsid w:val="00186581"/>
    <w:rsid w:val="00186E53"/>
    <w:rsid w:val="00190188"/>
    <w:rsid w:val="00195568"/>
    <w:rsid w:val="001A58BF"/>
    <w:rsid w:val="001B0737"/>
    <w:rsid w:val="001D4378"/>
    <w:rsid w:val="001E3CC2"/>
    <w:rsid w:val="001F06EF"/>
    <w:rsid w:val="001F1491"/>
    <w:rsid w:val="001F2438"/>
    <w:rsid w:val="00212104"/>
    <w:rsid w:val="002230D1"/>
    <w:rsid w:val="002349A9"/>
    <w:rsid w:val="00253E4E"/>
    <w:rsid w:val="002603E2"/>
    <w:rsid w:val="00272146"/>
    <w:rsid w:val="0027240E"/>
    <w:rsid w:val="00274F41"/>
    <w:rsid w:val="00281446"/>
    <w:rsid w:val="00281AE6"/>
    <w:rsid w:val="002B1CE8"/>
    <w:rsid w:val="002D7E7E"/>
    <w:rsid w:val="002E03FF"/>
    <w:rsid w:val="002E7CA3"/>
    <w:rsid w:val="0030219E"/>
    <w:rsid w:val="00312865"/>
    <w:rsid w:val="003145C7"/>
    <w:rsid w:val="0033178E"/>
    <w:rsid w:val="003336ED"/>
    <w:rsid w:val="00337F09"/>
    <w:rsid w:val="003414C3"/>
    <w:rsid w:val="0035459C"/>
    <w:rsid w:val="00362253"/>
    <w:rsid w:val="003803AE"/>
    <w:rsid w:val="003D02F2"/>
    <w:rsid w:val="003E1237"/>
    <w:rsid w:val="003E4210"/>
    <w:rsid w:val="003E64A4"/>
    <w:rsid w:val="003E6E13"/>
    <w:rsid w:val="003F4367"/>
    <w:rsid w:val="004050F3"/>
    <w:rsid w:val="00421FB5"/>
    <w:rsid w:val="004347E0"/>
    <w:rsid w:val="00452E91"/>
    <w:rsid w:val="00456F91"/>
    <w:rsid w:val="00460365"/>
    <w:rsid w:val="004634A5"/>
    <w:rsid w:val="00471373"/>
    <w:rsid w:val="00474893"/>
    <w:rsid w:val="00475D1E"/>
    <w:rsid w:val="00485261"/>
    <w:rsid w:val="004869AA"/>
    <w:rsid w:val="004C5E90"/>
    <w:rsid w:val="004C64EB"/>
    <w:rsid w:val="004E244A"/>
    <w:rsid w:val="004F11DF"/>
    <w:rsid w:val="004F741D"/>
    <w:rsid w:val="00502817"/>
    <w:rsid w:val="00507312"/>
    <w:rsid w:val="0051163E"/>
    <w:rsid w:val="00512DEE"/>
    <w:rsid w:val="005134D7"/>
    <w:rsid w:val="00517C62"/>
    <w:rsid w:val="00530887"/>
    <w:rsid w:val="005422B9"/>
    <w:rsid w:val="005664DC"/>
    <w:rsid w:val="0057263A"/>
    <w:rsid w:val="00587F97"/>
    <w:rsid w:val="005B40F4"/>
    <w:rsid w:val="005C3F10"/>
    <w:rsid w:val="005D78D6"/>
    <w:rsid w:val="005E5E54"/>
    <w:rsid w:val="005F5D9D"/>
    <w:rsid w:val="006009BE"/>
    <w:rsid w:val="00605E03"/>
    <w:rsid w:val="006115FB"/>
    <w:rsid w:val="00612395"/>
    <w:rsid w:val="00620EFF"/>
    <w:rsid w:val="006245C1"/>
    <w:rsid w:val="006251C4"/>
    <w:rsid w:val="00627223"/>
    <w:rsid w:val="0064349C"/>
    <w:rsid w:val="00660629"/>
    <w:rsid w:val="00661937"/>
    <w:rsid w:val="006633E1"/>
    <w:rsid w:val="00666313"/>
    <w:rsid w:val="00666F1C"/>
    <w:rsid w:val="00670DC0"/>
    <w:rsid w:val="006755C5"/>
    <w:rsid w:val="006929BC"/>
    <w:rsid w:val="006A2D7C"/>
    <w:rsid w:val="006A42ED"/>
    <w:rsid w:val="006A7CC8"/>
    <w:rsid w:val="006C2C76"/>
    <w:rsid w:val="006C78B7"/>
    <w:rsid w:val="006E5E28"/>
    <w:rsid w:val="006F481B"/>
    <w:rsid w:val="006F78C1"/>
    <w:rsid w:val="00704D9D"/>
    <w:rsid w:val="00720CB5"/>
    <w:rsid w:val="00724097"/>
    <w:rsid w:val="00754023"/>
    <w:rsid w:val="00757B79"/>
    <w:rsid w:val="0077791C"/>
    <w:rsid w:val="00781DD9"/>
    <w:rsid w:val="0078523D"/>
    <w:rsid w:val="00787AB8"/>
    <w:rsid w:val="00795433"/>
    <w:rsid w:val="00796B64"/>
    <w:rsid w:val="007A4637"/>
    <w:rsid w:val="007B2F69"/>
    <w:rsid w:val="007B6937"/>
    <w:rsid w:val="007C4FC6"/>
    <w:rsid w:val="007D45AC"/>
    <w:rsid w:val="007E21AD"/>
    <w:rsid w:val="007F7923"/>
    <w:rsid w:val="00825DFE"/>
    <w:rsid w:val="00843C40"/>
    <w:rsid w:val="00844BBF"/>
    <w:rsid w:val="00852648"/>
    <w:rsid w:val="00853242"/>
    <w:rsid w:val="0086157E"/>
    <w:rsid w:val="008652ED"/>
    <w:rsid w:val="00865F6E"/>
    <w:rsid w:val="008713F0"/>
    <w:rsid w:val="008778B5"/>
    <w:rsid w:val="00894B90"/>
    <w:rsid w:val="008966D8"/>
    <w:rsid w:val="008A0619"/>
    <w:rsid w:val="008A0DB9"/>
    <w:rsid w:val="008A458D"/>
    <w:rsid w:val="008B53BC"/>
    <w:rsid w:val="008B7ADD"/>
    <w:rsid w:val="008C152A"/>
    <w:rsid w:val="008C7900"/>
    <w:rsid w:val="008D2807"/>
    <w:rsid w:val="008D706F"/>
    <w:rsid w:val="008E367B"/>
    <w:rsid w:val="008E7C62"/>
    <w:rsid w:val="008F4654"/>
    <w:rsid w:val="008F4C0B"/>
    <w:rsid w:val="008F7E7E"/>
    <w:rsid w:val="009033EB"/>
    <w:rsid w:val="00906F50"/>
    <w:rsid w:val="00913F54"/>
    <w:rsid w:val="009178E0"/>
    <w:rsid w:val="00921A5A"/>
    <w:rsid w:val="00921D69"/>
    <w:rsid w:val="00927B09"/>
    <w:rsid w:val="00931998"/>
    <w:rsid w:val="00932871"/>
    <w:rsid w:val="009341E4"/>
    <w:rsid w:val="00934BF4"/>
    <w:rsid w:val="00942C1E"/>
    <w:rsid w:val="00943735"/>
    <w:rsid w:val="00943963"/>
    <w:rsid w:val="009603EA"/>
    <w:rsid w:val="00963AA5"/>
    <w:rsid w:val="00964A18"/>
    <w:rsid w:val="009654E0"/>
    <w:rsid w:val="009712B9"/>
    <w:rsid w:val="00971CAB"/>
    <w:rsid w:val="00971EF2"/>
    <w:rsid w:val="0098077B"/>
    <w:rsid w:val="00986B86"/>
    <w:rsid w:val="00996008"/>
    <w:rsid w:val="009A0D10"/>
    <w:rsid w:val="009A1FBD"/>
    <w:rsid w:val="009B3B59"/>
    <w:rsid w:val="009B4D85"/>
    <w:rsid w:val="009B5ECF"/>
    <w:rsid w:val="009C0768"/>
    <w:rsid w:val="009C48F4"/>
    <w:rsid w:val="009E2A3E"/>
    <w:rsid w:val="009F0C86"/>
    <w:rsid w:val="009F5482"/>
    <w:rsid w:val="009F76D1"/>
    <w:rsid w:val="00A102AA"/>
    <w:rsid w:val="00A11DD6"/>
    <w:rsid w:val="00A13208"/>
    <w:rsid w:val="00A226EB"/>
    <w:rsid w:val="00A23299"/>
    <w:rsid w:val="00A259F2"/>
    <w:rsid w:val="00A266F3"/>
    <w:rsid w:val="00A435DD"/>
    <w:rsid w:val="00A51A9A"/>
    <w:rsid w:val="00A527C2"/>
    <w:rsid w:val="00A61577"/>
    <w:rsid w:val="00A65E8C"/>
    <w:rsid w:val="00A73BB5"/>
    <w:rsid w:val="00A77A32"/>
    <w:rsid w:val="00A832EA"/>
    <w:rsid w:val="00AA22DE"/>
    <w:rsid w:val="00AB6978"/>
    <w:rsid w:val="00AB6DEE"/>
    <w:rsid w:val="00AD102A"/>
    <w:rsid w:val="00AD6C74"/>
    <w:rsid w:val="00AE3A61"/>
    <w:rsid w:val="00AF0745"/>
    <w:rsid w:val="00AF5B35"/>
    <w:rsid w:val="00B059E5"/>
    <w:rsid w:val="00B14418"/>
    <w:rsid w:val="00B22DEF"/>
    <w:rsid w:val="00B25E58"/>
    <w:rsid w:val="00B42416"/>
    <w:rsid w:val="00B46CBD"/>
    <w:rsid w:val="00B503FC"/>
    <w:rsid w:val="00B51771"/>
    <w:rsid w:val="00B5767F"/>
    <w:rsid w:val="00B63714"/>
    <w:rsid w:val="00B74BB5"/>
    <w:rsid w:val="00B83C67"/>
    <w:rsid w:val="00B97720"/>
    <w:rsid w:val="00BD02FB"/>
    <w:rsid w:val="00BD3BA1"/>
    <w:rsid w:val="00BD4D10"/>
    <w:rsid w:val="00C03372"/>
    <w:rsid w:val="00C048B8"/>
    <w:rsid w:val="00C16286"/>
    <w:rsid w:val="00C224EF"/>
    <w:rsid w:val="00C24B2B"/>
    <w:rsid w:val="00C327CA"/>
    <w:rsid w:val="00C4294C"/>
    <w:rsid w:val="00C47C34"/>
    <w:rsid w:val="00C500BD"/>
    <w:rsid w:val="00C72D65"/>
    <w:rsid w:val="00C8025D"/>
    <w:rsid w:val="00C827EA"/>
    <w:rsid w:val="00C856CA"/>
    <w:rsid w:val="00C9055B"/>
    <w:rsid w:val="00CA2909"/>
    <w:rsid w:val="00CB1F3D"/>
    <w:rsid w:val="00CC2240"/>
    <w:rsid w:val="00CE40A5"/>
    <w:rsid w:val="00CE5952"/>
    <w:rsid w:val="00D00973"/>
    <w:rsid w:val="00D108E1"/>
    <w:rsid w:val="00D37533"/>
    <w:rsid w:val="00D466E4"/>
    <w:rsid w:val="00D47CB2"/>
    <w:rsid w:val="00D55EF0"/>
    <w:rsid w:val="00D56BF5"/>
    <w:rsid w:val="00D62493"/>
    <w:rsid w:val="00D62DF7"/>
    <w:rsid w:val="00D7309C"/>
    <w:rsid w:val="00D75E19"/>
    <w:rsid w:val="00D8539D"/>
    <w:rsid w:val="00DA03F2"/>
    <w:rsid w:val="00DB01AF"/>
    <w:rsid w:val="00DB5E2B"/>
    <w:rsid w:val="00DB6D49"/>
    <w:rsid w:val="00DC78DA"/>
    <w:rsid w:val="00DD1933"/>
    <w:rsid w:val="00DD1C2E"/>
    <w:rsid w:val="00DD693B"/>
    <w:rsid w:val="00DD791C"/>
    <w:rsid w:val="00DE7070"/>
    <w:rsid w:val="00DF0452"/>
    <w:rsid w:val="00DF58F4"/>
    <w:rsid w:val="00E002DE"/>
    <w:rsid w:val="00E0780B"/>
    <w:rsid w:val="00E15994"/>
    <w:rsid w:val="00E166F7"/>
    <w:rsid w:val="00E30BA5"/>
    <w:rsid w:val="00E30C29"/>
    <w:rsid w:val="00E466D6"/>
    <w:rsid w:val="00E47213"/>
    <w:rsid w:val="00E74C3D"/>
    <w:rsid w:val="00E9111B"/>
    <w:rsid w:val="00E95702"/>
    <w:rsid w:val="00EA30F4"/>
    <w:rsid w:val="00EA347B"/>
    <w:rsid w:val="00EA7F1F"/>
    <w:rsid w:val="00EB5E9F"/>
    <w:rsid w:val="00EC0C7C"/>
    <w:rsid w:val="00EC39BF"/>
    <w:rsid w:val="00EC6C93"/>
    <w:rsid w:val="00EE4E66"/>
    <w:rsid w:val="00EE50AD"/>
    <w:rsid w:val="00EE7A31"/>
    <w:rsid w:val="00F00999"/>
    <w:rsid w:val="00F02045"/>
    <w:rsid w:val="00F1579B"/>
    <w:rsid w:val="00F35304"/>
    <w:rsid w:val="00F40721"/>
    <w:rsid w:val="00F436FC"/>
    <w:rsid w:val="00F632AD"/>
    <w:rsid w:val="00F71C6E"/>
    <w:rsid w:val="00F87796"/>
    <w:rsid w:val="00F90103"/>
    <w:rsid w:val="00F968EA"/>
    <w:rsid w:val="00FA3AC9"/>
    <w:rsid w:val="00FE1041"/>
    <w:rsid w:val="00FE237E"/>
    <w:rsid w:val="00FF11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F97"/>
    <w:rPr>
      <w:sz w:val="24"/>
      <w:szCs w:val="24"/>
    </w:rPr>
  </w:style>
  <w:style w:type="paragraph" w:styleId="Heading1">
    <w:name w:val="heading 1"/>
    <w:basedOn w:val="Normal"/>
    <w:next w:val="Normal"/>
    <w:qFormat/>
    <w:rsid w:val="00587F97"/>
    <w:pPr>
      <w:keepNext/>
      <w:jc w:val="center"/>
      <w:outlineLvl w:val="0"/>
    </w:pPr>
    <w:rPr>
      <w:rFonts w:ascii="VolvoSansLight" w:hAnsi="VolvoSansLight"/>
      <w:b/>
      <w:bCs/>
    </w:rPr>
  </w:style>
  <w:style w:type="paragraph" w:styleId="Heading2">
    <w:name w:val="heading 2"/>
    <w:basedOn w:val="Normal"/>
    <w:next w:val="Normal"/>
    <w:qFormat/>
    <w:rsid w:val="00587F97"/>
    <w:pPr>
      <w:keepNext/>
      <w:outlineLvl w:val="1"/>
    </w:pPr>
    <w:rPr>
      <w:rFonts w:ascii="VolvoSans" w:hAnsi="VolvoSans"/>
      <w:sz w:val="36"/>
    </w:rPr>
  </w:style>
  <w:style w:type="paragraph" w:styleId="Heading3">
    <w:name w:val="heading 3"/>
    <w:basedOn w:val="Normal"/>
    <w:next w:val="Normal"/>
    <w:qFormat/>
    <w:rsid w:val="00587F97"/>
    <w:pPr>
      <w:keepNext/>
      <w:outlineLvl w:val="2"/>
    </w:pPr>
    <w:rPr>
      <w:rFonts w:ascii="VolvoSans" w:hAnsi="VolvoSans"/>
      <w:b/>
      <w:bCs/>
      <w:sz w:val="1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87F97"/>
    <w:rPr>
      <w:rFonts w:ascii="VolvoSans" w:hAnsi="VolvoSans"/>
      <w:b/>
      <w:bCs/>
      <w:sz w:val="16"/>
    </w:rPr>
  </w:style>
  <w:style w:type="paragraph" w:styleId="Header">
    <w:name w:val="header"/>
    <w:basedOn w:val="Normal"/>
    <w:rsid w:val="00281AE6"/>
    <w:pPr>
      <w:tabs>
        <w:tab w:val="center" w:pos="4320"/>
        <w:tab w:val="right" w:pos="8640"/>
      </w:tabs>
    </w:pPr>
  </w:style>
  <w:style w:type="paragraph" w:styleId="Footer">
    <w:name w:val="footer"/>
    <w:basedOn w:val="Normal"/>
    <w:link w:val="FooterChar"/>
    <w:uiPriority w:val="99"/>
    <w:rsid w:val="00281AE6"/>
    <w:pPr>
      <w:tabs>
        <w:tab w:val="center" w:pos="4320"/>
        <w:tab w:val="right" w:pos="8640"/>
      </w:tabs>
    </w:pPr>
  </w:style>
  <w:style w:type="table" w:styleId="TableGrid">
    <w:name w:val="Table Grid"/>
    <w:basedOn w:val="TableNormal"/>
    <w:rsid w:val="00B7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voAddress">
    <w:name w:val="VolvoAddress"/>
    <w:basedOn w:val="Footer"/>
    <w:rsid w:val="00B74BB5"/>
    <w:pPr>
      <w:tabs>
        <w:tab w:val="clear" w:pos="4320"/>
        <w:tab w:val="clear" w:pos="8640"/>
        <w:tab w:val="center" w:pos="4649"/>
        <w:tab w:val="right" w:pos="9299"/>
      </w:tabs>
      <w:spacing w:line="160" w:lineRule="atLeast"/>
    </w:pPr>
    <w:rPr>
      <w:rFonts w:ascii="VolvoSans" w:hAnsi="VolvoSans"/>
      <w:noProof/>
      <w:sz w:val="14"/>
      <w:lang w:val="en-GB"/>
    </w:rPr>
  </w:style>
  <w:style w:type="paragraph" w:customStyle="1" w:styleId="VolvoWebAdd">
    <w:name w:val="VolvoWebAdd"/>
    <w:basedOn w:val="VolvoAddress"/>
    <w:rsid w:val="00B74BB5"/>
    <w:pPr>
      <w:spacing w:after="20"/>
    </w:pPr>
    <w:rPr>
      <w:rFonts w:ascii="Arial" w:hAnsi="Arial"/>
      <w:sz w:val="12"/>
    </w:rPr>
  </w:style>
  <w:style w:type="paragraph" w:styleId="BalloonText">
    <w:name w:val="Balloon Text"/>
    <w:basedOn w:val="Normal"/>
    <w:semiHidden/>
    <w:rsid w:val="00DC78DA"/>
    <w:rPr>
      <w:rFonts w:ascii="Tahoma" w:hAnsi="Tahoma" w:cs="Tahoma"/>
      <w:sz w:val="16"/>
      <w:szCs w:val="16"/>
    </w:rPr>
  </w:style>
  <w:style w:type="character" w:styleId="Hyperlink">
    <w:name w:val="Hyperlink"/>
    <w:rsid w:val="009C48F4"/>
    <w:rPr>
      <w:color w:val="0000FF"/>
      <w:u w:val="single"/>
    </w:rPr>
  </w:style>
  <w:style w:type="paragraph" w:customStyle="1" w:styleId="Default">
    <w:name w:val="Default"/>
    <w:rsid w:val="000830E4"/>
    <w:pPr>
      <w:autoSpaceDE w:val="0"/>
      <w:autoSpaceDN w:val="0"/>
      <w:adjustRightInd w:val="0"/>
    </w:pPr>
    <w:rPr>
      <w:rFonts w:eastAsia="Calibri"/>
      <w:color w:val="000000"/>
      <w:sz w:val="24"/>
      <w:szCs w:val="24"/>
    </w:rPr>
  </w:style>
  <w:style w:type="paragraph" w:styleId="ListParagraph">
    <w:name w:val="List Paragraph"/>
    <w:basedOn w:val="Normal"/>
    <w:uiPriority w:val="34"/>
    <w:qFormat/>
    <w:rsid w:val="00906F50"/>
    <w:pPr>
      <w:ind w:left="720"/>
      <w:contextualSpacing/>
    </w:pPr>
  </w:style>
  <w:style w:type="character" w:styleId="CommentReference">
    <w:name w:val="annotation reference"/>
    <w:basedOn w:val="DefaultParagraphFont"/>
    <w:semiHidden/>
    <w:unhideWhenUsed/>
    <w:rsid w:val="00EC39BF"/>
    <w:rPr>
      <w:sz w:val="16"/>
      <w:szCs w:val="16"/>
    </w:rPr>
  </w:style>
  <w:style w:type="paragraph" w:styleId="CommentText">
    <w:name w:val="annotation text"/>
    <w:basedOn w:val="Normal"/>
    <w:link w:val="CommentTextChar"/>
    <w:unhideWhenUsed/>
    <w:rsid w:val="00EC39BF"/>
    <w:rPr>
      <w:sz w:val="20"/>
      <w:szCs w:val="20"/>
    </w:rPr>
  </w:style>
  <w:style w:type="character" w:customStyle="1" w:styleId="CommentTextChar">
    <w:name w:val="Comment Text Char"/>
    <w:basedOn w:val="DefaultParagraphFont"/>
    <w:link w:val="CommentText"/>
    <w:rsid w:val="00EC39BF"/>
  </w:style>
  <w:style w:type="paragraph" w:styleId="CommentSubject">
    <w:name w:val="annotation subject"/>
    <w:basedOn w:val="CommentText"/>
    <w:next w:val="CommentText"/>
    <w:link w:val="CommentSubjectChar"/>
    <w:semiHidden/>
    <w:unhideWhenUsed/>
    <w:rsid w:val="00EC39BF"/>
    <w:rPr>
      <w:b/>
      <w:bCs/>
    </w:rPr>
  </w:style>
  <w:style w:type="character" w:customStyle="1" w:styleId="CommentSubjectChar">
    <w:name w:val="Comment Subject Char"/>
    <w:basedOn w:val="CommentTextChar"/>
    <w:link w:val="CommentSubject"/>
    <w:semiHidden/>
    <w:rsid w:val="00EC39BF"/>
    <w:rPr>
      <w:b/>
      <w:bCs/>
    </w:rPr>
  </w:style>
  <w:style w:type="paragraph" w:styleId="Revision">
    <w:name w:val="Revision"/>
    <w:hidden/>
    <w:uiPriority w:val="99"/>
    <w:semiHidden/>
    <w:rsid w:val="001D4378"/>
    <w:rPr>
      <w:sz w:val="24"/>
      <w:szCs w:val="24"/>
    </w:rPr>
  </w:style>
  <w:style w:type="character" w:customStyle="1" w:styleId="FooterChar">
    <w:name w:val="Footer Char"/>
    <w:basedOn w:val="DefaultParagraphFont"/>
    <w:link w:val="Footer"/>
    <w:uiPriority w:val="99"/>
    <w:rsid w:val="00D7309C"/>
    <w:rPr>
      <w:sz w:val="24"/>
      <w:szCs w:val="24"/>
    </w:rPr>
  </w:style>
  <w:style w:type="paragraph" w:styleId="FootnoteText">
    <w:name w:val="footnote text"/>
    <w:basedOn w:val="Normal"/>
    <w:link w:val="FootnoteTextChar"/>
    <w:unhideWhenUsed/>
    <w:rsid w:val="00F87796"/>
    <w:rPr>
      <w:sz w:val="20"/>
      <w:szCs w:val="20"/>
    </w:rPr>
  </w:style>
  <w:style w:type="character" w:customStyle="1" w:styleId="FootnoteTextChar">
    <w:name w:val="Footnote Text Char"/>
    <w:basedOn w:val="DefaultParagraphFont"/>
    <w:link w:val="FootnoteText"/>
    <w:rsid w:val="00F87796"/>
  </w:style>
  <w:style w:type="character" w:styleId="FootnoteReference">
    <w:name w:val="footnote reference"/>
    <w:basedOn w:val="DefaultParagraphFont"/>
    <w:semiHidden/>
    <w:unhideWhenUsed/>
    <w:rsid w:val="00F8779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F97"/>
    <w:rPr>
      <w:sz w:val="24"/>
      <w:szCs w:val="24"/>
    </w:rPr>
  </w:style>
  <w:style w:type="paragraph" w:styleId="Heading1">
    <w:name w:val="heading 1"/>
    <w:basedOn w:val="Normal"/>
    <w:next w:val="Normal"/>
    <w:qFormat/>
    <w:rsid w:val="00587F97"/>
    <w:pPr>
      <w:keepNext/>
      <w:jc w:val="center"/>
      <w:outlineLvl w:val="0"/>
    </w:pPr>
    <w:rPr>
      <w:rFonts w:ascii="VolvoSansLight" w:hAnsi="VolvoSansLight"/>
      <w:b/>
      <w:bCs/>
    </w:rPr>
  </w:style>
  <w:style w:type="paragraph" w:styleId="Heading2">
    <w:name w:val="heading 2"/>
    <w:basedOn w:val="Normal"/>
    <w:next w:val="Normal"/>
    <w:qFormat/>
    <w:rsid w:val="00587F97"/>
    <w:pPr>
      <w:keepNext/>
      <w:outlineLvl w:val="1"/>
    </w:pPr>
    <w:rPr>
      <w:rFonts w:ascii="VolvoSans" w:hAnsi="VolvoSans"/>
      <w:sz w:val="36"/>
    </w:rPr>
  </w:style>
  <w:style w:type="paragraph" w:styleId="Heading3">
    <w:name w:val="heading 3"/>
    <w:basedOn w:val="Normal"/>
    <w:next w:val="Normal"/>
    <w:qFormat/>
    <w:rsid w:val="00587F97"/>
    <w:pPr>
      <w:keepNext/>
      <w:outlineLvl w:val="2"/>
    </w:pPr>
    <w:rPr>
      <w:rFonts w:ascii="VolvoSans" w:hAnsi="VolvoSans"/>
      <w:b/>
      <w:bCs/>
      <w:sz w:val="1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87F97"/>
    <w:rPr>
      <w:rFonts w:ascii="VolvoSans" w:hAnsi="VolvoSans"/>
      <w:b/>
      <w:bCs/>
      <w:sz w:val="16"/>
    </w:rPr>
  </w:style>
  <w:style w:type="paragraph" w:styleId="Header">
    <w:name w:val="header"/>
    <w:basedOn w:val="Normal"/>
    <w:rsid w:val="00281AE6"/>
    <w:pPr>
      <w:tabs>
        <w:tab w:val="center" w:pos="4320"/>
        <w:tab w:val="right" w:pos="8640"/>
      </w:tabs>
    </w:pPr>
  </w:style>
  <w:style w:type="paragraph" w:styleId="Footer">
    <w:name w:val="footer"/>
    <w:basedOn w:val="Normal"/>
    <w:link w:val="FooterChar"/>
    <w:uiPriority w:val="99"/>
    <w:rsid w:val="00281AE6"/>
    <w:pPr>
      <w:tabs>
        <w:tab w:val="center" w:pos="4320"/>
        <w:tab w:val="right" w:pos="8640"/>
      </w:tabs>
    </w:pPr>
  </w:style>
  <w:style w:type="table" w:styleId="TableGrid">
    <w:name w:val="Table Grid"/>
    <w:basedOn w:val="TableNormal"/>
    <w:rsid w:val="00B7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voAddress">
    <w:name w:val="VolvoAddress"/>
    <w:basedOn w:val="Footer"/>
    <w:rsid w:val="00B74BB5"/>
    <w:pPr>
      <w:tabs>
        <w:tab w:val="clear" w:pos="4320"/>
        <w:tab w:val="clear" w:pos="8640"/>
        <w:tab w:val="center" w:pos="4649"/>
        <w:tab w:val="right" w:pos="9299"/>
      </w:tabs>
      <w:spacing w:line="160" w:lineRule="atLeast"/>
    </w:pPr>
    <w:rPr>
      <w:rFonts w:ascii="VolvoSans" w:hAnsi="VolvoSans"/>
      <w:noProof/>
      <w:sz w:val="14"/>
      <w:lang w:val="en-GB"/>
    </w:rPr>
  </w:style>
  <w:style w:type="paragraph" w:customStyle="1" w:styleId="VolvoWebAdd">
    <w:name w:val="VolvoWebAdd"/>
    <w:basedOn w:val="VolvoAddress"/>
    <w:rsid w:val="00B74BB5"/>
    <w:pPr>
      <w:spacing w:after="20"/>
    </w:pPr>
    <w:rPr>
      <w:rFonts w:ascii="Arial" w:hAnsi="Arial"/>
      <w:sz w:val="12"/>
    </w:rPr>
  </w:style>
  <w:style w:type="paragraph" w:styleId="BalloonText">
    <w:name w:val="Balloon Text"/>
    <w:basedOn w:val="Normal"/>
    <w:semiHidden/>
    <w:rsid w:val="00DC78DA"/>
    <w:rPr>
      <w:rFonts w:ascii="Tahoma" w:hAnsi="Tahoma" w:cs="Tahoma"/>
      <w:sz w:val="16"/>
      <w:szCs w:val="16"/>
    </w:rPr>
  </w:style>
  <w:style w:type="character" w:styleId="Hyperlink">
    <w:name w:val="Hyperlink"/>
    <w:rsid w:val="009C48F4"/>
    <w:rPr>
      <w:color w:val="0000FF"/>
      <w:u w:val="single"/>
    </w:rPr>
  </w:style>
  <w:style w:type="paragraph" w:customStyle="1" w:styleId="Default">
    <w:name w:val="Default"/>
    <w:rsid w:val="000830E4"/>
    <w:pPr>
      <w:autoSpaceDE w:val="0"/>
      <w:autoSpaceDN w:val="0"/>
      <w:adjustRightInd w:val="0"/>
    </w:pPr>
    <w:rPr>
      <w:rFonts w:eastAsia="Calibri"/>
      <w:color w:val="000000"/>
      <w:sz w:val="24"/>
      <w:szCs w:val="24"/>
    </w:rPr>
  </w:style>
  <w:style w:type="paragraph" w:styleId="ListParagraph">
    <w:name w:val="List Paragraph"/>
    <w:basedOn w:val="Normal"/>
    <w:uiPriority w:val="34"/>
    <w:qFormat/>
    <w:rsid w:val="00906F50"/>
    <w:pPr>
      <w:ind w:left="720"/>
      <w:contextualSpacing/>
    </w:pPr>
  </w:style>
  <w:style w:type="character" w:styleId="CommentReference">
    <w:name w:val="annotation reference"/>
    <w:basedOn w:val="DefaultParagraphFont"/>
    <w:semiHidden/>
    <w:unhideWhenUsed/>
    <w:rsid w:val="00EC39BF"/>
    <w:rPr>
      <w:sz w:val="16"/>
      <w:szCs w:val="16"/>
    </w:rPr>
  </w:style>
  <w:style w:type="paragraph" w:styleId="CommentText">
    <w:name w:val="annotation text"/>
    <w:basedOn w:val="Normal"/>
    <w:link w:val="CommentTextChar"/>
    <w:unhideWhenUsed/>
    <w:rsid w:val="00EC39BF"/>
    <w:rPr>
      <w:sz w:val="20"/>
      <w:szCs w:val="20"/>
    </w:rPr>
  </w:style>
  <w:style w:type="character" w:customStyle="1" w:styleId="CommentTextChar">
    <w:name w:val="Comment Text Char"/>
    <w:basedOn w:val="DefaultParagraphFont"/>
    <w:link w:val="CommentText"/>
    <w:rsid w:val="00EC39BF"/>
  </w:style>
  <w:style w:type="paragraph" w:styleId="CommentSubject">
    <w:name w:val="annotation subject"/>
    <w:basedOn w:val="CommentText"/>
    <w:next w:val="CommentText"/>
    <w:link w:val="CommentSubjectChar"/>
    <w:semiHidden/>
    <w:unhideWhenUsed/>
    <w:rsid w:val="00EC39BF"/>
    <w:rPr>
      <w:b/>
      <w:bCs/>
    </w:rPr>
  </w:style>
  <w:style w:type="character" w:customStyle="1" w:styleId="CommentSubjectChar">
    <w:name w:val="Comment Subject Char"/>
    <w:basedOn w:val="CommentTextChar"/>
    <w:link w:val="CommentSubject"/>
    <w:semiHidden/>
    <w:rsid w:val="00EC39BF"/>
    <w:rPr>
      <w:b/>
      <w:bCs/>
    </w:rPr>
  </w:style>
  <w:style w:type="paragraph" w:styleId="Revision">
    <w:name w:val="Revision"/>
    <w:hidden/>
    <w:uiPriority w:val="99"/>
    <w:semiHidden/>
    <w:rsid w:val="001D4378"/>
    <w:rPr>
      <w:sz w:val="24"/>
      <w:szCs w:val="24"/>
    </w:rPr>
  </w:style>
  <w:style w:type="character" w:customStyle="1" w:styleId="FooterChar">
    <w:name w:val="Footer Char"/>
    <w:basedOn w:val="DefaultParagraphFont"/>
    <w:link w:val="Footer"/>
    <w:uiPriority w:val="99"/>
    <w:rsid w:val="00D7309C"/>
    <w:rPr>
      <w:sz w:val="24"/>
      <w:szCs w:val="24"/>
    </w:rPr>
  </w:style>
  <w:style w:type="paragraph" w:styleId="FootnoteText">
    <w:name w:val="footnote text"/>
    <w:basedOn w:val="Normal"/>
    <w:link w:val="FootnoteTextChar"/>
    <w:unhideWhenUsed/>
    <w:rsid w:val="00F87796"/>
    <w:rPr>
      <w:sz w:val="20"/>
      <w:szCs w:val="20"/>
    </w:rPr>
  </w:style>
  <w:style w:type="character" w:customStyle="1" w:styleId="FootnoteTextChar">
    <w:name w:val="Footnote Text Char"/>
    <w:basedOn w:val="DefaultParagraphFont"/>
    <w:link w:val="FootnoteText"/>
    <w:rsid w:val="00F87796"/>
  </w:style>
  <w:style w:type="character" w:styleId="FootnoteReference">
    <w:name w:val="footnote reference"/>
    <w:basedOn w:val="DefaultParagraphFont"/>
    <w:semiHidden/>
    <w:unhideWhenUsed/>
    <w:rsid w:val="00F877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752351">
      <w:bodyDiv w:val="1"/>
      <w:marLeft w:val="0"/>
      <w:marRight w:val="0"/>
      <w:marTop w:val="0"/>
      <w:marBottom w:val="0"/>
      <w:divBdr>
        <w:top w:val="none" w:sz="0" w:space="0" w:color="auto"/>
        <w:left w:val="none" w:sz="0" w:space="0" w:color="auto"/>
        <w:bottom w:val="none" w:sz="0" w:space="0" w:color="auto"/>
        <w:right w:val="none" w:sz="0" w:space="0" w:color="auto"/>
      </w:divBdr>
    </w:div>
    <w:div w:id="1391879948">
      <w:bodyDiv w:val="1"/>
      <w:marLeft w:val="0"/>
      <w:marRight w:val="0"/>
      <w:marTop w:val="0"/>
      <w:marBottom w:val="0"/>
      <w:divBdr>
        <w:top w:val="none" w:sz="0" w:space="0" w:color="auto"/>
        <w:left w:val="none" w:sz="0" w:space="0" w:color="auto"/>
        <w:bottom w:val="none" w:sz="0" w:space="0" w:color="auto"/>
        <w:right w:val="none" w:sz="0" w:space="0" w:color="auto"/>
      </w:divBdr>
    </w:div>
    <w:div w:id="1860584755">
      <w:bodyDiv w:val="1"/>
      <w:marLeft w:val="0"/>
      <w:marRight w:val="0"/>
      <w:marTop w:val="0"/>
      <w:marBottom w:val="0"/>
      <w:divBdr>
        <w:top w:val="none" w:sz="0" w:space="0" w:color="auto"/>
        <w:left w:val="none" w:sz="0" w:space="0" w:color="auto"/>
        <w:bottom w:val="none" w:sz="0" w:space="0" w:color="auto"/>
        <w:right w:val="none" w:sz="0" w:space="0" w:color="auto"/>
      </w:divBdr>
    </w:div>
    <w:div w:id="205157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F5661-7A93-4AC5-8B93-2E136084F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3223</Words>
  <Characters>18060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Mack Trucks, INC</Company>
  <LinksUpToDate>false</LinksUpToDate>
  <CharactersWithSpaces>21241</CharactersWithSpaces>
  <SharedDoc>false</SharedDoc>
  <HLinks>
    <vt:vector size="12" baseType="variant">
      <vt:variant>
        <vt:i4>262212</vt:i4>
      </vt:variant>
      <vt:variant>
        <vt:i4>3</vt:i4>
      </vt:variant>
      <vt:variant>
        <vt:i4>0</vt:i4>
      </vt:variant>
      <vt:variant>
        <vt:i4>5</vt:i4>
      </vt:variant>
      <vt:variant>
        <vt:lpwstr>http://www.volvogroup.us/</vt:lpwstr>
      </vt:variant>
      <vt:variant>
        <vt:lpwstr/>
      </vt:variant>
      <vt:variant>
        <vt:i4>3604543</vt:i4>
      </vt:variant>
      <vt:variant>
        <vt:i4>0</vt:i4>
      </vt:variant>
      <vt:variant>
        <vt:i4>0</vt:i4>
      </vt:variant>
      <vt:variant>
        <vt:i4>5</vt:i4>
      </vt:variant>
      <vt:variant>
        <vt:lpwstr>http://www.volvogroup.com/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Fenton Dawn</cp:lastModifiedBy>
  <cp:revision>3</cp:revision>
  <cp:lastPrinted>2016-03-10T22:22:00Z</cp:lastPrinted>
  <dcterms:created xsi:type="dcterms:W3CDTF">2016-04-05T14:56:00Z</dcterms:created>
  <dcterms:modified xsi:type="dcterms:W3CDTF">2016-04-05T14:57:00Z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-1184483508</vt:i4>
  </property>
  <property fmtid="{D5CDD505-2E9C-101B-9397-08002B2CF9AE}" pid="3" name="Classification">
    <vt:lpwstr>Internal</vt:lpwstr>
  </property>
  <property fmtid="{D5CDD505-2E9C-101B-9397-08002B2CF9AE}" pid="4" name="Violin Valid From">
    <vt:lpwstr>2008-03-14T00:00:00Z</vt:lpwstr>
  </property>
  <property fmtid="{D5CDD505-2E9C-101B-9397-08002B2CF9AE}" pid="5" name="Violin Valid To">
    <vt:lpwstr/>
  </property>
  <property fmtid="{D5CDD505-2E9C-101B-9397-08002B2CF9AE}" pid="6" name="OverWriteProperties">
    <vt:lpwstr>1</vt:lpwstr>
  </property>
  <property fmtid="{D5CDD505-2E9C-101B-9397-08002B2CF9AE}" pid="7" name="Owner">
    <vt:lpwstr>Ilse Ghysens</vt:lpwstr>
  </property>
  <property fmtid="{D5CDD505-2E9C-101B-9397-08002B2CF9AE}" pid="8" name="Violin Information Type">
    <vt:lpwstr>Templates</vt:lpwstr>
  </property>
  <property fmtid="{D5CDD505-2E9C-101B-9397-08002B2CF9AE}" pid="9" name="Violin Publish From">
    <vt:lpwstr>2008-03-14T00:00:00Z</vt:lpwstr>
  </property>
  <property fmtid="{D5CDD505-2E9C-101B-9397-08002B2CF9AE}" pid="10" name="Violin Link Text">
    <vt:lpwstr>Volvo Powertrain North America letterhead</vt:lpwstr>
  </property>
  <property fmtid="{D5CDD505-2E9C-101B-9397-08002B2CF9AE}" pid="11" name="TargetApplication">
    <vt:lpwstr>Intranet/Violin</vt:lpwstr>
  </property>
  <property fmtid="{D5CDD505-2E9C-101B-9397-08002B2CF9AE}" pid="12" name="LastModifiedUser">
    <vt:lpwstr>Ghysens Ilse</vt:lpwstr>
  </property>
  <property fmtid="{D5CDD505-2E9C-101B-9397-08002B2CF9AE}" pid="13" name="Violin Document Language">
    <vt:lpwstr>English</vt:lpwstr>
  </property>
  <property fmtid="{D5CDD505-2E9C-101B-9397-08002B2CF9AE}" pid="14" name="Violin Publish To">
    <vt:lpwstr/>
  </property>
  <property fmtid="{D5CDD505-2E9C-101B-9397-08002B2CF9AE}" pid="15" name="SPSDescription">
    <vt:lpwstr/>
  </property>
  <property fmtid="{D5CDD505-2E9C-101B-9397-08002B2CF9AE}" pid="16" name="IsTagged">
    <vt:lpwstr>1</vt:lpwstr>
  </property>
  <property fmtid="{D5CDD505-2E9C-101B-9397-08002B2CF9AE}" pid="17" name="ChannelPath">
    <vt:lpwstr>/Channels/volvopowertrain/north_america/en/business_functions/communication/tools/identity_and_downloads/templates/templates;
</vt:lpwstr>
  </property>
  <property fmtid="{D5CDD505-2E9C-101B-9397-08002B2CF9AE}" pid="18" name="Violin Reference Number">
    <vt:lpwstr/>
  </property>
</Properties>
</file>