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AD" w:rsidRDefault="002858AD">
      <w:pPr>
        <w:rPr>
          <w:rFonts w:ascii="Cambria" w:hAnsi="Cambria"/>
          <w:sz w:val="24"/>
          <w:szCs w:val="24"/>
        </w:rPr>
      </w:pPr>
    </w:p>
    <w:p w:rsidR="004E4AAA" w:rsidRDefault="00170DAD" w:rsidP="004E4AAA">
      <w:pPr>
        <w:jc w:val="right"/>
        <w:rPr>
          <w:rFonts w:ascii="Cambria" w:hAnsi="Cambria"/>
          <w:sz w:val="24"/>
          <w:szCs w:val="24"/>
        </w:rPr>
      </w:pPr>
      <w:r>
        <w:rPr>
          <w:rFonts w:ascii="Cambria" w:hAnsi="Cambria"/>
          <w:sz w:val="24"/>
          <w:szCs w:val="24"/>
        </w:rPr>
        <w:t>October 4</w:t>
      </w:r>
      <w:r w:rsidR="004E4AAA">
        <w:rPr>
          <w:rFonts w:ascii="Cambria" w:hAnsi="Cambria"/>
          <w:sz w:val="24"/>
          <w:szCs w:val="24"/>
        </w:rPr>
        <w:t>, 2015</w:t>
      </w:r>
    </w:p>
    <w:p w:rsidR="004E4AAA" w:rsidRPr="00D140C4" w:rsidRDefault="004E4AAA" w:rsidP="004E4AAA">
      <w:pPr>
        <w:rPr>
          <w:rFonts w:ascii="Cambria" w:hAnsi="Cambria"/>
          <w:b/>
          <w:sz w:val="24"/>
          <w:szCs w:val="24"/>
        </w:rPr>
      </w:pPr>
      <w:r w:rsidRPr="00D140C4">
        <w:rPr>
          <w:rFonts w:ascii="Cambria" w:hAnsi="Cambria"/>
          <w:b/>
          <w:sz w:val="24"/>
          <w:szCs w:val="24"/>
        </w:rPr>
        <w:t>Forest Wood Residues and the Califor</w:t>
      </w:r>
      <w:r w:rsidR="00485DCD" w:rsidRPr="00D140C4">
        <w:rPr>
          <w:rFonts w:ascii="Cambria" w:hAnsi="Cambria"/>
          <w:b/>
          <w:sz w:val="24"/>
          <w:szCs w:val="24"/>
        </w:rPr>
        <w:t>nia Biomass Powerplant Industry</w:t>
      </w:r>
      <w:r w:rsidR="00316B87">
        <w:rPr>
          <w:rFonts w:ascii="Cambria" w:hAnsi="Cambria"/>
          <w:b/>
          <w:sz w:val="24"/>
          <w:szCs w:val="24"/>
        </w:rPr>
        <w:t xml:space="preserve"> (VERSION 7</w:t>
      </w:r>
      <w:r w:rsidR="008B4B7F">
        <w:rPr>
          <w:rFonts w:ascii="Cambria" w:hAnsi="Cambria"/>
          <w:b/>
          <w:sz w:val="24"/>
          <w:szCs w:val="24"/>
        </w:rPr>
        <w:t>)</w:t>
      </w:r>
    </w:p>
    <w:p w:rsidR="00485DCD" w:rsidRDefault="00485DCD" w:rsidP="004E4AAA">
      <w:pPr>
        <w:rPr>
          <w:rFonts w:ascii="Cambria" w:hAnsi="Cambria"/>
          <w:sz w:val="24"/>
          <w:szCs w:val="24"/>
        </w:rPr>
      </w:pPr>
      <w:r>
        <w:rPr>
          <w:rFonts w:ascii="Cambria" w:hAnsi="Cambria"/>
          <w:sz w:val="24"/>
          <w:szCs w:val="24"/>
        </w:rPr>
        <w:t>This paper is divided up into several Chapters:</w:t>
      </w:r>
    </w:p>
    <w:p w:rsidR="00AA3DA5" w:rsidRPr="00AA3DA5" w:rsidRDefault="00AA3DA5" w:rsidP="00AA3DA5">
      <w:pPr>
        <w:pStyle w:val="ListParagraph"/>
        <w:numPr>
          <w:ilvl w:val="0"/>
          <w:numId w:val="3"/>
        </w:numPr>
        <w:rPr>
          <w:rFonts w:ascii="Cambria" w:hAnsi="Cambria"/>
          <w:sz w:val="24"/>
          <w:szCs w:val="24"/>
        </w:rPr>
      </w:pPr>
      <w:r>
        <w:rPr>
          <w:rFonts w:ascii="Cambria" w:hAnsi="Cambria"/>
          <w:sz w:val="24"/>
          <w:szCs w:val="24"/>
        </w:rPr>
        <w:t>Executive Summary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History of and current situation with California’s Wood-Fired Heat and Power Industry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Social and Environmental Benefits of a Healthy Biomass Powerplant Industry</w:t>
      </w:r>
    </w:p>
    <w:p w:rsidR="00485DCD" w:rsidRDefault="00485DCD" w:rsidP="00485DCD">
      <w:pPr>
        <w:pStyle w:val="ListParagraph"/>
        <w:rPr>
          <w:rFonts w:ascii="Cambria" w:hAnsi="Cambria"/>
          <w:sz w:val="24"/>
          <w:szCs w:val="24"/>
        </w:rPr>
      </w:pPr>
      <w:r>
        <w:rPr>
          <w:rFonts w:ascii="Cambria" w:hAnsi="Cambria"/>
          <w:sz w:val="24"/>
          <w:szCs w:val="24"/>
        </w:rPr>
        <w:t>Reduced risk of large wildfires</w:t>
      </w:r>
    </w:p>
    <w:p w:rsidR="00485DCD" w:rsidRDefault="00485DCD" w:rsidP="00485DCD">
      <w:pPr>
        <w:pStyle w:val="ListParagraph"/>
        <w:rPr>
          <w:rFonts w:ascii="Cambria" w:hAnsi="Cambria"/>
          <w:sz w:val="24"/>
          <w:szCs w:val="24"/>
        </w:rPr>
      </w:pPr>
      <w:r>
        <w:rPr>
          <w:rFonts w:ascii="Cambria" w:hAnsi="Cambria"/>
          <w:sz w:val="24"/>
          <w:szCs w:val="24"/>
        </w:rPr>
        <w:t>Criteria Pollutants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CO2 emissions and black carbon reduction  benefits from Active Forest Management and the Wood Residues it produces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Current state of the Vegetation Condition on California’s National Forests</w:t>
      </w:r>
    </w:p>
    <w:p w:rsidR="00AA3DA5" w:rsidRDefault="00AA3DA5">
      <w:pPr>
        <w:rPr>
          <w:rFonts w:ascii="Cambria" w:hAnsi="Cambria"/>
          <w:sz w:val="24"/>
          <w:szCs w:val="24"/>
        </w:rPr>
      </w:pPr>
      <w:r>
        <w:rPr>
          <w:noProof/>
        </w:rPr>
        <w:drawing>
          <wp:inline distT="0" distB="0" distL="0" distR="0" wp14:anchorId="6414F78D" wp14:editId="1369CC2B">
            <wp:extent cx="5731922" cy="4234419"/>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5822634" cy="4301432"/>
                    </a:xfrm>
                    <a:prstGeom prst="rect">
                      <a:avLst/>
                    </a:prstGeom>
                    <a:noFill/>
                    <a:ln w="9525">
                      <a:noFill/>
                      <a:miter lim="800000"/>
                      <a:headEnd/>
                      <a:tailEnd/>
                    </a:ln>
                    <a:effectLst/>
                  </pic:spPr>
                </pic:pic>
              </a:graphicData>
            </a:graphic>
          </wp:inline>
        </w:drawing>
      </w:r>
    </w:p>
    <w:p w:rsidR="008167BC" w:rsidRDefault="008167BC" w:rsidP="008167BC">
      <w:pPr>
        <w:pStyle w:val="ListParagraph"/>
        <w:ind w:left="360"/>
        <w:rPr>
          <w:rFonts w:ascii="Cambria" w:hAnsi="Cambria"/>
          <w:b/>
          <w:sz w:val="24"/>
          <w:szCs w:val="24"/>
        </w:rPr>
      </w:pPr>
    </w:p>
    <w:p w:rsidR="008167BC" w:rsidRDefault="00170DAD" w:rsidP="008167BC">
      <w:pPr>
        <w:pStyle w:val="ListParagraph"/>
        <w:ind w:left="360"/>
        <w:rPr>
          <w:rFonts w:ascii="Cambria" w:hAnsi="Cambria"/>
          <w:b/>
          <w:sz w:val="24"/>
          <w:szCs w:val="24"/>
        </w:rPr>
      </w:pPr>
      <w:r>
        <w:rPr>
          <w:rFonts w:ascii="Cambria" w:hAnsi="Cambria"/>
          <w:b/>
          <w:sz w:val="24"/>
          <w:szCs w:val="24"/>
        </w:rPr>
        <w:t>By Steven Brink</w:t>
      </w:r>
    </w:p>
    <w:p w:rsidR="00170DAD" w:rsidRDefault="00170DAD" w:rsidP="00170DAD">
      <w:pPr>
        <w:pStyle w:val="ListParagraph"/>
        <w:ind w:left="360"/>
        <w:rPr>
          <w:rFonts w:ascii="Cambria" w:hAnsi="Cambria"/>
          <w:b/>
          <w:sz w:val="24"/>
          <w:szCs w:val="24"/>
        </w:rPr>
      </w:pPr>
      <w:r>
        <w:rPr>
          <w:rFonts w:ascii="Cambria" w:hAnsi="Cambria"/>
          <w:b/>
          <w:sz w:val="24"/>
          <w:szCs w:val="24"/>
        </w:rPr>
        <w:t>Vice President- Public Resources</w:t>
      </w:r>
    </w:p>
    <w:p w:rsidR="00170DAD" w:rsidRPr="00170DAD" w:rsidRDefault="00170DAD" w:rsidP="00170DAD">
      <w:pPr>
        <w:pStyle w:val="ListParagraph"/>
        <w:ind w:left="360"/>
        <w:rPr>
          <w:rFonts w:ascii="Cambria" w:hAnsi="Cambria"/>
          <w:b/>
          <w:sz w:val="24"/>
          <w:szCs w:val="24"/>
        </w:rPr>
      </w:pPr>
      <w:r>
        <w:rPr>
          <w:rFonts w:ascii="Cambria" w:hAnsi="Cambria"/>
          <w:b/>
          <w:sz w:val="24"/>
          <w:szCs w:val="24"/>
        </w:rPr>
        <w:t>California Forestry Association</w:t>
      </w:r>
    </w:p>
    <w:p w:rsidR="008167BC" w:rsidRPr="008167BC" w:rsidRDefault="008167BC" w:rsidP="008167BC">
      <w:pPr>
        <w:pStyle w:val="ListParagraph"/>
        <w:ind w:left="360"/>
        <w:rPr>
          <w:rFonts w:ascii="Cambria" w:hAnsi="Cambria"/>
          <w:b/>
          <w:sz w:val="24"/>
          <w:szCs w:val="24"/>
        </w:rPr>
      </w:pPr>
    </w:p>
    <w:p w:rsidR="00AA3DA5"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Executive Summary</w:t>
      </w:r>
    </w:p>
    <w:p w:rsidR="008167BC" w:rsidRPr="00086540" w:rsidRDefault="008167BC" w:rsidP="008167BC">
      <w:pPr>
        <w:pStyle w:val="ListParagraph"/>
        <w:ind w:left="360"/>
        <w:rPr>
          <w:rFonts w:ascii="Cambria" w:hAnsi="Cambria"/>
          <w:b/>
          <w:sz w:val="24"/>
          <w:szCs w:val="24"/>
        </w:rPr>
      </w:pPr>
    </w:p>
    <w:p w:rsidR="00D12C18" w:rsidRDefault="00D12C18" w:rsidP="00E91440">
      <w:pPr>
        <w:pStyle w:val="ListParagraph"/>
        <w:ind w:left="360"/>
        <w:rPr>
          <w:rFonts w:ascii="Cambria" w:hAnsi="Cambria"/>
          <w:sz w:val="24"/>
          <w:szCs w:val="24"/>
        </w:rPr>
      </w:pPr>
      <w:r>
        <w:rPr>
          <w:rFonts w:ascii="Cambria" w:hAnsi="Cambria"/>
          <w:sz w:val="24"/>
          <w:szCs w:val="24"/>
        </w:rPr>
        <w:t>California’s existing wood-fired heat and power industry is in serious trouble.  The industry has gone from 66 operating plants producing 957 megawatts (MW) down to the current level of 2</w:t>
      </w:r>
      <w:r w:rsidR="00DC1B1B">
        <w:rPr>
          <w:rFonts w:ascii="Cambria" w:hAnsi="Cambria"/>
          <w:sz w:val="24"/>
          <w:szCs w:val="24"/>
        </w:rPr>
        <w:t>1 operating plants and about 616</w:t>
      </w:r>
      <w:r>
        <w:rPr>
          <w:rFonts w:ascii="Cambria" w:hAnsi="Cambria"/>
          <w:sz w:val="24"/>
          <w:szCs w:val="24"/>
        </w:rPr>
        <w:t xml:space="preserve"> MW.  Closures will continue as energy price contracts expire</w:t>
      </w:r>
      <w:r w:rsidR="00DC1B1B">
        <w:rPr>
          <w:rFonts w:ascii="Cambria" w:hAnsi="Cambria"/>
          <w:sz w:val="24"/>
          <w:szCs w:val="24"/>
        </w:rPr>
        <w:t xml:space="preserve"> unless the environmental benefits are recognized in the energy price</w:t>
      </w:r>
      <w:r>
        <w:rPr>
          <w:rFonts w:ascii="Cambria" w:hAnsi="Cambria"/>
          <w:sz w:val="24"/>
          <w:szCs w:val="24"/>
        </w:rPr>
        <w:t>.</w:t>
      </w:r>
    </w:p>
    <w:p w:rsidR="00D12C18" w:rsidRDefault="00D12C18" w:rsidP="00D12C18">
      <w:pPr>
        <w:pStyle w:val="ListParagraph"/>
        <w:rPr>
          <w:rFonts w:ascii="Cambria" w:hAnsi="Cambria"/>
          <w:sz w:val="24"/>
          <w:szCs w:val="24"/>
        </w:rPr>
      </w:pPr>
    </w:p>
    <w:p w:rsidR="00E91440" w:rsidRDefault="00E91440" w:rsidP="00E91440">
      <w:pPr>
        <w:pStyle w:val="ListParagraph"/>
        <w:ind w:left="360"/>
        <w:rPr>
          <w:rFonts w:ascii="Cambria" w:hAnsi="Cambria"/>
          <w:sz w:val="24"/>
          <w:szCs w:val="24"/>
        </w:rPr>
      </w:pPr>
      <w:r>
        <w:rPr>
          <w:rFonts w:ascii="Cambria" w:hAnsi="Cambria"/>
          <w:sz w:val="24"/>
          <w:szCs w:val="24"/>
        </w:rPr>
        <w:t>California’s 2012 Bioenergy Action Plan calls for actions that will reduce the economic and regulatory barriers such that the wood-fired heat and power industry will expand to about 1,200 MW of operating capacity.</w:t>
      </w:r>
    </w:p>
    <w:p w:rsidR="00D12C18" w:rsidRPr="00D12C18" w:rsidRDefault="00D12C18" w:rsidP="00E91440">
      <w:pPr>
        <w:ind w:left="360"/>
        <w:rPr>
          <w:rFonts w:ascii="Cambria" w:hAnsi="Cambria"/>
          <w:sz w:val="24"/>
          <w:szCs w:val="24"/>
        </w:rPr>
      </w:pPr>
      <w:r>
        <w:rPr>
          <w:rFonts w:ascii="Cambria" w:hAnsi="Cambria"/>
          <w:sz w:val="24"/>
          <w:szCs w:val="24"/>
        </w:rPr>
        <w:t>There are three major hurdles to implement California’s 2012 Bioenergy Action Plan</w:t>
      </w:r>
      <w:r w:rsidR="00E91440">
        <w:rPr>
          <w:rFonts w:ascii="Cambria" w:hAnsi="Cambria"/>
          <w:sz w:val="24"/>
          <w:szCs w:val="24"/>
        </w:rPr>
        <w:t>:</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and implementing policies that</w:t>
      </w:r>
      <w:r w:rsidR="00C137D1">
        <w:rPr>
          <w:rFonts w:ascii="Cambria" w:hAnsi="Cambria"/>
          <w:sz w:val="24"/>
          <w:szCs w:val="24"/>
        </w:rPr>
        <w:t xml:space="preserve"> will compensate about ½ of the</w:t>
      </w:r>
      <w:r>
        <w:rPr>
          <w:rFonts w:ascii="Cambria" w:hAnsi="Cambria"/>
          <w:sz w:val="24"/>
          <w:szCs w:val="24"/>
        </w:rPr>
        <w:t xml:space="preserve"> </w:t>
      </w:r>
      <w:r w:rsidR="00F61BDB">
        <w:rPr>
          <w:rFonts w:ascii="Cambria" w:hAnsi="Cambria"/>
          <w:sz w:val="24"/>
          <w:szCs w:val="24"/>
        </w:rPr>
        <w:t>11 cents/kW of uncompensated ancillary benefits</w:t>
      </w:r>
      <w:r>
        <w:rPr>
          <w:rFonts w:ascii="Cambria" w:hAnsi="Cambria"/>
          <w:sz w:val="24"/>
          <w:szCs w:val="24"/>
        </w:rPr>
        <w:t xml:space="preserve"> associated with wood-fired heat </w:t>
      </w:r>
      <w:r>
        <w:rPr>
          <w:rFonts w:ascii="Cambria" w:hAnsi="Cambria"/>
          <w:sz w:val="24"/>
          <w:szCs w:val="24"/>
        </w:rPr>
        <w:lastRenderedPageBreak/>
        <w:t>and power (which would be additive to the current offering of about 3.5 cents/kW to match the cost of natural gas)</w:t>
      </w:r>
      <w:r w:rsidR="00F61BDB">
        <w:rPr>
          <w:rFonts w:ascii="Cambria" w:hAnsi="Cambria"/>
          <w:sz w:val="24"/>
          <w:szCs w:val="24"/>
        </w:rPr>
        <w:t>.</w:t>
      </w:r>
      <w:r>
        <w:rPr>
          <w:rFonts w:ascii="Cambria" w:hAnsi="Cambria"/>
          <w:sz w:val="24"/>
          <w:szCs w:val="24"/>
        </w:rPr>
        <w:t xml:space="preserve">  Hence the total energy price would around 9 cents/kW.</w:t>
      </w:r>
    </w:p>
    <w:p w:rsidR="008167BC" w:rsidRDefault="008167BC" w:rsidP="008167BC">
      <w:pPr>
        <w:pStyle w:val="ListParagraph"/>
        <w:autoSpaceDE w:val="0"/>
        <w:autoSpaceDN w:val="0"/>
        <w:adjustRightInd w:val="0"/>
        <w:spacing w:after="0" w:line="240" w:lineRule="auto"/>
        <w:ind w:left="1080"/>
        <w:rPr>
          <w:rFonts w:ascii="Cambria" w:hAnsi="Cambria"/>
          <w:sz w:val="24"/>
          <w:szCs w:val="24"/>
        </w:rPr>
      </w:pPr>
    </w:p>
    <w:p w:rsidR="008167BC"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biogenic boiler emissions are</w:t>
      </w:r>
      <w:r w:rsidR="00F61BDB">
        <w:rPr>
          <w:rFonts w:ascii="Cambria" w:hAnsi="Cambria"/>
          <w:sz w:val="24"/>
          <w:szCs w:val="24"/>
        </w:rPr>
        <w:t xml:space="preserve"> different than fossil emissions</w:t>
      </w:r>
    </w:p>
    <w:p w:rsidR="00F61BDB" w:rsidRPr="008167BC" w:rsidRDefault="00F61BDB" w:rsidP="008167BC">
      <w:pPr>
        <w:autoSpaceDE w:val="0"/>
        <w:autoSpaceDN w:val="0"/>
        <w:adjustRightInd w:val="0"/>
        <w:spacing w:after="0" w:line="240" w:lineRule="auto"/>
        <w:rPr>
          <w:rFonts w:ascii="Cambria" w:hAnsi="Cambria"/>
          <w:sz w:val="24"/>
          <w:szCs w:val="24"/>
        </w:rPr>
      </w:pPr>
      <w:r w:rsidRPr="008167BC">
        <w:rPr>
          <w:rFonts w:ascii="Cambria" w:hAnsi="Cambria"/>
          <w:sz w:val="24"/>
          <w:szCs w:val="24"/>
        </w:rPr>
        <w:t xml:space="preserve">  </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Avoiding and reversing any policies that lead to</w:t>
      </w:r>
      <w:r w:rsidR="00F61BDB">
        <w:rPr>
          <w:rFonts w:ascii="Cambria" w:hAnsi="Cambria"/>
          <w:sz w:val="24"/>
          <w:szCs w:val="24"/>
        </w:rPr>
        <w:t xml:space="preserve"> reduced forest harvest levels</w:t>
      </w:r>
      <w:r>
        <w:rPr>
          <w:rFonts w:ascii="Cambria" w:hAnsi="Cambria"/>
          <w:sz w:val="24"/>
          <w:szCs w:val="24"/>
        </w:rPr>
        <w:t xml:space="preserve">. </w:t>
      </w:r>
    </w:p>
    <w:p w:rsidR="00C137D1" w:rsidRDefault="00C137D1" w:rsidP="00C137D1">
      <w:pPr>
        <w:autoSpaceDE w:val="0"/>
        <w:autoSpaceDN w:val="0"/>
        <w:adjustRightInd w:val="0"/>
        <w:spacing w:after="0" w:line="240" w:lineRule="auto"/>
        <w:rPr>
          <w:rFonts w:ascii="Cambria" w:hAnsi="Cambria"/>
          <w:sz w:val="24"/>
          <w:szCs w:val="24"/>
        </w:rPr>
      </w:pPr>
    </w:p>
    <w:p w:rsidR="008167BC" w:rsidRDefault="00C137D1" w:rsidP="00C137D1">
      <w:pPr>
        <w:autoSpaceDE w:val="0"/>
        <w:autoSpaceDN w:val="0"/>
        <w:adjustRightInd w:val="0"/>
        <w:spacing w:after="0" w:line="240" w:lineRule="auto"/>
        <w:ind w:left="360"/>
        <w:rPr>
          <w:rFonts w:ascii="Cambria" w:hAnsi="Cambria"/>
          <w:sz w:val="24"/>
          <w:szCs w:val="24"/>
        </w:rPr>
      </w:pPr>
      <w:r>
        <w:rPr>
          <w:rFonts w:ascii="Cambria" w:hAnsi="Cambria"/>
          <w:sz w:val="24"/>
          <w:szCs w:val="24"/>
        </w:rPr>
        <w:t>Other benefits to actively managing California’s National Forests</w:t>
      </w:r>
      <w:r w:rsidR="008167BC">
        <w:rPr>
          <w:rFonts w:ascii="Cambria" w:hAnsi="Cambria"/>
          <w:sz w:val="24"/>
          <w:szCs w:val="24"/>
        </w:rPr>
        <w:t xml:space="preserve"> and implementing the 2012 Biomass Energy Action Plan</w:t>
      </w:r>
      <w:r>
        <w:rPr>
          <w:rFonts w:ascii="Cambria" w:hAnsi="Cambria"/>
          <w:sz w:val="24"/>
          <w:szCs w:val="24"/>
        </w:rPr>
        <w:t xml:space="preserve"> could include but not be limited to:</w:t>
      </w:r>
    </w:p>
    <w:p w:rsidR="008B4B7F" w:rsidRDefault="008B4B7F" w:rsidP="00C137D1">
      <w:pPr>
        <w:autoSpaceDE w:val="0"/>
        <w:autoSpaceDN w:val="0"/>
        <w:adjustRightInd w:val="0"/>
        <w:spacing w:after="0" w:line="240" w:lineRule="auto"/>
        <w:ind w:left="36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22% reduction in burned acres from wildfires and a drop in burn severity;</w:t>
      </w:r>
    </w:p>
    <w:p w:rsidR="008167BC" w:rsidRPr="008167BC" w:rsidRDefault="008167BC" w:rsidP="008167BC">
      <w:pPr>
        <w:pStyle w:val="ListParagraph"/>
        <w:autoSpaceDE w:val="0"/>
        <w:autoSpaceDN w:val="0"/>
        <w:adjustRightInd w:val="0"/>
        <w:spacing w:after="0" w:line="240" w:lineRule="auto"/>
        <w:ind w:left="114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a 65% reduction (11 million tons CO2equivalent) in net CO2 emissions and a 17,265 ton annual reduction in black carbon, including emissions associated with utilization of forest residues for biomass heat and power</w:t>
      </w:r>
      <w:r w:rsidR="005D3C3A">
        <w:rPr>
          <w:rFonts w:ascii="Cambria" w:hAnsi="Cambria"/>
          <w:sz w:val="24"/>
          <w:szCs w:val="24"/>
        </w:rPr>
        <w:t xml:space="preserve"> on a 2.7 million acre landscape that was modeled for 1.97 million acres of vegetation treatments over a 40 year time horizon;</w:t>
      </w:r>
    </w:p>
    <w:p w:rsidR="008167BC" w:rsidRPr="008167BC" w:rsidRDefault="008167BC" w:rsidP="008167BC">
      <w:pPr>
        <w:autoSpaceDE w:val="0"/>
        <w:autoSpaceDN w:val="0"/>
        <w:adjustRightInd w:val="0"/>
        <w:spacing w:after="0" w:line="240" w:lineRule="auto"/>
        <w:rPr>
          <w:rFonts w:ascii="Cambria" w:hAnsi="Cambria"/>
          <w:sz w:val="24"/>
          <w:szCs w:val="24"/>
        </w:rPr>
      </w:pPr>
    </w:p>
    <w:p w:rsidR="00C137D1"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 million acre-feet more water yiel</w:t>
      </w:r>
      <w:r w:rsidR="005D3C3A">
        <w:rPr>
          <w:rFonts w:ascii="Cambria" w:hAnsi="Cambria"/>
          <w:sz w:val="24"/>
          <w:szCs w:val="24"/>
        </w:rPr>
        <w:t>d annually, and</w:t>
      </w:r>
    </w:p>
    <w:p w:rsidR="008167BC" w:rsidRDefault="008167BC" w:rsidP="008167BC">
      <w:pPr>
        <w:pStyle w:val="ListParagraph"/>
        <w:rPr>
          <w:rFonts w:ascii="Cambria" w:hAnsi="Cambria"/>
          <w:sz w:val="24"/>
          <w:szCs w:val="24"/>
        </w:rPr>
      </w:pPr>
    </w:p>
    <w:p w:rsidR="008167BC" w:rsidRPr="008167BC" w:rsidRDefault="008167BC" w:rsidP="008167BC">
      <w:pPr>
        <w:pStyle w:val="ListParagraph"/>
        <w:numPr>
          <w:ilvl w:val="0"/>
          <w:numId w:val="27"/>
        </w:numPr>
        <w:rPr>
          <w:rFonts w:ascii="Cambria" w:hAnsi="Cambria"/>
          <w:sz w:val="24"/>
          <w:szCs w:val="24"/>
        </w:rPr>
      </w:pPr>
      <w:r>
        <w:rPr>
          <w:rFonts w:ascii="Cambria" w:hAnsi="Cambria"/>
          <w:sz w:val="24"/>
          <w:szCs w:val="24"/>
        </w:rPr>
        <w:t>Recognition that utilizing wood residues for biomass heat and power in lieu of open burning and/or decomposition can provide an 85-100% reduction in criteria pollutants.</w:t>
      </w:r>
    </w:p>
    <w:p w:rsidR="00C137D1"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#1 and #2 above, </w:t>
      </w:r>
      <w:r w:rsidR="00DF7928">
        <w:rPr>
          <w:rFonts w:ascii="Cambria" w:hAnsi="Cambria"/>
          <w:sz w:val="24"/>
          <w:szCs w:val="24"/>
        </w:rPr>
        <w:t>w</w:t>
      </w:r>
      <w:r w:rsidR="008167BC">
        <w:rPr>
          <w:rFonts w:ascii="Cambria" w:hAnsi="Cambria"/>
          <w:sz w:val="24"/>
          <w:szCs w:val="24"/>
        </w:rPr>
        <w:t xml:space="preserve">ithout a major change in vegetation management direction on California’s National Forests, the </w:t>
      </w:r>
      <w:r w:rsidR="00DF7928">
        <w:rPr>
          <w:rFonts w:ascii="Cambria" w:hAnsi="Cambria"/>
          <w:sz w:val="24"/>
          <w:szCs w:val="24"/>
        </w:rPr>
        <w:t xml:space="preserve">national </w:t>
      </w:r>
      <w:r w:rsidR="008167BC">
        <w:rPr>
          <w:rFonts w:ascii="Cambria" w:hAnsi="Cambria"/>
          <w:sz w:val="24"/>
          <w:szCs w:val="24"/>
        </w:rPr>
        <w:t>forests will continue to get denser and denser and denser leading to larger and more severe wildfires and more insect and disease damage.</w:t>
      </w:r>
      <w:r>
        <w:rPr>
          <w:rFonts w:ascii="Cambria" w:hAnsi="Cambria"/>
          <w:sz w:val="24"/>
          <w:szCs w:val="24"/>
        </w:rPr>
        <w:t xml:space="preserve">  With active management, returning the forest to a resilient condition could result in </w:t>
      </w:r>
      <w:r w:rsidR="00C137D1">
        <w:rPr>
          <w:rFonts w:ascii="Cambria" w:hAnsi="Cambria"/>
          <w:sz w:val="24"/>
          <w:szCs w:val="24"/>
        </w:rPr>
        <w:t>a</w:t>
      </w:r>
      <w:r w:rsidR="005D3C3A">
        <w:rPr>
          <w:rFonts w:ascii="Cambria" w:hAnsi="Cambria"/>
          <w:sz w:val="24"/>
          <w:szCs w:val="24"/>
        </w:rPr>
        <w:t xml:space="preserve"> significant net emission reduction from active forest land management on California’s National Forests and non-industrial private forest lands.</w:t>
      </w:r>
    </w:p>
    <w:p w:rsidR="008B4B7F" w:rsidRDefault="008B4B7F"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#3, </w:t>
      </w:r>
      <w:r w:rsidR="00A50EF0">
        <w:rPr>
          <w:rFonts w:ascii="Cambria" w:hAnsi="Cambria"/>
          <w:sz w:val="24"/>
          <w:szCs w:val="24"/>
        </w:rPr>
        <w:t>for scale 2 million acre-feet is about ½ of the total annual surface water request from crop agriculture in the San Joaquin Valley</w:t>
      </w:r>
    </w:p>
    <w:p w:rsidR="00A50EF0" w:rsidRDefault="00A50EF0"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#4 – </w:t>
      </w:r>
      <w:r w:rsidR="00F83118">
        <w:rPr>
          <w:rFonts w:ascii="Cambria" w:hAnsi="Cambria"/>
          <w:sz w:val="24"/>
          <w:szCs w:val="24"/>
        </w:rPr>
        <w:t>There is a 17% reduction</w:t>
      </w:r>
      <w:r w:rsidR="00A8350C">
        <w:rPr>
          <w:rFonts w:ascii="Cambria" w:hAnsi="Cambria"/>
          <w:sz w:val="24"/>
          <w:szCs w:val="24"/>
        </w:rPr>
        <w:t xml:space="preserve"> in criteria pollutants</w:t>
      </w:r>
      <w:r w:rsidR="00D25D21">
        <w:rPr>
          <w:rFonts w:ascii="Cambria" w:hAnsi="Cambria"/>
          <w:sz w:val="24"/>
          <w:szCs w:val="24"/>
        </w:rPr>
        <w:t xml:space="preserve"> and a 96</w:t>
      </w:r>
      <w:r w:rsidR="00F83118">
        <w:rPr>
          <w:rFonts w:ascii="Cambria" w:hAnsi="Cambria"/>
          <w:sz w:val="24"/>
          <w:szCs w:val="24"/>
        </w:rPr>
        <w:t>% reduction in Particulate Matter</w:t>
      </w:r>
      <w:r w:rsidR="00A8350C">
        <w:rPr>
          <w:rFonts w:ascii="Cambria" w:hAnsi="Cambria"/>
          <w:sz w:val="24"/>
          <w:szCs w:val="24"/>
        </w:rPr>
        <w:t xml:space="preserve"> from burning wood residue in a biomass powerplant boiler versus open pile burning</w:t>
      </w:r>
      <w:r w:rsidR="00F83118">
        <w:rPr>
          <w:rFonts w:ascii="Cambria" w:hAnsi="Cambria"/>
          <w:sz w:val="24"/>
          <w:szCs w:val="24"/>
        </w:rPr>
        <w:t>.  Thes</w:t>
      </w:r>
      <w:r w:rsidR="00D86D0B">
        <w:rPr>
          <w:rFonts w:ascii="Cambria" w:hAnsi="Cambria"/>
          <w:sz w:val="24"/>
          <w:szCs w:val="24"/>
        </w:rPr>
        <w:t>e measurements were published</w:t>
      </w:r>
      <w:r w:rsidR="00F83118">
        <w:rPr>
          <w:rFonts w:ascii="Cambria" w:hAnsi="Cambria"/>
          <w:sz w:val="24"/>
          <w:szCs w:val="24"/>
        </w:rPr>
        <w:t xml:space="preserve"> in 1999 by Dr. Gregg Morris’</w:t>
      </w:r>
      <w:r w:rsidR="00A8474C">
        <w:rPr>
          <w:rFonts w:ascii="Cambria" w:hAnsi="Cambria"/>
          <w:sz w:val="24"/>
          <w:szCs w:val="24"/>
        </w:rPr>
        <w:t xml:space="preserve"> “Value of Biomass Power</w:t>
      </w:r>
      <w:r w:rsidR="00F83118">
        <w:rPr>
          <w:rFonts w:ascii="Cambria" w:hAnsi="Cambria"/>
          <w:sz w:val="24"/>
          <w:szCs w:val="24"/>
        </w:rPr>
        <w:t>”</w:t>
      </w:r>
      <w:r w:rsidR="00A8474C">
        <w:rPr>
          <w:rFonts w:ascii="Cambria" w:hAnsi="Cambria"/>
          <w:sz w:val="24"/>
          <w:szCs w:val="24"/>
        </w:rPr>
        <w:t xml:space="preserve"> </w:t>
      </w:r>
      <w:r w:rsidR="006D1E39">
        <w:rPr>
          <w:rFonts w:ascii="Cambria" w:hAnsi="Cambria"/>
          <w:sz w:val="24"/>
          <w:szCs w:val="24"/>
        </w:rPr>
        <w:t xml:space="preserve">and </w:t>
      </w:r>
      <w:r w:rsidR="00F83118">
        <w:rPr>
          <w:rFonts w:ascii="Cambria" w:hAnsi="Cambria"/>
          <w:sz w:val="24"/>
          <w:szCs w:val="24"/>
        </w:rPr>
        <w:t xml:space="preserve">verified in a 2010 study by Bruce </w:t>
      </w:r>
      <w:r w:rsidR="006D1E39">
        <w:rPr>
          <w:rFonts w:ascii="Cambria" w:hAnsi="Cambria"/>
          <w:sz w:val="24"/>
          <w:szCs w:val="24"/>
        </w:rPr>
        <w:t>S</w:t>
      </w:r>
      <w:r w:rsidR="00F83118">
        <w:rPr>
          <w:rFonts w:ascii="Cambria" w:hAnsi="Cambria"/>
          <w:sz w:val="24"/>
          <w:szCs w:val="24"/>
        </w:rPr>
        <w:t>pringsteen etal “</w:t>
      </w:r>
      <w:r w:rsidR="006D1E39">
        <w:rPr>
          <w:rFonts w:ascii="Cambria" w:hAnsi="Cambria"/>
          <w:sz w:val="24"/>
          <w:szCs w:val="24"/>
        </w:rPr>
        <w:t>Emission Reductions from Woody Biomass Waste for Energy as an Alternative to Open Burning”</w:t>
      </w:r>
      <w:r w:rsidR="00F83118">
        <w:rPr>
          <w:rFonts w:ascii="Cambria" w:hAnsi="Cambria"/>
          <w:sz w:val="24"/>
          <w:szCs w:val="24"/>
        </w:rPr>
        <w:t>.   Bruce Springsteen etal have again verified similar outcomes in a new study 2015. Springsteen etal. “Forest biomass diversion in the Sierra Nevada: Energy, economics, and emissions.”</w:t>
      </w:r>
    </w:p>
    <w:p w:rsidR="00DF7928" w:rsidRDefault="00DF7928" w:rsidP="008B4B7F"/>
    <w:p w:rsidR="00175925" w:rsidRDefault="00A8350C" w:rsidP="00A8350C">
      <w:pPr>
        <w:autoSpaceDE w:val="0"/>
        <w:autoSpaceDN w:val="0"/>
        <w:adjustRightInd w:val="0"/>
        <w:spacing w:after="0" w:line="240" w:lineRule="auto"/>
        <w:ind w:left="360"/>
        <w:rPr>
          <w:rFonts w:ascii="Cambria" w:hAnsi="Cambria"/>
          <w:sz w:val="24"/>
          <w:szCs w:val="24"/>
        </w:rPr>
      </w:pPr>
      <w:r w:rsidRPr="00A8350C">
        <w:rPr>
          <w:rFonts w:ascii="Cambria" w:hAnsi="Cambria"/>
          <w:sz w:val="24"/>
          <w:szCs w:val="24"/>
        </w:rPr>
        <w:lastRenderedPageBreak/>
        <w:t xml:space="preserve">The reduced criteria pollutants with the current 600 MW operating capacity of the Biomass Powerplant industry is </w:t>
      </w:r>
      <w:r w:rsidR="005B02BD">
        <w:rPr>
          <w:rFonts w:ascii="Cambria" w:hAnsi="Cambria"/>
          <w:sz w:val="24"/>
          <w:szCs w:val="24"/>
        </w:rPr>
        <w:t xml:space="preserve">annually </w:t>
      </w:r>
      <w:r w:rsidRPr="00A8350C">
        <w:rPr>
          <w:rFonts w:ascii="Cambria" w:hAnsi="Cambria"/>
          <w:sz w:val="24"/>
          <w:szCs w:val="24"/>
        </w:rPr>
        <w:t>about</w:t>
      </w:r>
      <w:r w:rsidR="005B02BD">
        <w:rPr>
          <w:rFonts w:ascii="Cambria" w:hAnsi="Cambria"/>
          <w:sz w:val="24"/>
          <w:szCs w:val="24"/>
        </w:rPr>
        <w:t xml:space="preserve"> 17% (</w:t>
      </w:r>
      <w:r w:rsidRPr="00A8350C">
        <w:rPr>
          <w:rFonts w:ascii="Cambria" w:hAnsi="Cambria"/>
          <w:sz w:val="24"/>
          <w:szCs w:val="24"/>
        </w:rPr>
        <w:t>1.8 million tons of CO2e</w:t>
      </w:r>
      <w:r w:rsidR="005B02BD">
        <w:rPr>
          <w:rFonts w:ascii="Cambria" w:hAnsi="Cambria"/>
          <w:sz w:val="24"/>
          <w:szCs w:val="24"/>
        </w:rPr>
        <w:t>)</w:t>
      </w:r>
      <w:r w:rsidRPr="00A8350C">
        <w:rPr>
          <w:rFonts w:ascii="Cambria" w:hAnsi="Cambria"/>
          <w:sz w:val="24"/>
          <w:szCs w:val="24"/>
        </w:rPr>
        <w:t xml:space="preserve"> and </w:t>
      </w:r>
      <w:r w:rsidR="005B02BD">
        <w:rPr>
          <w:rFonts w:ascii="Cambria" w:hAnsi="Cambria"/>
          <w:sz w:val="24"/>
          <w:szCs w:val="24"/>
        </w:rPr>
        <w:t>96% (</w:t>
      </w:r>
      <w:r w:rsidRPr="00A8350C">
        <w:rPr>
          <w:rFonts w:ascii="Cambria" w:hAnsi="Cambria"/>
          <w:sz w:val="24"/>
          <w:szCs w:val="24"/>
        </w:rPr>
        <w:t>28,000 tons</w:t>
      </w:r>
      <w:r w:rsidR="005B02BD">
        <w:rPr>
          <w:rFonts w:ascii="Cambria" w:hAnsi="Cambria"/>
          <w:sz w:val="24"/>
          <w:szCs w:val="24"/>
        </w:rPr>
        <w:t>)</w:t>
      </w:r>
      <w:r w:rsidRPr="00A8350C">
        <w:rPr>
          <w:rFonts w:ascii="Cambria" w:hAnsi="Cambria"/>
          <w:sz w:val="24"/>
          <w:szCs w:val="24"/>
        </w:rPr>
        <w:t xml:space="preserve"> of particulate matter.  If the 2012 Bioenergy Action Plan were fully implemented increasing the operating capacity to 1,200 MW, the values of reduced criteria pollutants would double.</w:t>
      </w:r>
      <w:r w:rsidR="00F83118">
        <w:rPr>
          <w:rFonts w:ascii="Cambria" w:hAnsi="Cambria"/>
          <w:sz w:val="24"/>
          <w:szCs w:val="24"/>
        </w:rPr>
        <w:t xml:space="preserve">  Through the cap-and-trade offsets program, CO2e is selling for about $11/ton.  Particulate Matter was estimated to have a $2,500/ton value in 1999; today the Carl Moyer Program </w:t>
      </w:r>
      <w:r w:rsidR="00D25D21">
        <w:rPr>
          <w:rFonts w:ascii="Cambria" w:hAnsi="Cambria"/>
          <w:sz w:val="24"/>
          <w:szCs w:val="24"/>
        </w:rPr>
        <w:t xml:space="preserve">incentives put the equivalent value at </w:t>
      </w:r>
      <w:r w:rsidR="00F83118">
        <w:rPr>
          <w:rFonts w:ascii="Cambria" w:hAnsi="Cambria"/>
          <w:sz w:val="24"/>
          <w:szCs w:val="24"/>
        </w:rPr>
        <w:t>up to $16,000/ton.</w:t>
      </w:r>
      <w:r w:rsidR="005B02BD">
        <w:rPr>
          <w:rFonts w:ascii="Cambria" w:hAnsi="Cambria"/>
          <w:sz w:val="24"/>
          <w:szCs w:val="24"/>
        </w:rPr>
        <w:t xml:space="preserve"> </w:t>
      </w:r>
    </w:p>
    <w:p w:rsidR="00175925" w:rsidRDefault="00175925">
      <w:pPr>
        <w:rPr>
          <w:rFonts w:ascii="Cambria" w:hAnsi="Cambria"/>
          <w:sz w:val="24"/>
          <w:szCs w:val="24"/>
        </w:rPr>
      </w:pPr>
      <w:r>
        <w:rPr>
          <w:rFonts w:ascii="Cambria" w:hAnsi="Cambria"/>
          <w:sz w:val="24"/>
          <w:szCs w:val="24"/>
        </w:rPr>
        <w:br w:type="page"/>
      </w:r>
    </w:p>
    <w:p w:rsidR="00A8350C" w:rsidRPr="00A8350C" w:rsidRDefault="00A8350C" w:rsidP="00A8350C">
      <w:pPr>
        <w:autoSpaceDE w:val="0"/>
        <w:autoSpaceDN w:val="0"/>
        <w:adjustRightInd w:val="0"/>
        <w:spacing w:after="0" w:line="240" w:lineRule="auto"/>
        <w:ind w:left="360"/>
        <w:rPr>
          <w:rFonts w:ascii="Cambria" w:hAnsi="Cambria"/>
          <w:sz w:val="24"/>
          <w:szCs w:val="24"/>
        </w:rPr>
      </w:pPr>
    </w:p>
    <w:p w:rsidR="00A8350C" w:rsidRDefault="00A8350C" w:rsidP="008B4B7F"/>
    <w:p w:rsidR="00AA3DA5" w:rsidRPr="00086540"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History of and current situation with California’s Wood-Fired Heat and Power Industry</w:t>
      </w:r>
    </w:p>
    <w:p w:rsidR="00CD35DE" w:rsidRDefault="00CD35DE" w:rsidP="00CD35DE">
      <w:pPr>
        <w:pStyle w:val="ListParagraph"/>
        <w:rPr>
          <w:rFonts w:ascii="Cambria" w:hAnsi="Cambria"/>
          <w:sz w:val="24"/>
          <w:szCs w:val="24"/>
        </w:rPr>
      </w:pPr>
    </w:p>
    <w:p w:rsidR="00CD35DE" w:rsidRDefault="007F5AA2" w:rsidP="00086540">
      <w:pPr>
        <w:pStyle w:val="ListParagraph"/>
        <w:ind w:left="360"/>
        <w:rPr>
          <w:rFonts w:ascii="Cambria" w:hAnsi="Cambria"/>
          <w:sz w:val="24"/>
          <w:szCs w:val="24"/>
        </w:rPr>
      </w:pPr>
      <w:r>
        <w:rPr>
          <w:rFonts w:ascii="Cambria" w:hAnsi="Cambria"/>
          <w:sz w:val="24"/>
          <w:szCs w:val="24"/>
        </w:rPr>
        <w:t xml:space="preserve">The California wood-fired powerplant </w:t>
      </w:r>
      <w:r w:rsidR="00CD35DE">
        <w:rPr>
          <w:rFonts w:ascii="Cambria" w:hAnsi="Cambria"/>
          <w:sz w:val="24"/>
          <w:szCs w:val="24"/>
        </w:rPr>
        <w:t>Industry was born during the 1</w:t>
      </w:r>
      <w:r w:rsidR="00CD35DE" w:rsidRPr="00CD35DE">
        <w:rPr>
          <w:rFonts w:ascii="Cambria" w:hAnsi="Cambria"/>
          <w:sz w:val="24"/>
          <w:szCs w:val="24"/>
          <w:vertAlign w:val="superscript"/>
        </w:rPr>
        <w:t>st</w:t>
      </w:r>
      <w:r w:rsidR="00CD35DE">
        <w:rPr>
          <w:rFonts w:ascii="Cambria" w:hAnsi="Cambria"/>
          <w:sz w:val="24"/>
          <w:szCs w:val="24"/>
        </w:rPr>
        <w:t xml:space="preserve"> term of Governor Jerry Brown where California made a lucrative incentive of a 12 cent/kW</w:t>
      </w:r>
      <w:r>
        <w:rPr>
          <w:rFonts w:ascii="Cambria" w:hAnsi="Cambria"/>
          <w:sz w:val="24"/>
          <w:szCs w:val="24"/>
        </w:rPr>
        <w:t>h</w:t>
      </w:r>
      <w:r w:rsidR="00CD35DE">
        <w:rPr>
          <w:rFonts w:ascii="Cambria" w:hAnsi="Cambria"/>
          <w:sz w:val="24"/>
          <w:szCs w:val="24"/>
        </w:rPr>
        <w:t xml:space="preserve"> price floor for power purchas</w:t>
      </w:r>
      <w:r>
        <w:rPr>
          <w:rFonts w:ascii="Cambria" w:hAnsi="Cambria"/>
          <w:sz w:val="24"/>
          <w:szCs w:val="24"/>
        </w:rPr>
        <w:t>e agreements.  The result was 66</w:t>
      </w:r>
      <w:r w:rsidR="00CD35DE">
        <w:rPr>
          <w:rFonts w:ascii="Cambria" w:hAnsi="Cambria"/>
          <w:sz w:val="24"/>
          <w:szCs w:val="24"/>
        </w:rPr>
        <w:t xml:space="preserve"> powerplants constructed in about a 10 year period p</w:t>
      </w:r>
      <w:r>
        <w:rPr>
          <w:rFonts w:ascii="Cambria" w:hAnsi="Cambria"/>
          <w:sz w:val="24"/>
          <w:szCs w:val="24"/>
        </w:rPr>
        <w:t>roducing a total of nearly 957</w:t>
      </w:r>
      <w:r w:rsidR="00CD35DE">
        <w:rPr>
          <w:rFonts w:ascii="Cambria" w:hAnsi="Cambria"/>
          <w:sz w:val="24"/>
          <w:szCs w:val="24"/>
        </w:rPr>
        <w:t xml:space="preserve"> Megawatts (MW).</w:t>
      </w:r>
    </w:p>
    <w:p w:rsidR="00CD35DE" w:rsidRDefault="00CD35DE" w:rsidP="00086540">
      <w:pPr>
        <w:pStyle w:val="ListParagraph"/>
        <w:ind w:left="360"/>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However, in the 1990’s, the 12 cent price floor went away and as the energy price renewal dates arrived for the power purcha</w:t>
      </w:r>
      <w:r w:rsidRPr="00CD35DE">
        <w:rPr>
          <w:rFonts w:ascii="Cambria" w:hAnsi="Cambria"/>
          <w:sz w:val="24"/>
          <w:szCs w:val="24"/>
        </w:rPr>
        <w:t>se agreements, the renewa</w:t>
      </w:r>
      <w:r>
        <w:rPr>
          <w:rFonts w:ascii="Cambria" w:hAnsi="Cambria"/>
          <w:sz w:val="24"/>
          <w:szCs w:val="24"/>
        </w:rPr>
        <w:t>l price started dropping and plants started disappearing.</w:t>
      </w:r>
    </w:p>
    <w:p w:rsidR="00CD35DE" w:rsidRDefault="00CD35DE" w:rsidP="00086540">
      <w:pPr>
        <w:pStyle w:val="ListParagraph"/>
        <w:ind w:left="360"/>
        <w:rPr>
          <w:rFonts w:ascii="Cambria" w:hAnsi="Cambria"/>
          <w:sz w:val="24"/>
          <w:szCs w:val="24"/>
        </w:rPr>
      </w:pPr>
    </w:p>
    <w:p w:rsidR="00514039" w:rsidRDefault="00CD35DE" w:rsidP="00086540">
      <w:pPr>
        <w:pStyle w:val="ListParagraph"/>
        <w:ind w:left="360"/>
        <w:rPr>
          <w:rFonts w:ascii="Cambria" w:hAnsi="Cambria"/>
          <w:sz w:val="24"/>
          <w:szCs w:val="24"/>
        </w:rPr>
      </w:pPr>
      <w:r>
        <w:rPr>
          <w:rFonts w:ascii="Cambria" w:hAnsi="Cambria"/>
          <w:sz w:val="24"/>
          <w:szCs w:val="24"/>
        </w:rPr>
        <w:t>In the past few years, many powerplants have closed because of the energy price being set too low to be able to operate</w:t>
      </w:r>
      <w:r w:rsidR="00192D57">
        <w:rPr>
          <w:rFonts w:ascii="Cambria" w:hAnsi="Cambria"/>
          <w:sz w:val="24"/>
          <w:szCs w:val="24"/>
        </w:rPr>
        <w:t xml:space="preserve"> (Enclosure #1)</w:t>
      </w:r>
      <w:r>
        <w:rPr>
          <w:rFonts w:ascii="Cambria" w:hAnsi="Cambria"/>
          <w:sz w:val="24"/>
          <w:szCs w:val="24"/>
        </w:rPr>
        <w:t xml:space="preserve">.  Many of the plants were essentially required to compete with the price of natural gas which has been and continues to be at about 3.5 cents/kW.  </w:t>
      </w:r>
      <w:r w:rsidR="00514039">
        <w:rPr>
          <w:rFonts w:ascii="Cambria" w:hAnsi="Cambria"/>
          <w:sz w:val="24"/>
          <w:szCs w:val="24"/>
        </w:rPr>
        <w:t>Since 2002, eleven powerplants have closed</w:t>
      </w:r>
      <w:r w:rsidR="00192D57">
        <w:rPr>
          <w:rFonts w:ascii="Cambria" w:hAnsi="Cambria"/>
          <w:sz w:val="24"/>
          <w:szCs w:val="24"/>
        </w:rPr>
        <w:t xml:space="preserve"> </w:t>
      </w:r>
      <w:r w:rsidR="007F5AA2">
        <w:rPr>
          <w:rFonts w:ascii="Cambria" w:hAnsi="Cambria"/>
          <w:sz w:val="24"/>
          <w:szCs w:val="24"/>
        </w:rPr>
        <w:t xml:space="preserve">(Enclosure #1) </w:t>
      </w:r>
      <w:r w:rsidR="00192D57">
        <w:rPr>
          <w:rFonts w:ascii="Cambria" w:hAnsi="Cambria"/>
          <w:sz w:val="24"/>
          <w:szCs w:val="24"/>
        </w:rPr>
        <w:t>leaving 21</w:t>
      </w:r>
      <w:r w:rsidR="002F5F6F">
        <w:rPr>
          <w:rFonts w:ascii="Cambria" w:hAnsi="Cambria"/>
          <w:sz w:val="24"/>
          <w:szCs w:val="24"/>
        </w:rPr>
        <w:t xml:space="preserve"> of the original 66</w:t>
      </w:r>
      <w:r w:rsidR="00192D57">
        <w:rPr>
          <w:rFonts w:ascii="Cambria" w:hAnsi="Cambria"/>
          <w:sz w:val="24"/>
          <w:szCs w:val="24"/>
        </w:rPr>
        <w:t xml:space="preserve"> powerplants</w:t>
      </w:r>
      <w:r w:rsidR="007F5AA2">
        <w:rPr>
          <w:rFonts w:ascii="Cambria" w:hAnsi="Cambria"/>
          <w:sz w:val="24"/>
          <w:szCs w:val="24"/>
        </w:rPr>
        <w:t xml:space="preserve"> (Enclosure #2) </w:t>
      </w:r>
      <w:r w:rsidR="00192D57">
        <w:rPr>
          <w:rFonts w:ascii="Cambria" w:hAnsi="Cambria"/>
          <w:sz w:val="24"/>
          <w:szCs w:val="24"/>
        </w:rPr>
        <w:t>still operating; the eleven closed plants</w:t>
      </w:r>
      <w:r w:rsidR="00514039">
        <w:rPr>
          <w:rFonts w:ascii="Cambria" w:hAnsi="Cambria"/>
          <w:sz w:val="24"/>
          <w:szCs w:val="24"/>
        </w:rPr>
        <w:t xml:space="preserve"> are:</w:t>
      </w:r>
    </w:p>
    <w:p w:rsidR="00514039" w:rsidRDefault="00514039" w:rsidP="00CD35DE">
      <w:pPr>
        <w:pStyle w:val="ListParagraph"/>
        <w:rPr>
          <w:rFonts w:ascii="Cambria" w:hAnsi="Cambria"/>
          <w:sz w:val="24"/>
          <w:szCs w:val="24"/>
        </w:rPr>
      </w:pPr>
    </w:p>
    <w:tbl>
      <w:tblPr>
        <w:tblStyle w:val="TableGrid"/>
        <w:tblW w:w="0" w:type="auto"/>
        <w:tblInd w:w="720" w:type="dxa"/>
        <w:tblLook w:val="04A0" w:firstRow="1" w:lastRow="0" w:firstColumn="1" w:lastColumn="0" w:noHBand="0" w:noVBand="1"/>
      </w:tblPr>
      <w:tblGrid>
        <w:gridCol w:w="2905"/>
        <w:gridCol w:w="2841"/>
        <w:gridCol w:w="2884"/>
      </w:tblGrid>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Powerplant Name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Year Closed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Operating Capacity</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Blue Lake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2015</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Burney</w:t>
            </w:r>
            <w:r w:rsidR="00366E15">
              <w:rPr>
                <w:rFonts w:ascii="Cambria" w:hAnsi="Cambria"/>
                <w:sz w:val="24"/>
                <w:szCs w:val="24"/>
              </w:rPr>
              <w:t xml:space="preserve"> </w:t>
            </w:r>
            <w:r>
              <w:rPr>
                <w:rFonts w:ascii="Cambria" w:hAnsi="Cambria"/>
                <w:sz w:val="24"/>
                <w:szCs w:val="24"/>
              </w:rPr>
              <w:t>Mountain Power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Bieber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 xml:space="preserve">  7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Loyalton</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2009</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10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Madera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2013</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Mendota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Oroville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Scotia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Terra Bella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9.5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Tracy</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Westwood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bl>
    <w:p w:rsidR="00CD35DE" w:rsidRPr="00514039" w:rsidRDefault="00CD35DE" w:rsidP="00514039">
      <w:pPr>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Stand-alone biomass powerplants of 10-50 MW need 8.5-10 cents/kW to operate.  Co-generation plants that are part of an integrated system with a sawmill can produce power to run the entire complex and provide the steam to run the dry kilns.  This configuration generally means the powerplant can run at 5-7 cents/kW because the mill residues provide a substantial percentage of the needed feedstock to run the powerplant.</w:t>
      </w:r>
      <w:r w:rsidR="007F5AA2">
        <w:rPr>
          <w:rFonts w:ascii="Cambria" w:hAnsi="Cambria"/>
          <w:sz w:val="24"/>
          <w:szCs w:val="24"/>
        </w:rPr>
        <w:t xml:space="preserve">  In many cases, the co-gen powerplant was sized with the sawmill so that the mil</w:t>
      </w:r>
      <w:r w:rsidR="00F50F3E">
        <w:rPr>
          <w:rFonts w:ascii="Cambria" w:hAnsi="Cambria"/>
          <w:sz w:val="24"/>
          <w:szCs w:val="24"/>
        </w:rPr>
        <w:t>l residues generally provide most of</w:t>
      </w:r>
      <w:r w:rsidR="007F5AA2">
        <w:rPr>
          <w:rFonts w:ascii="Cambria" w:hAnsi="Cambria"/>
          <w:sz w:val="24"/>
          <w:szCs w:val="24"/>
        </w:rPr>
        <w:t xml:space="preserve"> the needed feedstock although some </w:t>
      </w:r>
      <w:r w:rsidR="007F5AA2">
        <w:rPr>
          <w:rFonts w:ascii="Cambria" w:hAnsi="Cambria"/>
          <w:sz w:val="24"/>
          <w:szCs w:val="24"/>
        </w:rPr>
        <w:lastRenderedPageBreak/>
        <w:t>additional chips are needed to mix with the mill residues to get a higher efficiency burn in the boiler.</w:t>
      </w:r>
    </w:p>
    <w:p w:rsidR="00CD35DE" w:rsidRDefault="00CD35DE" w:rsidP="00CD35DE">
      <w:pPr>
        <w:pStyle w:val="ListParagraph"/>
        <w:rPr>
          <w:rFonts w:ascii="Cambria" w:hAnsi="Cambria"/>
          <w:sz w:val="24"/>
          <w:szCs w:val="24"/>
        </w:rPr>
      </w:pPr>
    </w:p>
    <w:p w:rsidR="00CD35DE" w:rsidRDefault="00FF55C3" w:rsidP="00086540">
      <w:pPr>
        <w:pStyle w:val="ListParagraph"/>
        <w:ind w:left="360"/>
        <w:rPr>
          <w:rFonts w:ascii="Cambria" w:hAnsi="Cambria"/>
          <w:sz w:val="24"/>
          <w:szCs w:val="24"/>
        </w:rPr>
      </w:pPr>
      <w:r>
        <w:rPr>
          <w:rFonts w:ascii="Cambria" w:hAnsi="Cambria"/>
          <w:sz w:val="24"/>
          <w:szCs w:val="24"/>
        </w:rPr>
        <w:t>As recent as August 22, 2012 with California’s press release of its 2012 Bioenergy Action Plan, the Plan at p. 4 states:</w:t>
      </w:r>
    </w:p>
    <w:p w:rsidR="001E6120" w:rsidRDefault="001E6120" w:rsidP="00CD35DE">
      <w:pPr>
        <w:pStyle w:val="ListParagraph"/>
        <w:rPr>
          <w:rFonts w:ascii="Cambria" w:hAnsi="Cambria"/>
          <w:sz w:val="24"/>
          <w:szCs w:val="24"/>
        </w:rPr>
      </w:pPr>
    </w:p>
    <w:p w:rsidR="00FF55C3" w:rsidRDefault="00FF55C3" w:rsidP="00086540">
      <w:pPr>
        <w:pStyle w:val="ListParagraph"/>
        <w:ind w:left="540"/>
        <w:rPr>
          <w:rFonts w:ascii="Cambria" w:hAnsi="Cambria"/>
          <w:sz w:val="24"/>
          <w:szCs w:val="24"/>
          <w:u w:val="single"/>
        </w:rPr>
      </w:pPr>
      <w:r>
        <w:rPr>
          <w:rFonts w:ascii="Cambria" w:hAnsi="Cambria"/>
          <w:sz w:val="24"/>
          <w:szCs w:val="24"/>
        </w:rPr>
        <w:t>“</w:t>
      </w:r>
      <w:r w:rsidRPr="00FF55C3">
        <w:rPr>
          <w:rFonts w:ascii="Cambria" w:hAnsi="Cambria"/>
          <w:sz w:val="24"/>
          <w:szCs w:val="24"/>
        </w:rPr>
        <w:t xml:space="preserve">California currently </w:t>
      </w:r>
      <w:r>
        <w:rPr>
          <w:rFonts w:ascii="Cambria" w:hAnsi="Cambria"/>
          <w:sz w:val="24"/>
          <w:szCs w:val="24"/>
        </w:rPr>
        <w:t>has 33 biomass plants that generate a combined</w:t>
      </w:r>
      <w:r w:rsidRPr="00FF55C3">
        <w:rPr>
          <w:rFonts w:ascii="Cambria" w:hAnsi="Cambria"/>
          <w:sz w:val="24"/>
          <w:szCs w:val="24"/>
        </w:rPr>
        <w:t xml:space="preserve"> 600 megawatts of electricity and 50 to 100 million gasoline gallon equivalents from organic waste each year. Bioenergy facilities employ about 5,000 people and contribute $575 million to the California economy. </w:t>
      </w:r>
      <w:r w:rsidRPr="00FF55C3">
        <w:rPr>
          <w:rFonts w:ascii="Cambria" w:hAnsi="Cambria"/>
          <w:sz w:val="24"/>
          <w:szCs w:val="24"/>
          <w:u w:val="single"/>
        </w:rPr>
        <w:t>By reducing the economic and regulatory barriers to bioenergy development in California, the Bioenergy Action Plan will help to nearly double these numbers</w:t>
      </w:r>
      <w:r>
        <w:rPr>
          <w:rFonts w:ascii="Cambria" w:hAnsi="Cambria"/>
          <w:sz w:val="24"/>
          <w:szCs w:val="24"/>
          <w:u w:val="single"/>
        </w:rPr>
        <w:t xml:space="preserve"> [emphasis added]</w:t>
      </w:r>
      <w:r w:rsidRPr="00FF55C3">
        <w:rPr>
          <w:rFonts w:ascii="Cambria" w:hAnsi="Cambria"/>
          <w:sz w:val="24"/>
          <w:szCs w:val="24"/>
          <w:u w:val="single"/>
        </w:rPr>
        <w:t>.</w:t>
      </w:r>
      <w:r>
        <w:rPr>
          <w:rFonts w:ascii="Cambria" w:hAnsi="Cambria"/>
          <w:sz w:val="24"/>
          <w:szCs w:val="24"/>
          <w:u w:val="single"/>
        </w:rPr>
        <w:t>”</w:t>
      </w:r>
    </w:p>
    <w:p w:rsidR="00FF55C3" w:rsidRDefault="00FF55C3" w:rsidP="00FF55C3">
      <w:pPr>
        <w:pStyle w:val="ListParagraph"/>
        <w:ind w:left="1080"/>
        <w:rPr>
          <w:rFonts w:ascii="Cambria" w:hAnsi="Cambria"/>
          <w:sz w:val="24"/>
          <w:szCs w:val="24"/>
          <w:u w:val="single"/>
        </w:rPr>
      </w:pPr>
    </w:p>
    <w:p w:rsidR="00FF55C3" w:rsidRPr="00310F02" w:rsidRDefault="00FF55C3" w:rsidP="00310F02">
      <w:pPr>
        <w:spacing w:line="256" w:lineRule="auto"/>
        <w:ind w:left="360"/>
        <w:rPr>
          <w:rFonts w:ascii="Cambria" w:hAnsi="Cambria"/>
          <w:sz w:val="24"/>
          <w:szCs w:val="24"/>
        </w:rPr>
      </w:pPr>
      <w:r w:rsidRPr="00310F02">
        <w:rPr>
          <w:rFonts w:ascii="Cambria" w:hAnsi="Cambria"/>
          <w:sz w:val="24"/>
          <w:szCs w:val="24"/>
        </w:rPr>
        <w:t xml:space="preserve">Since release of the 2012 Bioenergy Action Plan, </w:t>
      </w:r>
      <w:r w:rsidR="00B02A46">
        <w:rPr>
          <w:rFonts w:ascii="Cambria" w:hAnsi="Cambria"/>
          <w:sz w:val="24"/>
          <w:szCs w:val="24"/>
        </w:rPr>
        <w:t>6 more biomass powerplants had their energy price expire leading to them closing. T</w:t>
      </w:r>
      <w:r w:rsidRPr="00310F02">
        <w:rPr>
          <w:rFonts w:ascii="Cambria" w:hAnsi="Cambria"/>
          <w:sz w:val="24"/>
          <w:szCs w:val="24"/>
        </w:rPr>
        <w:t xml:space="preserve">he number of operating biomass powerplants </w:t>
      </w:r>
      <w:r w:rsidR="00B02A46">
        <w:rPr>
          <w:rFonts w:ascii="Cambria" w:hAnsi="Cambria"/>
          <w:sz w:val="24"/>
          <w:szCs w:val="24"/>
        </w:rPr>
        <w:t xml:space="preserve">currently </w:t>
      </w:r>
      <w:r w:rsidRPr="00310F02">
        <w:rPr>
          <w:rFonts w:ascii="Cambria" w:hAnsi="Cambria"/>
          <w:sz w:val="24"/>
          <w:szCs w:val="24"/>
        </w:rPr>
        <w:t>has dec</w:t>
      </w:r>
      <w:r w:rsidR="00D86D0B" w:rsidRPr="00310F02">
        <w:rPr>
          <w:rFonts w:ascii="Cambria" w:hAnsi="Cambria"/>
          <w:sz w:val="24"/>
          <w:szCs w:val="24"/>
        </w:rPr>
        <w:t>reased to 21 producing about 616</w:t>
      </w:r>
      <w:r w:rsidRPr="00310F02">
        <w:rPr>
          <w:rFonts w:ascii="Cambria" w:hAnsi="Cambria"/>
          <w:sz w:val="24"/>
          <w:szCs w:val="24"/>
        </w:rPr>
        <w:t xml:space="preserve"> MW.</w:t>
      </w:r>
      <w:r w:rsidR="001E6120" w:rsidRPr="00310F02">
        <w:rPr>
          <w:rFonts w:ascii="Cambria" w:hAnsi="Cambria"/>
          <w:sz w:val="24"/>
          <w:szCs w:val="24"/>
        </w:rPr>
        <w:t xml:space="preserve">  Plant closures will continue as energy price contractual agreements expire unless the </w:t>
      </w:r>
      <w:r w:rsidR="003B4CCA" w:rsidRPr="00310F02">
        <w:rPr>
          <w:rFonts w:ascii="Cambria" w:hAnsi="Cambria"/>
          <w:sz w:val="24"/>
          <w:szCs w:val="24"/>
        </w:rPr>
        <w:t xml:space="preserve">uncompensated environmental benefits (11.4 cents/kWh) are recognized and at least partially incorporated in the energy price. </w:t>
      </w:r>
      <w:r w:rsidR="003B4CCA" w:rsidRPr="00310F02">
        <w:rPr>
          <w:rFonts w:ascii="Cambria" w:hAnsi="Cambria"/>
          <w:sz w:val="24"/>
          <w:szCs w:val="24"/>
        </w:rPr>
        <w:t>Recognition that utilizing wood residues for biomass heat and power in lieu of open burning and/or decomposition can provide an 85-100% reduction in criteria pollutants.</w:t>
      </w:r>
    </w:p>
    <w:p w:rsidR="00FF55C3" w:rsidRDefault="00FF55C3" w:rsidP="00086540">
      <w:pPr>
        <w:ind w:left="360"/>
        <w:rPr>
          <w:rFonts w:ascii="Cambria" w:hAnsi="Cambria"/>
          <w:sz w:val="24"/>
          <w:szCs w:val="24"/>
        </w:rPr>
      </w:pPr>
      <w:r w:rsidRPr="00FF55C3">
        <w:rPr>
          <w:rFonts w:ascii="Cambria" w:hAnsi="Cambria"/>
          <w:sz w:val="24"/>
          <w:szCs w:val="24"/>
        </w:rPr>
        <w:t xml:space="preserve">Doubling the operating </w:t>
      </w:r>
      <w:r>
        <w:rPr>
          <w:rFonts w:ascii="Cambria" w:hAnsi="Cambria"/>
          <w:sz w:val="24"/>
          <w:szCs w:val="24"/>
        </w:rPr>
        <w:t xml:space="preserve">biomass operating </w:t>
      </w:r>
      <w:r w:rsidRPr="00FF55C3">
        <w:rPr>
          <w:rFonts w:ascii="Cambria" w:hAnsi="Cambria"/>
          <w:sz w:val="24"/>
          <w:szCs w:val="24"/>
        </w:rPr>
        <w:t>capacity to about 1,200 MW would increase total employment by 4.9 total jobs per megawatt (nearly 3,000 jobs).</w:t>
      </w:r>
      <w:r>
        <w:rPr>
          <w:rFonts w:ascii="Cambria" w:hAnsi="Cambria"/>
          <w:sz w:val="24"/>
          <w:szCs w:val="24"/>
        </w:rPr>
        <w:t xml:space="preserve">  It would utilize an additional 4.8 million bone dry tons of urban, agricul</w:t>
      </w:r>
      <w:r w:rsidR="00655AAB">
        <w:rPr>
          <w:rFonts w:ascii="Cambria" w:hAnsi="Cambria"/>
          <w:sz w:val="24"/>
          <w:szCs w:val="24"/>
        </w:rPr>
        <w:t>ture, and forest woody residues (h</w:t>
      </w:r>
      <w:r w:rsidR="005E1C52">
        <w:rPr>
          <w:rFonts w:ascii="Cambria" w:hAnsi="Cambria"/>
          <w:sz w:val="24"/>
          <w:szCs w:val="24"/>
        </w:rPr>
        <w:t>istorically about 40% forest, 30% urban, 3</w:t>
      </w:r>
      <w:r w:rsidR="00655AAB">
        <w:rPr>
          <w:rFonts w:ascii="Cambria" w:hAnsi="Cambria"/>
          <w:sz w:val="24"/>
          <w:szCs w:val="24"/>
        </w:rPr>
        <w:t>0% agriculture)</w:t>
      </w:r>
      <w:r w:rsidR="001E6120">
        <w:rPr>
          <w:rFonts w:ascii="Cambria" w:hAnsi="Cambria"/>
          <w:sz w:val="24"/>
          <w:szCs w:val="24"/>
        </w:rPr>
        <w:t xml:space="preserve"> (2012 Bioenergy Action Plan, p. 12).  Utilization of</w:t>
      </w:r>
      <w:r w:rsidR="005E1C52">
        <w:rPr>
          <w:rFonts w:ascii="Cambria" w:hAnsi="Cambria"/>
          <w:sz w:val="24"/>
          <w:szCs w:val="24"/>
        </w:rPr>
        <w:t xml:space="preserve"> an additional 2 million bone dry tons of forest residues (separate from mill residues) would nearly equate to 100% utilization and virtual elimination of open field burning and/or in-the-woods decomposition.</w:t>
      </w:r>
    </w:p>
    <w:p w:rsidR="00AA3DA5" w:rsidRDefault="00310F02" w:rsidP="00086540">
      <w:pPr>
        <w:ind w:left="360"/>
        <w:rPr>
          <w:rFonts w:ascii="Cambria" w:hAnsi="Cambria"/>
          <w:sz w:val="24"/>
          <w:szCs w:val="24"/>
        </w:rPr>
      </w:pPr>
      <w:r>
        <w:rPr>
          <w:rFonts w:ascii="Cambria" w:hAnsi="Cambria"/>
          <w:sz w:val="24"/>
          <w:szCs w:val="24"/>
        </w:rPr>
        <w:t xml:space="preserve">Without recognition of the uncompensated 11.4 cent/kWh environmental benefit </w:t>
      </w:r>
      <w:r w:rsidR="001E6120">
        <w:rPr>
          <w:rFonts w:ascii="Cambria" w:hAnsi="Cambria"/>
          <w:sz w:val="24"/>
          <w:szCs w:val="24"/>
        </w:rPr>
        <w:t>for wood-fired heat and power</w:t>
      </w:r>
      <w:r>
        <w:rPr>
          <w:rFonts w:ascii="Cambria" w:hAnsi="Cambria"/>
          <w:sz w:val="24"/>
          <w:szCs w:val="24"/>
        </w:rPr>
        <w:t>, it</w:t>
      </w:r>
      <w:r w:rsidR="001E6120">
        <w:rPr>
          <w:rFonts w:ascii="Cambria" w:hAnsi="Cambria"/>
          <w:sz w:val="24"/>
          <w:szCs w:val="24"/>
        </w:rPr>
        <w:t xml:space="preserve"> will continue to lead to the remaining powerplants competing</w:t>
      </w:r>
      <w:r>
        <w:rPr>
          <w:rFonts w:ascii="Cambria" w:hAnsi="Cambria"/>
          <w:sz w:val="24"/>
          <w:szCs w:val="24"/>
        </w:rPr>
        <w:t xml:space="preserve"> with essentially the price of natural g</w:t>
      </w:r>
      <w:r w:rsidR="001E6120">
        <w:rPr>
          <w:rFonts w:ascii="Cambria" w:hAnsi="Cambria"/>
          <w:sz w:val="24"/>
          <w:szCs w:val="24"/>
        </w:rPr>
        <w:t xml:space="preserve">as (about 3.5 cents/kW).   </w:t>
      </w:r>
      <w:r w:rsidR="00E91440">
        <w:rPr>
          <w:rFonts w:ascii="Cambria" w:hAnsi="Cambria"/>
          <w:sz w:val="24"/>
          <w:szCs w:val="24"/>
        </w:rPr>
        <w:t>The result will be a continuing reduction in the remaining operating powerplants as their current energy price contract expires.</w:t>
      </w:r>
    </w:p>
    <w:p w:rsidR="001E6120" w:rsidRDefault="001E6120" w:rsidP="00086540">
      <w:pPr>
        <w:ind w:left="360"/>
        <w:rPr>
          <w:rFonts w:ascii="Cambria" w:hAnsi="Cambria"/>
          <w:sz w:val="24"/>
          <w:szCs w:val="24"/>
        </w:rPr>
      </w:pPr>
      <w:r>
        <w:rPr>
          <w:rFonts w:ascii="Cambria" w:hAnsi="Cambria"/>
          <w:sz w:val="24"/>
          <w:szCs w:val="24"/>
        </w:rPr>
        <w:t>As will be shown in the next Chapter, it’s been known for the past 15 years that there is an uncompensated ancillary 11.4 cent/kWh environmental benefit of utilizing wood residue burned in a controlled combustion boiler for heat and power in lieu of open field burning and/or in-the-forest decomposition.</w:t>
      </w:r>
    </w:p>
    <w:p w:rsidR="00E91440" w:rsidRDefault="00E91440" w:rsidP="00086540">
      <w:pPr>
        <w:ind w:left="360"/>
        <w:rPr>
          <w:rFonts w:ascii="Cambria" w:hAnsi="Cambria"/>
          <w:sz w:val="24"/>
          <w:szCs w:val="24"/>
        </w:rPr>
      </w:pPr>
      <w:r>
        <w:rPr>
          <w:rFonts w:ascii="Cambria" w:hAnsi="Cambria"/>
          <w:sz w:val="24"/>
          <w:szCs w:val="24"/>
        </w:rPr>
        <w:t>To implement the 2012 State Bioe</w:t>
      </w:r>
      <w:r w:rsidR="00310F02">
        <w:rPr>
          <w:rFonts w:ascii="Cambria" w:hAnsi="Cambria"/>
          <w:sz w:val="24"/>
          <w:szCs w:val="24"/>
        </w:rPr>
        <w:t xml:space="preserve">nergy Action Plan for biomass, </w:t>
      </w:r>
      <w:r w:rsidR="00220969">
        <w:rPr>
          <w:rFonts w:ascii="Cambria" w:hAnsi="Cambria"/>
          <w:sz w:val="24"/>
          <w:szCs w:val="24"/>
        </w:rPr>
        <w:t xml:space="preserve">at least ½ of the ancillary benefits would </w:t>
      </w:r>
      <w:r w:rsidR="00310F02">
        <w:rPr>
          <w:rFonts w:ascii="Cambria" w:hAnsi="Cambria"/>
          <w:sz w:val="24"/>
          <w:szCs w:val="24"/>
        </w:rPr>
        <w:t xml:space="preserve">have to </w:t>
      </w:r>
      <w:r w:rsidR="00220969">
        <w:rPr>
          <w:rFonts w:ascii="Cambria" w:hAnsi="Cambria"/>
          <w:sz w:val="24"/>
          <w:szCs w:val="24"/>
        </w:rPr>
        <w:t xml:space="preserve">be added to the price of natural gas (about 3.5 cents/kW) putting biomass powerplants up to generally around 9 cents/kW.  For </w:t>
      </w:r>
      <w:r w:rsidR="00220969">
        <w:rPr>
          <w:rFonts w:ascii="Cambria" w:hAnsi="Cambria"/>
          <w:sz w:val="24"/>
          <w:szCs w:val="24"/>
        </w:rPr>
        <w:lastRenderedPageBreak/>
        <w:t>powerplants less than 10 MW operating capacity, the price would have to be higher.</w:t>
      </w:r>
      <w:r w:rsidR="00310F02">
        <w:rPr>
          <w:rFonts w:ascii="Cambria" w:hAnsi="Cambria"/>
          <w:sz w:val="24"/>
          <w:szCs w:val="24"/>
        </w:rPr>
        <w:t xml:space="preserve">  SB1122 powerplant</w:t>
      </w:r>
      <w:r w:rsidR="0029515D">
        <w:rPr>
          <w:rFonts w:ascii="Cambria" w:hAnsi="Cambria"/>
          <w:sz w:val="24"/>
          <w:szCs w:val="24"/>
        </w:rPr>
        <w:t>s</w:t>
      </w:r>
      <w:r w:rsidR="00310F02">
        <w:rPr>
          <w:rFonts w:ascii="Cambria" w:hAnsi="Cambria"/>
          <w:sz w:val="24"/>
          <w:szCs w:val="24"/>
        </w:rPr>
        <w:t xml:space="preserve"> (less than 3 MW) have a PUC regulatory procedure that could lead to a 12.77 cent/kWh price floor for those plants.</w:t>
      </w:r>
    </w:p>
    <w:p w:rsidR="00BF7247" w:rsidRDefault="00BF7247" w:rsidP="00086540">
      <w:pPr>
        <w:ind w:left="360"/>
        <w:rPr>
          <w:rFonts w:ascii="Cambria" w:hAnsi="Cambria"/>
          <w:sz w:val="24"/>
          <w:szCs w:val="24"/>
        </w:rPr>
      </w:pPr>
      <w:r>
        <w:rPr>
          <w:rFonts w:ascii="Cambria" w:hAnsi="Cambria"/>
          <w:sz w:val="24"/>
          <w:szCs w:val="24"/>
        </w:rPr>
        <w:t>A 5.5 cent/kW increase in energy price for the remaining biomass powerplants would equate to about $32 million.  If incentives were such that the industry doubled in operating capacity, the total cost would be about $65 million.</w:t>
      </w:r>
    </w:p>
    <w:p w:rsidR="005C14E6" w:rsidRDefault="005C14E6">
      <w:pPr>
        <w:rPr>
          <w:rFonts w:ascii="Cambria" w:hAnsi="Cambria"/>
          <w:sz w:val="24"/>
          <w:szCs w:val="24"/>
        </w:rPr>
      </w:pPr>
      <w:r>
        <w:rPr>
          <w:rFonts w:ascii="Cambria" w:hAnsi="Cambria"/>
          <w:sz w:val="24"/>
          <w:szCs w:val="24"/>
        </w:rPr>
        <w:br w:type="page"/>
      </w:r>
    </w:p>
    <w:p w:rsidR="005C14E6" w:rsidRDefault="005C14E6">
      <w:pPr>
        <w:rPr>
          <w:rFonts w:ascii="Cambria" w:hAnsi="Cambria"/>
          <w:b/>
          <w:sz w:val="24"/>
          <w:szCs w:val="24"/>
        </w:rPr>
      </w:pPr>
    </w:p>
    <w:p w:rsidR="00AA3DA5" w:rsidRPr="00086540" w:rsidRDefault="00AA3DA5" w:rsidP="00086540">
      <w:pPr>
        <w:pStyle w:val="ListParagraph"/>
        <w:numPr>
          <w:ilvl w:val="0"/>
          <w:numId w:val="25"/>
        </w:numPr>
        <w:ind w:left="360" w:hanging="360"/>
        <w:rPr>
          <w:rFonts w:ascii="Cambria" w:hAnsi="Cambria"/>
          <w:sz w:val="24"/>
          <w:szCs w:val="24"/>
        </w:rPr>
      </w:pPr>
      <w:r w:rsidRPr="00086540">
        <w:rPr>
          <w:rFonts w:ascii="Cambria" w:hAnsi="Cambria"/>
          <w:b/>
          <w:sz w:val="24"/>
          <w:szCs w:val="24"/>
        </w:rPr>
        <w:t>Social and Environmental Benefits of a Healthy Biomass Powerplant Industry</w:t>
      </w:r>
    </w:p>
    <w:p w:rsidR="00AA3DA5" w:rsidRPr="00C218CF" w:rsidRDefault="00AA3DA5" w:rsidP="00C218CF">
      <w:pPr>
        <w:rPr>
          <w:rFonts w:ascii="Cambria" w:hAnsi="Cambria"/>
          <w:b/>
          <w:sz w:val="24"/>
          <w:szCs w:val="24"/>
        </w:rPr>
      </w:pPr>
      <w:r w:rsidRPr="00C218CF">
        <w:rPr>
          <w:rFonts w:ascii="Cambria" w:hAnsi="Cambria"/>
          <w:b/>
          <w:sz w:val="24"/>
          <w:szCs w:val="24"/>
        </w:rPr>
        <w:t>Criteria Pollutants</w:t>
      </w:r>
    </w:p>
    <w:p w:rsidR="0011772D" w:rsidRDefault="0011772D" w:rsidP="002F5F6F">
      <w:pPr>
        <w:ind w:left="360"/>
        <w:rPr>
          <w:rFonts w:ascii="Cambria" w:hAnsi="Cambria"/>
          <w:sz w:val="24"/>
          <w:szCs w:val="24"/>
        </w:rPr>
      </w:pPr>
      <w:r>
        <w:rPr>
          <w:rFonts w:ascii="Cambria" w:hAnsi="Cambria"/>
          <w:sz w:val="24"/>
          <w:szCs w:val="24"/>
        </w:rPr>
        <w:t>The 11.4 cent/kW uncompensated ancillary benefits of biomass energy production are well established and discussed in detail in the Western Governors Association 2006 Biomass Taskforce Report (</w:t>
      </w:r>
      <w:hyperlink r:id="rId9" w:history="1">
        <w:r w:rsidRPr="00E86040">
          <w:rPr>
            <w:rStyle w:val="Hyperlink"/>
            <w:rFonts w:ascii="Cambria" w:hAnsi="Cambria"/>
            <w:sz w:val="24"/>
            <w:szCs w:val="24"/>
          </w:rPr>
          <w:t>www.westgov.org</w:t>
        </w:r>
      </w:hyperlink>
      <w:r>
        <w:rPr>
          <w:rFonts w:ascii="Cambria" w:hAnsi="Cambria"/>
          <w:sz w:val="24"/>
          <w:szCs w:val="24"/>
        </w:rPr>
        <w:t>) and the 1999 Value of Biomass Power report by Dr. Gregg Morris.  These two reports display and discuss the value of the Benefits:</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Criteria Pollutants</w:t>
      </w:r>
      <w:r w:rsidRPr="002F5F6F">
        <w:rPr>
          <w:rFonts w:ascii="Cambria" w:hAnsi="Cambria"/>
          <w:sz w:val="24"/>
          <w:szCs w:val="24"/>
        </w:rPr>
        <w:tab/>
      </w:r>
      <w:r w:rsidRPr="002F5F6F">
        <w:rPr>
          <w:rFonts w:ascii="Cambria" w:hAnsi="Cambria"/>
          <w:sz w:val="24"/>
          <w:szCs w:val="24"/>
        </w:rPr>
        <w:tab/>
        <w:t xml:space="preserve"> </w:t>
      </w:r>
      <w:r w:rsidRPr="002F5F6F">
        <w:rPr>
          <w:rFonts w:ascii="Cambria" w:hAnsi="Cambria"/>
          <w:sz w:val="24"/>
          <w:szCs w:val="24"/>
        </w:rPr>
        <w:tab/>
      </w:r>
      <w:r w:rsidRPr="002F5F6F">
        <w:rPr>
          <w:rFonts w:ascii="Cambria" w:hAnsi="Cambria"/>
          <w:sz w:val="24"/>
          <w:szCs w:val="24"/>
        </w:rPr>
        <w:tab/>
      </w:r>
      <w:r w:rsidRPr="002F5F6F">
        <w:rPr>
          <w:rFonts w:ascii="Cambria" w:hAnsi="Cambria"/>
          <w:sz w:val="24"/>
          <w:szCs w:val="24"/>
        </w:rPr>
        <w:tab/>
        <w:t>- 4.3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Reductio</w:t>
      </w:r>
      <w:r>
        <w:rPr>
          <w:rFonts w:ascii="Cambria" w:hAnsi="Cambria"/>
          <w:sz w:val="24"/>
          <w:szCs w:val="24"/>
        </w:rPr>
        <w:t>n in Greenhouse Gas Emissions</w:t>
      </w:r>
      <w:r>
        <w:rPr>
          <w:rFonts w:ascii="Cambria" w:hAnsi="Cambria"/>
          <w:sz w:val="24"/>
          <w:szCs w:val="24"/>
        </w:rPr>
        <w:tab/>
      </w:r>
      <w:r w:rsidRPr="002F5F6F">
        <w:rPr>
          <w:rFonts w:ascii="Cambria" w:hAnsi="Cambria"/>
          <w:sz w:val="24"/>
          <w:szCs w:val="24"/>
        </w:rPr>
        <w:t>- 5.9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Avoided Landfill</w:t>
      </w:r>
      <w:r>
        <w:rPr>
          <w:rFonts w:ascii="Cambria" w:hAnsi="Cambria"/>
          <w:sz w:val="24"/>
          <w:szCs w:val="24"/>
        </w:rPr>
        <w:tab/>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ab/>
        <w:t>- 1.1 cents/kilowatt</w:t>
      </w:r>
    </w:p>
    <w:p w:rsidR="0011772D"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Timber Stand Improvement</w:t>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 xml:space="preserve">- 0.1 cents/kilowatt </w:t>
      </w:r>
    </w:p>
    <w:p w:rsidR="0011772D" w:rsidRDefault="0011772D" w:rsidP="0011772D">
      <w:pPr>
        <w:spacing w:after="0" w:line="240" w:lineRule="auto"/>
        <w:rPr>
          <w:rFonts w:ascii="Cambria" w:hAnsi="Cambria"/>
          <w:sz w:val="24"/>
          <w:szCs w:val="24"/>
        </w:rPr>
      </w:pPr>
    </w:p>
    <w:p w:rsidR="00DB432A" w:rsidRDefault="0011772D" w:rsidP="00086540">
      <w:pPr>
        <w:spacing w:after="0" w:line="240" w:lineRule="auto"/>
        <w:ind w:left="360"/>
        <w:rPr>
          <w:rFonts w:ascii="Cambria" w:hAnsi="Cambria"/>
          <w:sz w:val="24"/>
          <w:szCs w:val="24"/>
        </w:rPr>
      </w:pPr>
      <w:r>
        <w:rPr>
          <w:rFonts w:ascii="Cambria" w:hAnsi="Cambria"/>
          <w:sz w:val="24"/>
          <w:szCs w:val="24"/>
        </w:rPr>
        <w:t>Some of the more obvious benefits are that all 3 forms of wood residue, urban, forest and agriculture, will produce subst</w:t>
      </w:r>
      <w:r w:rsidR="008B4B7F">
        <w:rPr>
          <w:rFonts w:ascii="Cambria" w:hAnsi="Cambria"/>
          <w:sz w:val="24"/>
          <w:szCs w:val="24"/>
        </w:rPr>
        <w:t>antial amounts of methane (25</w:t>
      </w:r>
      <w:r>
        <w:rPr>
          <w:rFonts w:ascii="Cambria" w:hAnsi="Cambria"/>
          <w:sz w:val="24"/>
          <w:szCs w:val="24"/>
        </w:rPr>
        <w:t xml:space="preserve"> times more potent as a GHG than CO2)</w:t>
      </w:r>
      <w:r w:rsidR="008B4B7F">
        <w:rPr>
          <w:rFonts w:ascii="Cambria" w:hAnsi="Cambria"/>
          <w:sz w:val="24"/>
          <w:szCs w:val="24"/>
        </w:rPr>
        <w:t xml:space="preserve"> </w:t>
      </w:r>
      <w:r>
        <w:rPr>
          <w:rFonts w:ascii="Cambria" w:hAnsi="Cambria"/>
          <w:sz w:val="24"/>
          <w:szCs w:val="24"/>
        </w:rPr>
        <w:t xml:space="preserve">if left to </w:t>
      </w:r>
      <w:r w:rsidR="008B4B7F">
        <w:rPr>
          <w:rFonts w:ascii="Cambria" w:hAnsi="Cambria"/>
          <w:sz w:val="24"/>
          <w:szCs w:val="24"/>
        </w:rPr>
        <w:t>open burning or above ground decomposition</w:t>
      </w:r>
      <w:r>
        <w:rPr>
          <w:rFonts w:ascii="Cambria" w:hAnsi="Cambria"/>
          <w:sz w:val="24"/>
          <w:szCs w:val="24"/>
        </w:rPr>
        <w:t>.  And, if the residues are open-burned, they emit unburned hydrocarbons</w:t>
      </w:r>
      <w:r w:rsidR="008B4B7F">
        <w:rPr>
          <w:rFonts w:ascii="Cambria" w:hAnsi="Cambria"/>
          <w:sz w:val="24"/>
          <w:szCs w:val="24"/>
        </w:rPr>
        <w:t xml:space="preserve"> and Particulate Matter</w:t>
      </w:r>
      <w:r>
        <w:rPr>
          <w:rFonts w:ascii="Cambria" w:hAnsi="Cambria"/>
          <w:sz w:val="24"/>
          <w:szCs w:val="24"/>
        </w:rPr>
        <w:t xml:space="preserve"> that </w:t>
      </w:r>
      <w:r w:rsidR="008B4B7F">
        <w:rPr>
          <w:rFonts w:ascii="Cambria" w:hAnsi="Cambria"/>
          <w:sz w:val="24"/>
          <w:szCs w:val="24"/>
        </w:rPr>
        <w:t xml:space="preserve">dramatically increase </w:t>
      </w:r>
      <w:r>
        <w:rPr>
          <w:rFonts w:ascii="Cambria" w:hAnsi="Cambria"/>
          <w:sz w:val="24"/>
          <w:szCs w:val="24"/>
        </w:rPr>
        <w:t xml:space="preserve">impacts relative to controlled combustion in a biomass boiler.” </w:t>
      </w:r>
    </w:p>
    <w:p w:rsidR="00086540" w:rsidRDefault="00086540" w:rsidP="00086540">
      <w:pPr>
        <w:spacing w:after="0" w:line="240" w:lineRule="auto"/>
        <w:ind w:left="360"/>
        <w:rPr>
          <w:rFonts w:ascii="Cambria" w:hAnsi="Cambria"/>
          <w:sz w:val="24"/>
          <w:szCs w:val="24"/>
        </w:rPr>
      </w:pPr>
    </w:p>
    <w:p w:rsidR="008E6B78" w:rsidRPr="002F5F6F" w:rsidRDefault="008E6B78" w:rsidP="002F5F6F">
      <w:pPr>
        <w:ind w:left="360"/>
        <w:rPr>
          <w:rFonts w:ascii="Cambria" w:hAnsi="Cambria"/>
          <w:sz w:val="24"/>
          <w:szCs w:val="24"/>
        </w:rPr>
      </w:pPr>
      <w:r w:rsidRPr="002F5F6F">
        <w:rPr>
          <w:rFonts w:ascii="Cambria" w:hAnsi="Cambria"/>
          <w:sz w:val="24"/>
          <w:szCs w:val="24"/>
        </w:rPr>
        <w:t>The State’s Renewables Energy Portfolio Standard (RPS) makes no clear differentiation or preference currently between base load and intermittent power and places almost complet</w:t>
      </w:r>
      <w:r w:rsidR="002F5F6F" w:rsidRPr="002F5F6F">
        <w:rPr>
          <w:rFonts w:ascii="Cambria" w:hAnsi="Cambria"/>
          <w:sz w:val="24"/>
          <w:szCs w:val="24"/>
        </w:rPr>
        <w:t>e emphasis on “low price” wins.</w:t>
      </w:r>
    </w:p>
    <w:p w:rsidR="008E6B78" w:rsidRPr="002F5F6F" w:rsidRDefault="008E6B78" w:rsidP="00086540">
      <w:pPr>
        <w:ind w:left="360"/>
        <w:rPr>
          <w:rFonts w:ascii="Cambria" w:hAnsi="Cambria"/>
          <w:sz w:val="24"/>
          <w:szCs w:val="24"/>
        </w:rPr>
      </w:pPr>
      <w:r w:rsidRPr="002F5F6F">
        <w:rPr>
          <w:rFonts w:ascii="Cambria" w:hAnsi="Cambria"/>
          <w:sz w:val="24"/>
          <w:szCs w:val="24"/>
        </w:rPr>
        <w:t xml:space="preserve">California </w:t>
      </w:r>
      <w:r w:rsidR="0029515D">
        <w:rPr>
          <w:rFonts w:ascii="Cambria" w:hAnsi="Cambria"/>
          <w:sz w:val="24"/>
          <w:szCs w:val="24"/>
        </w:rPr>
        <w:t xml:space="preserve">currently </w:t>
      </w:r>
      <w:r w:rsidRPr="002F5F6F">
        <w:rPr>
          <w:rFonts w:ascii="Cambria" w:hAnsi="Cambria"/>
          <w:sz w:val="24"/>
          <w:szCs w:val="24"/>
        </w:rPr>
        <w:t xml:space="preserve">has no mechanism </w:t>
      </w:r>
      <w:r w:rsidR="0029515D">
        <w:rPr>
          <w:rFonts w:ascii="Cambria" w:hAnsi="Cambria"/>
          <w:sz w:val="24"/>
          <w:szCs w:val="24"/>
        </w:rPr>
        <w:t xml:space="preserve">to address </w:t>
      </w:r>
      <w:r w:rsidRPr="002F5F6F">
        <w:rPr>
          <w:rFonts w:ascii="Cambria" w:hAnsi="Cambria"/>
          <w:sz w:val="24"/>
          <w:szCs w:val="24"/>
        </w:rPr>
        <w:t>the non-electric environmental and social benefits provided by the biomass industry</w:t>
      </w:r>
      <w:r w:rsidR="008B4B7F">
        <w:rPr>
          <w:rFonts w:ascii="Cambria" w:hAnsi="Cambria"/>
          <w:sz w:val="24"/>
          <w:szCs w:val="24"/>
        </w:rPr>
        <w:t>.</w:t>
      </w:r>
    </w:p>
    <w:p w:rsidR="00F61BDB" w:rsidRPr="00F61BDB" w:rsidRDefault="00366E15" w:rsidP="00F61BDB">
      <w:pPr>
        <w:autoSpaceDE w:val="0"/>
        <w:autoSpaceDN w:val="0"/>
        <w:adjustRightInd w:val="0"/>
        <w:spacing w:after="0" w:line="240" w:lineRule="auto"/>
        <w:ind w:left="360"/>
        <w:rPr>
          <w:rFonts w:ascii="Cambria" w:hAnsi="Cambria" w:cs="AGaramond-Regular"/>
          <w:sz w:val="24"/>
          <w:szCs w:val="24"/>
        </w:rPr>
      </w:pPr>
      <w:r>
        <w:rPr>
          <w:rFonts w:ascii="Cambria" w:hAnsi="Cambria" w:cs="AGaramond-Regular"/>
          <w:sz w:val="24"/>
          <w:szCs w:val="24"/>
        </w:rPr>
        <w:t>As reported by Lippke eta</w:t>
      </w:r>
      <w:r w:rsidR="00F61BDB" w:rsidRPr="00F61BDB">
        <w:rPr>
          <w:rFonts w:ascii="Cambria" w:hAnsi="Cambria" w:cs="AGaramond-Regular"/>
          <w:sz w:val="24"/>
          <w:szCs w:val="24"/>
        </w:rPr>
        <w:t xml:space="preserve">l (CORRIM.org), </w:t>
      </w:r>
      <w:r w:rsidR="00F61BDB">
        <w:rPr>
          <w:rFonts w:ascii="Cambria" w:hAnsi="Cambria" w:cs="AGaramond-Regular"/>
          <w:sz w:val="24"/>
          <w:szCs w:val="24"/>
        </w:rPr>
        <w:t>“</w:t>
      </w:r>
      <w:r w:rsidR="00F61BDB" w:rsidRPr="00F61BDB">
        <w:rPr>
          <w:rFonts w:ascii="Cambria" w:hAnsi="Cambria" w:cs="AGaramond-Regular"/>
          <w:sz w:val="24"/>
          <w:szCs w:val="24"/>
        </w:rPr>
        <w:t>life cycle carbon accounting exposes many unintended policy impacts such as:</w:t>
      </w:r>
    </w:p>
    <w:p w:rsidR="00F61BDB" w:rsidRPr="00F61BDB" w:rsidRDefault="00F61BDB" w:rsidP="00F61BDB">
      <w:pPr>
        <w:autoSpaceDE w:val="0"/>
        <w:autoSpaceDN w:val="0"/>
        <w:adjustRightInd w:val="0"/>
        <w:spacing w:after="0" w:line="240" w:lineRule="auto"/>
        <w:rPr>
          <w:rFonts w:ascii="Cambria" w:hAnsi="Cambria" w:cs="AGaramond-Regular"/>
          <w:sz w:val="24"/>
          <w:szCs w:val="24"/>
        </w:rPr>
      </w:pP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Carbon exchanges that incentivize reduced harvesting, which can contribute to greater emissions from using more fossil fuels than can be offset by increasing forest carbon stores;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Ignoring substitution of wood for fossil intensive products since it has the highest potential leverage in reducing emissions;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Incentivizing low-value fuels such as ethanol that will divert feedstock from higher leverage fossil emission displacement options such as composite wood products;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Considering biogenic boiler emissions no different than fossil emissions when intendin</w:t>
      </w:r>
      <w:r w:rsidR="002D36E2">
        <w:rPr>
          <w:rFonts w:ascii="Cambria" w:hAnsi="Cambria" w:cs="AGaramond-Regular"/>
          <w:sz w:val="24"/>
          <w:szCs w:val="24"/>
        </w:rPr>
        <w:t>g to constrain fossil emissions</w:t>
      </w:r>
      <w:r w:rsidRPr="00F61BDB">
        <w:rPr>
          <w:rFonts w:ascii="Cambria" w:hAnsi="Cambria" w:cs="AGaramond-Regular"/>
          <w:sz w:val="24"/>
          <w:szCs w:val="24"/>
        </w:rPr>
        <w:t>, which will discourage the use of biomass for energy, increasing rather than decreasing emissions;</w:t>
      </w:r>
    </w:p>
    <w:p w:rsidR="00F61BDB" w:rsidRPr="00031E30" w:rsidRDefault="00F61BDB" w:rsidP="00F61BDB">
      <w:pPr>
        <w:pStyle w:val="ListParagraph"/>
        <w:numPr>
          <w:ilvl w:val="0"/>
          <w:numId w:val="21"/>
        </w:numPr>
        <w:autoSpaceDE w:val="0"/>
        <w:autoSpaceDN w:val="0"/>
        <w:adjustRightInd w:val="0"/>
        <w:spacing w:after="0" w:line="240" w:lineRule="auto"/>
        <w:ind w:left="1080"/>
        <w:rPr>
          <w:rFonts w:ascii="AGaramond-Regular" w:hAnsi="AGaramond-Regular" w:cs="AGaramond-Regular"/>
          <w:sz w:val="20"/>
          <w:szCs w:val="20"/>
        </w:rPr>
      </w:pPr>
      <w:r w:rsidRPr="00F61BDB">
        <w:rPr>
          <w:rFonts w:ascii="Cambria" w:hAnsi="Cambria" w:cs="AGaramond-Regular"/>
          <w:sz w:val="24"/>
          <w:szCs w:val="24"/>
        </w:rPr>
        <w:t xml:space="preserve">Renewable fuel standards/requirements for utilities that force the diversion of feedstock from other higher leveraged uses of the biomass and fragment the </w:t>
      </w:r>
      <w:r w:rsidRPr="00F61BDB">
        <w:rPr>
          <w:rFonts w:ascii="Cambria" w:hAnsi="Cambria" w:cs="AGaramond-Regular"/>
          <w:sz w:val="24"/>
          <w:szCs w:val="24"/>
        </w:rPr>
        <w:lastRenderedPageBreak/>
        <w:t>supply reducing the op</w:t>
      </w:r>
      <w:r>
        <w:rPr>
          <w:rFonts w:ascii="Cambria" w:hAnsi="Cambria" w:cs="AGaramond-Regular"/>
          <w:sz w:val="24"/>
          <w:szCs w:val="24"/>
        </w:rPr>
        <w:t>p</w:t>
      </w:r>
      <w:r w:rsidRPr="00F61BDB">
        <w:rPr>
          <w:rFonts w:ascii="Cambria" w:hAnsi="Cambria" w:cs="AGaramond-Regular"/>
          <w:sz w:val="24"/>
          <w:szCs w:val="24"/>
        </w:rPr>
        <w:t>ortunity for investments in efficient scale mill uses of the feedstock.</w:t>
      </w:r>
      <w:r>
        <w:rPr>
          <w:rFonts w:ascii="Cambria" w:hAnsi="Cambria" w:cs="AGaramond-Regular"/>
          <w:sz w:val="24"/>
          <w:szCs w:val="24"/>
        </w:rPr>
        <w:t xml:space="preserve"> (</w:t>
      </w:r>
      <w:r w:rsidRPr="00695D61">
        <w:rPr>
          <w:rFonts w:ascii="Cambria" w:hAnsi="Cambria" w:cs="MyriadPro-Regular"/>
          <w:sz w:val="24"/>
          <w:szCs w:val="24"/>
        </w:rPr>
        <w:t>Life cycle impacts of forest management and wood utilization on carbon mitigation: knowns and unknowns.”</w:t>
      </w:r>
      <w:r>
        <w:rPr>
          <w:rFonts w:ascii="Cambria" w:hAnsi="Cambria" w:cs="MyriadPro-Regular"/>
          <w:sz w:val="24"/>
          <w:szCs w:val="24"/>
        </w:rPr>
        <w:t xml:space="preserve"> P. 322).”</w:t>
      </w:r>
    </w:p>
    <w:p w:rsidR="00031E30" w:rsidRDefault="00031E30" w:rsidP="00031E30">
      <w:pPr>
        <w:autoSpaceDE w:val="0"/>
        <w:autoSpaceDN w:val="0"/>
        <w:adjustRightInd w:val="0"/>
        <w:spacing w:after="0" w:line="240" w:lineRule="auto"/>
        <w:ind w:left="720"/>
        <w:rPr>
          <w:rFonts w:ascii="AGaramond-Regular" w:hAnsi="AGaramond-Regular" w:cs="AGaramond-Regular"/>
          <w:sz w:val="20"/>
          <w:szCs w:val="20"/>
        </w:rPr>
      </w:pPr>
    </w:p>
    <w:p w:rsidR="00F11090" w:rsidRDefault="00031E30" w:rsidP="00031E30">
      <w:pPr>
        <w:autoSpaceDE w:val="0"/>
        <w:autoSpaceDN w:val="0"/>
        <w:adjustRightInd w:val="0"/>
        <w:spacing w:after="0" w:line="240" w:lineRule="auto"/>
        <w:ind w:left="720"/>
        <w:rPr>
          <w:rFonts w:ascii="Cambria" w:hAnsi="Cambria" w:cs="AGaramond-Regular"/>
          <w:sz w:val="24"/>
          <w:szCs w:val="24"/>
        </w:rPr>
      </w:pPr>
      <w:r w:rsidRPr="00031E30">
        <w:rPr>
          <w:rFonts w:ascii="Cambria" w:hAnsi="Cambria" w:cs="AGaramond-Regular"/>
          <w:sz w:val="24"/>
          <w:szCs w:val="24"/>
        </w:rPr>
        <w:t>Since</w:t>
      </w:r>
      <w:r>
        <w:rPr>
          <w:rFonts w:ascii="Cambria" w:hAnsi="Cambria" w:cs="AGaramond-Regular"/>
          <w:sz w:val="24"/>
          <w:szCs w:val="24"/>
        </w:rPr>
        <w:t xml:space="preserve"> about 2006, Dr. Roger Bales (UC Merced) has had evapotranspiration instrumentation in-place on the Sierra Natl. Forest.  His preliminary findings were published in 2011 (</w:t>
      </w:r>
      <w:hyperlink r:id="rId10" w:history="1">
        <w:r w:rsidR="00C137D1" w:rsidRPr="00676BDA">
          <w:rPr>
            <w:rStyle w:val="Hyperlink"/>
            <w:rFonts w:ascii="Cambria" w:hAnsi="Cambria" w:cs="AGaramond-Regular"/>
            <w:sz w:val="24"/>
            <w:szCs w:val="24"/>
          </w:rPr>
          <w:t>http://ucanr.edu/sites/cff/files/146199.pdf</w:t>
        </w:r>
      </w:hyperlink>
      <w:r w:rsidR="00C137D1">
        <w:rPr>
          <w:rFonts w:ascii="Cambria" w:hAnsi="Cambria" w:cs="AGaramond-Regular"/>
          <w:sz w:val="24"/>
          <w:szCs w:val="24"/>
        </w:rPr>
        <w:t xml:space="preserve">) page 2 and indicate that up to a 16% </w:t>
      </w:r>
      <w:r w:rsidR="00647404">
        <w:rPr>
          <w:rFonts w:ascii="Cambria" w:hAnsi="Cambria" w:cs="AGaramond-Regular"/>
          <w:sz w:val="24"/>
          <w:szCs w:val="24"/>
        </w:rPr>
        <w:t xml:space="preserve">increase </w:t>
      </w:r>
    </w:p>
    <w:p w:rsidR="00031E30" w:rsidRDefault="00C137D1" w:rsidP="00031E30">
      <w:pPr>
        <w:autoSpaceDE w:val="0"/>
        <w:autoSpaceDN w:val="0"/>
        <w:adjustRightInd w:val="0"/>
        <w:spacing w:after="0" w:line="240" w:lineRule="auto"/>
        <w:ind w:left="720"/>
        <w:rPr>
          <w:rFonts w:ascii="Cambria" w:hAnsi="Cambria" w:cs="AGaramond-Regular"/>
          <w:sz w:val="24"/>
          <w:szCs w:val="24"/>
        </w:rPr>
      </w:pPr>
      <w:r>
        <w:rPr>
          <w:rFonts w:ascii="Cambria" w:hAnsi="Cambria" w:cs="AGaramond-Regular"/>
          <w:sz w:val="24"/>
          <w:szCs w:val="24"/>
        </w:rPr>
        <w:t xml:space="preserve">in water yield is possible if the forests were thinned and maintained.  That would be over 2 million acre-feet/year for the Sierra Nevada in increased water yield.  </w:t>
      </w:r>
    </w:p>
    <w:p w:rsidR="008B4B7F" w:rsidRDefault="008B4B7F" w:rsidP="00031E30">
      <w:pPr>
        <w:autoSpaceDE w:val="0"/>
        <w:autoSpaceDN w:val="0"/>
        <w:adjustRightInd w:val="0"/>
        <w:spacing w:after="0" w:line="240" w:lineRule="auto"/>
        <w:ind w:left="720"/>
        <w:rPr>
          <w:rFonts w:ascii="Cambria" w:hAnsi="Cambria" w:cs="AGaramond-Regular"/>
          <w:sz w:val="24"/>
          <w:szCs w:val="24"/>
        </w:rPr>
      </w:pPr>
    </w:p>
    <w:p w:rsidR="008B4B7F" w:rsidRDefault="00C218CF" w:rsidP="008B4B7F">
      <w:r>
        <w:rPr>
          <w:rFonts w:ascii="Cambria" w:hAnsi="Cambria"/>
          <w:sz w:val="24"/>
          <w:szCs w:val="24"/>
        </w:rPr>
        <w:t>C</w:t>
      </w:r>
      <w:r w:rsidR="008B4B7F">
        <w:rPr>
          <w:rFonts w:ascii="Cambria" w:hAnsi="Cambria"/>
          <w:sz w:val="24"/>
          <w:szCs w:val="24"/>
        </w:rPr>
        <w:t>onsuming wood residues in a boiler (Biomass Powerplant) versus open burning or above ground decomposition</w:t>
      </w:r>
      <w:r>
        <w:rPr>
          <w:rFonts w:ascii="Cambria" w:hAnsi="Cambria"/>
          <w:sz w:val="24"/>
          <w:szCs w:val="24"/>
        </w:rPr>
        <w:t xml:space="preserve"> has substantial benefits due to significant reductions in criteria pollutants.</w:t>
      </w:r>
    </w:p>
    <w:p w:rsidR="000F3874" w:rsidRPr="000F3874" w:rsidRDefault="000F3874" w:rsidP="000F3874">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tbl>
      <w:tblPr>
        <w:tblStyle w:val="TableGrid2"/>
        <w:tblpPr w:leftFromText="180" w:rightFromText="180" w:vertAnchor="text" w:horzAnchor="margin" w:tblpXSpec="center" w:tblpY="373"/>
        <w:tblW w:w="10530" w:type="dxa"/>
        <w:tblLayout w:type="fixed"/>
        <w:tblLook w:val="04A0" w:firstRow="1" w:lastRow="0" w:firstColumn="1" w:lastColumn="0" w:noHBand="0" w:noVBand="1"/>
      </w:tblPr>
      <w:tblGrid>
        <w:gridCol w:w="1255"/>
        <w:gridCol w:w="1260"/>
        <w:gridCol w:w="1350"/>
        <w:gridCol w:w="990"/>
        <w:gridCol w:w="1260"/>
        <w:gridCol w:w="1260"/>
        <w:gridCol w:w="1530"/>
        <w:gridCol w:w="1625"/>
      </w:tblGrid>
      <w:tr w:rsidR="00175925" w:rsidRPr="000F3874" w:rsidTr="00175925">
        <w:trPr>
          <w:trHeight w:val="109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Biomass Powerplant Emission</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600 MW</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Open Burning Emission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Forest Accumulation Emission</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w:t>
            </w:r>
          </w:p>
          <w:p w:rsidR="00175925" w:rsidRDefault="00175925" w:rsidP="00175925">
            <w:pPr>
              <w:spacing w:after="160" w:line="259" w:lineRule="auto"/>
              <w:ind w:right="739"/>
              <w:rPr>
                <w:rFonts w:ascii="Cambria" w:hAnsi="Cambria"/>
              </w:rPr>
            </w:pPr>
            <w:r w:rsidRPr="000F3874">
              <w:rPr>
                <w:rFonts w:ascii="Cambria" w:hAnsi="Cambria"/>
              </w:rPr>
              <w:t xml:space="preserve"> For</w:t>
            </w:r>
          </w:p>
          <w:p w:rsidR="00175925" w:rsidRPr="000F3874" w:rsidRDefault="00175925" w:rsidP="00175925">
            <w:pPr>
              <w:spacing w:after="160" w:line="259" w:lineRule="auto"/>
              <w:ind w:right="739"/>
              <w:rPr>
                <w:rFonts w:ascii="Cambria" w:hAnsi="Cambria"/>
              </w:rPr>
            </w:pPr>
            <w:r>
              <w:rPr>
                <w:rFonts w:ascii="Cambria" w:hAnsi="Cambria"/>
              </w:rPr>
              <w:t xml:space="preserve"> 4.8 </w:t>
            </w:r>
            <w:r w:rsidRPr="000F3874">
              <w:rPr>
                <w:rFonts w:ascii="Cambria" w:hAnsi="Cambria"/>
              </w:rPr>
              <w:t>million</w:t>
            </w:r>
          </w:p>
          <w:p w:rsidR="00175925" w:rsidRPr="000F3874" w:rsidRDefault="00175925" w:rsidP="00175925">
            <w:pPr>
              <w:spacing w:after="160" w:line="259" w:lineRule="auto"/>
              <w:rPr>
                <w:rFonts w:ascii="Cambria" w:hAnsi="Cambria"/>
              </w:rPr>
            </w:pPr>
            <w:r w:rsidRPr="000F3874">
              <w:rPr>
                <w:rFonts w:ascii="Cambria" w:hAnsi="Cambria"/>
              </w:rPr>
              <w:t xml:space="preserve"> BDT</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Nitrous Oxide (NOx</w:t>
            </w:r>
            <w:r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 million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r>
      <w:tr w:rsidR="00175925" w:rsidRPr="000F3874" w:rsidTr="00175925">
        <w:trPr>
          <w:trHeight w:val="55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280</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672,000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24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23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55,200</w:t>
            </w:r>
          </w:p>
        </w:tc>
      </w:tr>
      <w:tr w:rsidR="00175925" w:rsidRPr="000F3874" w:rsidTr="00175925">
        <w:trPr>
          <w:trHeight w:val="276"/>
        </w:trPr>
        <w:tc>
          <w:tcPr>
            <w:tcW w:w="1255" w:type="dxa"/>
            <w:tcBorders>
              <w:top w:val="single" w:sz="4" w:space="0" w:color="auto"/>
              <w:left w:val="single" w:sz="4" w:space="0" w:color="auto"/>
              <w:bottom w:val="single" w:sz="4" w:space="0" w:color="auto"/>
              <w:right w:val="single" w:sz="4" w:space="0" w:color="auto"/>
            </w:tcBorders>
            <w:hideMark/>
          </w:tcPr>
          <w:p w:rsidR="00175925" w:rsidRDefault="00175925" w:rsidP="00175925">
            <w:pPr>
              <w:spacing w:after="160" w:line="259" w:lineRule="auto"/>
              <w:rPr>
                <w:rFonts w:ascii="Cambria" w:hAnsi="Cambria"/>
              </w:rPr>
            </w:pPr>
            <w:r w:rsidRPr="000F3874">
              <w:rPr>
                <w:rFonts w:ascii="Cambria" w:hAnsi="Cambria"/>
              </w:rPr>
              <w:t>Particulate</w:t>
            </w:r>
          </w:p>
          <w:p w:rsidR="00175925" w:rsidRPr="000F3874" w:rsidRDefault="00175925" w:rsidP="00175925">
            <w:pPr>
              <w:spacing w:after="160" w:line="259" w:lineRule="auto"/>
              <w:rPr>
                <w:rFonts w:ascii="Cambria" w:hAnsi="Cambria"/>
              </w:rPr>
            </w:pPr>
            <w:r>
              <w:rPr>
                <w:rFonts w:ascii="Cambria" w:hAnsi="Cambria"/>
              </w:rPr>
              <w:t>Matter</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0.45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1,080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21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50,400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8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420,000</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lastRenderedPageBreak/>
              <w:t>Carbon Dioxide (CO2)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1.78 Tons/BDT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4,272</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r>
    </w:tbl>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w:t>
      </w:r>
      <w:r w:rsidR="00175925">
        <w:rPr>
          <w:rFonts w:ascii="Cambria" w:hAnsi="Cambria"/>
          <w:sz w:val="24"/>
          <w:szCs w:val="24"/>
        </w:rPr>
        <w:t xml:space="preserve">ower” and from CO2e conversion for </w:t>
      </w:r>
      <w:r w:rsidRPr="000F3874">
        <w:rPr>
          <w:rFonts w:ascii="Cambria" w:hAnsi="Cambria"/>
          <w:sz w:val="24"/>
          <w:szCs w:val="24"/>
        </w:rPr>
        <w:t>Methane)</w:t>
      </w: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Notes: </w:t>
      </w:r>
    </w:p>
    <w:p w:rsidR="000F3874" w:rsidRDefault="000F3874" w:rsidP="000F3874">
      <w:pPr>
        <w:numPr>
          <w:ilvl w:val="0"/>
          <w:numId w:val="30"/>
        </w:numPr>
        <w:spacing w:line="256" w:lineRule="auto"/>
        <w:contextualSpacing/>
        <w:rPr>
          <w:rFonts w:ascii="Cambria" w:hAnsi="Cambria"/>
          <w:sz w:val="24"/>
          <w:szCs w:val="24"/>
        </w:rPr>
      </w:pPr>
      <w:r>
        <w:rPr>
          <w:rFonts w:ascii="Cambria" w:hAnsi="Cambria"/>
          <w:sz w:val="24"/>
          <w:szCs w:val="24"/>
        </w:rPr>
        <w:t>8,000 bone dry tons of wood residue produces 1 megawatt of electricity (MW)</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Hydrocarbons, Particulate Matter, and Methane are the primary differences in the 3 Alternative Scenarios</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Methane is 25 times more potent</w:t>
      </w:r>
      <w:r w:rsidR="00175925">
        <w:rPr>
          <w:rFonts w:ascii="Cambria" w:hAnsi="Cambria"/>
          <w:sz w:val="24"/>
          <w:szCs w:val="24"/>
        </w:rPr>
        <w:t xml:space="preserve"> as a Greenhouse Gas compared to Carbon Dioxide</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Estimate for value of Particulate Matter</w:t>
      </w:r>
      <w:r w:rsidR="00175925">
        <w:rPr>
          <w:rFonts w:ascii="Cambria" w:hAnsi="Cambria"/>
          <w:sz w:val="24"/>
          <w:szCs w:val="24"/>
        </w:rPr>
        <w:t xml:space="preserve"> (PM)</w:t>
      </w:r>
      <w:r w:rsidRPr="000F3874">
        <w:rPr>
          <w:rFonts w:ascii="Cambria" w:hAnsi="Cambria"/>
          <w:sz w:val="24"/>
          <w:szCs w:val="24"/>
        </w:rPr>
        <w:t xml:space="preserve"> from Morris (1999, p.21) is $2,500/ton</w:t>
      </w:r>
      <w:r w:rsidR="00175925">
        <w:rPr>
          <w:rFonts w:ascii="Cambria" w:hAnsi="Cambria"/>
          <w:sz w:val="24"/>
          <w:szCs w:val="24"/>
        </w:rPr>
        <w:t xml:space="preserve"> although, based on the incentives in the Carl Moyer Program, the State has put a much higher value than this on PM</w:t>
      </w:r>
    </w:p>
    <w:p w:rsidR="000F3874" w:rsidRPr="000F3874" w:rsidRDefault="000F3874" w:rsidP="000F3874">
      <w:pPr>
        <w:spacing w:line="256" w:lineRule="auto"/>
        <w:ind w:left="720"/>
        <w:contextualSpacing/>
        <w:rPr>
          <w:rFonts w:ascii="Cambria" w:hAnsi="Cambria"/>
          <w:sz w:val="24"/>
          <w:szCs w:val="24"/>
        </w:rPr>
      </w:pPr>
    </w:p>
    <w:p w:rsidR="000F3874" w:rsidRPr="000F3874" w:rsidRDefault="000F3874" w:rsidP="000F3874">
      <w:pPr>
        <w:rPr>
          <w:rFonts w:ascii="Cambria" w:hAnsi="Cambria"/>
          <w:b/>
          <w:sz w:val="24"/>
          <w:szCs w:val="24"/>
        </w:rPr>
      </w:pPr>
      <w:r w:rsidRPr="000F3874">
        <w:rPr>
          <w:rFonts w:ascii="Cambria" w:hAnsi="Cambria"/>
          <w:b/>
          <w:sz w:val="24"/>
          <w:szCs w:val="24"/>
        </w:rPr>
        <w:t>Synthesis of the above Table:</w:t>
      </w:r>
    </w:p>
    <w:p w:rsidR="000F3874" w:rsidRPr="000F3874" w:rsidRDefault="000F3874" w:rsidP="000F3874">
      <w:pPr>
        <w:rPr>
          <w:rFonts w:ascii="Cambria" w:hAnsi="Cambria"/>
          <w:sz w:val="24"/>
          <w:szCs w:val="24"/>
        </w:rPr>
      </w:pPr>
      <w:r w:rsidRPr="000F3874">
        <w:rPr>
          <w:rFonts w:ascii="Cambria" w:hAnsi="Cambria"/>
          <w:sz w:val="24"/>
          <w:szCs w:val="24"/>
        </w:rPr>
        <w:t xml:space="preserve">For the current 600 MW Operating Capacity, Biomass Powerplants, versus Open Burning or “left in the forest to decompose” scenarios, the Powerplant Industry annually reduces Carbon Dioxide equivalent by about </w:t>
      </w:r>
      <w:r w:rsidR="00D25D21">
        <w:rPr>
          <w:rFonts w:ascii="Cambria" w:hAnsi="Cambria"/>
          <w:sz w:val="24"/>
          <w:szCs w:val="24"/>
        </w:rPr>
        <w:t xml:space="preserve">0.4 million </w:t>
      </w:r>
      <w:r w:rsidRPr="000F3874">
        <w:rPr>
          <w:rFonts w:ascii="Cambria" w:hAnsi="Cambria"/>
          <w:sz w:val="24"/>
          <w:szCs w:val="24"/>
        </w:rPr>
        <w:t>tons (Methane) and reduce</w:t>
      </w:r>
      <w:r w:rsidR="00D25D21">
        <w:rPr>
          <w:rFonts w:ascii="Cambria" w:hAnsi="Cambria"/>
          <w:sz w:val="24"/>
          <w:szCs w:val="24"/>
        </w:rPr>
        <w:t>s</w:t>
      </w:r>
      <w:r w:rsidRPr="000F3874">
        <w:rPr>
          <w:rFonts w:ascii="Cambria" w:hAnsi="Cambria"/>
          <w:sz w:val="24"/>
          <w:szCs w:val="24"/>
        </w:rPr>
        <w:t xml:space="preserve"> Particulate Matter by over 35,000 tons.</w:t>
      </w:r>
    </w:p>
    <w:p w:rsidR="000F3874" w:rsidRPr="000F3874" w:rsidRDefault="000F3874" w:rsidP="000F3874">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175925" w:rsidRDefault="006D1E39" w:rsidP="006D1E39">
      <w:pPr>
        <w:rPr>
          <w:rFonts w:ascii="Cambria" w:hAnsi="Cambria"/>
          <w:b/>
          <w:sz w:val="24"/>
          <w:szCs w:val="24"/>
        </w:rPr>
      </w:pPr>
      <w:r w:rsidRPr="000F3874">
        <w:rPr>
          <w:rFonts w:ascii="Cambria" w:hAnsi="Cambria"/>
          <w:b/>
          <w:sz w:val="24"/>
          <w:szCs w:val="24"/>
        </w:rPr>
        <w:t>Note with the current ARB Cap-And-Trade Offset Mark</w:t>
      </w:r>
      <w:r w:rsidR="00D25D21">
        <w:rPr>
          <w:rFonts w:ascii="Cambria" w:hAnsi="Cambria"/>
          <w:b/>
          <w:sz w:val="24"/>
          <w:szCs w:val="24"/>
        </w:rPr>
        <w:t>et at about $11/ton, 0.4 million tons of CO2e is worth about $4.4</w:t>
      </w:r>
      <w:r w:rsidRPr="000F3874">
        <w:rPr>
          <w:rFonts w:ascii="Cambria" w:hAnsi="Cambria"/>
          <w:b/>
          <w:sz w:val="24"/>
          <w:szCs w:val="24"/>
        </w:rPr>
        <w:t xml:space="preserve"> million; at $2,500/ton the Particulate Matter reduction is worth about $88 million.  </w:t>
      </w:r>
    </w:p>
    <w:p w:rsidR="006D1E39" w:rsidRPr="000F3874" w:rsidRDefault="006D1E39" w:rsidP="006D1E39">
      <w:pPr>
        <w:rPr>
          <w:rFonts w:ascii="Cambria" w:hAnsi="Cambria"/>
          <w:b/>
          <w:sz w:val="24"/>
          <w:szCs w:val="24"/>
        </w:rPr>
      </w:pPr>
      <w:r w:rsidRPr="000F3874">
        <w:rPr>
          <w:rFonts w:ascii="Cambria" w:hAnsi="Cambria"/>
          <w:b/>
          <w:sz w:val="24"/>
          <w:szCs w:val="24"/>
        </w:rPr>
        <w:t>If the Biomass Power Industry doubled to about 1,200 MW of operating capacity, as called for in the 2012 Bioenergy Actio</w:t>
      </w:r>
      <w:r w:rsidR="00D25D21">
        <w:rPr>
          <w:rFonts w:ascii="Cambria" w:hAnsi="Cambria"/>
          <w:b/>
          <w:sz w:val="24"/>
          <w:szCs w:val="24"/>
        </w:rPr>
        <w:t xml:space="preserve">n Plan, there would be annually </w:t>
      </w:r>
      <w:r>
        <w:rPr>
          <w:rFonts w:ascii="Cambria" w:hAnsi="Cambria"/>
          <w:b/>
          <w:sz w:val="24"/>
          <w:szCs w:val="24"/>
        </w:rPr>
        <w:t xml:space="preserve">about </w:t>
      </w:r>
      <w:r w:rsidR="00D25D21">
        <w:rPr>
          <w:rFonts w:ascii="Cambria" w:hAnsi="Cambria"/>
          <w:b/>
          <w:sz w:val="24"/>
          <w:szCs w:val="24"/>
        </w:rPr>
        <w:t xml:space="preserve">0.8 million </w:t>
      </w:r>
      <w:r w:rsidRPr="000F3874">
        <w:rPr>
          <w:rFonts w:ascii="Cambria" w:hAnsi="Cambria"/>
          <w:b/>
          <w:sz w:val="24"/>
          <w:szCs w:val="24"/>
        </w:rPr>
        <w:t xml:space="preserve">tons of </w:t>
      </w:r>
      <w:r w:rsidR="00D25D21">
        <w:rPr>
          <w:rFonts w:ascii="Cambria" w:hAnsi="Cambria"/>
          <w:b/>
          <w:sz w:val="24"/>
          <w:szCs w:val="24"/>
        </w:rPr>
        <w:t xml:space="preserve">methane </w:t>
      </w:r>
      <w:r w:rsidRPr="000F3874">
        <w:rPr>
          <w:rFonts w:ascii="Cambria" w:hAnsi="Cambria"/>
          <w:b/>
          <w:sz w:val="24"/>
          <w:szCs w:val="24"/>
        </w:rPr>
        <w:t>reductio</w:t>
      </w:r>
      <w:r>
        <w:rPr>
          <w:rFonts w:ascii="Cambria" w:hAnsi="Cambria"/>
          <w:b/>
          <w:sz w:val="24"/>
          <w:szCs w:val="24"/>
        </w:rPr>
        <w:t>n</w:t>
      </w:r>
      <w:r w:rsidR="00D25D21">
        <w:rPr>
          <w:rFonts w:ascii="Cambria" w:hAnsi="Cambria"/>
          <w:b/>
          <w:sz w:val="24"/>
          <w:szCs w:val="24"/>
        </w:rPr>
        <w:t xml:space="preserve"> in CO2e and be worth about $8.8</w:t>
      </w:r>
      <w:r w:rsidRPr="000F3874">
        <w:rPr>
          <w:rFonts w:ascii="Cambria" w:hAnsi="Cambria"/>
          <w:b/>
          <w:sz w:val="24"/>
          <w:szCs w:val="24"/>
        </w:rPr>
        <w:t xml:space="preserve"> million; Particulate Matter reduction </w:t>
      </w:r>
      <w:r w:rsidR="00D25D21">
        <w:rPr>
          <w:rFonts w:ascii="Cambria" w:hAnsi="Cambria"/>
          <w:b/>
          <w:sz w:val="24"/>
          <w:szCs w:val="24"/>
        </w:rPr>
        <w:t xml:space="preserve">annually </w:t>
      </w:r>
      <w:r w:rsidRPr="000F3874">
        <w:rPr>
          <w:rFonts w:ascii="Cambria" w:hAnsi="Cambria"/>
          <w:b/>
          <w:sz w:val="24"/>
          <w:szCs w:val="24"/>
        </w:rPr>
        <w:t xml:space="preserve">would be about 70,000 tons and worth about $175 million.  </w:t>
      </w:r>
    </w:p>
    <w:p w:rsidR="006D1E39" w:rsidRDefault="006D1E39" w:rsidP="006D1E39">
      <w:pPr>
        <w:rPr>
          <w:rFonts w:ascii="Cambria" w:hAnsi="Cambria"/>
          <w:sz w:val="24"/>
          <w:szCs w:val="24"/>
        </w:rPr>
      </w:pPr>
      <w:r>
        <w:rPr>
          <w:rFonts w:ascii="Cambria" w:hAnsi="Cambria"/>
          <w:sz w:val="24"/>
          <w:szCs w:val="24"/>
        </w:rPr>
        <w:lastRenderedPageBreak/>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6D1E39" w:rsidRDefault="006D1E39" w:rsidP="006D1E3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346"/>
        <w:gridCol w:w="1041"/>
        <w:gridCol w:w="1037"/>
        <w:gridCol w:w="1071"/>
        <w:gridCol w:w="1258"/>
        <w:gridCol w:w="1471"/>
        <w:gridCol w:w="894"/>
        <w:gridCol w:w="1232"/>
      </w:tblGrid>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Operation</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r>
              <w:rPr>
                <w:rFonts w:ascii="Cambria" w:hAnsi="Cambria"/>
                <w:sz w:val="24"/>
                <w:szCs w:val="24"/>
              </w:rPr>
              <w:t>Air</w:t>
            </w:r>
          </w:p>
        </w:tc>
        <w:tc>
          <w:tcPr>
            <w:tcW w:w="1258" w:type="dxa"/>
          </w:tcPr>
          <w:p w:rsidR="006D1E39" w:rsidRDefault="006D1E39" w:rsidP="00A8350C">
            <w:pPr>
              <w:rPr>
                <w:rFonts w:ascii="Cambria" w:hAnsi="Cambria"/>
                <w:sz w:val="24"/>
                <w:szCs w:val="24"/>
              </w:rPr>
            </w:pPr>
            <w:r>
              <w:rPr>
                <w:rFonts w:ascii="Cambria" w:hAnsi="Cambria"/>
                <w:sz w:val="24"/>
                <w:szCs w:val="24"/>
              </w:rPr>
              <w:t>Emissions</w:t>
            </w:r>
          </w:p>
        </w:tc>
        <w:tc>
          <w:tcPr>
            <w:tcW w:w="1472" w:type="dxa"/>
          </w:tcPr>
          <w:p w:rsidR="006D1E39" w:rsidRDefault="006D1E39" w:rsidP="00A8350C">
            <w:pPr>
              <w:rPr>
                <w:rFonts w:ascii="Cambria" w:hAnsi="Cambria"/>
                <w:sz w:val="24"/>
                <w:szCs w:val="24"/>
              </w:rPr>
            </w:pPr>
            <w:r>
              <w:rPr>
                <w:rFonts w:ascii="Cambria" w:hAnsi="Cambria"/>
                <w:sz w:val="24"/>
                <w:szCs w:val="24"/>
              </w:rPr>
              <w:t>(Tons/6096 BDT)</w:t>
            </w: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p>
        </w:tc>
        <w:tc>
          <w:tcPr>
            <w:tcW w:w="1059" w:type="dxa"/>
          </w:tcPr>
          <w:p w:rsidR="006D1E39" w:rsidRDefault="006D1E39" w:rsidP="00A8350C">
            <w:pPr>
              <w:rPr>
                <w:rFonts w:ascii="Cambria" w:hAnsi="Cambria"/>
                <w:sz w:val="24"/>
                <w:szCs w:val="24"/>
              </w:rPr>
            </w:pPr>
            <w:r>
              <w:rPr>
                <w:rFonts w:ascii="Cambria" w:hAnsi="Cambria"/>
                <w:sz w:val="24"/>
                <w:szCs w:val="24"/>
              </w:rPr>
              <w:t>NOx</w:t>
            </w:r>
          </w:p>
        </w:tc>
        <w:tc>
          <w:tcPr>
            <w:tcW w:w="1055" w:type="dxa"/>
          </w:tcPr>
          <w:p w:rsidR="006D1E39" w:rsidRPr="00F83118" w:rsidRDefault="006D1E39" w:rsidP="00A8350C">
            <w:pPr>
              <w:rPr>
                <w:rFonts w:ascii="Cambria" w:hAnsi="Cambria"/>
                <w:b/>
                <w:sz w:val="24"/>
                <w:szCs w:val="24"/>
              </w:rPr>
            </w:pPr>
            <w:r w:rsidRPr="00F83118">
              <w:rPr>
                <w:rFonts w:ascii="Cambria" w:hAnsi="Cambria"/>
                <w:b/>
                <w:sz w:val="24"/>
                <w:szCs w:val="24"/>
              </w:rPr>
              <w:t>PM</w:t>
            </w:r>
          </w:p>
        </w:tc>
        <w:tc>
          <w:tcPr>
            <w:tcW w:w="1087" w:type="dxa"/>
          </w:tcPr>
          <w:p w:rsidR="006D1E39" w:rsidRDefault="006D1E39" w:rsidP="00A8350C">
            <w:pPr>
              <w:rPr>
                <w:rFonts w:ascii="Cambria" w:hAnsi="Cambria"/>
                <w:sz w:val="24"/>
                <w:szCs w:val="24"/>
              </w:rPr>
            </w:pPr>
            <w:r>
              <w:rPr>
                <w:rFonts w:ascii="Cambria" w:hAnsi="Cambria"/>
                <w:sz w:val="24"/>
                <w:szCs w:val="24"/>
              </w:rPr>
              <w:t>NMOC</w:t>
            </w:r>
          </w:p>
        </w:tc>
        <w:tc>
          <w:tcPr>
            <w:tcW w:w="1258" w:type="dxa"/>
          </w:tcPr>
          <w:p w:rsidR="006D1E39" w:rsidRDefault="006D1E39" w:rsidP="00A8350C">
            <w:pPr>
              <w:rPr>
                <w:rFonts w:ascii="Cambria" w:hAnsi="Cambria"/>
                <w:sz w:val="24"/>
                <w:szCs w:val="24"/>
              </w:rPr>
            </w:pPr>
            <w:r>
              <w:rPr>
                <w:rFonts w:ascii="Cambria" w:hAnsi="Cambria"/>
                <w:sz w:val="24"/>
                <w:szCs w:val="24"/>
              </w:rPr>
              <w:t>CO</w:t>
            </w:r>
          </w:p>
        </w:tc>
        <w:tc>
          <w:tcPr>
            <w:tcW w:w="1472" w:type="dxa"/>
          </w:tcPr>
          <w:p w:rsidR="006D1E39" w:rsidRDefault="006D1E39" w:rsidP="00A8350C">
            <w:pPr>
              <w:rPr>
                <w:rFonts w:ascii="Cambria" w:hAnsi="Cambria"/>
                <w:sz w:val="24"/>
                <w:szCs w:val="24"/>
              </w:rPr>
            </w:pPr>
            <w:r>
              <w:rPr>
                <w:rFonts w:ascii="Cambria" w:hAnsi="Cambria"/>
                <w:sz w:val="24"/>
                <w:szCs w:val="24"/>
              </w:rPr>
              <w:t>CO2</w:t>
            </w:r>
          </w:p>
        </w:tc>
        <w:tc>
          <w:tcPr>
            <w:tcW w:w="901" w:type="dxa"/>
          </w:tcPr>
          <w:p w:rsidR="006D1E39" w:rsidRPr="00F83118" w:rsidRDefault="006D1E39" w:rsidP="00A8350C">
            <w:pPr>
              <w:rPr>
                <w:rFonts w:ascii="Cambria" w:hAnsi="Cambria"/>
                <w:b/>
                <w:sz w:val="24"/>
                <w:szCs w:val="24"/>
              </w:rPr>
            </w:pPr>
            <w:r w:rsidRPr="00F83118">
              <w:rPr>
                <w:rFonts w:ascii="Cambria" w:hAnsi="Cambria"/>
                <w:b/>
                <w:sz w:val="24"/>
                <w:szCs w:val="24"/>
              </w:rPr>
              <w:t>CH4</w:t>
            </w:r>
          </w:p>
        </w:tc>
        <w:tc>
          <w:tcPr>
            <w:tcW w:w="1255" w:type="dxa"/>
          </w:tcPr>
          <w:p w:rsidR="006D1E39" w:rsidRPr="00F83118" w:rsidRDefault="006D1E39" w:rsidP="00A8350C">
            <w:pPr>
              <w:rPr>
                <w:rFonts w:ascii="Cambria" w:hAnsi="Cambria"/>
                <w:b/>
                <w:sz w:val="24"/>
                <w:szCs w:val="24"/>
              </w:rPr>
            </w:pPr>
            <w:r w:rsidRPr="00F83118">
              <w:rPr>
                <w:rFonts w:ascii="Cambria" w:hAnsi="Cambria"/>
                <w:b/>
                <w:sz w:val="24"/>
                <w:szCs w:val="24"/>
              </w:rPr>
              <w:t>CO2e</w:t>
            </w: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Baseline, Open Pile Burning</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p>
        </w:tc>
        <w:tc>
          <w:tcPr>
            <w:tcW w:w="1258" w:type="dxa"/>
          </w:tcPr>
          <w:p w:rsidR="006D1E39" w:rsidRDefault="006D1E39" w:rsidP="00A8350C">
            <w:pPr>
              <w:rPr>
                <w:rFonts w:ascii="Cambria" w:hAnsi="Cambria"/>
                <w:sz w:val="24"/>
                <w:szCs w:val="24"/>
              </w:rPr>
            </w:pPr>
          </w:p>
        </w:tc>
        <w:tc>
          <w:tcPr>
            <w:tcW w:w="1472" w:type="dxa"/>
          </w:tcPr>
          <w:p w:rsidR="006D1E39" w:rsidRDefault="006D1E39" w:rsidP="00A8350C">
            <w:pPr>
              <w:rPr>
                <w:rFonts w:ascii="Cambria" w:hAnsi="Cambria"/>
                <w:sz w:val="24"/>
                <w:szCs w:val="24"/>
              </w:rPr>
            </w:pP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Open Pile Burning</w:t>
            </w:r>
          </w:p>
        </w:tc>
        <w:tc>
          <w:tcPr>
            <w:tcW w:w="1059" w:type="dxa"/>
          </w:tcPr>
          <w:p w:rsidR="006D1E39" w:rsidRDefault="006D1E39" w:rsidP="00A8350C">
            <w:pPr>
              <w:jc w:val="right"/>
              <w:rPr>
                <w:rFonts w:ascii="Cambria" w:hAnsi="Cambria"/>
                <w:sz w:val="24"/>
                <w:szCs w:val="24"/>
              </w:rPr>
            </w:pPr>
            <w:r>
              <w:rPr>
                <w:rFonts w:ascii="Cambria" w:hAnsi="Cambria"/>
                <w:sz w:val="24"/>
                <w:szCs w:val="24"/>
              </w:rPr>
              <w:t>17.37</w:t>
            </w:r>
          </w:p>
        </w:tc>
        <w:tc>
          <w:tcPr>
            <w:tcW w:w="1055" w:type="dxa"/>
          </w:tcPr>
          <w:p w:rsidR="006D1E39" w:rsidRDefault="006D1E39" w:rsidP="00A8350C">
            <w:pPr>
              <w:jc w:val="right"/>
              <w:rPr>
                <w:rFonts w:ascii="Cambria" w:hAnsi="Cambria"/>
                <w:sz w:val="24"/>
                <w:szCs w:val="24"/>
              </w:rPr>
            </w:pPr>
            <w:r>
              <w:rPr>
                <w:rFonts w:ascii="Cambria" w:hAnsi="Cambria"/>
                <w:sz w:val="24"/>
                <w:szCs w:val="24"/>
              </w:rPr>
              <w:t>37.65</w:t>
            </w:r>
          </w:p>
        </w:tc>
        <w:tc>
          <w:tcPr>
            <w:tcW w:w="1087" w:type="dxa"/>
          </w:tcPr>
          <w:p w:rsidR="006D1E39" w:rsidRDefault="006D1E39" w:rsidP="00A8350C">
            <w:pPr>
              <w:jc w:val="right"/>
              <w:rPr>
                <w:rFonts w:ascii="Cambria" w:hAnsi="Cambria"/>
                <w:sz w:val="24"/>
                <w:szCs w:val="24"/>
              </w:rPr>
            </w:pPr>
            <w:r>
              <w:rPr>
                <w:rFonts w:ascii="Cambria" w:hAnsi="Cambria"/>
                <w:sz w:val="24"/>
                <w:szCs w:val="24"/>
              </w:rPr>
              <w:t>28.96</w:t>
            </w:r>
          </w:p>
        </w:tc>
        <w:tc>
          <w:tcPr>
            <w:tcW w:w="1258" w:type="dxa"/>
          </w:tcPr>
          <w:p w:rsidR="006D1E39" w:rsidRDefault="006D1E39" w:rsidP="00A8350C">
            <w:pPr>
              <w:jc w:val="right"/>
              <w:rPr>
                <w:rFonts w:ascii="Cambria" w:hAnsi="Cambria"/>
                <w:sz w:val="24"/>
                <w:szCs w:val="24"/>
              </w:rPr>
            </w:pPr>
            <w:r>
              <w:rPr>
                <w:rFonts w:ascii="Cambria" w:hAnsi="Cambria"/>
                <w:sz w:val="24"/>
                <w:szCs w:val="24"/>
              </w:rPr>
              <w:t>362</w:t>
            </w:r>
          </w:p>
        </w:tc>
        <w:tc>
          <w:tcPr>
            <w:tcW w:w="1472" w:type="dxa"/>
          </w:tcPr>
          <w:p w:rsidR="006D1E39" w:rsidRDefault="006D1E39" w:rsidP="00A8350C">
            <w:pPr>
              <w:jc w:val="right"/>
              <w:rPr>
                <w:rFonts w:ascii="Cambria" w:hAnsi="Cambria"/>
                <w:sz w:val="24"/>
                <w:szCs w:val="24"/>
              </w:rPr>
            </w:pPr>
            <w:r>
              <w:rPr>
                <w:rFonts w:ascii="Cambria" w:hAnsi="Cambria"/>
                <w:sz w:val="24"/>
                <w:szCs w:val="24"/>
              </w:rPr>
              <w:t>10,618</w:t>
            </w:r>
          </w:p>
        </w:tc>
        <w:tc>
          <w:tcPr>
            <w:tcW w:w="901" w:type="dxa"/>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Pr>
          <w:p w:rsidR="006D1E39" w:rsidRDefault="006D1E39" w:rsidP="00A8350C">
            <w:pPr>
              <w:jc w:val="right"/>
              <w:rPr>
                <w:rFonts w:ascii="Cambria" w:hAnsi="Cambria"/>
                <w:sz w:val="24"/>
                <w:szCs w:val="24"/>
              </w:rPr>
            </w:pPr>
            <w:r>
              <w:rPr>
                <w:rFonts w:ascii="Cambria" w:hAnsi="Cambria"/>
                <w:sz w:val="24"/>
                <w:szCs w:val="24"/>
              </w:rPr>
              <w:t>10,983</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Displaced Power from Grid</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0.47</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0.06</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c>
          <w:tcPr>
            <w:tcW w:w="901" w:type="dxa"/>
            <w:tcBorders>
              <w:bottom w:val="single" w:sz="4" w:space="0" w:color="auto"/>
            </w:tcBorders>
          </w:tcPr>
          <w:p w:rsidR="006D1E39" w:rsidRDefault="006D1E39" w:rsidP="00A8350C">
            <w:pPr>
              <w:jc w:val="right"/>
              <w:rPr>
                <w:rFonts w:ascii="Cambria" w:hAnsi="Cambria"/>
                <w:sz w:val="24"/>
                <w:szCs w:val="24"/>
              </w:rPr>
            </w:pP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17.84</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37.93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29.02</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363</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13,352</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13,717</w:t>
            </w:r>
          </w:p>
        </w:tc>
      </w:tr>
      <w:tr w:rsidR="006D1E39" w:rsidTr="00D25D21">
        <w:tc>
          <w:tcPr>
            <w:tcW w:w="1263" w:type="dxa"/>
            <w:tcBorders>
              <w:top w:val="single" w:sz="12" w:space="0" w:color="auto"/>
            </w:tcBorders>
          </w:tcPr>
          <w:p w:rsidR="006D1E39" w:rsidRPr="00A8474C" w:rsidRDefault="006D1E39" w:rsidP="00A8350C">
            <w:pPr>
              <w:rPr>
                <w:rFonts w:ascii="Cambria" w:hAnsi="Cambria"/>
                <w:b/>
                <w:sz w:val="24"/>
                <w:szCs w:val="24"/>
              </w:rPr>
            </w:pPr>
          </w:p>
        </w:tc>
        <w:tc>
          <w:tcPr>
            <w:tcW w:w="1059" w:type="dxa"/>
            <w:tcBorders>
              <w:top w:val="single" w:sz="12" w:space="0" w:color="auto"/>
            </w:tcBorders>
          </w:tcPr>
          <w:p w:rsidR="006D1E39" w:rsidRDefault="006D1E39" w:rsidP="00A8350C">
            <w:pPr>
              <w:jc w:val="right"/>
              <w:rPr>
                <w:rFonts w:ascii="Cambria" w:hAnsi="Cambria"/>
                <w:sz w:val="24"/>
                <w:szCs w:val="24"/>
              </w:rPr>
            </w:pPr>
          </w:p>
        </w:tc>
        <w:tc>
          <w:tcPr>
            <w:tcW w:w="1055" w:type="dxa"/>
            <w:tcBorders>
              <w:top w:val="single" w:sz="12" w:space="0" w:color="auto"/>
            </w:tcBorders>
          </w:tcPr>
          <w:p w:rsidR="006D1E39" w:rsidRDefault="006D1E39" w:rsidP="00A8350C">
            <w:pPr>
              <w:jc w:val="right"/>
              <w:rPr>
                <w:rFonts w:ascii="Cambria" w:hAnsi="Cambria"/>
                <w:sz w:val="24"/>
                <w:szCs w:val="24"/>
              </w:rPr>
            </w:pPr>
          </w:p>
        </w:tc>
        <w:tc>
          <w:tcPr>
            <w:tcW w:w="1087" w:type="dxa"/>
            <w:tcBorders>
              <w:top w:val="single" w:sz="12" w:space="0" w:color="auto"/>
            </w:tcBorders>
          </w:tcPr>
          <w:p w:rsidR="006D1E39" w:rsidRDefault="006D1E39" w:rsidP="00A8350C">
            <w:pPr>
              <w:jc w:val="right"/>
              <w:rPr>
                <w:rFonts w:ascii="Cambria" w:hAnsi="Cambria"/>
                <w:sz w:val="24"/>
                <w:szCs w:val="24"/>
              </w:rPr>
            </w:pPr>
          </w:p>
        </w:tc>
        <w:tc>
          <w:tcPr>
            <w:tcW w:w="1258" w:type="dxa"/>
            <w:tcBorders>
              <w:top w:val="single" w:sz="12" w:space="0" w:color="auto"/>
            </w:tcBorders>
          </w:tcPr>
          <w:p w:rsidR="006D1E39" w:rsidRDefault="006D1E39" w:rsidP="00A8350C">
            <w:pPr>
              <w:jc w:val="right"/>
              <w:rPr>
                <w:rFonts w:ascii="Cambria" w:hAnsi="Cambria"/>
                <w:sz w:val="24"/>
                <w:szCs w:val="24"/>
              </w:rPr>
            </w:pPr>
          </w:p>
        </w:tc>
        <w:tc>
          <w:tcPr>
            <w:tcW w:w="1472" w:type="dxa"/>
            <w:tcBorders>
              <w:top w:val="single" w:sz="12" w:space="0" w:color="auto"/>
            </w:tcBorders>
          </w:tcPr>
          <w:p w:rsidR="006D1E39" w:rsidRDefault="006D1E39" w:rsidP="00A8350C">
            <w:pPr>
              <w:jc w:val="right"/>
              <w:rPr>
                <w:rFonts w:ascii="Cambria" w:hAnsi="Cambria"/>
                <w:sz w:val="24"/>
                <w:szCs w:val="24"/>
              </w:rPr>
            </w:pPr>
          </w:p>
        </w:tc>
        <w:tc>
          <w:tcPr>
            <w:tcW w:w="901" w:type="dxa"/>
            <w:tcBorders>
              <w:top w:val="single" w:sz="12" w:space="0" w:color="auto"/>
            </w:tcBorders>
          </w:tcPr>
          <w:p w:rsidR="006D1E39" w:rsidRDefault="006D1E39" w:rsidP="00A8350C">
            <w:pPr>
              <w:jc w:val="right"/>
              <w:rPr>
                <w:rFonts w:ascii="Cambria" w:hAnsi="Cambria"/>
                <w:sz w:val="24"/>
                <w:szCs w:val="24"/>
              </w:rPr>
            </w:pPr>
          </w:p>
        </w:tc>
        <w:tc>
          <w:tcPr>
            <w:tcW w:w="1255" w:type="dxa"/>
            <w:tcBorders>
              <w:top w:val="single" w:sz="12" w:space="0" w:color="auto"/>
            </w:tcBorders>
          </w:tcPr>
          <w:p w:rsidR="006D1E39" w:rsidRDefault="006D1E39" w:rsidP="00A8350C">
            <w:pPr>
              <w:jc w:val="right"/>
              <w:rPr>
                <w:rFonts w:ascii="Cambria" w:hAnsi="Cambria"/>
                <w:sz w:val="24"/>
                <w:szCs w:val="24"/>
              </w:rPr>
            </w:pP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Biomass Boiler</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Boiler</w:t>
            </w:r>
          </w:p>
        </w:tc>
        <w:tc>
          <w:tcPr>
            <w:tcW w:w="1059" w:type="dxa"/>
          </w:tcPr>
          <w:p w:rsidR="006D1E39" w:rsidRDefault="006D1E39" w:rsidP="00A8350C">
            <w:pPr>
              <w:jc w:val="right"/>
              <w:rPr>
                <w:rFonts w:ascii="Cambria" w:hAnsi="Cambria"/>
                <w:sz w:val="24"/>
                <w:szCs w:val="24"/>
              </w:rPr>
            </w:pPr>
            <w:r>
              <w:rPr>
                <w:rFonts w:ascii="Cambria" w:hAnsi="Cambria"/>
                <w:sz w:val="24"/>
                <w:szCs w:val="24"/>
              </w:rPr>
              <w:t>6.58</w:t>
            </w:r>
          </w:p>
        </w:tc>
        <w:tc>
          <w:tcPr>
            <w:tcW w:w="1055" w:type="dxa"/>
          </w:tcPr>
          <w:p w:rsidR="006D1E39" w:rsidRDefault="006D1E39" w:rsidP="00A8350C">
            <w:pPr>
              <w:jc w:val="right"/>
              <w:rPr>
                <w:rFonts w:ascii="Cambria" w:hAnsi="Cambria"/>
                <w:sz w:val="24"/>
                <w:szCs w:val="24"/>
              </w:rPr>
            </w:pPr>
            <w:r>
              <w:rPr>
                <w:rFonts w:ascii="Cambria" w:hAnsi="Cambria"/>
                <w:sz w:val="24"/>
                <w:szCs w:val="24"/>
              </w:rPr>
              <w:t>0.98</w:t>
            </w:r>
          </w:p>
        </w:tc>
        <w:tc>
          <w:tcPr>
            <w:tcW w:w="1087" w:type="dxa"/>
          </w:tcPr>
          <w:p w:rsidR="006D1E39" w:rsidRDefault="006D1E39" w:rsidP="00A8350C">
            <w:pPr>
              <w:jc w:val="right"/>
              <w:rPr>
                <w:rFonts w:ascii="Cambria" w:hAnsi="Cambria"/>
                <w:sz w:val="24"/>
                <w:szCs w:val="24"/>
              </w:rPr>
            </w:pPr>
            <w:r>
              <w:rPr>
                <w:rFonts w:ascii="Cambria" w:hAnsi="Cambria"/>
                <w:sz w:val="24"/>
                <w:szCs w:val="24"/>
              </w:rPr>
              <w:t>0.22</w:t>
            </w:r>
          </w:p>
        </w:tc>
        <w:tc>
          <w:tcPr>
            <w:tcW w:w="1258" w:type="dxa"/>
          </w:tcPr>
          <w:p w:rsidR="006D1E39" w:rsidRDefault="006D1E39" w:rsidP="00A8350C">
            <w:pPr>
              <w:jc w:val="right"/>
              <w:rPr>
                <w:rFonts w:ascii="Cambria" w:hAnsi="Cambria"/>
                <w:sz w:val="24"/>
                <w:szCs w:val="24"/>
              </w:rPr>
            </w:pPr>
            <w:r>
              <w:rPr>
                <w:rFonts w:ascii="Cambria" w:hAnsi="Cambria"/>
                <w:sz w:val="24"/>
                <w:szCs w:val="24"/>
              </w:rPr>
              <w:t>9</w:t>
            </w:r>
          </w:p>
        </w:tc>
        <w:tc>
          <w:tcPr>
            <w:tcW w:w="1472" w:type="dxa"/>
          </w:tcPr>
          <w:p w:rsidR="006D1E39" w:rsidRDefault="006D1E39" w:rsidP="00A8350C">
            <w:pPr>
              <w:jc w:val="right"/>
              <w:rPr>
                <w:rFonts w:ascii="Cambria" w:hAnsi="Cambria"/>
                <w:sz w:val="24"/>
                <w:szCs w:val="24"/>
              </w:rPr>
            </w:pPr>
            <w:r>
              <w:rPr>
                <w:rFonts w:ascii="Cambria" w:hAnsi="Cambria"/>
                <w:sz w:val="24"/>
                <w:szCs w:val="24"/>
              </w:rPr>
              <w:t>11,178</w:t>
            </w:r>
          </w:p>
        </w:tc>
        <w:tc>
          <w:tcPr>
            <w:tcW w:w="901" w:type="dxa"/>
          </w:tcPr>
          <w:p w:rsidR="006D1E39" w:rsidRDefault="006D1E39" w:rsidP="00A8350C">
            <w:pPr>
              <w:jc w:val="right"/>
              <w:rPr>
                <w:rFonts w:ascii="Cambria" w:hAnsi="Cambria"/>
                <w:sz w:val="24"/>
                <w:szCs w:val="24"/>
              </w:rPr>
            </w:pPr>
            <w:r>
              <w:rPr>
                <w:rFonts w:ascii="Cambria" w:hAnsi="Cambria"/>
                <w:sz w:val="24"/>
                <w:szCs w:val="24"/>
              </w:rPr>
              <w:t>0.55</w:t>
            </w:r>
          </w:p>
        </w:tc>
        <w:tc>
          <w:tcPr>
            <w:tcW w:w="1255" w:type="dxa"/>
          </w:tcPr>
          <w:p w:rsidR="006D1E39" w:rsidRDefault="006D1E39" w:rsidP="00A8350C">
            <w:pPr>
              <w:jc w:val="right"/>
              <w:rPr>
                <w:rFonts w:ascii="Cambria" w:hAnsi="Cambria"/>
                <w:sz w:val="24"/>
                <w:szCs w:val="24"/>
              </w:rPr>
            </w:pPr>
            <w:r>
              <w:rPr>
                <w:rFonts w:ascii="Cambria" w:hAnsi="Cambria"/>
                <w:sz w:val="24"/>
                <w:szCs w:val="24"/>
              </w:rPr>
              <w:t>11,189</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Process &amp; Transport</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Chipping</w:t>
            </w:r>
          </w:p>
        </w:tc>
        <w:tc>
          <w:tcPr>
            <w:tcW w:w="1059" w:type="dxa"/>
          </w:tcPr>
          <w:p w:rsidR="006D1E39" w:rsidRDefault="006D1E39" w:rsidP="00A8350C">
            <w:pPr>
              <w:jc w:val="right"/>
              <w:rPr>
                <w:rFonts w:ascii="Cambria" w:hAnsi="Cambria"/>
                <w:sz w:val="24"/>
                <w:szCs w:val="24"/>
              </w:rPr>
            </w:pPr>
            <w:r>
              <w:rPr>
                <w:rFonts w:ascii="Cambria" w:hAnsi="Cambria"/>
                <w:sz w:val="24"/>
                <w:szCs w:val="24"/>
              </w:rPr>
              <w:t>0.43</w:t>
            </w:r>
          </w:p>
        </w:tc>
        <w:tc>
          <w:tcPr>
            <w:tcW w:w="1055" w:type="dxa"/>
          </w:tcPr>
          <w:p w:rsidR="006D1E39" w:rsidRDefault="006D1E39" w:rsidP="00A8350C">
            <w:pPr>
              <w:jc w:val="right"/>
              <w:rPr>
                <w:rFonts w:ascii="Cambria" w:hAnsi="Cambria"/>
                <w:sz w:val="24"/>
                <w:szCs w:val="24"/>
              </w:rPr>
            </w:pPr>
            <w:r>
              <w:rPr>
                <w:rFonts w:ascii="Cambria" w:hAnsi="Cambria"/>
                <w:sz w:val="24"/>
                <w:szCs w:val="24"/>
              </w:rPr>
              <w:t>0.52</w:t>
            </w:r>
          </w:p>
        </w:tc>
        <w:tc>
          <w:tcPr>
            <w:tcW w:w="1087" w:type="dxa"/>
          </w:tcPr>
          <w:p w:rsidR="006D1E39" w:rsidRDefault="006D1E39" w:rsidP="00A8350C">
            <w:pPr>
              <w:jc w:val="right"/>
              <w:rPr>
                <w:rFonts w:ascii="Cambria" w:hAnsi="Cambria"/>
                <w:sz w:val="24"/>
                <w:szCs w:val="24"/>
              </w:rPr>
            </w:pPr>
            <w:r>
              <w:rPr>
                <w:rFonts w:ascii="Cambria" w:hAnsi="Cambria"/>
                <w:sz w:val="24"/>
                <w:szCs w:val="24"/>
              </w:rPr>
              <w:t>0.02</w:t>
            </w:r>
          </w:p>
        </w:tc>
        <w:tc>
          <w:tcPr>
            <w:tcW w:w="1258" w:type="dxa"/>
          </w:tcPr>
          <w:p w:rsidR="006D1E39" w:rsidRDefault="006D1E39" w:rsidP="00A8350C">
            <w:pPr>
              <w:jc w:val="right"/>
              <w:rPr>
                <w:rFonts w:ascii="Cambria" w:hAnsi="Cambria"/>
                <w:sz w:val="24"/>
                <w:szCs w:val="24"/>
              </w:rPr>
            </w:pPr>
            <w:r>
              <w:rPr>
                <w:rFonts w:ascii="Cambria" w:hAnsi="Cambria"/>
                <w:sz w:val="24"/>
                <w:szCs w:val="24"/>
              </w:rPr>
              <w:t>1</w:t>
            </w:r>
          </w:p>
        </w:tc>
        <w:tc>
          <w:tcPr>
            <w:tcW w:w="1472" w:type="dxa"/>
          </w:tcPr>
          <w:p w:rsidR="006D1E39" w:rsidRDefault="006D1E39" w:rsidP="00A8350C">
            <w:pPr>
              <w:jc w:val="right"/>
              <w:rPr>
                <w:rFonts w:ascii="Cambria" w:hAnsi="Cambria"/>
                <w:sz w:val="24"/>
                <w:szCs w:val="24"/>
              </w:rPr>
            </w:pPr>
            <w:r>
              <w:rPr>
                <w:rFonts w:ascii="Cambria" w:hAnsi="Cambria"/>
                <w:sz w:val="24"/>
                <w:szCs w:val="24"/>
              </w:rPr>
              <w:t>73</w:t>
            </w:r>
          </w:p>
        </w:tc>
        <w:tc>
          <w:tcPr>
            <w:tcW w:w="901" w:type="dxa"/>
          </w:tcPr>
          <w:p w:rsidR="006D1E39" w:rsidRDefault="006D1E39" w:rsidP="00A8350C">
            <w:pPr>
              <w:jc w:val="right"/>
              <w:rPr>
                <w:rFonts w:ascii="Cambria" w:hAnsi="Cambria"/>
                <w:sz w:val="24"/>
                <w:szCs w:val="24"/>
              </w:rPr>
            </w:pPr>
            <w:r>
              <w:rPr>
                <w:rFonts w:ascii="Cambria" w:hAnsi="Cambria"/>
                <w:sz w:val="24"/>
                <w:szCs w:val="24"/>
              </w:rPr>
              <w:t>0.04</w:t>
            </w:r>
          </w:p>
        </w:tc>
        <w:tc>
          <w:tcPr>
            <w:tcW w:w="1255" w:type="dxa"/>
          </w:tcPr>
          <w:p w:rsidR="006D1E39" w:rsidRDefault="006D1E39" w:rsidP="00A8350C">
            <w:pPr>
              <w:jc w:val="right"/>
              <w:rPr>
                <w:rFonts w:ascii="Cambria" w:hAnsi="Cambria"/>
                <w:sz w:val="24"/>
                <w:szCs w:val="24"/>
              </w:rPr>
            </w:pPr>
            <w:r>
              <w:rPr>
                <w:rFonts w:ascii="Cambria" w:hAnsi="Cambria"/>
                <w:sz w:val="24"/>
                <w:szCs w:val="24"/>
              </w:rPr>
              <w:t>74</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Loading</w:t>
            </w:r>
          </w:p>
        </w:tc>
        <w:tc>
          <w:tcPr>
            <w:tcW w:w="1059" w:type="dxa"/>
          </w:tcPr>
          <w:p w:rsidR="006D1E39" w:rsidRDefault="006D1E39" w:rsidP="00A8350C">
            <w:pPr>
              <w:jc w:val="right"/>
              <w:rPr>
                <w:rFonts w:ascii="Cambria" w:hAnsi="Cambria"/>
                <w:sz w:val="24"/>
                <w:szCs w:val="24"/>
              </w:rPr>
            </w:pPr>
            <w:r>
              <w:rPr>
                <w:rFonts w:ascii="Cambria" w:hAnsi="Cambria"/>
                <w:sz w:val="24"/>
                <w:szCs w:val="24"/>
              </w:rPr>
              <w:t>0.31</w:t>
            </w:r>
          </w:p>
        </w:tc>
        <w:tc>
          <w:tcPr>
            <w:tcW w:w="1055" w:type="dxa"/>
          </w:tcPr>
          <w:p w:rsidR="006D1E39" w:rsidRDefault="006D1E39" w:rsidP="00A8350C">
            <w:pPr>
              <w:jc w:val="right"/>
              <w:rPr>
                <w:rFonts w:ascii="Cambria" w:hAnsi="Cambria"/>
                <w:sz w:val="24"/>
                <w:szCs w:val="24"/>
              </w:rPr>
            </w:pPr>
            <w:r>
              <w:rPr>
                <w:rFonts w:ascii="Cambria" w:hAnsi="Cambria"/>
                <w:sz w:val="24"/>
                <w:szCs w:val="24"/>
              </w:rPr>
              <w:t>0.01</w:t>
            </w:r>
          </w:p>
        </w:tc>
        <w:tc>
          <w:tcPr>
            <w:tcW w:w="1087" w:type="dxa"/>
          </w:tcPr>
          <w:p w:rsidR="006D1E39" w:rsidRDefault="006D1E39" w:rsidP="00A8350C">
            <w:pPr>
              <w:jc w:val="right"/>
              <w:rPr>
                <w:rFonts w:ascii="Cambria" w:hAnsi="Cambria"/>
                <w:sz w:val="24"/>
                <w:szCs w:val="24"/>
              </w:rPr>
            </w:pPr>
            <w:r>
              <w:rPr>
                <w:rFonts w:ascii="Cambria" w:hAnsi="Cambria"/>
                <w:sz w:val="24"/>
                <w:szCs w:val="24"/>
              </w:rPr>
              <w:t>0.01</w:t>
            </w:r>
          </w:p>
        </w:tc>
        <w:tc>
          <w:tcPr>
            <w:tcW w:w="1258" w:type="dxa"/>
          </w:tcPr>
          <w:p w:rsidR="006D1E39" w:rsidRDefault="006D1E39" w:rsidP="00A8350C">
            <w:pPr>
              <w:jc w:val="right"/>
              <w:rPr>
                <w:rFonts w:ascii="Cambria" w:hAnsi="Cambria"/>
                <w:sz w:val="24"/>
                <w:szCs w:val="24"/>
              </w:rPr>
            </w:pPr>
            <w:r>
              <w:rPr>
                <w:rFonts w:ascii="Cambria" w:hAnsi="Cambria"/>
                <w:sz w:val="24"/>
                <w:szCs w:val="24"/>
              </w:rPr>
              <w:t>0</w:t>
            </w:r>
          </w:p>
        </w:tc>
        <w:tc>
          <w:tcPr>
            <w:tcW w:w="1472" w:type="dxa"/>
          </w:tcPr>
          <w:p w:rsidR="006D1E39" w:rsidRDefault="006D1E39" w:rsidP="00A8350C">
            <w:pPr>
              <w:jc w:val="right"/>
              <w:rPr>
                <w:rFonts w:ascii="Cambria" w:hAnsi="Cambria"/>
                <w:sz w:val="24"/>
                <w:szCs w:val="24"/>
              </w:rPr>
            </w:pPr>
            <w:r>
              <w:rPr>
                <w:rFonts w:ascii="Cambria" w:hAnsi="Cambria"/>
                <w:sz w:val="24"/>
                <w:szCs w:val="24"/>
              </w:rPr>
              <w:t>19</w:t>
            </w:r>
          </w:p>
        </w:tc>
        <w:tc>
          <w:tcPr>
            <w:tcW w:w="901" w:type="dxa"/>
          </w:tcPr>
          <w:p w:rsidR="006D1E39" w:rsidRDefault="006D1E39" w:rsidP="00A8350C">
            <w:pPr>
              <w:jc w:val="right"/>
              <w:rPr>
                <w:rFonts w:ascii="Cambria" w:hAnsi="Cambria"/>
                <w:sz w:val="24"/>
                <w:szCs w:val="24"/>
              </w:rPr>
            </w:pPr>
            <w:r>
              <w:rPr>
                <w:rFonts w:ascii="Cambria" w:hAnsi="Cambria"/>
                <w:sz w:val="24"/>
                <w:szCs w:val="24"/>
              </w:rPr>
              <w:t>0.03</w:t>
            </w:r>
          </w:p>
        </w:tc>
        <w:tc>
          <w:tcPr>
            <w:tcW w:w="1255" w:type="dxa"/>
          </w:tcPr>
          <w:p w:rsidR="006D1E39" w:rsidRDefault="006D1E39" w:rsidP="00A8350C">
            <w:pPr>
              <w:jc w:val="right"/>
              <w:rPr>
                <w:rFonts w:ascii="Cambria" w:hAnsi="Cambria"/>
                <w:sz w:val="24"/>
                <w:szCs w:val="24"/>
              </w:rPr>
            </w:pPr>
            <w:r>
              <w:rPr>
                <w:rFonts w:ascii="Cambria" w:hAnsi="Cambria"/>
                <w:sz w:val="24"/>
                <w:szCs w:val="24"/>
              </w:rPr>
              <w:t>19</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Chip Van Transport</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0.91</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0.02</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0.03</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118</w:t>
            </w:r>
          </w:p>
        </w:tc>
        <w:tc>
          <w:tcPr>
            <w:tcW w:w="901"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0.05</w:t>
            </w: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119</w:t>
            </w:r>
            <w:bookmarkStart w:id="0" w:name="_GoBack"/>
            <w:bookmarkEnd w:id="0"/>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8.23</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1.53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12</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11,388</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0.70</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11,402</w:t>
            </w:r>
          </w:p>
        </w:tc>
      </w:tr>
      <w:tr w:rsidR="006D1E39" w:rsidTr="00E43AD8">
        <w:tc>
          <w:tcPr>
            <w:tcW w:w="1263" w:type="dxa"/>
            <w:tcBorders>
              <w:top w:val="single" w:sz="12" w:space="0" w:color="auto"/>
              <w:bottom w:val="single" w:sz="4" w:space="0" w:color="auto"/>
            </w:tcBorders>
          </w:tcPr>
          <w:p w:rsidR="006D1E39" w:rsidRDefault="006D1E39" w:rsidP="00A8350C">
            <w:pPr>
              <w:rPr>
                <w:rFonts w:ascii="Cambria" w:hAnsi="Cambria"/>
                <w:sz w:val="24"/>
                <w:szCs w:val="24"/>
              </w:rPr>
            </w:pPr>
          </w:p>
        </w:tc>
        <w:tc>
          <w:tcPr>
            <w:tcW w:w="1059"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055"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087"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258"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472"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901"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255"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r>
      <w:tr w:rsidR="006D1E39" w:rsidTr="00E43AD8">
        <w:tc>
          <w:tcPr>
            <w:tcW w:w="1263" w:type="dxa"/>
            <w:tcBorders>
              <w:bottom w:val="single" w:sz="12" w:space="0" w:color="auto"/>
            </w:tcBorders>
          </w:tcPr>
          <w:p w:rsidR="006D1E39" w:rsidRPr="00D25D21" w:rsidRDefault="006D1E39" w:rsidP="00A8350C">
            <w:pPr>
              <w:rPr>
                <w:rFonts w:ascii="Cambria" w:hAnsi="Cambria"/>
                <w:b/>
                <w:sz w:val="24"/>
                <w:szCs w:val="24"/>
              </w:rPr>
            </w:pPr>
            <w:r w:rsidRPr="00D25D21">
              <w:rPr>
                <w:rFonts w:ascii="Cambria" w:hAnsi="Cambria"/>
                <w:b/>
                <w:sz w:val="24"/>
                <w:szCs w:val="24"/>
              </w:rPr>
              <w:t>Emissions Reduction</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9.62</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36.39</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28.74</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350</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1,965</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16.7</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2,315</w:t>
            </w:r>
          </w:p>
        </w:tc>
      </w:tr>
      <w:tr w:rsidR="006D1E39" w:rsidTr="00E43AD8">
        <w:tc>
          <w:tcPr>
            <w:tcW w:w="1263" w:type="dxa"/>
            <w:tcBorders>
              <w:top w:val="single" w:sz="12" w:space="0" w:color="auto"/>
              <w:bottom w:val="single" w:sz="12" w:space="0" w:color="auto"/>
            </w:tcBorders>
          </w:tcPr>
          <w:p w:rsidR="006D1E39" w:rsidRPr="00D25D21" w:rsidRDefault="006D1E39" w:rsidP="00A8350C">
            <w:pPr>
              <w:rPr>
                <w:rFonts w:ascii="Cambria" w:hAnsi="Cambria"/>
                <w:b/>
                <w:sz w:val="24"/>
                <w:szCs w:val="24"/>
              </w:rPr>
            </w:pPr>
            <w:r w:rsidRPr="00D25D21">
              <w:rPr>
                <w:rFonts w:ascii="Cambria" w:hAnsi="Cambria"/>
                <w:b/>
                <w:sz w:val="24"/>
                <w:szCs w:val="24"/>
              </w:rPr>
              <w:t>% Reduction</w:t>
            </w:r>
          </w:p>
        </w:tc>
        <w:tc>
          <w:tcPr>
            <w:tcW w:w="1059"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54%</w:t>
            </w:r>
          </w:p>
        </w:tc>
        <w:tc>
          <w:tcPr>
            <w:tcW w:w="1055" w:type="dxa"/>
            <w:tcBorders>
              <w:top w:val="single" w:sz="12" w:space="0" w:color="auto"/>
              <w:bottom w:val="single" w:sz="12" w:space="0" w:color="auto"/>
            </w:tcBorders>
          </w:tcPr>
          <w:p w:rsidR="006D1E39" w:rsidRPr="00D25D21" w:rsidRDefault="006D1E39" w:rsidP="00A8350C">
            <w:pPr>
              <w:jc w:val="right"/>
              <w:rPr>
                <w:rFonts w:ascii="Cambria" w:hAnsi="Cambria"/>
                <w:b/>
                <w:sz w:val="24"/>
                <w:szCs w:val="24"/>
              </w:rPr>
            </w:pPr>
            <w:r w:rsidRPr="00D25D21">
              <w:rPr>
                <w:rFonts w:ascii="Cambria" w:hAnsi="Cambria"/>
                <w:b/>
                <w:sz w:val="24"/>
                <w:szCs w:val="24"/>
              </w:rPr>
              <w:t>96%</w:t>
            </w:r>
          </w:p>
        </w:tc>
        <w:tc>
          <w:tcPr>
            <w:tcW w:w="1087"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99%</w:t>
            </w:r>
          </w:p>
        </w:tc>
        <w:tc>
          <w:tcPr>
            <w:tcW w:w="1258"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97%</w:t>
            </w:r>
          </w:p>
        </w:tc>
        <w:tc>
          <w:tcPr>
            <w:tcW w:w="1472"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15%</w:t>
            </w:r>
          </w:p>
        </w:tc>
        <w:tc>
          <w:tcPr>
            <w:tcW w:w="901"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96%</w:t>
            </w:r>
          </w:p>
        </w:tc>
        <w:tc>
          <w:tcPr>
            <w:tcW w:w="1255" w:type="dxa"/>
            <w:tcBorders>
              <w:top w:val="single" w:sz="12" w:space="0" w:color="auto"/>
              <w:bottom w:val="single" w:sz="12" w:space="0" w:color="auto"/>
            </w:tcBorders>
          </w:tcPr>
          <w:p w:rsidR="006D1E39" w:rsidRPr="00D25D21" w:rsidRDefault="006D1E39" w:rsidP="00A8350C">
            <w:pPr>
              <w:jc w:val="right"/>
              <w:rPr>
                <w:rFonts w:ascii="Cambria" w:hAnsi="Cambria"/>
                <w:b/>
                <w:sz w:val="24"/>
                <w:szCs w:val="24"/>
              </w:rPr>
            </w:pPr>
            <w:r w:rsidRPr="00D25D21">
              <w:rPr>
                <w:rFonts w:ascii="Cambria" w:hAnsi="Cambria"/>
                <w:b/>
                <w:sz w:val="24"/>
                <w:szCs w:val="24"/>
              </w:rPr>
              <w:t>17%</w:t>
            </w:r>
          </w:p>
        </w:tc>
      </w:tr>
    </w:tbl>
    <w:p w:rsidR="006D1E39" w:rsidRDefault="006D1E39" w:rsidP="006D1E39">
      <w:pPr>
        <w:rPr>
          <w:rFonts w:ascii="Cambria" w:hAnsi="Cambria"/>
          <w:sz w:val="24"/>
          <w:szCs w:val="24"/>
        </w:rPr>
      </w:pPr>
    </w:p>
    <w:p w:rsidR="006D1E39" w:rsidRDefault="006D1E39" w:rsidP="006D1E3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6D1E39" w:rsidRDefault="006D1E39" w:rsidP="006D1E3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6D1E39" w:rsidRDefault="006D1E39" w:rsidP="006D1E39">
      <w:pPr>
        <w:rPr>
          <w:rFonts w:ascii="Cambria" w:hAnsi="Cambria"/>
          <w:sz w:val="24"/>
          <w:szCs w:val="24"/>
        </w:rPr>
      </w:pPr>
      <w:r>
        <w:rPr>
          <w:rFonts w:ascii="Cambria" w:hAnsi="Cambria"/>
          <w:sz w:val="24"/>
          <w:szCs w:val="24"/>
        </w:rPr>
        <w:t>For the existing 600 MW operating powerplant industry, consuming 4.8 million bone dry tons (BDT)/year:</w:t>
      </w:r>
    </w:p>
    <w:p w:rsidR="006D1E39" w:rsidRDefault="00316B87" w:rsidP="006D1E39">
      <w:pPr>
        <w:rPr>
          <w:rFonts w:ascii="Cambria" w:hAnsi="Cambria"/>
          <w:sz w:val="24"/>
          <w:szCs w:val="24"/>
        </w:rPr>
      </w:pPr>
      <w:r>
        <w:rPr>
          <w:rFonts w:ascii="Cambria" w:hAnsi="Cambria"/>
          <w:sz w:val="24"/>
          <w:szCs w:val="24"/>
        </w:rPr>
        <w:lastRenderedPageBreak/>
        <w:t>16.7</w:t>
      </w:r>
      <w:r w:rsidR="00F11090">
        <w:rPr>
          <w:rFonts w:ascii="Cambria" w:hAnsi="Cambria"/>
          <w:sz w:val="24"/>
          <w:szCs w:val="24"/>
        </w:rPr>
        <w:t xml:space="preserve"> tons CO2e</w:t>
      </w:r>
      <w:r>
        <w:rPr>
          <w:rFonts w:ascii="Cambria" w:hAnsi="Cambria"/>
          <w:sz w:val="24"/>
          <w:szCs w:val="24"/>
        </w:rPr>
        <w:t>/6,096 BDT</w:t>
      </w:r>
      <w:r w:rsidR="006D1E39">
        <w:rPr>
          <w:rFonts w:ascii="Cambria" w:hAnsi="Cambria"/>
          <w:sz w:val="24"/>
          <w:szCs w:val="24"/>
        </w:rPr>
        <w:t xml:space="preserve"> X 4.8 million BDT = 1.8 million tons </w:t>
      </w:r>
      <w:r w:rsidR="00F11090">
        <w:rPr>
          <w:rFonts w:ascii="Cambria" w:hAnsi="Cambria"/>
          <w:sz w:val="24"/>
          <w:szCs w:val="24"/>
        </w:rPr>
        <w:t xml:space="preserve">CO2e </w:t>
      </w:r>
      <w:r w:rsidR="006D1E39">
        <w:rPr>
          <w:rFonts w:ascii="Cambria" w:hAnsi="Cambria"/>
          <w:sz w:val="24"/>
          <w:szCs w:val="24"/>
        </w:rPr>
        <w:t>reduction X $11/ton on offset cap-and-trade market = $19.8 million</w:t>
      </w:r>
    </w:p>
    <w:p w:rsidR="006D1E39" w:rsidRDefault="006D1E39" w:rsidP="006D1E39">
      <w:pPr>
        <w:rPr>
          <w:rFonts w:ascii="Cambria" w:hAnsi="Cambria"/>
          <w:sz w:val="24"/>
          <w:szCs w:val="24"/>
        </w:rPr>
      </w:pPr>
      <w:r>
        <w:rPr>
          <w:rFonts w:ascii="Cambria" w:hAnsi="Cambria"/>
          <w:sz w:val="24"/>
          <w:szCs w:val="24"/>
        </w:rPr>
        <w:t>36.39 tons of particulate matter reduction/6,096 BDT X 4.8 million BDT = 28,654 tons reduction X $2,500/ton =$71.6 million</w:t>
      </w:r>
      <w:r w:rsidR="00A8350C">
        <w:rPr>
          <w:rFonts w:ascii="Cambria" w:hAnsi="Cambria"/>
          <w:sz w:val="24"/>
          <w:szCs w:val="24"/>
        </w:rPr>
        <w:t>.  Note the $2,500/ton figure comes from Morris, 1999.  The Carl Moyer Program today values PM2.5 at up to $16,000/ton.</w:t>
      </w:r>
    </w:p>
    <w:p w:rsidR="006D1E39" w:rsidRDefault="006D1E39" w:rsidP="006D1E39">
      <w:pPr>
        <w:rPr>
          <w:rFonts w:ascii="Cambria" w:hAnsi="Cambria"/>
          <w:sz w:val="24"/>
          <w:szCs w:val="24"/>
        </w:rPr>
      </w:pPr>
    </w:p>
    <w:p w:rsidR="00F61BDB" w:rsidRPr="006D1E39" w:rsidRDefault="00F61BDB" w:rsidP="006D1E39">
      <w:pPr>
        <w:rPr>
          <w:rFonts w:ascii="Cambria" w:hAnsi="Cambria"/>
          <w:sz w:val="24"/>
          <w:szCs w:val="24"/>
        </w:rPr>
      </w:pPr>
      <w:r w:rsidRPr="00C218CF">
        <w:rPr>
          <w:rFonts w:ascii="Cambria" w:hAnsi="Cambria"/>
          <w:b/>
          <w:sz w:val="24"/>
          <w:szCs w:val="24"/>
        </w:rPr>
        <w:t>Summary:</w:t>
      </w:r>
    </w:p>
    <w:p w:rsidR="00C218CF" w:rsidRPr="00C218CF" w:rsidRDefault="00C218CF" w:rsidP="00C218CF">
      <w:pPr>
        <w:autoSpaceDE w:val="0"/>
        <w:autoSpaceDN w:val="0"/>
        <w:adjustRightInd w:val="0"/>
        <w:spacing w:after="0" w:line="240" w:lineRule="auto"/>
        <w:rPr>
          <w:rFonts w:ascii="Cambria" w:hAnsi="Cambria"/>
          <w:sz w:val="24"/>
          <w:szCs w:val="24"/>
        </w:rPr>
      </w:pP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 xml:space="preserve">Utilizing woody residues (agriculture, forest, and urban) to generate heat and power </w:t>
      </w:r>
      <w:r w:rsidR="00C218CF">
        <w:rPr>
          <w:rFonts w:ascii="Cambria" w:hAnsi="Cambria"/>
          <w:sz w:val="24"/>
          <w:szCs w:val="24"/>
        </w:rPr>
        <w:t xml:space="preserve">compared to open burning or above ground decomposition </w:t>
      </w:r>
      <w:r>
        <w:rPr>
          <w:rFonts w:ascii="Cambria" w:hAnsi="Cambria"/>
          <w:sz w:val="24"/>
          <w:szCs w:val="24"/>
        </w:rPr>
        <w:t>has over 11 cents/kW of uncompensated ancillary benefits.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Considering biogenic boiler emissions no different than fossil emissions  will lead to increasing rather than decreasing emissions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031E30" w:rsidRDefault="00031E30"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C218CF" w:rsidRDefault="00EC32EA"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The</w:t>
      </w:r>
      <w:r w:rsidR="00C218CF">
        <w:rPr>
          <w:rFonts w:ascii="Cambria" w:hAnsi="Cambria"/>
          <w:sz w:val="24"/>
          <w:szCs w:val="24"/>
        </w:rPr>
        <w:t xml:space="preserve"> reduced criteria</w:t>
      </w:r>
      <w:r w:rsidR="006D1E39">
        <w:rPr>
          <w:rFonts w:ascii="Cambria" w:hAnsi="Cambria"/>
          <w:sz w:val="24"/>
          <w:szCs w:val="24"/>
        </w:rPr>
        <w:t xml:space="preserve"> pollutants with the current 600</w:t>
      </w:r>
      <w:r w:rsidR="00C218CF">
        <w:rPr>
          <w:rFonts w:ascii="Cambria" w:hAnsi="Cambria"/>
          <w:sz w:val="24"/>
          <w:szCs w:val="24"/>
        </w:rPr>
        <w:t xml:space="preserve"> MW operating capacity of the Biomass P</w:t>
      </w:r>
      <w:r>
        <w:rPr>
          <w:rFonts w:ascii="Cambria" w:hAnsi="Cambria"/>
          <w:sz w:val="24"/>
          <w:szCs w:val="24"/>
        </w:rPr>
        <w:t xml:space="preserve">owerplant industry </w:t>
      </w:r>
      <w:r w:rsidR="00D25D21">
        <w:rPr>
          <w:rFonts w:ascii="Cambria" w:hAnsi="Cambria"/>
          <w:sz w:val="24"/>
          <w:szCs w:val="24"/>
        </w:rPr>
        <w:t xml:space="preserve">compared to open pile burning </w:t>
      </w:r>
      <w:r>
        <w:rPr>
          <w:rFonts w:ascii="Cambria" w:hAnsi="Cambria"/>
          <w:sz w:val="24"/>
          <w:szCs w:val="24"/>
        </w:rPr>
        <w:t xml:space="preserve">is about </w:t>
      </w:r>
      <w:r w:rsidR="00F83118">
        <w:rPr>
          <w:rFonts w:ascii="Cambria" w:hAnsi="Cambria"/>
          <w:sz w:val="24"/>
          <w:szCs w:val="24"/>
        </w:rPr>
        <w:t>17% (</w:t>
      </w:r>
      <w:r>
        <w:rPr>
          <w:rFonts w:ascii="Cambria" w:hAnsi="Cambria"/>
          <w:sz w:val="24"/>
          <w:szCs w:val="24"/>
        </w:rPr>
        <w:t>1.8</w:t>
      </w:r>
      <w:r w:rsidR="00C218CF">
        <w:rPr>
          <w:rFonts w:ascii="Cambria" w:hAnsi="Cambria"/>
          <w:sz w:val="24"/>
          <w:szCs w:val="24"/>
        </w:rPr>
        <w:t xml:space="preserve"> million</w:t>
      </w:r>
      <w:r>
        <w:rPr>
          <w:rFonts w:ascii="Cambria" w:hAnsi="Cambria"/>
          <w:sz w:val="24"/>
          <w:szCs w:val="24"/>
        </w:rPr>
        <w:t xml:space="preserve"> tons of CO2e</w:t>
      </w:r>
      <w:r w:rsidR="00F83118">
        <w:rPr>
          <w:rFonts w:ascii="Cambria" w:hAnsi="Cambria"/>
          <w:sz w:val="24"/>
          <w:szCs w:val="24"/>
        </w:rPr>
        <w:t>)</w:t>
      </w:r>
      <w:r>
        <w:rPr>
          <w:rFonts w:ascii="Cambria" w:hAnsi="Cambria"/>
          <w:sz w:val="24"/>
          <w:szCs w:val="24"/>
        </w:rPr>
        <w:t xml:space="preserve"> and </w:t>
      </w:r>
      <w:r w:rsidR="00D25D21">
        <w:rPr>
          <w:rFonts w:ascii="Cambria" w:hAnsi="Cambria"/>
          <w:sz w:val="24"/>
          <w:szCs w:val="24"/>
        </w:rPr>
        <w:t>96</w:t>
      </w:r>
      <w:r w:rsidR="00F83118">
        <w:rPr>
          <w:rFonts w:ascii="Cambria" w:hAnsi="Cambria"/>
          <w:sz w:val="24"/>
          <w:szCs w:val="24"/>
        </w:rPr>
        <w:t>% (28,000 tons) for</w:t>
      </w:r>
      <w:r>
        <w:rPr>
          <w:rFonts w:ascii="Cambria" w:hAnsi="Cambria"/>
          <w:sz w:val="24"/>
          <w:szCs w:val="24"/>
        </w:rPr>
        <w:t xml:space="preserve"> particulate matter.  I</w:t>
      </w:r>
      <w:r w:rsidR="00C218CF">
        <w:rPr>
          <w:rFonts w:ascii="Cambria" w:hAnsi="Cambria"/>
          <w:sz w:val="24"/>
          <w:szCs w:val="24"/>
        </w:rPr>
        <w:t>f the 2012 Bioenergy Action Plan were fully implemented increasing the operating capacity to 1,200 MW, the value</w:t>
      </w:r>
      <w:r>
        <w:rPr>
          <w:rFonts w:ascii="Cambria" w:hAnsi="Cambria"/>
          <w:sz w:val="24"/>
          <w:szCs w:val="24"/>
        </w:rPr>
        <w:t>s</w:t>
      </w:r>
      <w:r w:rsidR="00C218CF">
        <w:rPr>
          <w:rFonts w:ascii="Cambria" w:hAnsi="Cambria"/>
          <w:sz w:val="24"/>
          <w:szCs w:val="24"/>
        </w:rPr>
        <w:t xml:space="preserve"> of reduced criteria pollutants </w:t>
      </w:r>
      <w:r>
        <w:rPr>
          <w:rFonts w:ascii="Cambria" w:hAnsi="Cambria"/>
          <w:sz w:val="24"/>
          <w:szCs w:val="24"/>
        </w:rPr>
        <w:t>would double.</w:t>
      </w:r>
    </w:p>
    <w:p w:rsidR="00AA3DA5" w:rsidRPr="00F61BDB" w:rsidRDefault="00AA3DA5" w:rsidP="00F61BDB">
      <w:pPr>
        <w:pStyle w:val="ListParagraph"/>
        <w:numPr>
          <w:ilvl w:val="0"/>
          <w:numId w:val="23"/>
        </w:numPr>
        <w:autoSpaceDE w:val="0"/>
        <w:autoSpaceDN w:val="0"/>
        <w:adjustRightInd w:val="0"/>
        <w:spacing w:after="0" w:line="240" w:lineRule="auto"/>
        <w:rPr>
          <w:rFonts w:ascii="AGaramond-Regular" w:hAnsi="AGaramond-Regular" w:cs="AGaramond-Regular"/>
          <w:sz w:val="20"/>
          <w:szCs w:val="20"/>
        </w:rPr>
      </w:pPr>
      <w:r w:rsidRPr="00F61BDB">
        <w:rPr>
          <w:rFonts w:ascii="Cambria" w:hAnsi="Cambria"/>
          <w:sz w:val="24"/>
          <w:szCs w:val="24"/>
        </w:rPr>
        <w:br w:type="page"/>
      </w:r>
    </w:p>
    <w:p w:rsidR="00AA3DA5" w:rsidRPr="007F5AA2" w:rsidRDefault="00AA3DA5" w:rsidP="00AA3DA5">
      <w:pPr>
        <w:pStyle w:val="ListParagraph"/>
        <w:rPr>
          <w:rFonts w:ascii="Cambria" w:hAnsi="Cambria"/>
          <w:b/>
          <w:sz w:val="24"/>
          <w:szCs w:val="24"/>
        </w:rPr>
      </w:pPr>
    </w:p>
    <w:p w:rsidR="00AA3DA5" w:rsidRPr="007F5AA2" w:rsidRDefault="00AA3DA5" w:rsidP="00086540">
      <w:pPr>
        <w:pStyle w:val="ListParagraph"/>
        <w:numPr>
          <w:ilvl w:val="0"/>
          <w:numId w:val="25"/>
        </w:numPr>
        <w:rPr>
          <w:rFonts w:ascii="Cambria" w:hAnsi="Cambria"/>
          <w:b/>
          <w:sz w:val="24"/>
          <w:szCs w:val="24"/>
        </w:rPr>
      </w:pPr>
      <w:r w:rsidRPr="007F5AA2">
        <w:rPr>
          <w:rFonts w:ascii="Cambria" w:hAnsi="Cambria"/>
          <w:b/>
          <w:sz w:val="24"/>
          <w:szCs w:val="24"/>
        </w:rPr>
        <w:t>CO2 emissions and black carbon reduction  benefits from Active Forest Management and the Wood Residues it produces</w:t>
      </w:r>
    </w:p>
    <w:p w:rsidR="002813F2" w:rsidRPr="002813F2" w:rsidRDefault="002813F2" w:rsidP="008E6B78">
      <w:pPr>
        <w:ind w:left="360"/>
        <w:rPr>
          <w:rFonts w:ascii="Cambria" w:hAnsi="Cambria"/>
          <w:b/>
          <w:sz w:val="24"/>
          <w:szCs w:val="24"/>
        </w:rPr>
      </w:pPr>
      <w:r>
        <w:rPr>
          <w:rFonts w:ascii="Cambria" w:hAnsi="Cambria"/>
          <w:b/>
          <w:sz w:val="24"/>
          <w:szCs w:val="24"/>
        </w:rPr>
        <w:t>Sequestration of CO2 from California’s National Forests</w:t>
      </w:r>
    </w:p>
    <w:p w:rsidR="008E6B78" w:rsidRPr="008E6B78" w:rsidRDefault="008E6B78" w:rsidP="008E6B78">
      <w:pPr>
        <w:ind w:left="360"/>
        <w:rPr>
          <w:rFonts w:ascii="Cambria" w:hAnsi="Cambria"/>
          <w:sz w:val="24"/>
          <w:szCs w:val="24"/>
        </w:rPr>
      </w:pPr>
      <w:r w:rsidRPr="008E6B78">
        <w:rPr>
          <w:rFonts w:ascii="Cambria" w:hAnsi="Cambria"/>
          <w:sz w:val="24"/>
          <w:szCs w:val="24"/>
        </w:rPr>
        <w:t>In the past 20 years, 1.3 million acres of the forestland on the national forests of the Sierra Nevada’s has burned; the Forest Service predicts another 1.2 million acres will burn in the next 20 years; a total of about ¼ of the entire public forest land in the Sierra’s.</w:t>
      </w:r>
      <w:r w:rsidR="007F5AA2">
        <w:rPr>
          <w:rFonts w:ascii="Cambria" w:hAnsi="Cambria"/>
          <w:sz w:val="24"/>
          <w:szCs w:val="24"/>
        </w:rPr>
        <w:t xml:space="preserve">  The trend in acres burned due to wildfire is such that in about 50 years, all of the productive forest land </w:t>
      </w:r>
      <w:r w:rsidR="00D140C4">
        <w:rPr>
          <w:rFonts w:ascii="Cambria" w:hAnsi="Cambria"/>
          <w:sz w:val="24"/>
          <w:szCs w:val="24"/>
        </w:rPr>
        <w:t xml:space="preserve">on California’s National Forests </w:t>
      </w:r>
      <w:r w:rsidR="007F5AA2">
        <w:rPr>
          <w:rFonts w:ascii="Cambria" w:hAnsi="Cambria"/>
          <w:sz w:val="24"/>
          <w:szCs w:val="24"/>
        </w:rPr>
        <w:t>will have been subjected to a wildfire.</w:t>
      </w:r>
    </w:p>
    <w:p w:rsidR="008E6B78" w:rsidRDefault="007F5AA2" w:rsidP="008E6B78">
      <w:pPr>
        <w:ind w:left="360"/>
        <w:rPr>
          <w:rFonts w:ascii="Cambria" w:hAnsi="Cambria"/>
          <w:bCs/>
          <w:sz w:val="24"/>
          <w:szCs w:val="24"/>
        </w:rPr>
      </w:pPr>
      <w:r>
        <w:rPr>
          <w:rFonts w:ascii="Cambria" w:hAnsi="Cambria"/>
          <w:bCs/>
          <w:sz w:val="24"/>
          <w:szCs w:val="24"/>
        </w:rPr>
        <w:t>The California Energy Commission (CEC)</w:t>
      </w:r>
      <w:r w:rsidR="008E6B78" w:rsidRPr="008E6B78">
        <w:rPr>
          <w:rFonts w:ascii="Cambria" w:hAnsi="Cambria"/>
          <w:bCs/>
          <w:sz w:val="24"/>
          <w:szCs w:val="24"/>
        </w:rPr>
        <w:t xml:space="preserve"> greenhouse gas emissions inventory for California shows that forestry is the only “net carbon sink” in the entire inventory, </w:t>
      </w:r>
      <w:r w:rsidR="00366E15" w:rsidRPr="008E6B78">
        <w:rPr>
          <w:rFonts w:ascii="Cambria" w:hAnsi="Cambria"/>
          <w:bCs/>
          <w:sz w:val="24"/>
          <w:szCs w:val="24"/>
        </w:rPr>
        <w:t>i.e.</w:t>
      </w:r>
      <w:r w:rsidR="008E6B78" w:rsidRPr="008E6B78">
        <w:rPr>
          <w:rFonts w:ascii="Cambria" w:hAnsi="Cambria"/>
          <w:bCs/>
          <w:sz w:val="24"/>
          <w:szCs w:val="24"/>
        </w:rPr>
        <w:t xml:space="preserve">, holds tremendous opportunity to assist the State </w:t>
      </w:r>
      <w:r w:rsidR="00282C16">
        <w:rPr>
          <w:rFonts w:ascii="Cambria" w:hAnsi="Cambria"/>
          <w:bCs/>
          <w:sz w:val="24"/>
          <w:szCs w:val="24"/>
        </w:rPr>
        <w:t>in CO2e emission level reductions</w:t>
      </w:r>
      <w:r w:rsidR="008E6B78" w:rsidRPr="008E6B78">
        <w:rPr>
          <w:rFonts w:ascii="Cambria" w:hAnsi="Cambria"/>
          <w:bCs/>
          <w:sz w:val="24"/>
          <w:szCs w:val="24"/>
        </w:rPr>
        <w:t>.</w:t>
      </w:r>
    </w:p>
    <w:p w:rsidR="008E6B78" w:rsidRDefault="008E6B78" w:rsidP="008E6B78">
      <w:pPr>
        <w:ind w:left="360"/>
        <w:rPr>
          <w:rFonts w:ascii="Cambria" w:hAnsi="Cambria"/>
          <w:sz w:val="24"/>
          <w:szCs w:val="24"/>
        </w:rPr>
      </w:pPr>
      <w:r w:rsidRPr="008E6B78">
        <w:rPr>
          <w:rFonts w:ascii="Cambria" w:hAnsi="Cambria"/>
          <w:sz w:val="24"/>
          <w:szCs w:val="24"/>
        </w:rPr>
        <w:t>Based on a 10-year average, Wildfires in California emit 1.2 million tons of GHG emissions annually (CARB, 2005 Almanac, Wildfire Emissions, Appendix E).  In 2005, Winrock International estimated emissions from wildfires in California at 1.5 million tons.</w:t>
      </w:r>
    </w:p>
    <w:p w:rsidR="00E92E89" w:rsidRDefault="007F5AA2" w:rsidP="00E92E89">
      <w:pPr>
        <w:ind w:left="360"/>
        <w:rPr>
          <w:rFonts w:ascii="Cambria" w:hAnsi="Cambria"/>
          <w:sz w:val="24"/>
          <w:szCs w:val="24"/>
        </w:rPr>
      </w:pPr>
      <w:r>
        <w:rPr>
          <w:rFonts w:ascii="Cambria" w:hAnsi="Cambria"/>
          <w:sz w:val="24"/>
          <w:szCs w:val="24"/>
        </w:rPr>
        <w:t>Since then, we’ve had megafires including but not limited to the Rim Fire (Stanislaus National Forest</w:t>
      </w:r>
      <w:r w:rsidR="002813F2">
        <w:rPr>
          <w:rFonts w:ascii="Cambria" w:hAnsi="Cambria"/>
          <w:sz w:val="24"/>
          <w:szCs w:val="24"/>
        </w:rPr>
        <w:t xml:space="preserve"> and Yosemite National Park</w:t>
      </w:r>
      <w:r>
        <w:rPr>
          <w:rFonts w:ascii="Cambria" w:hAnsi="Cambria"/>
          <w:sz w:val="24"/>
          <w:szCs w:val="24"/>
        </w:rPr>
        <w:t>, 2013)</w:t>
      </w:r>
      <w:r w:rsidR="00E92E89">
        <w:rPr>
          <w:rFonts w:ascii="Cambria" w:hAnsi="Cambria"/>
          <w:sz w:val="24"/>
          <w:szCs w:val="24"/>
        </w:rPr>
        <w:t>, which</w:t>
      </w:r>
      <w:r>
        <w:rPr>
          <w:rFonts w:ascii="Cambria" w:hAnsi="Cambria"/>
          <w:sz w:val="24"/>
          <w:szCs w:val="24"/>
        </w:rPr>
        <w:t xml:space="preserve"> </w:t>
      </w:r>
      <w:r w:rsidR="002813F2">
        <w:rPr>
          <w:rFonts w:ascii="Cambria" w:hAnsi="Cambria"/>
          <w:sz w:val="24"/>
          <w:szCs w:val="24"/>
        </w:rPr>
        <w:t>burned 257,000 acres and is estimated by the Sierra Nevada Conservancy that the wildfire caused an emission of 11.3 million GHG tons (</w:t>
      </w:r>
      <w:hyperlink r:id="rId11" w:history="1">
        <w:r w:rsidR="002813F2" w:rsidRPr="00143841">
          <w:rPr>
            <w:rStyle w:val="Hyperlink"/>
            <w:rFonts w:ascii="Cambria" w:hAnsi="Cambria"/>
            <w:sz w:val="24"/>
            <w:szCs w:val="24"/>
          </w:rPr>
          <w:t>http://www.sierranevada.ca.gov/our-region/rim-fire/rimairqualityfacts.pdf</w:t>
        </w:r>
      </w:hyperlink>
      <w:r w:rsidR="002813F2">
        <w:rPr>
          <w:rFonts w:ascii="Cambria" w:hAnsi="Cambria"/>
          <w:sz w:val="24"/>
          <w:szCs w:val="24"/>
        </w:rPr>
        <w:t xml:space="preserve">).  </w:t>
      </w:r>
      <w:r w:rsidR="00DD5740">
        <w:rPr>
          <w:rFonts w:ascii="Cambria" w:hAnsi="Cambria"/>
          <w:sz w:val="24"/>
          <w:szCs w:val="24"/>
        </w:rPr>
        <w:t>In 2014, t</w:t>
      </w:r>
      <w:r w:rsidR="00E92E89">
        <w:rPr>
          <w:rFonts w:ascii="Cambria" w:hAnsi="Cambria"/>
          <w:sz w:val="24"/>
          <w:szCs w:val="24"/>
        </w:rPr>
        <w:t>he King Fire</w:t>
      </w:r>
      <w:r w:rsidR="00DD5740">
        <w:rPr>
          <w:rFonts w:ascii="Cambria" w:hAnsi="Cambria"/>
          <w:sz w:val="24"/>
          <w:szCs w:val="24"/>
        </w:rPr>
        <w:t xml:space="preserve"> on the Eldorado National Forest</w:t>
      </w:r>
      <w:r w:rsidR="00093DB4">
        <w:rPr>
          <w:rFonts w:ascii="Cambria" w:hAnsi="Cambria"/>
          <w:sz w:val="24"/>
          <w:szCs w:val="24"/>
        </w:rPr>
        <w:t xml:space="preserve"> burned 97,000 acres</w:t>
      </w:r>
      <w:r w:rsidR="00DD5740">
        <w:rPr>
          <w:rFonts w:ascii="Cambria" w:hAnsi="Cambria"/>
          <w:sz w:val="24"/>
          <w:szCs w:val="24"/>
        </w:rPr>
        <w:t xml:space="preserve"> and </w:t>
      </w:r>
      <w:r w:rsidR="00B66988">
        <w:rPr>
          <w:rFonts w:ascii="Cambria" w:hAnsi="Cambria"/>
          <w:sz w:val="24"/>
          <w:szCs w:val="24"/>
        </w:rPr>
        <w:t xml:space="preserve">cumulatively about </w:t>
      </w:r>
      <w:r w:rsidR="00DD5740">
        <w:rPr>
          <w:rFonts w:ascii="Cambria" w:hAnsi="Cambria"/>
          <w:sz w:val="24"/>
          <w:szCs w:val="24"/>
        </w:rPr>
        <w:t>200,000 acres burned in wildfires on the Happy Camp Complex</w:t>
      </w:r>
      <w:r w:rsidR="00B66988">
        <w:rPr>
          <w:rFonts w:ascii="Cambria" w:hAnsi="Cambria"/>
          <w:sz w:val="24"/>
          <w:szCs w:val="24"/>
        </w:rPr>
        <w:t xml:space="preserve"> (Klamath Natl. Forest), Bald and Eiler Fires (Lassen Natl. Forest), French Fire (Sierra Natl. Forest and Coffee Fire (Shasta-Trinity Natl. Forest)</w:t>
      </w:r>
      <w:r w:rsidR="00093DB4">
        <w:rPr>
          <w:rFonts w:ascii="Cambria" w:hAnsi="Cambria"/>
          <w:sz w:val="24"/>
          <w:szCs w:val="24"/>
        </w:rPr>
        <w:t>.</w:t>
      </w:r>
      <w:r w:rsidR="009247FC">
        <w:rPr>
          <w:rFonts w:ascii="Cambria" w:hAnsi="Cambria"/>
          <w:sz w:val="24"/>
          <w:szCs w:val="24"/>
        </w:rPr>
        <w:t xml:space="preserve">  So far in 2015, over 188</w:t>
      </w:r>
      <w:r w:rsidR="00E92E89">
        <w:rPr>
          <w:rFonts w:ascii="Cambria" w:hAnsi="Cambria"/>
          <w:sz w:val="24"/>
          <w:szCs w:val="24"/>
        </w:rPr>
        <w:t>,000 acres on t</w:t>
      </w:r>
      <w:r w:rsidR="009247FC">
        <w:rPr>
          <w:rFonts w:ascii="Cambria" w:hAnsi="Cambria"/>
          <w:sz w:val="24"/>
          <w:szCs w:val="24"/>
        </w:rPr>
        <w:t>he Six Rivers National Forest, 10</w:t>
      </w:r>
      <w:r w:rsidR="00E92E89">
        <w:rPr>
          <w:rFonts w:ascii="Cambria" w:hAnsi="Cambria"/>
          <w:sz w:val="24"/>
          <w:szCs w:val="24"/>
        </w:rPr>
        <w:t>0,000 acres on the Shasta-Trinity National Forest</w:t>
      </w:r>
      <w:r w:rsidR="009247FC">
        <w:rPr>
          <w:rFonts w:ascii="Cambria" w:hAnsi="Cambria"/>
          <w:sz w:val="24"/>
          <w:szCs w:val="24"/>
        </w:rPr>
        <w:t>, and 150</w:t>
      </w:r>
      <w:r w:rsidR="00E92E89">
        <w:rPr>
          <w:rFonts w:ascii="Cambria" w:hAnsi="Cambria"/>
          <w:sz w:val="24"/>
          <w:szCs w:val="24"/>
        </w:rPr>
        <w:t>,000 acres on the Sierra/Sequoia National Forests have burned.  On average 2001-2014, wildfires have burned 305,000 acres/year of California’s National Forests.</w:t>
      </w:r>
      <w:r w:rsidR="00B168B3">
        <w:rPr>
          <w:rFonts w:ascii="Cambria" w:hAnsi="Cambria"/>
          <w:sz w:val="24"/>
          <w:szCs w:val="24"/>
        </w:rPr>
        <w:t xml:space="preserve">  The number will be higher in 2015 thus raising the 15 year average.</w:t>
      </w:r>
    </w:p>
    <w:p w:rsidR="00A225F7" w:rsidRPr="008E6B78" w:rsidRDefault="00A225F7" w:rsidP="00A225F7">
      <w:pPr>
        <w:pStyle w:val="BodyText"/>
        <w:ind w:left="360"/>
        <w:rPr>
          <w:rFonts w:ascii="Cambria" w:hAnsi="Cambria"/>
          <w:b w:val="0"/>
          <w:bCs w:val="0"/>
          <w:szCs w:val="24"/>
        </w:rPr>
      </w:pPr>
      <w:r>
        <w:rPr>
          <w:rFonts w:ascii="Cambria" w:hAnsi="Cambria"/>
          <w:b w:val="0"/>
          <w:bCs w:val="0"/>
          <w:szCs w:val="24"/>
        </w:rPr>
        <w:t>Carbon sequestration is about 12</w:t>
      </w:r>
      <w:r w:rsidRPr="008E6B78">
        <w:rPr>
          <w:rFonts w:ascii="Cambria" w:hAnsi="Cambria"/>
          <w:b w:val="0"/>
          <w:bCs w:val="0"/>
          <w:szCs w:val="24"/>
        </w:rPr>
        <w:t xml:space="preserve"> tons/acre higher for an</w:t>
      </w:r>
      <w:r>
        <w:rPr>
          <w:rFonts w:ascii="Cambria" w:hAnsi="Cambria"/>
          <w:b w:val="0"/>
          <w:bCs w:val="0"/>
          <w:szCs w:val="24"/>
        </w:rPr>
        <w:t xml:space="preserve"> actively managed forest versus the current situation on California’s National Forests of 8.3 million acres of suitable and available productive forest land, where only about 7% of annual growth is being removed.  So the National Forests continue to get denser and denser and denser and the number, size and severity of wildfires gets higher and higher as well as the occurrence of insect and disease damage.  There’s some indication that some of California’s National Forests are now net emitters rather than net sinks.  </w:t>
      </w:r>
      <w:r w:rsidRPr="008E6B78">
        <w:rPr>
          <w:rFonts w:ascii="Cambria" w:hAnsi="Cambria"/>
          <w:b w:val="0"/>
          <w:bCs w:val="0"/>
          <w:szCs w:val="24"/>
        </w:rPr>
        <w:t>California</w:t>
      </w:r>
      <w:r>
        <w:rPr>
          <w:rFonts w:ascii="Cambria" w:hAnsi="Cambria"/>
          <w:b w:val="0"/>
          <w:bCs w:val="0"/>
          <w:szCs w:val="24"/>
        </w:rPr>
        <w:t xml:space="preserve">’s National Forests if actively managed, on the 8.3 million acres, have </w:t>
      </w:r>
      <w:r w:rsidRPr="008E6B78">
        <w:rPr>
          <w:rFonts w:ascii="Cambria" w:hAnsi="Cambria"/>
          <w:b w:val="0"/>
          <w:bCs w:val="0"/>
          <w:szCs w:val="24"/>
        </w:rPr>
        <w:t>the po</w:t>
      </w:r>
      <w:r>
        <w:rPr>
          <w:rFonts w:ascii="Cambria" w:hAnsi="Cambria"/>
          <w:b w:val="0"/>
          <w:bCs w:val="0"/>
          <w:szCs w:val="24"/>
        </w:rPr>
        <w:t>tential opportunity of annual net sequestration of about 13</w:t>
      </w:r>
      <w:r w:rsidRPr="008E6B78">
        <w:rPr>
          <w:rFonts w:ascii="Cambria" w:hAnsi="Cambria"/>
          <w:b w:val="0"/>
          <w:bCs w:val="0"/>
          <w:szCs w:val="24"/>
        </w:rPr>
        <w:t xml:space="preserve"> million tons</w:t>
      </w:r>
      <w:r>
        <w:rPr>
          <w:rFonts w:ascii="Cambria" w:hAnsi="Cambria"/>
          <w:b w:val="0"/>
          <w:bCs w:val="0"/>
          <w:szCs w:val="24"/>
        </w:rPr>
        <w:t xml:space="preserve"> of CO2equivalent; a substantial contribution to California’s net emission reduction.</w:t>
      </w:r>
    </w:p>
    <w:p w:rsidR="00A225F7" w:rsidRDefault="00A225F7" w:rsidP="00E92E89">
      <w:pPr>
        <w:ind w:left="360"/>
        <w:rPr>
          <w:rFonts w:ascii="Cambria" w:hAnsi="Cambria"/>
          <w:sz w:val="24"/>
          <w:szCs w:val="24"/>
        </w:rPr>
      </w:pPr>
    </w:p>
    <w:p w:rsidR="00A225F7" w:rsidRPr="00A225F7" w:rsidRDefault="00A225F7" w:rsidP="00E92E89">
      <w:pPr>
        <w:ind w:left="360"/>
        <w:rPr>
          <w:rFonts w:ascii="Cambria" w:hAnsi="Cambria"/>
          <w:b/>
          <w:sz w:val="24"/>
          <w:szCs w:val="24"/>
        </w:rPr>
      </w:pPr>
      <w:r>
        <w:rPr>
          <w:rFonts w:ascii="Cambria" w:hAnsi="Cambria"/>
          <w:b/>
          <w:sz w:val="24"/>
          <w:szCs w:val="24"/>
        </w:rPr>
        <w:t>Black Carbon</w:t>
      </w:r>
    </w:p>
    <w:p w:rsidR="00532DD6" w:rsidRDefault="00093DB4" w:rsidP="00E92E89">
      <w:pPr>
        <w:ind w:left="360"/>
        <w:rPr>
          <w:rFonts w:ascii="Cambria" w:hAnsi="Cambria"/>
          <w:sz w:val="24"/>
          <w:szCs w:val="24"/>
        </w:rPr>
      </w:pPr>
      <w:r>
        <w:rPr>
          <w:rFonts w:ascii="Cambria" w:hAnsi="Cambria"/>
          <w:sz w:val="24"/>
          <w:szCs w:val="24"/>
        </w:rPr>
        <w:t>ARB estimated that in 2010</w:t>
      </w:r>
      <w:r w:rsidR="00532DD6">
        <w:rPr>
          <w:rFonts w:ascii="Cambria" w:hAnsi="Cambria"/>
          <w:sz w:val="24"/>
          <w:szCs w:val="24"/>
        </w:rPr>
        <w:t xml:space="preserve"> (2010 Update to the Climate Change Scoping Plan, p. 21</w:t>
      </w:r>
      <w:r>
        <w:rPr>
          <w:rFonts w:ascii="Cambria" w:hAnsi="Cambria"/>
          <w:sz w:val="24"/>
          <w:szCs w:val="24"/>
        </w:rPr>
        <w:t xml:space="preserve">) </w:t>
      </w:r>
      <w:r w:rsidR="00532DD6">
        <w:rPr>
          <w:rFonts w:ascii="Cambria" w:hAnsi="Cambria"/>
          <w:sz w:val="24"/>
          <w:szCs w:val="24"/>
        </w:rPr>
        <w:t>52% of annual black carbon emissions from California come from wildfires</w:t>
      </w:r>
      <w:r>
        <w:rPr>
          <w:rFonts w:ascii="Cambria" w:hAnsi="Cambria"/>
          <w:sz w:val="24"/>
          <w:szCs w:val="24"/>
        </w:rPr>
        <w:t xml:space="preserve">.  The percentage is likely higher now.  </w:t>
      </w:r>
      <w:r w:rsidR="00532DD6">
        <w:rPr>
          <w:rFonts w:ascii="Cambria" w:hAnsi="Cambria"/>
          <w:sz w:val="24"/>
          <w:szCs w:val="24"/>
        </w:rPr>
        <w:t>ARB estimated in its 2009 ARB Almanac</w:t>
      </w:r>
      <w:r w:rsidR="009541D1">
        <w:rPr>
          <w:rFonts w:ascii="Cambria" w:hAnsi="Cambria"/>
          <w:sz w:val="24"/>
          <w:szCs w:val="24"/>
        </w:rPr>
        <w:t xml:space="preserve"> </w:t>
      </w:r>
      <w:r w:rsidR="00532DD6">
        <w:rPr>
          <w:rFonts w:ascii="Cambria" w:hAnsi="Cambria"/>
          <w:sz w:val="24"/>
          <w:szCs w:val="24"/>
        </w:rPr>
        <w:t>that on average wildfires emitted 215 tons/day of black carbon).  In comparison, all the black carbon from diesel exhaust in California is estimated to product less than 50 tons/day.</w:t>
      </w:r>
    </w:p>
    <w:p w:rsidR="002813F2" w:rsidRDefault="002813F2" w:rsidP="008E6B78">
      <w:pPr>
        <w:ind w:left="360"/>
        <w:rPr>
          <w:rFonts w:ascii="Cambria" w:hAnsi="Cambria"/>
          <w:sz w:val="24"/>
          <w:szCs w:val="24"/>
        </w:rPr>
      </w:pPr>
      <w:r>
        <w:rPr>
          <w:rFonts w:ascii="Cambria" w:hAnsi="Cambria"/>
          <w:sz w:val="24"/>
          <w:szCs w:val="24"/>
        </w:rPr>
        <w:t xml:space="preserve">Only about 20% of the carbon in the high severity burned acres is actually consumed by the fire and emitted to the atmosphere.  The remaining 80% of carbon is in dead material still on the landscape.  It remains to be seen how much of the dead material </w:t>
      </w:r>
      <w:r w:rsidR="00E92E89">
        <w:rPr>
          <w:rFonts w:ascii="Cambria" w:hAnsi="Cambria"/>
          <w:sz w:val="24"/>
          <w:szCs w:val="24"/>
        </w:rPr>
        <w:t xml:space="preserve">from these large wildfires </w:t>
      </w:r>
      <w:r>
        <w:rPr>
          <w:rFonts w:ascii="Cambria" w:hAnsi="Cambria"/>
          <w:sz w:val="24"/>
          <w:szCs w:val="24"/>
        </w:rPr>
        <w:t>will be removed and how many acres will be restored to a forested condition or will be left to type convert to brushfields.   The acres of dead material that is not removed will decay over the next 20 years and will release the remaining carbon in the form of CO2 and methane.</w:t>
      </w:r>
    </w:p>
    <w:p w:rsidR="00C21989" w:rsidRPr="00C21989" w:rsidRDefault="00C21989" w:rsidP="00532DD6">
      <w:pPr>
        <w:autoSpaceDE w:val="0"/>
        <w:autoSpaceDN w:val="0"/>
        <w:adjustRightInd w:val="0"/>
        <w:spacing w:after="0" w:line="240" w:lineRule="auto"/>
        <w:ind w:left="360"/>
        <w:rPr>
          <w:rFonts w:ascii="Cambria" w:hAnsi="Cambria" w:cs="AdvGulliv-R"/>
          <w:color w:val="000000"/>
          <w:sz w:val="24"/>
          <w:szCs w:val="24"/>
        </w:rPr>
      </w:pPr>
      <w:r>
        <w:rPr>
          <w:rFonts w:ascii="Cambria" w:hAnsi="Cambria"/>
          <w:sz w:val="24"/>
          <w:szCs w:val="24"/>
        </w:rPr>
        <w:t>Unfortunately on wildfire-burned landscapes on California’s National Forests,</w:t>
      </w:r>
      <w:r w:rsidRPr="00C21989">
        <w:rPr>
          <w:rFonts w:ascii="Cambria" w:hAnsi="Cambria"/>
          <w:sz w:val="24"/>
          <w:szCs w:val="24"/>
        </w:rPr>
        <w:t xml:space="preserve"> </w:t>
      </w:r>
      <w:r>
        <w:rPr>
          <w:rFonts w:ascii="Cambria" w:hAnsi="Cambria" w:cs="AdvGulliv-R"/>
          <w:color w:val="000000"/>
          <w:sz w:val="24"/>
          <w:szCs w:val="24"/>
        </w:rPr>
        <w:t xml:space="preserve">Areas </w:t>
      </w:r>
      <w:r w:rsidRPr="00C21989">
        <w:rPr>
          <w:rFonts w:ascii="Cambria" w:hAnsi="Cambria" w:cs="AdvGulliv-R"/>
          <w:color w:val="000000"/>
          <w:sz w:val="24"/>
          <w:szCs w:val="24"/>
        </w:rPr>
        <w:t>burning at h</w:t>
      </w:r>
      <w:r>
        <w:rPr>
          <w:rFonts w:ascii="Cambria" w:hAnsi="Cambria" w:cs="AdvGulliv-R"/>
          <w:color w:val="000000"/>
          <w:sz w:val="24"/>
          <w:szCs w:val="24"/>
        </w:rPr>
        <w:t xml:space="preserve">igh severity often grow back as </w:t>
      </w:r>
      <w:r w:rsidRPr="00C21989">
        <w:rPr>
          <w:rFonts w:ascii="Cambria" w:hAnsi="Cambria" w:cs="AdvGulliv-R"/>
          <w:color w:val="000000"/>
          <w:sz w:val="24"/>
          <w:szCs w:val="24"/>
        </w:rPr>
        <w:t>montane chapa</w:t>
      </w:r>
      <w:r>
        <w:rPr>
          <w:rFonts w:ascii="Cambria" w:hAnsi="Cambria" w:cs="AdvGulliv-R"/>
          <w:color w:val="000000"/>
          <w:sz w:val="24"/>
          <w:szCs w:val="24"/>
        </w:rPr>
        <w:t xml:space="preserve">rral rather than forest and are likely to reburn with </w:t>
      </w:r>
      <w:r w:rsidRPr="00C21989">
        <w:rPr>
          <w:rFonts w:ascii="Cambria" w:hAnsi="Cambria" w:cs="AdvGulliv-R"/>
          <w:color w:val="000000"/>
          <w:sz w:val="24"/>
          <w:szCs w:val="24"/>
        </w:rPr>
        <w:t>high severity in future fires (</w:t>
      </w:r>
      <w:r w:rsidRPr="00C21989">
        <w:rPr>
          <w:rFonts w:ascii="Cambria" w:hAnsi="Cambria" w:cs="AdvGulliv-R"/>
          <w:color w:val="0080AE"/>
          <w:sz w:val="24"/>
          <w:szCs w:val="24"/>
        </w:rPr>
        <w:t>Thompson and Spies, 2010; Van</w:t>
      </w:r>
    </w:p>
    <w:p w:rsidR="00C21989" w:rsidRPr="00C21989" w:rsidRDefault="00C21989" w:rsidP="00C21989">
      <w:pPr>
        <w:ind w:left="360"/>
        <w:rPr>
          <w:rFonts w:ascii="Cambria" w:hAnsi="Cambria"/>
          <w:sz w:val="24"/>
          <w:szCs w:val="24"/>
        </w:rPr>
      </w:pPr>
      <w:r w:rsidRPr="00C21989">
        <w:rPr>
          <w:rFonts w:ascii="Cambria" w:hAnsi="Cambria" w:cs="AdvGulliv-R"/>
          <w:color w:val="0080AE"/>
          <w:sz w:val="24"/>
          <w:szCs w:val="24"/>
        </w:rPr>
        <w:t>Wagtendonk et al., 2012; Parks et al., 2013</w:t>
      </w:r>
      <w:r w:rsidRPr="00C21989">
        <w:rPr>
          <w:rFonts w:ascii="Cambria" w:hAnsi="Cambria" w:cs="AdvGulliv-R"/>
          <w:color w:val="000000"/>
          <w:sz w:val="24"/>
          <w:szCs w:val="24"/>
        </w:rPr>
        <w:t>).</w:t>
      </w:r>
    </w:p>
    <w:p w:rsidR="007F5AA2" w:rsidRPr="00A225F7" w:rsidRDefault="00A225F7" w:rsidP="008E6B78">
      <w:pPr>
        <w:ind w:left="360"/>
        <w:rPr>
          <w:rFonts w:ascii="Cambria" w:hAnsi="Cambria"/>
          <w:b/>
          <w:sz w:val="24"/>
          <w:szCs w:val="24"/>
        </w:rPr>
      </w:pPr>
      <w:r>
        <w:rPr>
          <w:rFonts w:ascii="Cambria" w:hAnsi="Cambria"/>
          <w:b/>
          <w:sz w:val="24"/>
          <w:szCs w:val="24"/>
        </w:rPr>
        <w:t>Benefits</w:t>
      </w:r>
    </w:p>
    <w:p w:rsidR="00E92E89" w:rsidRDefault="00E92E89" w:rsidP="008E6B78">
      <w:pPr>
        <w:ind w:left="360"/>
        <w:rPr>
          <w:rFonts w:ascii="Cambria" w:hAnsi="Cambria"/>
          <w:b/>
          <w:sz w:val="24"/>
          <w:szCs w:val="24"/>
        </w:rPr>
      </w:pPr>
      <w:r>
        <w:rPr>
          <w:rFonts w:ascii="Cambria" w:hAnsi="Cambria"/>
          <w:b/>
          <w:sz w:val="24"/>
          <w:szCs w:val="24"/>
        </w:rPr>
        <w:t>What Would Be The Outcome, on California’s National Forests, of Active Forest Management On 8.3 Million Acres Of Available Productive Forest Land Not Reserved</w:t>
      </w:r>
      <w:r w:rsidR="00AC4F8C">
        <w:rPr>
          <w:rFonts w:ascii="Cambria" w:hAnsi="Cambria"/>
          <w:b/>
          <w:sz w:val="24"/>
          <w:szCs w:val="24"/>
        </w:rPr>
        <w:t xml:space="preserve"> and the 4.6 million acres of non-industrial private land</w:t>
      </w:r>
      <w:r>
        <w:rPr>
          <w:rFonts w:ascii="Cambria" w:hAnsi="Cambria"/>
          <w:b/>
          <w:sz w:val="24"/>
          <w:szCs w:val="24"/>
        </w:rPr>
        <w:t>?</w:t>
      </w:r>
    </w:p>
    <w:p w:rsidR="00D67196" w:rsidRDefault="008903EC" w:rsidP="00D67196">
      <w:pPr>
        <w:ind w:left="360"/>
        <w:rPr>
          <w:rFonts w:ascii="Cambria" w:hAnsi="Cambria"/>
          <w:sz w:val="24"/>
          <w:szCs w:val="24"/>
        </w:rPr>
      </w:pPr>
      <w:r>
        <w:rPr>
          <w:rFonts w:ascii="Cambria" w:hAnsi="Cambria"/>
          <w:sz w:val="24"/>
          <w:szCs w:val="24"/>
        </w:rPr>
        <w:t>This</w:t>
      </w:r>
      <w:r w:rsidR="00E92E89">
        <w:rPr>
          <w:rFonts w:ascii="Cambria" w:hAnsi="Cambria"/>
          <w:sz w:val="24"/>
          <w:szCs w:val="24"/>
        </w:rPr>
        <w:t xml:space="preserve"> research question</w:t>
      </w:r>
      <w:r>
        <w:rPr>
          <w:rFonts w:ascii="Cambria" w:hAnsi="Cambria"/>
          <w:sz w:val="24"/>
          <w:szCs w:val="24"/>
        </w:rPr>
        <w:t xml:space="preserve"> was, in part,</w:t>
      </w:r>
      <w:r w:rsidR="00E92E89">
        <w:rPr>
          <w:rFonts w:ascii="Cambria" w:hAnsi="Cambria"/>
          <w:sz w:val="24"/>
          <w:szCs w:val="24"/>
        </w:rPr>
        <w:t xml:space="preserve"> addressed by Mark Nechodom in a CEC sponsored study in Northern California</w:t>
      </w:r>
      <w:r w:rsidR="00EB6083">
        <w:rPr>
          <w:rFonts w:ascii="Cambria" w:hAnsi="Cambria"/>
          <w:sz w:val="24"/>
          <w:szCs w:val="24"/>
        </w:rPr>
        <w:t xml:space="preserve"> (</w:t>
      </w:r>
      <w:r w:rsidR="00EB6083">
        <w:rPr>
          <w:rFonts w:ascii="Cambria" w:hAnsi="Cambria" w:cs="AdvP40319B"/>
          <w:sz w:val="24"/>
          <w:szCs w:val="24"/>
        </w:rPr>
        <w:t>California Energy Commission Study (CEC-500-2009-080), January 2010; “Biomass to Energy: Forest Management for Wildfire Reduction, Energy Production, and Other Benefits”.</w:t>
      </w:r>
      <w:r w:rsidR="00EB6083">
        <w:rPr>
          <w:rFonts w:ascii="Cambria" w:hAnsi="Cambria"/>
          <w:sz w:val="24"/>
          <w:szCs w:val="24"/>
        </w:rPr>
        <w:t xml:space="preserve">  It can be found at: </w:t>
      </w:r>
      <w:hyperlink r:id="rId12" w:history="1">
        <w:r w:rsidR="0084409D" w:rsidRPr="00B8225B">
          <w:rPr>
            <w:rStyle w:val="Hyperlink"/>
            <w:rFonts w:ascii="Cambria" w:hAnsi="Cambria"/>
            <w:sz w:val="24"/>
            <w:szCs w:val="24"/>
          </w:rPr>
          <w:t>http://passthrough.fw-notify.net/download/762289/http://www.energy.ca.gov/2009publications/CEC-500-2009-080/CEC-500-2009-080.PDF</w:t>
        </w:r>
      </w:hyperlink>
      <w:r w:rsidR="0084409D">
        <w:rPr>
          <w:rFonts w:ascii="Cambria" w:hAnsi="Cambria"/>
          <w:sz w:val="24"/>
          <w:szCs w:val="24"/>
        </w:rPr>
        <w:t xml:space="preserve"> </w:t>
      </w:r>
    </w:p>
    <w:p w:rsidR="00D67196" w:rsidRDefault="00D67196" w:rsidP="00D67196">
      <w:pPr>
        <w:ind w:left="360"/>
        <w:rPr>
          <w:rFonts w:ascii="Cambria" w:hAnsi="Cambria"/>
          <w:sz w:val="24"/>
          <w:szCs w:val="24"/>
        </w:rPr>
      </w:pPr>
      <w:r>
        <w:rPr>
          <w:rFonts w:ascii="Cambria" w:hAnsi="Cambria"/>
          <w:sz w:val="24"/>
          <w:szCs w:val="24"/>
        </w:rPr>
        <w:t xml:space="preserve">The </w:t>
      </w:r>
      <w:r w:rsidR="008903EC">
        <w:rPr>
          <w:rFonts w:ascii="Cambria" w:hAnsi="Cambria"/>
          <w:sz w:val="24"/>
          <w:szCs w:val="24"/>
        </w:rPr>
        <w:t xml:space="preserve">Explicit </w:t>
      </w:r>
      <w:r>
        <w:rPr>
          <w:rFonts w:ascii="Cambria" w:hAnsi="Cambria"/>
          <w:sz w:val="24"/>
          <w:szCs w:val="24"/>
        </w:rPr>
        <w:t>Purpose of the Research was to:</w:t>
      </w:r>
    </w:p>
    <w:p w:rsidR="00D67196" w:rsidRPr="008903EC" w:rsidRDefault="002D36E2"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Model life cycle</w:t>
      </w:r>
      <w:r w:rsidR="00D67196" w:rsidRPr="00D67196">
        <w:rPr>
          <w:rFonts w:ascii="Cambria" w:hAnsi="Cambria" w:cs="TTE149BA98t00"/>
          <w:sz w:val="24"/>
          <w:szCs w:val="24"/>
        </w:rPr>
        <w:t xml:space="preserve"> environmental &amp;</w:t>
      </w:r>
      <w:r w:rsidR="008903EC">
        <w:rPr>
          <w:rFonts w:ascii="Cambria" w:hAnsi="Cambria" w:cs="TTE149BA98t00"/>
          <w:sz w:val="24"/>
          <w:szCs w:val="24"/>
        </w:rPr>
        <w:t xml:space="preserve"> </w:t>
      </w:r>
      <w:r w:rsidR="00D67196" w:rsidRPr="008903EC">
        <w:rPr>
          <w:rFonts w:ascii="Cambria" w:hAnsi="Cambria" w:cs="TTE149BA98t00"/>
          <w:sz w:val="24"/>
          <w:szCs w:val="24"/>
        </w:rPr>
        <w:t>economic values of using forest</w:t>
      </w:r>
      <w:r w:rsidR="008903EC" w:rsidRPr="008903EC">
        <w:rPr>
          <w:rFonts w:ascii="Cambria" w:hAnsi="Cambria" w:cs="TTE149BA98t00"/>
          <w:sz w:val="24"/>
          <w:szCs w:val="24"/>
        </w:rPr>
        <w:t xml:space="preserve"> </w:t>
      </w:r>
      <w:r w:rsidR="00D67196" w:rsidRPr="008903EC">
        <w:rPr>
          <w:rFonts w:ascii="Cambria" w:hAnsi="Cambria" w:cs="TTE149BA98t00"/>
          <w:sz w:val="24"/>
          <w:szCs w:val="24"/>
        </w:rPr>
        <w:t>biomass for energy production</w:t>
      </w:r>
    </w:p>
    <w:p w:rsidR="00D67196" w:rsidRPr="008903EC"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Test effects of different forest</w:t>
      </w:r>
      <w:r w:rsidR="008903EC">
        <w:rPr>
          <w:rFonts w:ascii="Cambria" w:hAnsi="Cambria" w:cs="TTE149BA98t00"/>
          <w:sz w:val="24"/>
          <w:szCs w:val="24"/>
        </w:rPr>
        <w:t xml:space="preserve"> </w:t>
      </w:r>
      <w:r w:rsidRPr="008903EC">
        <w:rPr>
          <w:rFonts w:ascii="Cambria" w:hAnsi="Cambria" w:cs="TTE149BA98t00"/>
          <w:sz w:val="24"/>
          <w:szCs w:val="24"/>
        </w:rPr>
        <w:t>management scenarios on wildfire</w:t>
      </w:r>
      <w:r w:rsidR="008903EC" w:rsidRPr="008903EC">
        <w:rPr>
          <w:rFonts w:ascii="Cambria" w:hAnsi="Cambria" w:cs="TTE149BA98t00"/>
          <w:sz w:val="24"/>
          <w:szCs w:val="24"/>
        </w:rPr>
        <w:t xml:space="preserve"> </w:t>
      </w:r>
      <w:r w:rsidRPr="008903EC">
        <w:rPr>
          <w:rFonts w:ascii="Cambria" w:hAnsi="Cambria" w:cs="TTE149BA98t00"/>
          <w:sz w:val="24"/>
          <w:szCs w:val="24"/>
        </w:rPr>
        <w:t>behavior, total emissions and other</w:t>
      </w:r>
      <w:r w:rsidR="008903EC" w:rsidRPr="008903EC">
        <w:rPr>
          <w:rFonts w:ascii="Cambria" w:hAnsi="Cambria" w:cs="TTE149BA98t00"/>
          <w:sz w:val="24"/>
          <w:szCs w:val="24"/>
        </w:rPr>
        <w:t xml:space="preserve"> </w:t>
      </w:r>
      <w:r w:rsidRPr="008903EC">
        <w:rPr>
          <w:rFonts w:ascii="Cambria" w:hAnsi="Cambria" w:cs="TTE149BA98t00"/>
          <w:sz w:val="24"/>
          <w:szCs w:val="24"/>
        </w:rPr>
        <w:t>environmental factors</w:t>
      </w:r>
    </w:p>
    <w:p w:rsidR="00D67196"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Develop a decision-support framework</w:t>
      </w:r>
      <w:r w:rsidR="008903EC">
        <w:rPr>
          <w:rFonts w:ascii="Cambria" w:hAnsi="Cambria" w:cs="TTE149BA98t00"/>
          <w:sz w:val="24"/>
          <w:szCs w:val="24"/>
        </w:rPr>
        <w:t xml:space="preserve"> </w:t>
      </w:r>
      <w:r w:rsidRPr="008903EC">
        <w:rPr>
          <w:rFonts w:ascii="Cambria" w:hAnsi="Cambria" w:cs="TTE149BA98t00"/>
          <w:sz w:val="24"/>
          <w:szCs w:val="24"/>
        </w:rPr>
        <w:t>to test policy scenarios</w:t>
      </w:r>
    </w:p>
    <w:p w:rsidR="008903EC" w:rsidRPr="008903EC" w:rsidRDefault="008903EC" w:rsidP="008903EC">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Some of the features of the Study were:</w:t>
      </w:r>
    </w:p>
    <w:p w:rsidR="00D67196" w:rsidRPr="00D67196" w:rsidRDefault="00D67196" w:rsidP="00D67196">
      <w:pPr>
        <w:pStyle w:val="ListParagraph"/>
        <w:numPr>
          <w:ilvl w:val="0"/>
          <w:numId w:val="13"/>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 xml:space="preserve">Used </w:t>
      </w:r>
      <w:r w:rsidRPr="00D67196">
        <w:rPr>
          <w:rFonts w:ascii="Cambria" w:hAnsi="Cambria" w:cs="TTE1613ED0t00"/>
          <w:sz w:val="24"/>
          <w:szCs w:val="24"/>
        </w:rPr>
        <w:t xml:space="preserve">actual </w:t>
      </w:r>
      <w:r w:rsidRPr="00D67196">
        <w:rPr>
          <w:rFonts w:ascii="Cambria" w:hAnsi="Cambria" w:cs="TTE149BA98t00"/>
          <w:sz w:val="24"/>
          <w:szCs w:val="24"/>
        </w:rPr>
        <w:t>landscapes and land uses,</w:t>
      </w:r>
      <w:r>
        <w:rPr>
          <w:rFonts w:ascii="Cambria" w:hAnsi="Cambria" w:cs="TTE149BA98t00"/>
          <w:sz w:val="24"/>
          <w:szCs w:val="24"/>
        </w:rPr>
        <w:t xml:space="preserve"> </w:t>
      </w:r>
      <w:r w:rsidRPr="00D67196">
        <w:rPr>
          <w:rFonts w:ascii="Cambria" w:hAnsi="Cambria" w:cs="TTE149BA98t00"/>
          <w:sz w:val="24"/>
          <w:szCs w:val="24"/>
        </w:rPr>
        <w:t>mapped to a real region</w:t>
      </w:r>
    </w:p>
    <w:p w:rsidR="00D67196" w:rsidRP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lastRenderedPageBreak/>
        <w:t xml:space="preserve">Used </w:t>
      </w:r>
      <w:r w:rsidRPr="00D67196">
        <w:rPr>
          <w:rFonts w:ascii="Cambria" w:hAnsi="Cambria" w:cs="TTE1613ED0t00"/>
          <w:sz w:val="24"/>
          <w:szCs w:val="24"/>
        </w:rPr>
        <w:t xml:space="preserve">actual </w:t>
      </w:r>
      <w:r w:rsidRPr="00D67196">
        <w:rPr>
          <w:rFonts w:ascii="Cambria" w:hAnsi="Cambria" w:cs="TTE149BA98t00"/>
          <w:sz w:val="24"/>
          <w:szCs w:val="24"/>
        </w:rPr>
        <w:t>data from biomass powerplants, operations and professional</w:t>
      </w:r>
      <w:r>
        <w:rPr>
          <w:rFonts w:ascii="Cambria" w:hAnsi="Cambria" w:cs="TTE149BA98t00"/>
          <w:sz w:val="24"/>
          <w:szCs w:val="24"/>
        </w:rPr>
        <w:t xml:space="preserve"> </w:t>
      </w:r>
      <w:r w:rsidRPr="00D67196">
        <w:rPr>
          <w:rFonts w:ascii="Cambria" w:hAnsi="Cambria" w:cs="TTE149BA98t00"/>
          <w:sz w:val="24"/>
          <w:szCs w:val="24"/>
        </w:rPr>
        <w:t>experience</w:t>
      </w:r>
    </w:p>
    <w:p w:rsidR="00D67196" w:rsidRPr="00D67196" w:rsidRDefault="002D36E2"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Built a reference case</w:t>
      </w:r>
      <w:r w:rsidR="00D67196" w:rsidRPr="00D67196">
        <w:rPr>
          <w:rFonts w:ascii="Cambria" w:hAnsi="Cambria" w:cs="TTE149BA98t00"/>
          <w:sz w:val="24"/>
          <w:szCs w:val="24"/>
        </w:rPr>
        <w:t xml:space="preserve"> and a </w:t>
      </w:r>
      <w:r>
        <w:rPr>
          <w:rFonts w:ascii="Cambria" w:hAnsi="Cambria" w:cs="TTE149BA98t00"/>
          <w:sz w:val="24"/>
          <w:szCs w:val="24"/>
        </w:rPr>
        <w:t xml:space="preserve">test scenario </w:t>
      </w:r>
      <w:r w:rsidR="00D67196" w:rsidRPr="00D67196">
        <w:rPr>
          <w:rFonts w:ascii="Cambria" w:hAnsi="Cambria" w:cs="TTE149BA98t00"/>
          <w:sz w:val="24"/>
          <w:szCs w:val="24"/>
        </w:rPr>
        <w:t>based on real-time</w:t>
      </w:r>
      <w:r w:rsidR="00D67196">
        <w:rPr>
          <w:rFonts w:ascii="Cambria" w:hAnsi="Cambria" w:cs="TTE149BA98t00"/>
          <w:sz w:val="24"/>
          <w:szCs w:val="24"/>
        </w:rPr>
        <w:t xml:space="preserve"> </w:t>
      </w:r>
      <w:r w:rsidR="00D67196" w:rsidRPr="00D67196">
        <w:rPr>
          <w:rFonts w:ascii="Cambria" w:hAnsi="Cambria" w:cs="TTE149BA98t00"/>
          <w:sz w:val="24"/>
          <w:szCs w:val="24"/>
        </w:rPr>
        <w:t>practices</w:t>
      </w:r>
    </w:p>
    <w:p w:rsid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Delivered a modeling framework for</w:t>
      </w:r>
      <w:r>
        <w:rPr>
          <w:rFonts w:ascii="Cambria" w:hAnsi="Cambria" w:cs="TTE149BA98t00"/>
          <w:sz w:val="24"/>
          <w:szCs w:val="24"/>
        </w:rPr>
        <w:t xml:space="preserve"> </w:t>
      </w:r>
      <w:r w:rsidRPr="00D67196">
        <w:rPr>
          <w:rFonts w:ascii="Cambria" w:hAnsi="Cambria" w:cs="TTE149BA98t00"/>
          <w:sz w:val="24"/>
          <w:szCs w:val="24"/>
        </w:rPr>
        <w:t>further scenario development</w:t>
      </w:r>
    </w:p>
    <w:p w:rsidR="00D67196" w:rsidRPr="00D67196" w:rsidRDefault="00D67196" w:rsidP="00D67196">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The outcomes of the research shows:</w:t>
      </w: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22% reduction in the extent of wildfire and significant reductions in fire severity</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 xml:space="preserve">65% reduction in greenhouse gases (from 17 to </w:t>
      </w:r>
      <w:r w:rsidR="0084409D">
        <w:rPr>
          <w:rFonts w:ascii="Cambria" w:hAnsi="Cambria" w:cs="TTE148F848t00"/>
          <w:color w:val="000000" w:themeColor="text1"/>
          <w:sz w:val="24"/>
          <w:szCs w:val="24"/>
        </w:rPr>
        <w:t>5.9 million tons CO2 equivalent on a 2.7 million acre landscape that modeled vegetation treatment on 1.97 million acres)</w:t>
      </w:r>
    </w:p>
    <w:p w:rsidR="00D67196" w:rsidRPr="00D67196" w:rsidRDefault="00D67196" w:rsidP="00D67196">
      <w:pPr>
        <w:autoSpaceDE w:val="0"/>
        <w:autoSpaceDN w:val="0"/>
        <w:adjustRightInd w:val="0"/>
        <w:spacing w:after="0" w:line="240" w:lineRule="auto"/>
        <w:ind w:left="1080"/>
        <w:rPr>
          <w:rFonts w:ascii="Cambria" w:hAnsi="Cambria" w:cs="TTE148F84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$246 million savings in wildfire damage</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$4.6 million reduction in firefighting costs</w:t>
      </w:r>
    </w:p>
    <w:p w:rsidR="008167BC" w:rsidRPr="008167BC" w:rsidRDefault="008167BC" w:rsidP="008167BC">
      <w:pPr>
        <w:pStyle w:val="ListParagraph"/>
        <w:rPr>
          <w:rFonts w:ascii="Cambria" w:hAnsi="Cambria" w:cs="TTE148F84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Significant differences in watershed impacts</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No significant change in habitat quality from treatments</w:t>
      </w:r>
    </w:p>
    <w:p w:rsidR="00D67196" w:rsidRDefault="00D67196" w:rsidP="00D67196">
      <w:pPr>
        <w:autoSpaceDE w:val="0"/>
        <w:autoSpaceDN w:val="0"/>
        <w:adjustRightInd w:val="0"/>
        <w:spacing w:after="0" w:line="240" w:lineRule="auto"/>
        <w:ind w:left="1080"/>
        <w:rPr>
          <w:rFonts w:ascii="Cambria" w:hAnsi="Cambria" w:cs="TTE148F848t00"/>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Life-cycle “savings” of 120 Terawatt-hours in fossil fuel generation by using biomass for power</w:t>
      </w:r>
    </w:p>
    <w:p w:rsidR="00D67196" w:rsidRPr="00D67196" w:rsidRDefault="00D67196" w:rsidP="00D67196">
      <w:pPr>
        <w:autoSpaceDE w:val="0"/>
        <w:autoSpaceDN w:val="0"/>
        <w:adjustRightInd w:val="0"/>
        <w:spacing w:after="0" w:line="240" w:lineRule="auto"/>
        <w:ind w:left="1080"/>
        <w:rPr>
          <w:rFonts w:ascii="Cambria" w:hAnsi="Cambria" w:cs="TTE148F848t00"/>
          <w:sz w:val="24"/>
          <w:szCs w:val="24"/>
        </w:rPr>
      </w:pPr>
    </w:p>
    <w:p w:rsid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$1.58 billion in power generation revenues</w:t>
      </w:r>
    </w:p>
    <w:p w:rsidR="0084409D" w:rsidRPr="0084409D" w:rsidRDefault="0084409D" w:rsidP="0084409D">
      <w:pPr>
        <w:pStyle w:val="ListParagraph"/>
        <w:rPr>
          <w:rFonts w:ascii="Cambria" w:hAnsi="Cambria" w:cs="TTE148F848t00"/>
          <w:sz w:val="24"/>
          <w:szCs w:val="24"/>
        </w:rPr>
      </w:pPr>
    </w:p>
    <w:p w:rsidR="0084409D" w:rsidRPr="0084409D" w:rsidRDefault="0084409D" w:rsidP="0084409D">
      <w:pPr>
        <w:autoSpaceDE w:val="0"/>
        <w:autoSpaceDN w:val="0"/>
        <w:adjustRightInd w:val="0"/>
        <w:spacing w:after="0" w:line="240" w:lineRule="auto"/>
        <w:ind w:left="360"/>
        <w:rPr>
          <w:rFonts w:ascii="Cambria" w:hAnsi="Cambria" w:cs="TTE148F848t00"/>
          <w:sz w:val="24"/>
          <w:szCs w:val="24"/>
        </w:rPr>
      </w:pPr>
      <w:r>
        <w:rPr>
          <w:rFonts w:ascii="Cambria" w:hAnsi="Cambria" w:cs="TTE148F848t00"/>
          <w:sz w:val="24"/>
          <w:szCs w:val="24"/>
        </w:rPr>
        <w:t xml:space="preserve">Extrapolating these outcomes to the 8.3 million acres of suitable productive forest land for active management on California’s National Forests, the 4.4 million acres of industrial productive forest land, and the 4.6 million acres of productive forest land on non-industrial private forest lands is difficult.  Arguably the industrial forest lands are being actively managed.  It’s the Forest Service and non-industrial private that is where most of the benefits would come from.  The Nechodom 1.97 million acres of treatment in his study area was about 15% of the Forest Service and non-industrial private productive forest lands.  A rough calculation would be to extrapolate a 6.7 times increase in benefits.  That calculation yields about a 1.9 million ton per year net reduction in CO2e. </w:t>
      </w:r>
    </w:p>
    <w:p w:rsidR="00086540" w:rsidRPr="002D36E2" w:rsidRDefault="00086540" w:rsidP="002D36E2">
      <w:pPr>
        <w:rPr>
          <w:rFonts w:ascii="Cambria" w:hAnsi="Cambria" w:cs="TTE148F848t00"/>
          <w:sz w:val="24"/>
          <w:szCs w:val="24"/>
        </w:rPr>
      </w:pPr>
    </w:p>
    <w:p w:rsidR="00086540" w:rsidRPr="00086540" w:rsidRDefault="00086540" w:rsidP="00086540">
      <w:pPr>
        <w:ind w:left="360"/>
        <w:rPr>
          <w:rFonts w:ascii="Cambria" w:hAnsi="Cambria"/>
          <w:sz w:val="24"/>
          <w:szCs w:val="24"/>
        </w:rPr>
      </w:pPr>
      <w:r>
        <w:rPr>
          <w:rFonts w:ascii="Cambria" w:hAnsi="Cambria" w:cs="TTE148F848t00"/>
          <w:sz w:val="24"/>
          <w:szCs w:val="24"/>
        </w:rPr>
        <w:t>In addition, U.S. Fish and Wildlife Service</w:t>
      </w:r>
      <w:r w:rsidRPr="00086540">
        <w:rPr>
          <w:rFonts w:ascii="Cambria" w:hAnsi="Cambria"/>
          <w:sz w:val="24"/>
          <w:szCs w:val="24"/>
        </w:rPr>
        <w:t xml:space="preserve"> </w:t>
      </w:r>
      <w:r>
        <w:rPr>
          <w:rFonts w:ascii="Cambria" w:hAnsi="Cambria"/>
          <w:sz w:val="24"/>
          <w:szCs w:val="24"/>
        </w:rPr>
        <w:t>has pointed out that t</w:t>
      </w:r>
      <w:r w:rsidRPr="002F5F6F">
        <w:rPr>
          <w:rFonts w:ascii="Cambria" w:hAnsi="Cambria"/>
          <w:sz w:val="24"/>
          <w:szCs w:val="24"/>
        </w:rPr>
        <w:t>he biggest risk to wildlife in California is catastrophic wildfire (Steve Thompson, USFWS, June 9, 2006 editori</w:t>
      </w:r>
      <w:r>
        <w:rPr>
          <w:rFonts w:ascii="Cambria" w:hAnsi="Cambria"/>
          <w:sz w:val="24"/>
          <w:szCs w:val="24"/>
        </w:rPr>
        <w:t xml:space="preserve">al in the Redding Searchlight).  CA Dept. of Fish and Wildlife </w:t>
      </w:r>
      <w:r w:rsidRPr="002F5F6F">
        <w:rPr>
          <w:rFonts w:ascii="Cambria" w:hAnsi="Cambria"/>
          <w:sz w:val="24"/>
          <w:szCs w:val="24"/>
        </w:rPr>
        <w:t xml:space="preserve">has </w:t>
      </w:r>
      <w:r>
        <w:rPr>
          <w:rFonts w:ascii="Cambria" w:hAnsi="Cambria"/>
          <w:sz w:val="24"/>
          <w:szCs w:val="24"/>
        </w:rPr>
        <w:t xml:space="preserve">also </w:t>
      </w:r>
      <w:r w:rsidRPr="002F5F6F">
        <w:rPr>
          <w:rFonts w:ascii="Cambria" w:hAnsi="Cambria"/>
          <w:sz w:val="24"/>
          <w:szCs w:val="24"/>
        </w:rPr>
        <w:t xml:space="preserve">identified 12 bird species as having significant negative population trends </w:t>
      </w:r>
      <w:r w:rsidRPr="00086540">
        <w:rPr>
          <w:rFonts w:ascii="Cambria" w:hAnsi="Cambria"/>
          <w:sz w:val="24"/>
          <w:szCs w:val="24"/>
        </w:rPr>
        <w:t>because of Sierra Nevada forests becoming denser</w:t>
      </w:r>
      <w:r w:rsidRPr="0011772D">
        <w:rPr>
          <w:rFonts w:ascii="Cambria" w:hAnsi="Cambria"/>
          <w:b/>
          <w:sz w:val="24"/>
          <w:szCs w:val="24"/>
        </w:rPr>
        <w:t>.</w:t>
      </w:r>
    </w:p>
    <w:p w:rsidR="00086540" w:rsidRPr="00086540" w:rsidRDefault="00086540" w:rsidP="00086540">
      <w:pPr>
        <w:autoSpaceDE w:val="0"/>
        <w:autoSpaceDN w:val="0"/>
        <w:adjustRightInd w:val="0"/>
        <w:spacing w:after="0" w:line="240" w:lineRule="auto"/>
        <w:rPr>
          <w:rFonts w:ascii="Cambria" w:hAnsi="Cambria" w:cs="TTE148F848t00"/>
          <w:sz w:val="24"/>
          <w:szCs w:val="24"/>
        </w:rPr>
      </w:pPr>
    </w:p>
    <w:p w:rsidR="00D67196" w:rsidRPr="00D67196" w:rsidRDefault="00D67196" w:rsidP="00D67196">
      <w:pPr>
        <w:autoSpaceDE w:val="0"/>
        <w:autoSpaceDN w:val="0"/>
        <w:adjustRightInd w:val="0"/>
        <w:spacing w:after="0" w:line="240" w:lineRule="auto"/>
        <w:rPr>
          <w:rFonts w:ascii="Cambria" w:hAnsi="Cambria" w:cs="TTE148F848t00"/>
          <w:color w:val="33339A"/>
          <w:sz w:val="24"/>
          <w:szCs w:val="24"/>
        </w:rPr>
      </w:pPr>
    </w:p>
    <w:p w:rsidR="007F5AA2" w:rsidRPr="001A1985" w:rsidRDefault="007F5AA2" w:rsidP="007F5AA2">
      <w:pPr>
        <w:ind w:left="360"/>
        <w:rPr>
          <w:rFonts w:ascii="Cambria" w:hAnsi="Cambria"/>
          <w:b/>
          <w:sz w:val="24"/>
          <w:szCs w:val="24"/>
        </w:rPr>
      </w:pPr>
      <w:r w:rsidRPr="001A1985">
        <w:rPr>
          <w:rFonts w:ascii="Cambria" w:hAnsi="Cambria"/>
          <w:b/>
          <w:sz w:val="24"/>
          <w:szCs w:val="24"/>
        </w:rPr>
        <w:t>The issue of biomass and carbon neutrality</w:t>
      </w:r>
    </w:p>
    <w:p w:rsidR="007F5AA2" w:rsidRDefault="007F5AA2" w:rsidP="007F5AA2">
      <w:pPr>
        <w:ind w:left="360"/>
        <w:rPr>
          <w:rFonts w:ascii="Cambria" w:hAnsi="Cambria"/>
          <w:sz w:val="24"/>
          <w:szCs w:val="24"/>
        </w:rPr>
      </w:pPr>
      <w:r>
        <w:rPr>
          <w:rFonts w:ascii="Cambria" w:hAnsi="Cambria"/>
          <w:sz w:val="24"/>
          <w:szCs w:val="24"/>
        </w:rPr>
        <w:t>Often there is no differentiation between biogenic carbon (carbon that can be replaced by planting a tree) and anthropogeni</w:t>
      </w:r>
      <w:r w:rsidR="00900552">
        <w:rPr>
          <w:rFonts w:ascii="Cambria" w:hAnsi="Cambria"/>
          <w:sz w:val="24"/>
          <w:szCs w:val="24"/>
        </w:rPr>
        <w:t>c carbon (e.g. fossil fuels).  Yet w</w:t>
      </w:r>
      <w:r>
        <w:rPr>
          <w:rFonts w:ascii="Cambria" w:hAnsi="Cambria"/>
          <w:sz w:val="24"/>
          <w:szCs w:val="24"/>
        </w:rPr>
        <w:t xml:space="preserve">henever </w:t>
      </w:r>
      <w:r w:rsidR="00E92E89">
        <w:rPr>
          <w:rFonts w:ascii="Cambria" w:hAnsi="Cambria"/>
          <w:sz w:val="24"/>
          <w:szCs w:val="24"/>
        </w:rPr>
        <w:t xml:space="preserve">one bone dry ton of </w:t>
      </w:r>
      <w:r>
        <w:rPr>
          <w:rFonts w:ascii="Cambria" w:hAnsi="Cambria"/>
          <w:sz w:val="24"/>
          <w:szCs w:val="24"/>
        </w:rPr>
        <w:t>wood residue is used to generate heat and power,</w:t>
      </w:r>
      <w:r w:rsidR="00900552">
        <w:rPr>
          <w:rFonts w:ascii="Cambria" w:hAnsi="Cambria"/>
          <w:sz w:val="24"/>
          <w:szCs w:val="24"/>
        </w:rPr>
        <w:t xml:space="preserve"> it is known that it provides a </w:t>
      </w:r>
      <w:r w:rsidR="00E92E89">
        <w:rPr>
          <w:rFonts w:ascii="Cambria" w:hAnsi="Cambria"/>
          <w:sz w:val="24"/>
          <w:szCs w:val="24"/>
        </w:rPr>
        <w:t>0.4 tons of natural gas</w:t>
      </w:r>
      <w:r>
        <w:rPr>
          <w:rFonts w:ascii="Cambria" w:hAnsi="Cambria"/>
          <w:sz w:val="24"/>
          <w:szCs w:val="24"/>
        </w:rPr>
        <w:t xml:space="preserve"> offset.</w:t>
      </w:r>
    </w:p>
    <w:p w:rsidR="007F5AA2" w:rsidRDefault="007F5AA2" w:rsidP="007F5AA2">
      <w:pPr>
        <w:ind w:left="360"/>
        <w:rPr>
          <w:rFonts w:ascii="Cambria" w:hAnsi="Cambria"/>
          <w:sz w:val="24"/>
          <w:szCs w:val="24"/>
        </w:rPr>
      </w:pPr>
      <w:r>
        <w:rPr>
          <w:rFonts w:ascii="Cambria" w:hAnsi="Cambria"/>
          <w:sz w:val="24"/>
          <w:szCs w:val="24"/>
        </w:rPr>
        <w:t>The net impact of the forest carbon cycle is that CO2 flows in and out of forests.  The carbon in biomass will return to the atmosphere whether it</w:t>
      </w:r>
      <w:r w:rsidR="00E92E89">
        <w:rPr>
          <w:rFonts w:ascii="Cambria" w:hAnsi="Cambria"/>
          <w:sz w:val="24"/>
          <w:szCs w:val="24"/>
        </w:rPr>
        <w:t xml:space="preserve"> is combusted in a boiler, open-</w:t>
      </w:r>
      <w:r>
        <w:rPr>
          <w:rFonts w:ascii="Cambria" w:hAnsi="Cambria"/>
          <w:sz w:val="24"/>
          <w:szCs w:val="24"/>
        </w:rPr>
        <w:t xml:space="preserve">burned, left to decompose on the forest floor, or burned in a wildfire.  Overall, the flow is carbon-positive when forests are sustainably managed.  Nationwide, over the past 50 years, there has been a net increase in forest carbon stocks.  And even though overall forests are carbon sinks, </w:t>
      </w:r>
      <w:r w:rsidR="00E92E89">
        <w:rPr>
          <w:rFonts w:ascii="Cambria" w:hAnsi="Cambria"/>
          <w:sz w:val="24"/>
          <w:szCs w:val="24"/>
        </w:rPr>
        <w:t xml:space="preserve">even </w:t>
      </w:r>
      <w:r>
        <w:rPr>
          <w:rFonts w:ascii="Cambria" w:hAnsi="Cambria"/>
          <w:sz w:val="24"/>
          <w:szCs w:val="24"/>
        </w:rPr>
        <w:t>if some were carbon emitters, they still should be treated as carbon neutral because if they are left to decay, they will release substantial amounts of methane, which is far more potent as a greenhouse gas than CO2 (AF&amp;PA CEO, Donna Harman).</w:t>
      </w:r>
    </w:p>
    <w:p w:rsidR="002813F2" w:rsidRDefault="002813F2" w:rsidP="007F5AA2">
      <w:pPr>
        <w:ind w:left="360"/>
        <w:rPr>
          <w:rFonts w:ascii="Cambria" w:hAnsi="Cambria"/>
          <w:sz w:val="24"/>
          <w:szCs w:val="24"/>
        </w:rPr>
      </w:pPr>
    </w:p>
    <w:p w:rsidR="002813F2" w:rsidRDefault="002813F2" w:rsidP="008E6B78">
      <w:pPr>
        <w:ind w:left="360"/>
        <w:rPr>
          <w:rFonts w:ascii="Cambria" w:hAnsi="Cambria"/>
          <w:b/>
          <w:sz w:val="24"/>
          <w:szCs w:val="24"/>
        </w:rPr>
      </w:pPr>
      <w:r>
        <w:rPr>
          <w:rFonts w:ascii="Cambria" w:hAnsi="Cambria"/>
          <w:b/>
          <w:sz w:val="24"/>
          <w:szCs w:val="24"/>
        </w:rPr>
        <w:t>Net Emissions from California’s Biom</w:t>
      </w:r>
      <w:r w:rsidR="00900552">
        <w:rPr>
          <w:rFonts w:ascii="Cambria" w:hAnsi="Cambria"/>
          <w:b/>
          <w:sz w:val="24"/>
          <w:szCs w:val="24"/>
        </w:rPr>
        <w:t>ass Powerplants versus The Alternatives</w:t>
      </w:r>
      <w:r>
        <w:rPr>
          <w:rFonts w:ascii="Cambria" w:hAnsi="Cambria"/>
          <w:b/>
          <w:sz w:val="24"/>
          <w:szCs w:val="24"/>
        </w:rPr>
        <w:t xml:space="preserve"> </w:t>
      </w:r>
    </w:p>
    <w:p w:rsidR="005558F5" w:rsidRDefault="002813F2" w:rsidP="002D36E2">
      <w:pPr>
        <w:ind w:left="360"/>
        <w:rPr>
          <w:rFonts w:ascii="Cambria" w:hAnsi="Cambria"/>
          <w:sz w:val="24"/>
          <w:szCs w:val="24"/>
        </w:rPr>
      </w:pPr>
      <w:r w:rsidRPr="002F5F6F">
        <w:rPr>
          <w:rFonts w:ascii="Cambria" w:hAnsi="Cambria"/>
          <w:sz w:val="24"/>
          <w:szCs w:val="24"/>
        </w:rPr>
        <w:t>Net emissions of conventional air pollutants associated with the disposal of biomas</w:t>
      </w:r>
      <w:r w:rsidR="008167BC">
        <w:rPr>
          <w:rFonts w:ascii="Cambria" w:hAnsi="Cambria"/>
          <w:sz w:val="24"/>
          <w:szCs w:val="24"/>
        </w:rPr>
        <w:t>s are typically reduced by 85-100</w:t>
      </w:r>
      <w:r w:rsidRPr="002F5F6F">
        <w:rPr>
          <w:rFonts w:ascii="Cambria" w:hAnsi="Cambria"/>
          <w:sz w:val="24"/>
          <w:szCs w:val="24"/>
        </w:rPr>
        <w:t xml:space="preserve"> </w:t>
      </w:r>
      <w:r w:rsidR="00900552">
        <w:rPr>
          <w:rFonts w:ascii="Cambria" w:hAnsi="Cambria"/>
          <w:sz w:val="24"/>
          <w:szCs w:val="24"/>
        </w:rPr>
        <w:t>percent compared to other alternatives</w:t>
      </w:r>
      <w:r w:rsidRPr="002F5F6F">
        <w:rPr>
          <w:rFonts w:ascii="Cambria" w:hAnsi="Cambria"/>
          <w:sz w:val="24"/>
          <w:szCs w:val="24"/>
        </w:rPr>
        <w:t>.</w:t>
      </w:r>
      <w:r w:rsidR="00A225F7">
        <w:rPr>
          <w:rFonts w:ascii="Cambria" w:hAnsi="Cambria"/>
          <w:sz w:val="24"/>
          <w:szCs w:val="24"/>
        </w:rPr>
        <w:t xml:space="preserve">  Biomass to Energy projects reduce GHG emissions through: 1) avoiding criteria pollutants such as methane and nitrous oxide, which occur during disposal of biomass through open burning and/or decay and decomposition, and 2) producing renewable energy that displaces GHG emissions from fossil fuel combustion needed for an equivalent energy supply.</w:t>
      </w:r>
    </w:p>
    <w:p w:rsidR="005558F5" w:rsidRPr="00900552" w:rsidRDefault="005558F5" w:rsidP="00086540">
      <w:pPr>
        <w:pStyle w:val="NormalWeb"/>
        <w:ind w:left="360"/>
        <w:rPr>
          <w:rFonts w:ascii="Cambria" w:hAnsi="Cambria"/>
          <w:lang w:val="en"/>
        </w:rPr>
      </w:pPr>
      <w:r w:rsidRPr="00900552">
        <w:rPr>
          <w:rFonts w:ascii="Cambria" w:hAnsi="Cambria"/>
          <w:lang w:val="en"/>
        </w:rPr>
        <w:t>“During the past five years, over 4.5 million acres of California forests have been impacted by wildfire. Costs to suppress these wildfires have averaged approximately $1.2 billion per year. Many predict increasing size and severity of fires unless increased forest restoration treatments are implemented. These treatments will involve</w:t>
      </w:r>
      <w:r w:rsidR="00CD68DB" w:rsidRPr="00900552">
        <w:rPr>
          <w:rFonts w:ascii="Cambria" w:hAnsi="Cambria"/>
          <w:lang w:val="en"/>
        </w:rPr>
        <w:t>, in part,</w:t>
      </w:r>
      <w:r w:rsidRPr="00900552">
        <w:rPr>
          <w:rFonts w:ascii="Cambria" w:hAnsi="Cambria"/>
          <w:lang w:val="en"/>
        </w:rPr>
        <w:t xml:space="preserve"> removing the excess biomass ‘fuel’ built up in the forests, which reduces the severity and scale of wildfires.</w:t>
      </w:r>
    </w:p>
    <w:p w:rsidR="00D67AFC" w:rsidRPr="00900552" w:rsidRDefault="005558F5" w:rsidP="00086540">
      <w:pPr>
        <w:pStyle w:val="NormalWeb"/>
        <w:ind w:left="360"/>
        <w:rPr>
          <w:rFonts w:ascii="Cambria" w:hAnsi="Cambria"/>
          <w:lang w:val="en"/>
        </w:rPr>
      </w:pPr>
      <w:r w:rsidRPr="00900552">
        <w:rPr>
          <w:rFonts w:ascii="Cambria" w:hAnsi="Cambria"/>
          <w:lang w:val="en"/>
        </w:rPr>
        <w:t>In this context, forest biomass consists o</w:t>
      </w:r>
      <w:r w:rsidR="0053763F">
        <w:rPr>
          <w:rFonts w:ascii="Cambria" w:hAnsi="Cambria"/>
          <w:lang w:val="en"/>
        </w:rPr>
        <w:t>f small-diameter woody material</w:t>
      </w:r>
      <w:r w:rsidRPr="00900552">
        <w:rPr>
          <w:rFonts w:ascii="Cambria" w:hAnsi="Cambria"/>
          <w:lang w:val="en"/>
        </w:rPr>
        <w:t xml:space="preserve"> damaged or low-valued trees, the branches (slash) and diseased or insect infested wood, not suitable for other commercial use. This material represents a huge untapped resource for the generation of heat and power and its removal will improve forest health and reduce the risk of catastrophic wildfire. Additionally, use of biomass materials to generate energy is another way to maximize the greenhouse gas reduction benefits the forest sector can provide. Burning the biomass in a controlled biomass facility instead of open burning can reduce emissions of</w:t>
      </w:r>
      <w:r w:rsidR="00640DD8">
        <w:rPr>
          <w:rFonts w:ascii="Cambria" w:hAnsi="Cambria"/>
          <w:lang w:val="en"/>
        </w:rPr>
        <w:t xml:space="preserve"> criteria pollutants by 85-100%</w:t>
      </w:r>
      <w:r w:rsidRPr="00900552">
        <w:rPr>
          <w:rFonts w:ascii="Cambria" w:hAnsi="Cambria"/>
          <w:lang w:val="en"/>
        </w:rPr>
        <w:t>.</w:t>
      </w:r>
      <w:r w:rsidR="00640DD8">
        <w:rPr>
          <w:rFonts w:ascii="Cambria" w:hAnsi="Cambria"/>
          <w:lang w:val="en"/>
        </w:rPr>
        <w:t xml:space="preserve">  </w:t>
      </w:r>
    </w:p>
    <w:p w:rsidR="00D67AFC" w:rsidRDefault="00D67AFC" w:rsidP="00D67AFC">
      <w:pPr>
        <w:pStyle w:val="NormalWeb"/>
        <w:ind w:left="720"/>
        <w:rPr>
          <w:lang w:val="en"/>
        </w:rPr>
      </w:pPr>
      <w:r w:rsidRPr="005558F5">
        <w:rPr>
          <w:noProof/>
        </w:rPr>
        <w:lastRenderedPageBreak/>
        <w:drawing>
          <wp:inline distT="0" distB="0" distL="0" distR="0" wp14:anchorId="311EC0A7" wp14:editId="03D1A5E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D67AFC" w:rsidRPr="00900552" w:rsidRDefault="00D67AFC" w:rsidP="00D67AFC">
      <w:pPr>
        <w:ind w:left="720"/>
        <w:rPr>
          <w:rFonts w:ascii="Cambria" w:hAnsi="Cambria"/>
          <w:sz w:val="24"/>
          <w:szCs w:val="24"/>
        </w:rPr>
      </w:pPr>
      <w:r w:rsidRPr="00900552">
        <w:rPr>
          <w:rFonts w:ascii="Cambria" w:hAnsi="Cambria"/>
          <w:sz w:val="24"/>
          <w:szCs w:val="24"/>
        </w:rPr>
        <w:t>Emission factors from “Hydrocarbon Characterization of Agricultural Waste Burning”, CAL/ARB Project A7-068-30, University of California, Riverside, E.F. Darley, April 1979.</w:t>
      </w:r>
    </w:p>
    <w:p w:rsidR="005558F5" w:rsidRPr="00900552" w:rsidRDefault="00D67AFC" w:rsidP="00D67AFC">
      <w:pPr>
        <w:pStyle w:val="NormalWeb"/>
        <w:ind w:left="360"/>
        <w:rPr>
          <w:rFonts w:ascii="Cambria" w:hAnsi="Cambria"/>
          <w:lang w:val="en"/>
        </w:rPr>
      </w:pPr>
      <w:r w:rsidRPr="00900552">
        <w:rPr>
          <w:rFonts w:ascii="Cambria" w:hAnsi="Cambria"/>
          <w:lang w:val="en"/>
        </w:rPr>
        <w:t>E</w:t>
      </w:r>
      <w:r w:rsidR="005558F5" w:rsidRPr="00900552">
        <w:rPr>
          <w:rFonts w:ascii="Cambria" w:hAnsi="Cambria"/>
          <w:lang w:val="en"/>
        </w:rPr>
        <w:t>ven when accounting for the emissions created by the transport and processing of biomass to create energy</w:t>
      </w:r>
      <w:r w:rsidRPr="00900552">
        <w:rPr>
          <w:rFonts w:ascii="Cambria" w:hAnsi="Cambria"/>
          <w:lang w:val="en"/>
        </w:rPr>
        <w:t>, the numbers only change slightly:</w:t>
      </w:r>
      <w:r w:rsidR="005558F5" w:rsidRPr="00900552">
        <w:rPr>
          <w:rFonts w:ascii="Cambria" w:hAnsi="Cambria"/>
          <w:lang w:val="en"/>
        </w:rPr>
        <w:t xml:space="preserve"> </w:t>
      </w:r>
    </w:p>
    <w:p w:rsidR="00D67AFC" w:rsidRDefault="00D67AFC" w:rsidP="00D67AFC">
      <w:pPr>
        <w:pStyle w:val="NormalWeb"/>
        <w:ind w:left="360"/>
        <w:rPr>
          <w:lang w:val="en"/>
        </w:rPr>
      </w:pPr>
    </w:p>
    <w:p w:rsidR="00CD68DB" w:rsidRDefault="00CD68DB" w:rsidP="00CD68DB">
      <w:pPr>
        <w:pStyle w:val="NormalWeb"/>
        <w:ind w:left="360"/>
        <w:rPr>
          <w:lang w:val="en"/>
        </w:rPr>
      </w:pPr>
      <w:r>
        <w:rPr>
          <w:noProof/>
        </w:rPr>
        <w:lastRenderedPageBreak/>
        <w:drawing>
          <wp:inline distT="0" distB="0" distL="0" distR="0" wp14:anchorId="7F17B73B" wp14:editId="4BDD50FD">
            <wp:extent cx="5994154" cy="4433977"/>
            <wp:effectExtent l="0" t="0" r="6985" b="5080"/>
            <wp:docPr id="3" name="Picture 3" descr="AirQuality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QualityBenefi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001" cy="4442001"/>
                    </a:xfrm>
                    <a:prstGeom prst="rect">
                      <a:avLst/>
                    </a:prstGeom>
                    <a:noFill/>
                    <a:ln>
                      <a:noFill/>
                    </a:ln>
                  </pic:spPr>
                </pic:pic>
              </a:graphicData>
            </a:graphic>
          </wp:inline>
        </w:drawing>
      </w:r>
    </w:p>
    <w:p w:rsidR="00CD68DB" w:rsidRDefault="00CD68DB" w:rsidP="00CD68DB">
      <w:pPr>
        <w:pStyle w:val="NormalWeb"/>
        <w:ind w:left="720"/>
        <w:rPr>
          <w:lang w:val="en"/>
        </w:rPr>
      </w:pPr>
      <w:r>
        <w:rPr>
          <w:lang w:val="en"/>
        </w:rPr>
        <w:t>(Graph Below Provided by: Placer County Air Pollution Control District)</w:t>
      </w:r>
      <w:r w:rsidR="00D67AFC">
        <w:rPr>
          <w:lang w:val="en"/>
        </w:rPr>
        <w:t>”</w:t>
      </w:r>
    </w:p>
    <w:p w:rsidR="00CD68DB" w:rsidRDefault="00D67AFC" w:rsidP="00CD68DB">
      <w:pPr>
        <w:pStyle w:val="NormalWeb"/>
        <w:ind w:left="360"/>
        <w:rPr>
          <w:lang w:val="en"/>
        </w:rPr>
      </w:pPr>
      <w:r>
        <w:rPr>
          <w:lang w:val="en"/>
        </w:rPr>
        <w:t>(</w:t>
      </w:r>
      <w:r w:rsidR="00366E15">
        <w:rPr>
          <w:lang w:val="en"/>
        </w:rPr>
        <w:t>Excerpt</w:t>
      </w:r>
      <w:r>
        <w:rPr>
          <w:lang w:val="en"/>
        </w:rPr>
        <w:t xml:space="preserve"> from Sierra Nevada Conservancy website at: </w:t>
      </w:r>
      <w:hyperlink r:id="rId15" w:history="1">
        <w:r w:rsidRPr="00143841">
          <w:rPr>
            <w:rStyle w:val="Hyperlink"/>
            <w:lang w:val="en"/>
          </w:rPr>
          <w:t>http://www.sierranevada.ca.gov/our-region/bioenergy</w:t>
        </w:r>
      </w:hyperlink>
      <w:r>
        <w:rPr>
          <w:lang w:val="en"/>
        </w:rPr>
        <w:t>.</w:t>
      </w:r>
    </w:p>
    <w:p w:rsidR="008167BC" w:rsidRDefault="008167BC" w:rsidP="008167BC">
      <w:pPr>
        <w:pStyle w:val="ListParagraph"/>
        <w:rPr>
          <w:rFonts w:ascii="Cambria" w:hAnsi="Cambria" w:cs="TTE148F848t00"/>
          <w:color w:val="000000" w:themeColor="text1"/>
          <w:sz w:val="24"/>
          <w:szCs w:val="24"/>
        </w:rPr>
      </w:pPr>
    </w:p>
    <w:p w:rsidR="00103A28" w:rsidRPr="00103A28" w:rsidRDefault="00103A28" w:rsidP="00AC4F8C">
      <w:pPr>
        <w:pStyle w:val="ListParagraph"/>
        <w:ind w:left="0"/>
        <w:rPr>
          <w:rFonts w:ascii="Cambria" w:hAnsi="Cambria" w:cs="TTE148F848t00"/>
          <w:color w:val="000000" w:themeColor="text1"/>
          <w:sz w:val="24"/>
          <w:szCs w:val="24"/>
        </w:rPr>
      </w:pPr>
    </w:p>
    <w:p w:rsidR="00103A28" w:rsidRPr="00D67196" w:rsidRDefault="00103A28" w:rsidP="00103A28">
      <w:pPr>
        <w:pStyle w:val="ListParagraph"/>
        <w:autoSpaceDE w:val="0"/>
        <w:autoSpaceDN w:val="0"/>
        <w:adjustRightInd w:val="0"/>
        <w:spacing w:after="0" w:line="240" w:lineRule="auto"/>
        <w:ind w:left="1080"/>
        <w:rPr>
          <w:rFonts w:ascii="Cambria" w:hAnsi="Cambria" w:cs="TTE148F848t00"/>
          <w:color w:val="000000" w:themeColor="text1"/>
          <w:sz w:val="24"/>
          <w:szCs w:val="24"/>
        </w:rPr>
      </w:pPr>
    </w:p>
    <w:p w:rsidR="00847659" w:rsidRDefault="00847659" w:rsidP="00847659">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p w:rsidR="00AC4F8C" w:rsidRPr="00AC4F8C" w:rsidRDefault="009953FD" w:rsidP="00AC4F8C">
      <w:pPr>
        <w:ind w:right="-1080"/>
        <w:rPr>
          <w:rFonts w:ascii="Cambria" w:hAnsi="Cambria"/>
          <w:sz w:val="24"/>
          <w:szCs w:val="24"/>
        </w:rPr>
      </w:pPr>
      <w:r>
        <w:rPr>
          <w:rFonts w:ascii="Cambria" w:hAnsi="Cambria"/>
          <w:sz w:val="24"/>
          <w:szCs w:val="24"/>
        </w:rPr>
        <w:t>Five s</w:t>
      </w:r>
      <w:r w:rsidR="00AC4F8C">
        <w:rPr>
          <w:rFonts w:ascii="Cambria" w:hAnsi="Cambria"/>
          <w:sz w:val="24"/>
          <w:szCs w:val="24"/>
        </w:rPr>
        <w:t>tudies</w:t>
      </w:r>
      <w:r>
        <w:rPr>
          <w:rFonts w:ascii="Cambria" w:hAnsi="Cambria"/>
          <w:sz w:val="24"/>
          <w:szCs w:val="24"/>
        </w:rPr>
        <w:t xml:space="preserve">, 1979, E.F. Farley, 1999 Dr. Gregg Morris, 2006, Western Governors Association Biomass Taskforce Report, and the 2010 and 2015 Bruce Springsteen etal studies </w:t>
      </w:r>
      <w:r w:rsidR="00AC4F8C">
        <w:rPr>
          <w:rFonts w:ascii="Cambria" w:hAnsi="Cambria"/>
          <w:sz w:val="24"/>
          <w:szCs w:val="24"/>
        </w:rPr>
        <w:t>have addressed the question of criteria pollutant reductions and particulate matter reductions comparing biomass powerplant boilers, open pile bur</w:t>
      </w:r>
      <w:r>
        <w:rPr>
          <w:rFonts w:ascii="Cambria" w:hAnsi="Cambria"/>
          <w:sz w:val="24"/>
          <w:szCs w:val="24"/>
        </w:rPr>
        <w:t>n</w:t>
      </w:r>
      <w:r w:rsidR="00AC4F8C">
        <w:rPr>
          <w:rFonts w:ascii="Cambria" w:hAnsi="Cambria"/>
          <w:sz w:val="24"/>
          <w:szCs w:val="24"/>
        </w:rPr>
        <w:t>ing, and wood residues left to decompose.</w:t>
      </w:r>
      <w:r>
        <w:rPr>
          <w:rFonts w:ascii="Cambria" w:hAnsi="Cambria"/>
          <w:sz w:val="24"/>
          <w:szCs w:val="24"/>
        </w:rPr>
        <w:t xml:space="preserve">  Further, the Gregg Morris Study and the Western Governors Association publications concluded the value of the environmental services associated with biomass energy production in the U.S. is 11.4 cents/kWh.   The following tables show the results of Morris and Springsteen and estimate the CO2e and particulate matter reductions.</w:t>
      </w:r>
    </w:p>
    <w:p w:rsidR="00847659" w:rsidRPr="000F3874" w:rsidRDefault="00847659" w:rsidP="00847659">
      <w:pPr>
        <w:rPr>
          <w:rFonts w:ascii="Cambria" w:hAnsi="Cambria"/>
          <w:sz w:val="24"/>
          <w:szCs w:val="24"/>
        </w:rPr>
      </w:pPr>
    </w:p>
    <w:tbl>
      <w:tblPr>
        <w:tblStyle w:val="TableGrid2"/>
        <w:tblW w:w="11557" w:type="dxa"/>
        <w:tblInd w:w="-1100" w:type="dxa"/>
        <w:tblLayout w:type="fixed"/>
        <w:tblLook w:val="04A0" w:firstRow="1" w:lastRow="0" w:firstColumn="1" w:lastColumn="0" w:noHBand="0" w:noVBand="1"/>
      </w:tblPr>
      <w:tblGrid>
        <w:gridCol w:w="1260"/>
        <w:gridCol w:w="1260"/>
        <w:gridCol w:w="1350"/>
        <w:gridCol w:w="1080"/>
        <w:gridCol w:w="1170"/>
        <w:gridCol w:w="1350"/>
        <w:gridCol w:w="1530"/>
        <w:gridCol w:w="2557"/>
      </w:tblGrid>
      <w:tr w:rsidR="00847659" w:rsidRPr="000F3874" w:rsidTr="009953FD">
        <w:trPr>
          <w:trHeight w:val="109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lastRenderedPageBreak/>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Biomass Powerplant Emission</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600 MW</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Open Burning Emission</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Forest Accumulation Emission</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w:t>
            </w:r>
          </w:p>
          <w:p w:rsidR="00847659" w:rsidRPr="000F3874" w:rsidRDefault="00847659" w:rsidP="00175925">
            <w:pPr>
              <w:spacing w:after="160" w:line="259" w:lineRule="auto"/>
              <w:ind w:right="739"/>
              <w:rPr>
                <w:rFonts w:ascii="Cambria" w:hAnsi="Cambria"/>
              </w:rPr>
            </w:pPr>
            <w:r w:rsidRPr="000F3874">
              <w:rPr>
                <w:rFonts w:ascii="Cambria" w:hAnsi="Cambria"/>
              </w:rPr>
              <w:t xml:space="preserve"> for 4.8 million</w:t>
            </w:r>
          </w:p>
          <w:p w:rsidR="00847659" w:rsidRPr="000F3874" w:rsidRDefault="00847659" w:rsidP="00175925">
            <w:pPr>
              <w:spacing w:after="160" w:line="259" w:lineRule="auto"/>
              <w:rPr>
                <w:rFonts w:ascii="Cambria" w:hAnsi="Cambria"/>
              </w:rPr>
            </w:pPr>
            <w:r w:rsidRPr="000F3874">
              <w:rPr>
                <w:rFonts w:ascii="Cambria" w:hAnsi="Cambria"/>
              </w:rPr>
              <w:t xml:space="preserve"> BDT</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Nitrous Oxide (NOx</w:t>
            </w:r>
            <w:r w:rsidR="00847659"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 million</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r>
      <w:tr w:rsidR="00847659" w:rsidRPr="000F3874" w:rsidTr="009953FD">
        <w:trPr>
          <w:trHeight w:val="55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280</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672,000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24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23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55,200</w:t>
            </w:r>
          </w:p>
        </w:tc>
      </w:tr>
      <w:tr w:rsidR="00847659" w:rsidRPr="000F3874" w:rsidTr="009953FD">
        <w:trPr>
          <w:trHeight w:val="276"/>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Particulate</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0.45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1,080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21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50,400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8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420,000</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(CO2)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1.78 Tons/BDT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4,272</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r>
    </w:tbl>
    <w:p w:rsidR="00847659" w:rsidRPr="000F3874" w:rsidRDefault="00847659" w:rsidP="00847659">
      <w:pPr>
        <w:rPr>
          <w:rFonts w:ascii="Cambria" w:hAnsi="Cambria"/>
          <w:sz w:val="24"/>
          <w:szCs w:val="24"/>
        </w:rPr>
      </w:pPr>
    </w:p>
    <w:p w:rsidR="00847659" w:rsidRPr="000F3874" w:rsidRDefault="00847659" w:rsidP="00847659">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Power” and f</w:t>
      </w:r>
      <w:r w:rsidR="005B02BD">
        <w:rPr>
          <w:rFonts w:ascii="Cambria" w:hAnsi="Cambria"/>
          <w:sz w:val="24"/>
          <w:szCs w:val="24"/>
        </w:rPr>
        <w:t>rom CO2e conversion for</w:t>
      </w:r>
      <w:r w:rsidR="009245E8">
        <w:rPr>
          <w:rFonts w:ascii="Cambria" w:hAnsi="Cambria"/>
          <w:sz w:val="24"/>
          <w:szCs w:val="24"/>
        </w:rPr>
        <w:t xml:space="preserve"> Methane)</w:t>
      </w:r>
    </w:p>
    <w:p w:rsidR="00847659" w:rsidRPr="000F3874" w:rsidRDefault="00847659" w:rsidP="00847659">
      <w:pPr>
        <w:rPr>
          <w:rFonts w:ascii="Cambria" w:hAnsi="Cambria"/>
          <w:sz w:val="24"/>
          <w:szCs w:val="24"/>
        </w:rPr>
      </w:pPr>
      <w:r w:rsidRPr="000F3874">
        <w:rPr>
          <w:rFonts w:ascii="Cambria" w:hAnsi="Cambria"/>
          <w:sz w:val="24"/>
          <w:szCs w:val="24"/>
        </w:rPr>
        <w:t xml:space="preserve">Notes: </w:t>
      </w:r>
    </w:p>
    <w:p w:rsidR="00847659"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8,000 bone dry tons of wood residue produces 1 megawatt of electricity (MW)</w:t>
      </w:r>
    </w:p>
    <w:p w:rsidR="009245E8" w:rsidRPr="009245E8" w:rsidRDefault="009245E8" w:rsidP="009245E8">
      <w:pPr>
        <w:pStyle w:val="ListParagraph"/>
        <w:spacing w:line="256" w:lineRule="auto"/>
        <w:rPr>
          <w:rFonts w:ascii="Cambria" w:hAnsi="Cambria"/>
          <w:sz w:val="24"/>
          <w:szCs w:val="24"/>
        </w:rPr>
      </w:pP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Hydrocarbons, Particulate Matter, and Methane are the primary differences in the 3 Alternative Scenarios</w:t>
      </w:r>
    </w:p>
    <w:p w:rsidR="00847659" w:rsidRPr="000F3874" w:rsidRDefault="005B02BD" w:rsidP="009245E8">
      <w:pPr>
        <w:numPr>
          <w:ilvl w:val="0"/>
          <w:numId w:val="34"/>
        </w:numPr>
        <w:spacing w:line="256" w:lineRule="auto"/>
        <w:contextualSpacing/>
        <w:rPr>
          <w:rFonts w:ascii="Cambria" w:hAnsi="Cambria"/>
          <w:sz w:val="24"/>
          <w:szCs w:val="24"/>
        </w:rPr>
      </w:pPr>
      <w:r>
        <w:rPr>
          <w:rFonts w:ascii="Cambria" w:hAnsi="Cambria"/>
          <w:sz w:val="24"/>
          <w:szCs w:val="24"/>
        </w:rPr>
        <w:t xml:space="preserve"> </w:t>
      </w:r>
      <w:r w:rsidR="00847659" w:rsidRPr="000F3874">
        <w:rPr>
          <w:rFonts w:ascii="Cambria" w:hAnsi="Cambria"/>
          <w:sz w:val="24"/>
          <w:szCs w:val="24"/>
        </w:rPr>
        <w:t>Methane is 25 times more potent</w:t>
      </w:r>
      <w:r>
        <w:rPr>
          <w:rFonts w:ascii="Cambria" w:hAnsi="Cambria"/>
          <w:sz w:val="24"/>
          <w:szCs w:val="24"/>
        </w:rPr>
        <w:t xml:space="preserve"> as a greenhouse gas compared to Carbon Dioxide</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Estimate for value of Particulate Matter from Morris (1999, p.21) is $2,500/ton</w:t>
      </w:r>
    </w:p>
    <w:p w:rsidR="00847659" w:rsidRPr="000F3874" w:rsidRDefault="00847659" w:rsidP="00847659">
      <w:pPr>
        <w:spacing w:line="256" w:lineRule="auto"/>
        <w:ind w:left="720"/>
        <w:contextualSpacing/>
        <w:rPr>
          <w:rFonts w:ascii="Cambria" w:hAnsi="Cambria"/>
          <w:sz w:val="24"/>
          <w:szCs w:val="24"/>
        </w:rPr>
      </w:pPr>
    </w:p>
    <w:p w:rsidR="00847659" w:rsidRPr="000F3874" w:rsidRDefault="00847659" w:rsidP="00847659">
      <w:pPr>
        <w:rPr>
          <w:rFonts w:ascii="Cambria" w:hAnsi="Cambria"/>
          <w:b/>
          <w:sz w:val="24"/>
          <w:szCs w:val="24"/>
        </w:rPr>
      </w:pPr>
      <w:r w:rsidRPr="000F3874">
        <w:rPr>
          <w:rFonts w:ascii="Cambria" w:hAnsi="Cambria"/>
          <w:b/>
          <w:sz w:val="24"/>
          <w:szCs w:val="24"/>
        </w:rPr>
        <w:t>Synthesis of the above Table:</w:t>
      </w:r>
    </w:p>
    <w:p w:rsidR="00847659" w:rsidRPr="000F3874" w:rsidRDefault="00847659" w:rsidP="00847659">
      <w:pPr>
        <w:rPr>
          <w:rFonts w:ascii="Cambria" w:hAnsi="Cambria"/>
          <w:sz w:val="24"/>
          <w:szCs w:val="24"/>
        </w:rPr>
      </w:pPr>
      <w:r w:rsidRPr="000F3874">
        <w:rPr>
          <w:rFonts w:ascii="Cambria" w:hAnsi="Cambria"/>
          <w:sz w:val="24"/>
          <w:szCs w:val="24"/>
        </w:rPr>
        <w:t>For the current 600 MW Operating Capacity, Biomass Powerplants, versus Open Burning or “left in the forest to decompose” scenarios, the Powerplant Industry annually reduces Carbon</w:t>
      </w:r>
      <w:r w:rsidR="005B02BD">
        <w:rPr>
          <w:rFonts w:ascii="Cambria" w:hAnsi="Cambria"/>
          <w:sz w:val="24"/>
          <w:szCs w:val="24"/>
        </w:rPr>
        <w:t xml:space="preserve"> Dioxide equivalent by about 0.435</w:t>
      </w:r>
      <w:r w:rsidRPr="000F3874">
        <w:rPr>
          <w:rFonts w:ascii="Cambria" w:hAnsi="Cambria"/>
          <w:sz w:val="24"/>
          <w:szCs w:val="24"/>
        </w:rPr>
        <w:t xml:space="preserve"> million tons (Methane) and reduce</w:t>
      </w:r>
      <w:r w:rsidR="005B02BD">
        <w:rPr>
          <w:rFonts w:ascii="Cambria" w:hAnsi="Cambria"/>
          <w:sz w:val="24"/>
          <w:szCs w:val="24"/>
        </w:rPr>
        <w:t>s</w:t>
      </w:r>
      <w:r w:rsidRPr="000F3874">
        <w:rPr>
          <w:rFonts w:ascii="Cambria" w:hAnsi="Cambria"/>
          <w:sz w:val="24"/>
          <w:szCs w:val="24"/>
        </w:rPr>
        <w:t xml:space="preserve"> Particulate Matter by over 35,000 tons.</w:t>
      </w:r>
    </w:p>
    <w:p w:rsidR="00847659" w:rsidRPr="000F3874" w:rsidRDefault="00847659" w:rsidP="00847659">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5B02BD" w:rsidRPr="009953FD" w:rsidRDefault="00847659" w:rsidP="00847659">
      <w:pPr>
        <w:rPr>
          <w:rFonts w:ascii="Cambria" w:hAnsi="Cambria"/>
          <w:sz w:val="24"/>
          <w:szCs w:val="24"/>
        </w:rPr>
      </w:pPr>
      <w:r w:rsidRPr="009953FD">
        <w:rPr>
          <w:rFonts w:ascii="Cambria" w:hAnsi="Cambria"/>
          <w:sz w:val="24"/>
          <w:szCs w:val="24"/>
        </w:rPr>
        <w:t xml:space="preserve">Note with the current ARB Cap-And-Trade Offset Market at about $11/ton, 435,000 tons of CO2e is worth about $4.8 million; at $2,500/ton the Particulate Matter reduction is worth about $88 million.  </w:t>
      </w:r>
    </w:p>
    <w:p w:rsidR="00847659" w:rsidRPr="009953FD" w:rsidRDefault="00847659" w:rsidP="00847659">
      <w:pPr>
        <w:rPr>
          <w:rFonts w:ascii="Cambria" w:hAnsi="Cambria"/>
          <w:sz w:val="24"/>
          <w:szCs w:val="24"/>
        </w:rPr>
      </w:pPr>
      <w:r w:rsidRPr="009953FD">
        <w:rPr>
          <w:rFonts w:ascii="Cambria" w:hAnsi="Cambria"/>
          <w:sz w:val="24"/>
          <w:szCs w:val="24"/>
        </w:rPr>
        <w:t xml:space="preserve">If the Biomass Power Industry doubled to about 1,200 MW of operating capacity, as called for in the 2012 Bioenergy Action Plan, there would be about 870,000 tons of reduction in CO2e and be worth about $9.6 million; Particulate Matter reduction would be about 70,000 tons and worth about $175 million.  </w:t>
      </w:r>
    </w:p>
    <w:p w:rsidR="00847659" w:rsidRDefault="00847659" w:rsidP="00847659">
      <w:pPr>
        <w:rPr>
          <w:rFonts w:ascii="Cambria" w:hAnsi="Cambria"/>
          <w:sz w:val="24"/>
          <w:szCs w:val="24"/>
        </w:rPr>
      </w:pPr>
      <w:r>
        <w:rPr>
          <w:rFonts w:ascii="Cambria" w:hAnsi="Cambria"/>
          <w:sz w:val="24"/>
          <w:szCs w:val="24"/>
        </w:rPr>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847659" w:rsidRDefault="00847659" w:rsidP="00847659">
      <w:pPr>
        <w:rPr>
          <w:rFonts w:ascii="Cambria" w:hAnsi="Cambria"/>
          <w:sz w:val="24"/>
          <w:szCs w:val="24"/>
        </w:rPr>
      </w:pPr>
    </w:p>
    <w:p w:rsidR="00847659" w:rsidRDefault="00847659" w:rsidP="0084765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263"/>
        <w:gridCol w:w="1059"/>
        <w:gridCol w:w="1055"/>
        <w:gridCol w:w="1087"/>
        <w:gridCol w:w="1258"/>
        <w:gridCol w:w="1472"/>
        <w:gridCol w:w="901"/>
        <w:gridCol w:w="1255"/>
      </w:tblGrid>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Operation</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r>
              <w:rPr>
                <w:rFonts w:ascii="Cambria" w:hAnsi="Cambria"/>
                <w:sz w:val="24"/>
                <w:szCs w:val="24"/>
              </w:rPr>
              <w:t>Air</w:t>
            </w:r>
          </w:p>
        </w:tc>
        <w:tc>
          <w:tcPr>
            <w:tcW w:w="1258" w:type="dxa"/>
          </w:tcPr>
          <w:p w:rsidR="00847659" w:rsidRDefault="00847659" w:rsidP="00175925">
            <w:pPr>
              <w:rPr>
                <w:rFonts w:ascii="Cambria" w:hAnsi="Cambria"/>
                <w:sz w:val="24"/>
                <w:szCs w:val="24"/>
              </w:rPr>
            </w:pPr>
            <w:r>
              <w:rPr>
                <w:rFonts w:ascii="Cambria" w:hAnsi="Cambria"/>
                <w:sz w:val="24"/>
                <w:szCs w:val="24"/>
              </w:rPr>
              <w:t>Emissions</w:t>
            </w:r>
          </w:p>
        </w:tc>
        <w:tc>
          <w:tcPr>
            <w:tcW w:w="1472" w:type="dxa"/>
          </w:tcPr>
          <w:p w:rsidR="00847659" w:rsidRDefault="00847659" w:rsidP="00175925">
            <w:pPr>
              <w:rPr>
                <w:rFonts w:ascii="Cambria" w:hAnsi="Cambria"/>
                <w:sz w:val="24"/>
                <w:szCs w:val="24"/>
              </w:rPr>
            </w:pPr>
            <w:r>
              <w:rPr>
                <w:rFonts w:ascii="Cambria" w:hAnsi="Cambria"/>
                <w:sz w:val="24"/>
                <w:szCs w:val="24"/>
              </w:rPr>
              <w:t>(Tons/6096 BDT)</w:t>
            </w: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rPr>
                <w:rFonts w:ascii="Cambria" w:hAnsi="Cambria"/>
                <w:sz w:val="24"/>
                <w:szCs w:val="24"/>
              </w:rPr>
            </w:pPr>
            <w:r>
              <w:rPr>
                <w:rFonts w:ascii="Cambria" w:hAnsi="Cambria"/>
                <w:sz w:val="24"/>
                <w:szCs w:val="24"/>
              </w:rPr>
              <w:t>NOx</w:t>
            </w:r>
          </w:p>
        </w:tc>
        <w:tc>
          <w:tcPr>
            <w:tcW w:w="1055" w:type="dxa"/>
          </w:tcPr>
          <w:p w:rsidR="00847659" w:rsidRPr="00F83118" w:rsidRDefault="00847659" w:rsidP="00175925">
            <w:pPr>
              <w:rPr>
                <w:rFonts w:ascii="Cambria" w:hAnsi="Cambria"/>
                <w:b/>
                <w:sz w:val="24"/>
                <w:szCs w:val="24"/>
              </w:rPr>
            </w:pPr>
            <w:r w:rsidRPr="00F83118">
              <w:rPr>
                <w:rFonts w:ascii="Cambria" w:hAnsi="Cambria"/>
                <w:b/>
                <w:sz w:val="24"/>
                <w:szCs w:val="24"/>
              </w:rPr>
              <w:t>PM</w:t>
            </w:r>
          </w:p>
        </w:tc>
        <w:tc>
          <w:tcPr>
            <w:tcW w:w="1087" w:type="dxa"/>
          </w:tcPr>
          <w:p w:rsidR="00847659" w:rsidRDefault="00847659" w:rsidP="00175925">
            <w:pPr>
              <w:rPr>
                <w:rFonts w:ascii="Cambria" w:hAnsi="Cambria"/>
                <w:sz w:val="24"/>
                <w:szCs w:val="24"/>
              </w:rPr>
            </w:pPr>
            <w:r>
              <w:rPr>
                <w:rFonts w:ascii="Cambria" w:hAnsi="Cambria"/>
                <w:sz w:val="24"/>
                <w:szCs w:val="24"/>
              </w:rPr>
              <w:t>NMOC</w:t>
            </w:r>
          </w:p>
        </w:tc>
        <w:tc>
          <w:tcPr>
            <w:tcW w:w="1258" w:type="dxa"/>
          </w:tcPr>
          <w:p w:rsidR="00847659" w:rsidRDefault="00847659" w:rsidP="00175925">
            <w:pPr>
              <w:rPr>
                <w:rFonts w:ascii="Cambria" w:hAnsi="Cambria"/>
                <w:sz w:val="24"/>
                <w:szCs w:val="24"/>
              </w:rPr>
            </w:pPr>
            <w:r>
              <w:rPr>
                <w:rFonts w:ascii="Cambria" w:hAnsi="Cambria"/>
                <w:sz w:val="24"/>
                <w:szCs w:val="24"/>
              </w:rPr>
              <w:t>CO</w:t>
            </w:r>
          </w:p>
        </w:tc>
        <w:tc>
          <w:tcPr>
            <w:tcW w:w="1472" w:type="dxa"/>
          </w:tcPr>
          <w:p w:rsidR="00847659" w:rsidRDefault="00847659" w:rsidP="00175925">
            <w:pPr>
              <w:rPr>
                <w:rFonts w:ascii="Cambria" w:hAnsi="Cambria"/>
                <w:sz w:val="24"/>
                <w:szCs w:val="24"/>
              </w:rPr>
            </w:pPr>
            <w:r>
              <w:rPr>
                <w:rFonts w:ascii="Cambria" w:hAnsi="Cambria"/>
                <w:sz w:val="24"/>
                <w:szCs w:val="24"/>
              </w:rPr>
              <w:t>CO2</w:t>
            </w:r>
          </w:p>
        </w:tc>
        <w:tc>
          <w:tcPr>
            <w:tcW w:w="901" w:type="dxa"/>
          </w:tcPr>
          <w:p w:rsidR="00847659" w:rsidRPr="00F83118" w:rsidRDefault="00847659" w:rsidP="00175925">
            <w:pPr>
              <w:rPr>
                <w:rFonts w:ascii="Cambria" w:hAnsi="Cambria"/>
                <w:b/>
                <w:sz w:val="24"/>
                <w:szCs w:val="24"/>
              </w:rPr>
            </w:pPr>
            <w:r w:rsidRPr="00F83118">
              <w:rPr>
                <w:rFonts w:ascii="Cambria" w:hAnsi="Cambria"/>
                <w:b/>
                <w:sz w:val="24"/>
                <w:szCs w:val="24"/>
              </w:rPr>
              <w:t>CH4</w:t>
            </w:r>
          </w:p>
        </w:tc>
        <w:tc>
          <w:tcPr>
            <w:tcW w:w="1255" w:type="dxa"/>
          </w:tcPr>
          <w:p w:rsidR="00847659" w:rsidRPr="00F83118" w:rsidRDefault="00847659" w:rsidP="00175925">
            <w:pPr>
              <w:rPr>
                <w:rFonts w:ascii="Cambria" w:hAnsi="Cambria"/>
                <w:b/>
                <w:sz w:val="24"/>
                <w:szCs w:val="24"/>
              </w:rPr>
            </w:pPr>
            <w:r w:rsidRPr="00F83118">
              <w:rPr>
                <w:rFonts w:ascii="Cambria" w:hAnsi="Cambria"/>
                <w:b/>
                <w:sz w:val="24"/>
                <w:szCs w:val="24"/>
              </w:rPr>
              <w:t>CO2e</w:t>
            </w: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Baseline, Open Pile Burning</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p>
        </w:tc>
        <w:tc>
          <w:tcPr>
            <w:tcW w:w="1258" w:type="dxa"/>
          </w:tcPr>
          <w:p w:rsidR="00847659" w:rsidRDefault="00847659" w:rsidP="00175925">
            <w:pPr>
              <w:rPr>
                <w:rFonts w:ascii="Cambria" w:hAnsi="Cambria"/>
                <w:sz w:val="24"/>
                <w:szCs w:val="24"/>
              </w:rPr>
            </w:pPr>
          </w:p>
        </w:tc>
        <w:tc>
          <w:tcPr>
            <w:tcW w:w="1472" w:type="dxa"/>
          </w:tcPr>
          <w:p w:rsidR="00847659" w:rsidRDefault="00847659" w:rsidP="00175925">
            <w:pPr>
              <w:rPr>
                <w:rFonts w:ascii="Cambria" w:hAnsi="Cambria"/>
                <w:sz w:val="24"/>
                <w:szCs w:val="24"/>
              </w:rPr>
            </w:pP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Open Pile Burning</w:t>
            </w:r>
          </w:p>
        </w:tc>
        <w:tc>
          <w:tcPr>
            <w:tcW w:w="1059" w:type="dxa"/>
          </w:tcPr>
          <w:p w:rsidR="00847659" w:rsidRDefault="00847659" w:rsidP="00175925">
            <w:pPr>
              <w:jc w:val="right"/>
              <w:rPr>
                <w:rFonts w:ascii="Cambria" w:hAnsi="Cambria"/>
                <w:sz w:val="24"/>
                <w:szCs w:val="24"/>
              </w:rPr>
            </w:pPr>
            <w:r>
              <w:rPr>
                <w:rFonts w:ascii="Cambria" w:hAnsi="Cambria"/>
                <w:sz w:val="24"/>
                <w:szCs w:val="24"/>
              </w:rPr>
              <w:t>17.37</w:t>
            </w:r>
          </w:p>
        </w:tc>
        <w:tc>
          <w:tcPr>
            <w:tcW w:w="1055" w:type="dxa"/>
          </w:tcPr>
          <w:p w:rsidR="00847659" w:rsidRDefault="00847659" w:rsidP="00175925">
            <w:pPr>
              <w:jc w:val="right"/>
              <w:rPr>
                <w:rFonts w:ascii="Cambria" w:hAnsi="Cambria"/>
                <w:sz w:val="24"/>
                <w:szCs w:val="24"/>
              </w:rPr>
            </w:pPr>
            <w:r>
              <w:rPr>
                <w:rFonts w:ascii="Cambria" w:hAnsi="Cambria"/>
                <w:sz w:val="24"/>
                <w:szCs w:val="24"/>
              </w:rPr>
              <w:t>37.65</w:t>
            </w:r>
          </w:p>
        </w:tc>
        <w:tc>
          <w:tcPr>
            <w:tcW w:w="1087" w:type="dxa"/>
          </w:tcPr>
          <w:p w:rsidR="00847659" w:rsidRDefault="00847659" w:rsidP="00175925">
            <w:pPr>
              <w:jc w:val="right"/>
              <w:rPr>
                <w:rFonts w:ascii="Cambria" w:hAnsi="Cambria"/>
                <w:sz w:val="24"/>
                <w:szCs w:val="24"/>
              </w:rPr>
            </w:pPr>
            <w:r>
              <w:rPr>
                <w:rFonts w:ascii="Cambria" w:hAnsi="Cambria"/>
                <w:sz w:val="24"/>
                <w:szCs w:val="24"/>
              </w:rPr>
              <w:t>28.96</w:t>
            </w:r>
          </w:p>
        </w:tc>
        <w:tc>
          <w:tcPr>
            <w:tcW w:w="1258" w:type="dxa"/>
          </w:tcPr>
          <w:p w:rsidR="00847659" w:rsidRDefault="00847659" w:rsidP="00175925">
            <w:pPr>
              <w:jc w:val="right"/>
              <w:rPr>
                <w:rFonts w:ascii="Cambria" w:hAnsi="Cambria"/>
                <w:sz w:val="24"/>
                <w:szCs w:val="24"/>
              </w:rPr>
            </w:pPr>
            <w:r>
              <w:rPr>
                <w:rFonts w:ascii="Cambria" w:hAnsi="Cambria"/>
                <w:sz w:val="24"/>
                <w:szCs w:val="24"/>
              </w:rPr>
              <w:t>362</w:t>
            </w:r>
          </w:p>
        </w:tc>
        <w:tc>
          <w:tcPr>
            <w:tcW w:w="1472" w:type="dxa"/>
          </w:tcPr>
          <w:p w:rsidR="00847659" w:rsidRDefault="00847659" w:rsidP="00175925">
            <w:pPr>
              <w:jc w:val="right"/>
              <w:rPr>
                <w:rFonts w:ascii="Cambria" w:hAnsi="Cambria"/>
                <w:sz w:val="24"/>
                <w:szCs w:val="24"/>
              </w:rPr>
            </w:pPr>
            <w:r>
              <w:rPr>
                <w:rFonts w:ascii="Cambria" w:hAnsi="Cambria"/>
                <w:sz w:val="24"/>
                <w:szCs w:val="24"/>
              </w:rPr>
              <w:t>10,618</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10,983</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Displaced Power from Grid</w:t>
            </w:r>
          </w:p>
        </w:tc>
        <w:tc>
          <w:tcPr>
            <w:tcW w:w="1059" w:type="dxa"/>
          </w:tcPr>
          <w:p w:rsidR="00847659" w:rsidRDefault="00847659" w:rsidP="00175925">
            <w:pPr>
              <w:jc w:val="right"/>
              <w:rPr>
                <w:rFonts w:ascii="Cambria" w:hAnsi="Cambria"/>
                <w:sz w:val="24"/>
                <w:szCs w:val="24"/>
              </w:rPr>
            </w:pPr>
            <w:r>
              <w:rPr>
                <w:rFonts w:ascii="Cambria" w:hAnsi="Cambria"/>
                <w:sz w:val="24"/>
                <w:szCs w:val="24"/>
              </w:rPr>
              <w:t>0.47</w:t>
            </w:r>
          </w:p>
        </w:tc>
        <w:tc>
          <w:tcPr>
            <w:tcW w:w="1055" w:type="dxa"/>
          </w:tcPr>
          <w:p w:rsidR="00847659" w:rsidRDefault="00847659" w:rsidP="00175925">
            <w:pPr>
              <w:jc w:val="right"/>
              <w:rPr>
                <w:rFonts w:ascii="Cambria" w:hAnsi="Cambria"/>
                <w:sz w:val="24"/>
                <w:szCs w:val="24"/>
              </w:rPr>
            </w:pPr>
            <w:r>
              <w:rPr>
                <w:rFonts w:ascii="Cambria" w:hAnsi="Cambria"/>
                <w:sz w:val="24"/>
                <w:szCs w:val="24"/>
              </w:rPr>
              <w:t>0.28</w:t>
            </w:r>
          </w:p>
        </w:tc>
        <w:tc>
          <w:tcPr>
            <w:tcW w:w="1087" w:type="dxa"/>
          </w:tcPr>
          <w:p w:rsidR="00847659" w:rsidRDefault="00847659" w:rsidP="00175925">
            <w:pPr>
              <w:jc w:val="right"/>
              <w:rPr>
                <w:rFonts w:ascii="Cambria" w:hAnsi="Cambria"/>
                <w:sz w:val="24"/>
                <w:szCs w:val="24"/>
              </w:rPr>
            </w:pPr>
            <w:r>
              <w:rPr>
                <w:rFonts w:ascii="Cambria" w:hAnsi="Cambria"/>
                <w:sz w:val="24"/>
                <w:szCs w:val="24"/>
              </w:rPr>
              <w:t>0.06</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2,733</w:t>
            </w: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r>
              <w:rPr>
                <w:rFonts w:ascii="Cambria" w:hAnsi="Cambria"/>
                <w:sz w:val="24"/>
                <w:szCs w:val="24"/>
              </w:rPr>
              <w:t>2,733</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17.84</w:t>
            </w:r>
          </w:p>
        </w:tc>
        <w:tc>
          <w:tcPr>
            <w:tcW w:w="1055" w:type="dxa"/>
          </w:tcPr>
          <w:p w:rsidR="00847659" w:rsidRDefault="00847659" w:rsidP="00175925">
            <w:pPr>
              <w:jc w:val="right"/>
              <w:rPr>
                <w:rFonts w:ascii="Cambria" w:hAnsi="Cambria"/>
                <w:sz w:val="24"/>
                <w:szCs w:val="24"/>
              </w:rPr>
            </w:pPr>
            <w:r>
              <w:rPr>
                <w:rFonts w:ascii="Cambria" w:hAnsi="Cambria"/>
                <w:sz w:val="24"/>
                <w:szCs w:val="24"/>
              </w:rPr>
              <w:t>37.93</w:t>
            </w:r>
          </w:p>
        </w:tc>
        <w:tc>
          <w:tcPr>
            <w:tcW w:w="1087" w:type="dxa"/>
          </w:tcPr>
          <w:p w:rsidR="00847659" w:rsidRDefault="00847659" w:rsidP="00175925">
            <w:pPr>
              <w:jc w:val="right"/>
              <w:rPr>
                <w:rFonts w:ascii="Cambria" w:hAnsi="Cambria"/>
                <w:sz w:val="24"/>
                <w:szCs w:val="24"/>
              </w:rPr>
            </w:pPr>
            <w:r>
              <w:rPr>
                <w:rFonts w:ascii="Cambria" w:hAnsi="Cambria"/>
                <w:sz w:val="24"/>
                <w:szCs w:val="24"/>
              </w:rPr>
              <w:t>29.02</w:t>
            </w:r>
          </w:p>
        </w:tc>
        <w:tc>
          <w:tcPr>
            <w:tcW w:w="1258" w:type="dxa"/>
          </w:tcPr>
          <w:p w:rsidR="00847659" w:rsidRDefault="00847659" w:rsidP="00175925">
            <w:pPr>
              <w:jc w:val="right"/>
              <w:rPr>
                <w:rFonts w:ascii="Cambria" w:hAnsi="Cambria"/>
                <w:sz w:val="24"/>
                <w:szCs w:val="24"/>
              </w:rPr>
            </w:pPr>
            <w:r>
              <w:rPr>
                <w:rFonts w:ascii="Cambria" w:hAnsi="Cambria"/>
                <w:sz w:val="24"/>
                <w:szCs w:val="24"/>
              </w:rPr>
              <w:t>363</w:t>
            </w:r>
          </w:p>
        </w:tc>
        <w:tc>
          <w:tcPr>
            <w:tcW w:w="1472" w:type="dxa"/>
          </w:tcPr>
          <w:p w:rsidR="00847659" w:rsidRDefault="00847659" w:rsidP="00175925">
            <w:pPr>
              <w:jc w:val="right"/>
              <w:rPr>
                <w:rFonts w:ascii="Cambria" w:hAnsi="Cambria"/>
                <w:sz w:val="24"/>
                <w:szCs w:val="24"/>
              </w:rPr>
            </w:pPr>
            <w:r>
              <w:rPr>
                <w:rFonts w:ascii="Cambria" w:hAnsi="Cambria"/>
                <w:sz w:val="24"/>
                <w:szCs w:val="24"/>
              </w:rPr>
              <w:t>13,352</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13,717</w:t>
            </w:r>
          </w:p>
        </w:tc>
      </w:tr>
      <w:tr w:rsidR="00847659" w:rsidTr="00175925">
        <w:tc>
          <w:tcPr>
            <w:tcW w:w="1263" w:type="dxa"/>
          </w:tcPr>
          <w:p w:rsidR="00847659" w:rsidRPr="00A8474C" w:rsidRDefault="00847659" w:rsidP="00175925">
            <w:pPr>
              <w:rPr>
                <w:rFonts w:ascii="Cambria" w:hAnsi="Cambria"/>
                <w:b/>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Biomass Boiler</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Boiler</w:t>
            </w:r>
          </w:p>
        </w:tc>
        <w:tc>
          <w:tcPr>
            <w:tcW w:w="1059" w:type="dxa"/>
          </w:tcPr>
          <w:p w:rsidR="00847659" w:rsidRDefault="00847659" w:rsidP="00175925">
            <w:pPr>
              <w:jc w:val="right"/>
              <w:rPr>
                <w:rFonts w:ascii="Cambria" w:hAnsi="Cambria"/>
                <w:sz w:val="24"/>
                <w:szCs w:val="24"/>
              </w:rPr>
            </w:pPr>
            <w:r>
              <w:rPr>
                <w:rFonts w:ascii="Cambria" w:hAnsi="Cambria"/>
                <w:sz w:val="24"/>
                <w:szCs w:val="24"/>
              </w:rPr>
              <w:t>6.58</w:t>
            </w:r>
          </w:p>
        </w:tc>
        <w:tc>
          <w:tcPr>
            <w:tcW w:w="1055" w:type="dxa"/>
          </w:tcPr>
          <w:p w:rsidR="00847659" w:rsidRDefault="00847659" w:rsidP="00175925">
            <w:pPr>
              <w:jc w:val="right"/>
              <w:rPr>
                <w:rFonts w:ascii="Cambria" w:hAnsi="Cambria"/>
                <w:sz w:val="24"/>
                <w:szCs w:val="24"/>
              </w:rPr>
            </w:pPr>
            <w:r>
              <w:rPr>
                <w:rFonts w:ascii="Cambria" w:hAnsi="Cambria"/>
                <w:sz w:val="24"/>
                <w:szCs w:val="24"/>
              </w:rPr>
              <w:t>0.98</w:t>
            </w:r>
          </w:p>
        </w:tc>
        <w:tc>
          <w:tcPr>
            <w:tcW w:w="1087" w:type="dxa"/>
          </w:tcPr>
          <w:p w:rsidR="00847659" w:rsidRDefault="00847659" w:rsidP="00175925">
            <w:pPr>
              <w:jc w:val="right"/>
              <w:rPr>
                <w:rFonts w:ascii="Cambria" w:hAnsi="Cambria"/>
                <w:sz w:val="24"/>
                <w:szCs w:val="24"/>
              </w:rPr>
            </w:pPr>
            <w:r>
              <w:rPr>
                <w:rFonts w:ascii="Cambria" w:hAnsi="Cambria"/>
                <w:sz w:val="24"/>
                <w:szCs w:val="24"/>
              </w:rPr>
              <w:t>0.22</w:t>
            </w:r>
          </w:p>
        </w:tc>
        <w:tc>
          <w:tcPr>
            <w:tcW w:w="1258" w:type="dxa"/>
          </w:tcPr>
          <w:p w:rsidR="00847659" w:rsidRDefault="00847659" w:rsidP="00175925">
            <w:pPr>
              <w:jc w:val="right"/>
              <w:rPr>
                <w:rFonts w:ascii="Cambria" w:hAnsi="Cambria"/>
                <w:sz w:val="24"/>
                <w:szCs w:val="24"/>
              </w:rPr>
            </w:pPr>
            <w:r>
              <w:rPr>
                <w:rFonts w:ascii="Cambria" w:hAnsi="Cambria"/>
                <w:sz w:val="24"/>
                <w:szCs w:val="24"/>
              </w:rPr>
              <w:t>9</w:t>
            </w:r>
          </w:p>
        </w:tc>
        <w:tc>
          <w:tcPr>
            <w:tcW w:w="1472" w:type="dxa"/>
          </w:tcPr>
          <w:p w:rsidR="00847659" w:rsidRDefault="00847659" w:rsidP="00175925">
            <w:pPr>
              <w:jc w:val="right"/>
              <w:rPr>
                <w:rFonts w:ascii="Cambria" w:hAnsi="Cambria"/>
                <w:sz w:val="24"/>
                <w:szCs w:val="24"/>
              </w:rPr>
            </w:pPr>
            <w:r>
              <w:rPr>
                <w:rFonts w:ascii="Cambria" w:hAnsi="Cambria"/>
                <w:sz w:val="24"/>
                <w:szCs w:val="24"/>
              </w:rPr>
              <w:t>11,178</w:t>
            </w:r>
          </w:p>
        </w:tc>
        <w:tc>
          <w:tcPr>
            <w:tcW w:w="901" w:type="dxa"/>
          </w:tcPr>
          <w:p w:rsidR="00847659" w:rsidRDefault="00847659" w:rsidP="00175925">
            <w:pPr>
              <w:jc w:val="right"/>
              <w:rPr>
                <w:rFonts w:ascii="Cambria" w:hAnsi="Cambria"/>
                <w:sz w:val="24"/>
                <w:szCs w:val="24"/>
              </w:rPr>
            </w:pPr>
            <w:r>
              <w:rPr>
                <w:rFonts w:ascii="Cambria" w:hAnsi="Cambria"/>
                <w:sz w:val="24"/>
                <w:szCs w:val="24"/>
              </w:rPr>
              <w:t>0.55</w:t>
            </w:r>
          </w:p>
        </w:tc>
        <w:tc>
          <w:tcPr>
            <w:tcW w:w="1255" w:type="dxa"/>
          </w:tcPr>
          <w:p w:rsidR="00847659" w:rsidRDefault="00847659" w:rsidP="00175925">
            <w:pPr>
              <w:jc w:val="right"/>
              <w:rPr>
                <w:rFonts w:ascii="Cambria" w:hAnsi="Cambria"/>
                <w:sz w:val="24"/>
                <w:szCs w:val="24"/>
              </w:rPr>
            </w:pPr>
            <w:r>
              <w:rPr>
                <w:rFonts w:ascii="Cambria" w:hAnsi="Cambria"/>
                <w:sz w:val="24"/>
                <w:szCs w:val="24"/>
              </w:rPr>
              <w:t>11,189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lastRenderedPageBreak/>
              <w:t>Process &amp; Transport</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Chipping</w:t>
            </w:r>
          </w:p>
        </w:tc>
        <w:tc>
          <w:tcPr>
            <w:tcW w:w="1059" w:type="dxa"/>
          </w:tcPr>
          <w:p w:rsidR="00847659" w:rsidRDefault="00847659" w:rsidP="00175925">
            <w:pPr>
              <w:jc w:val="right"/>
              <w:rPr>
                <w:rFonts w:ascii="Cambria" w:hAnsi="Cambria"/>
                <w:sz w:val="24"/>
                <w:szCs w:val="24"/>
              </w:rPr>
            </w:pPr>
            <w:r>
              <w:rPr>
                <w:rFonts w:ascii="Cambria" w:hAnsi="Cambria"/>
                <w:sz w:val="24"/>
                <w:szCs w:val="24"/>
              </w:rPr>
              <w:t>0.43</w:t>
            </w:r>
          </w:p>
        </w:tc>
        <w:tc>
          <w:tcPr>
            <w:tcW w:w="1055" w:type="dxa"/>
          </w:tcPr>
          <w:p w:rsidR="00847659" w:rsidRDefault="00847659" w:rsidP="00175925">
            <w:pPr>
              <w:jc w:val="right"/>
              <w:rPr>
                <w:rFonts w:ascii="Cambria" w:hAnsi="Cambria"/>
                <w:sz w:val="24"/>
                <w:szCs w:val="24"/>
              </w:rPr>
            </w:pPr>
            <w:r>
              <w:rPr>
                <w:rFonts w:ascii="Cambria" w:hAnsi="Cambria"/>
                <w:sz w:val="24"/>
                <w:szCs w:val="24"/>
              </w:rPr>
              <w:t>0.52</w:t>
            </w:r>
          </w:p>
        </w:tc>
        <w:tc>
          <w:tcPr>
            <w:tcW w:w="1087" w:type="dxa"/>
          </w:tcPr>
          <w:p w:rsidR="00847659" w:rsidRDefault="00847659" w:rsidP="00175925">
            <w:pPr>
              <w:jc w:val="right"/>
              <w:rPr>
                <w:rFonts w:ascii="Cambria" w:hAnsi="Cambria"/>
                <w:sz w:val="24"/>
                <w:szCs w:val="24"/>
              </w:rPr>
            </w:pPr>
            <w:r>
              <w:rPr>
                <w:rFonts w:ascii="Cambria" w:hAnsi="Cambria"/>
                <w:sz w:val="24"/>
                <w:szCs w:val="24"/>
              </w:rPr>
              <w:t>0.02</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73</w:t>
            </w:r>
          </w:p>
        </w:tc>
        <w:tc>
          <w:tcPr>
            <w:tcW w:w="901" w:type="dxa"/>
          </w:tcPr>
          <w:p w:rsidR="00847659" w:rsidRDefault="00847659" w:rsidP="00175925">
            <w:pPr>
              <w:jc w:val="right"/>
              <w:rPr>
                <w:rFonts w:ascii="Cambria" w:hAnsi="Cambria"/>
                <w:sz w:val="24"/>
                <w:szCs w:val="24"/>
              </w:rPr>
            </w:pPr>
            <w:r>
              <w:rPr>
                <w:rFonts w:ascii="Cambria" w:hAnsi="Cambria"/>
                <w:sz w:val="24"/>
                <w:szCs w:val="24"/>
              </w:rPr>
              <w:t>0.04</w:t>
            </w:r>
          </w:p>
        </w:tc>
        <w:tc>
          <w:tcPr>
            <w:tcW w:w="1255" w:type="dxa"/>
          </w:tcPr>
          <w:p w:rsidR="00847659" w:rsidRDefault="00847659" w:rsidP="00175925">
            <w:pPr>
              <w:jc w:val="right"/>
              <w:rPr>
                <w:rFonts w:ascii="Cambria" w:hAnsi="Cambria"/>
                <w:sz w:val="24"/>
                <w:szCs w:val="24"/>
              </w:rPr>
            </w:pPr>
            <w:r>
              <w:rPr>
                <w:rFonts w:ascii="Cambria" w:hAnsi="Cambria"/>
                <w:sz w:val="24"/>
                <w:szCs w:val="24"/>
              </w:rPr>
              <w:t>74</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Loading</w:t>
            </w:r>
          </w:p>
        </w:tc>
        <w:tc>
          <w:tcPr>
            <w:tcW w:w="1059" w:type="dxa"/>
          </w:tcPr>
          <w:p w:rsidR="00847659" w:rsidRDefault="00847659" w:rsidP="00175925">
            <w:pPr>
              <w:jc w:val="right"/>
              <w:rPr>
                <w:rFonts w:ascii="Cambria" w:hAnsi="Cambria"/>
                <w:sz w:val="24"/>
                <w:szCs w:val="24"/>
              </w:rPr>
            </w:pPr>
            <w:r>
              <w:rPr>
                <w:rFonts w:ascii="Cambria" w:hAnsi="Cambria"/>
                <w:sz w:val="24"/>
                <w:szCs w:val="24"/>
              </w:rPr>
              <w:t>0.31</w:t>
            </w:r>
          </w:p>
        </w:tc>
        <w:tc>
          <w:tcPr>
            <w:tcW w:w="1055" w:type="dxa"/>
          </w:tcPr>
          <w:p w:rsidR="00847659" w:rsidRDefault="00847659" w:rsidP="00175925">
            <w:pPr>
              <w:jc w:val="right"/>
              <w:rPr>
                <w:rFonts w:ascii="Cambria" w:hAnsi="Cambria"/>
                <w:sz w:val="24"/>
                <w:szCs w:val="24"/>
              </w:rPr>
            </w:pPr>
            <w:r>
              <w:rPr>
                <w:rFonts w:ascii="Cambria" w:hAnsi="Cambria"/>
                <w:sz w:val="24"/>
                <w:szCs w:val="24"/>
              </w:rPr>
              <w:t>0.01</w:t>
            </w:r>
          </w:p>
        </w:tc>
        <w:tc>
          <w:tcPr>
            <w:tcW w:w="1087" w:type="dxa"/>
          </w:tcPr>
          <w:p w:rsidR="00847659" w:rsidRDefault="00847659" w:rsidP="00175925">
            <w:pPr>
              <w:jc w:val="right"/>
              <w:rPr>
                <w:rFonts w:ascii="Cambria" w:hAnsi="Cambria"/>
                <w:sz w:val="24"/>
                <w:szCs w:val="24"/>
              </w:rPr>
            </w:pPr>
            <w:r>
              <w:rPr>
                <w:rFonts w:ascii="Cambria" w:hAnsi="Cambria"/>
                <w:sz w:val="24"/>
                <w:szCs w:val="24"/>
              </w:rPr>
              <w:t>0.01</w:t>
            </w:r>
          </w:p>
        </w:tc>
        <w:tc>
          <w:tcPr>
            <w:tcW w:w="1258" w:type="dxa"/>
          </w:tcPr>
          <w:p w:rsidR="00847659" w:rsidRDefault="00847659" w:rsidP="00175925">
            <w:pPr>
              <w:jc w:val="right"/>
              <w:rPr>
                <w:rFonts w:ascii="Cambria" w:hAnsi="Cambria"/>
                <w:sz w:val="24"/>
                <w:szCs w:val="24"/>
              </w:rPr>
            </w:pPr>
            <w:r>
              <w:rPr>
                <w:rFonts w:ascii="Cambria" w:hAnsi="Cambria"/>
                <w:sz w:val="24"/>
                <w:szCs w:val="24"/>
              </w:rPr>
              <w:t>0</w:t>
            </w:r>
          </w:p>
        </w:tc>
        <w:tc>
          <w:tcPr>
            <w:tcW w:w="1472" w:type="dxa"/>
          </w:tcPr>
          <w:p w:rsidR="00847659" w:rsidRDefault="00847659" w:rsidP="00175925">
            <w:pPr>
              <w:jc w:val="right"/>
              <w:rPr>
                <w:rFonts w:ascii="Cambria" w:hAnsi="Cambria"/>
                <w:sz w:val="24"/>
                <w:szCs w:val="24"/>
              </w:rPr>
            </w:pPr>
            <w:r>
              <w:rPr>
                <w:rFonts w:ascii="Cambria" w:hAnsi="Cambria"/>
                <w:sz w:val="24"/>
                <w:szCs w:val="24"/>
              </w:rPr>
              <w:t>19</w:t>
            </w:r>
          </w:p>
        </w:tc>
        <w:tc>
          <w:tcPr>
            <w:tcW w:w="901" w:type="dxa"/>
          </w:tcPr>
          <w:p w:rsidR="00847659" w:rsidRDefault="00847659" w:rsidP="00175925">
            <w:pPr>
              <w:jc w:val="right"/>
              <w:rPr>
                <w:rFonts w:ascii="Cambria" w:hAnsi="Cambria"/>
                <w:sz w:val="24"/>
                <w:szCs w:val="24"/>
              </w:rPr>
            </w:pPr>
            <w:r>
              <w:rPr>
                <w:rFonts w:ascii="Cambria" w:hAnsi="Cambria"/>
                <w:sz w:val="24"/>
                <w:szCs w:val="24"/>
              </w:rPr>
              <w:t>0.03</w:t>
            </w:r>
          </w:p>
        </w:tc>
        <w:tc>
          <w:tcPr>
            <w:tcW w:w="1255" w:type="dxa"/>
          </w:tcPr>
          <w:p w:rsidR="00847659" w:rsidRDefault="00847659" w:rsidP="00175925">
            <w:pPr>
              <w:jc w:val="right"/>
              <w:rPr>
                <w:rFonts w:ascii="Cambria" w:hAnsi="Cambria"/>
                <w:sz w:val="24"/>
                <w:szCs w:val="24"/>
              </w:rPr>
            </w:pPr>
            <w:r>
              <w:rPr>
                <w:rFonts w:ascii="Cambria" w:hAnsi="Cambria"/>
                <w:sz w:val="24"/>
                <w:szCs w:val="24"/>
              </w:rPr>
              <w:t>19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 Van Transport</w:t>
            </w:r>
          </w:p>
        </w:tc>
        <w:tc>
          <w:tcPr>
            <w:tcW w:w="1059" w:type="dxa"/>
          </w:tcPr>
          <w:p w:rsidR="00847659" w:rsidRDefault="00847659" w:rsidP="00175925">
            <w:pPr>
              <w:jc w:val="right"/>
              <w:rPr>
                <w:rFonts w:ascii="Cambria" w:hAnsi="Cambria"/>
                <w:sz w:val="24"/>
                <w:szCs w:val="24"/>
              </w:rPr>
            </w:pPr>
            <w:r>
              <w:rPr>
                <w:rFonts w:ascii="Cambria" w:hAnsi="Cambria"/>
                <w:sz w:val="24"/>
                <w:szCs w:val="24"/>
              </w:rPr>
              <w:t>0.91</w:t>
            </w:r>
          </w:p>
        </w:tc>
        <w:tc>
          <w:tcPr>
            <w:tcW w:w="1055" w:type="dxa"/>
          </w:tcPr>
          <w:p w:rsidR="00847659" w:rsidRDefault="00847659" w:rsidP="00175925">
            <w:pPr>
              <w:jc w:val="right"/>
              <w:rPr>
                <w:rFonts w:ascii="Cambria" w:hAnsi="Cambria"/>
                <w:sz w:val="24"/>
                <w:szCs w:val="24"/>
              </w:rPr>
            </w:pPr>
            <w:r>
              <w:rPr>
                <w:rFonts w:ascii="Cambria" w:hAnsi="Cambria"/>
                <w:sz w:val="24"/>
                <w:szCs w:val="24"/>
              </w:rPr>
              <w:t>0.02</w:t>
            </w:r>
          </w:p>
        </w:tc>
        <w:tc>
          <w:tcPr>
            <w:tcW w:w="1087" w:type="dxa"/>
          </w:tcPr>
          <w:p w:rsidR="00847659" w:rsidRDefault="00847659" w:rsidP="00175925">
            <w:pPr>
              <w:jc w:val="right"/>
              <w:rPr>
                <w:rFonts w:ascii="Cambria" w:hAnsi="Cambria"/>
                <w:sz w:val="24"/>
                <w:szCs w:val="24"/>
              </w:rPr>
            </w:pPr>
            <w:r>
              <w:rPr>
                <w:rFonts w:ascii="Cambria" w:hAnsi="Cambria"/>
                <w:sz w:val="24"/>
                <w:szCs w:val="24"/>
              </w:rPr>
              <w:t>0.03</w:t>
            </w:r>
          </w:p>
        </w:tc>
        <w:tc>
          <w:tcPr>
            <w:tcW w:w="1258" w:type="dxa"/>
          </w:tcPr>
          <w:p w:rsidR="00847659" w:rsidRDefault="00847659" w:rsidP="00175925">
            <w:pPr>
              <w:jc w:val="right"/>
              <w:rPr>
                <w:rFonts w:ascii="Cambria" w:hAnsi="Cambria"/>
                <w:sz w:val="24"/>
                <w:szCs w:val="24"/>
              </w:rPr>
            </w:pPr>
            <w:r>
              <w:rPr>
                <w:rFonts w:ascii="Cambria" w:hAnsi="Cambria"/>
                <w:sz w:val="24"/>
                <w:szCs w:val="24"/>
              </w:rPr>
              <w:t>2</w:t>
            </w:r>
          </w:p>
        </w:tc>
        <w:tc>
          <w:tcPr>
            <w:tcW w:w="1472" w:type="dxa"/>
          </w:tcPr>
          <w:p w:rsidR="00847659" w:rsidRDefault="00847659" w:rsidP="00175925">
            <w:pPr>
              <w:jc w:val="right"/>
              <w:rPr>
                <w:rFonts w:ascii="Cambria" w:hAnsi="Cambria"/>
                <w:sz w:val="24"/>
                <w:szCs w:val="24"/>
              </w:rPr>
            </w:pPr>
            <w:r>
              <w:rPr>
                <w:rFonts w:ascii="Cambria" w:hAnsi="Cambria"/>
                <w:sz w:val="24"/>
                <w:szCs w:val="24"/>
              </w:rPr>
              <w:t>118</w:t>
            </w:r>
          </w:p>
        </w:tc>
        <w:tc>
          <w:tcPr>
            <w:tcW w:w="901" w:type="dxa"/>
          </w:tcPr>
          <w:p w:rsidR="00847659" w:rsidRDefault="00847659" w:rsidP="00175925">
            <w:pPr>
              <w:jc w:val="right"/>
              <w:rPr>
                <w:rFonts w:ascii="Cambria" w:hAnsi="Cambria"/>
                <w:sz w:val="24"/>
                <w:szCs w:val="24"/>
              </w:rPr>
            </w:pPr>
            <w:r>
              <w:rPr>
                <w:rFonts w:ascii="Cambria" w:hAnsi="Cambria"/>
                <w:sz w:val="24"/>
                <w:szCs w:val="24"/>
              </w:rPr>
              <w:t>0.05</w:t>
            </w:r>
          </w:p>
        </w:tc>
        <w:tc>
          <w:tcPr>
            <w:tcW w:w="1255" w:type="dxa"/>
          </w:tcPr>
          <w:p w:rsidR="00847659" w:rsidRDefault="00847659" w:rsidP="00175925">
            <w:pPr>
              <w:jc w:val="right"/>
              <w:rPr>
                <w:rFonts w:ascii="Cambria" w:hAnsi="Cambria"/>
                <w:sz w:val="24"/>
                <w:szCs w:val="24"/>
              </w:rPr>
            </w:pPr>
            <w:r>
              <w:rPr>
                <w:rFonts w:ascii="Cambria" w:hAnsi="Cambria"/>
                <w:sz w:val="24"/>
                <w:szCs w:val="24"/>
              </w:rPr>
              <w:t>119</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8.23</w:t>
            </w:r>
          </w:p>
        </w:tc>
        <w:tc>
          <w:tcPr>
            <w:tcW w:w="1055" w:type="dxa"/>
          </w:tcPr>
          <w:p w:rsidR="00847659" w:rsidRDefault="00847659" w:rsidP="00175925">
            <w:pPr>
              <w:jc w:val="right"/>
              <w:rPr>
                <w:rFonts w:ascii="Cambria" w:hAnsi="Cambria"/>
                <w:sz w:val="24"/>
                <w:szCs w:val="24"/>
              </w:rPr>
            </w:pPr>
            <w:r>
              <w:rPr>
                <w:rFonts w:ascii="Cambria" w:hAnsi="Cambria"/>
                <w:sz w:val="24"/>
                <w:szCs w:val="24"/>
              </w:rPr>
              <w:t>1.53</w:t>
            </w:r>
          </w:p>
        </w:tc>
        <w:tc>
          <w:tcPr>
            <w:tcW w:w="1087" w:type="dxa"/>
          </w:tcPr>
          <w:p w:rsidR="00847659" w:rsidRDefault="00847659" w:rsidP="00175925">
            <w:pPr>
              <w:jc w:val="right"/>
              <w:rPr>
                <w:rFonts w:ascii="Cambria" w:hAnsi="Cambria"/>
                <w:sz w:val="24"/>
                <w:szCs w:val="24"/>
              </w:rPr>
            </w:pPr>
            <w:r>
              <w:rPr>
                <w:rFonts w:ascii="Cambria" w:hAnsi="Cambria"/>
                <w:sz w:val="24"/>
                <w:szCs w:val="24"/>
              </w:rPr>
              <w:t>0.28</w:t>
            </w:r>
          </w:p>
        </w:tc>
        <w:tc>
          <w:tcPr>
            <w:tcW w:w="1258" w:type="dxa"/>
          </w:tcPr>
          <w:p w:rsidR="00847659" w:rsidRDefault="00847659" w:rsidP="00175925">
            <w:pPr>
              <w:jc w:val="right"/>
              <w:rPr>
                <w:rFonts w:ascii="Cambria" w:hAnsi="Cambria"/>
                <w:sz w:val="24"/>
                <w:szCs w:val="24"/>
              </w:rPr>
            </w:pPr>
            <w:r>
              <w:rPr>
                <w:rFonts w:ascii="Cambria" w:hAnsi="Cambria"/>
                <w:sz w:val="24"/>
                <w:szCs w:val="24"/>
              </w:rPr>
              <w:t>12</w:t>
            </w:r>
          </w:p>
        </w:tc>
        <w:tc>
          <w:tcPr>
            <w:tcW w:w="1472" w:type="dxa"/>
          </w:tcPr>
          <w:p w:rsidR="00847659" w:rsidRDefault="00847659" w:rsidP="00175925">
            <w:pPr>
              <w:jc w:val="right"/>
              <w:rPr>
                <w:rFonts w:ascii="Cambria" w:hAnsi="Cambria"/>
                <w:sz w:val="24"/>
                <w:szCs w:val="24"/>
              </w:rPr>
            </w:pPr>
            <w:r>
              <w:rPr>
                <w:rFonts w:ascii="Cambria" w:hAnsi="Cambria"/>
                <w:sz w:val="24"/>
                <w:szCs w:val="24"/>
              </w:rPr>
              <w:t>11,388</w:t>
            </w:r>
          </w:p>
        </w:tc>
        <w:tc>
          <w:tcPr>
            <w:tcW w:w="901" w:type="dxa"/>
          </w:tcPr>
          <w:p w:rsidR="00847659" w:rsidRDefault="00847659" w:rsidP="00175925">
            <w:pPr>
              <w:jc w:val="right"/>
              <w:rPr>
                <w:rFonts w:ascii="Cambria" w:hAnsi="Cambria"/>
                <w:sz w:val="24"/>
                <w:szCs w:val="24"/>
              </w:rPr>
            </w:pPr>
            <w:r>
              <w:rPr>
                <w:rFonts w:ascii="Cambria" w:hAnsi="Cambria"/>
                <w:sz w:val="24"/>
                <w:szCs w:val="24"/>
              </w:rPr>
              <w:t>0.70</w:t>
            </w:r>
          </w:p>
        </w:tc>
        <w:tc>
          <w:tcPr>
            <w:tcW w:w="1255" w:type="dxa"/>
          </w:tcPr>
          <w:p w:rsidR="00847659" w:rsidRDefault="00847659" w:rsidP="00175925">
            <w:pPr>
              <w:jc w:val="right"/>
              <w:rPr>
                <w:rFonts w:ascii="Cambria" w:hAnsi="Cambria"/>
                <w:sz w:val="24"/>
                <w:szCs w:val="24"/>
              </w:rPr>
            </w:pPr>
            <w:r>
              <w:rPr>
                <w:rFonts w:ascii="Cambria" w:hAnsi="Cambria"/>
                <w:sz w:val="24"/>
                <w:szCs w:val="24"/>
              </w:rPr>
              <w:t>11,402</w:t>
            </w: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Emissions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9.62</w:t>
            </w:r>
          </w:p>
        </w:tc>
        <w:tc>
          <w:tcPr>
            <w:tcW w:w="1055" w:type="dxa"/>
          </w:tcPr>
          <w:p w:rsidR="00847659" w:rsidRDefault="00847659" w:rsidP="00175925">
            <w:pPr>
              <w:jc w:val="right"/>
              <w:rPr>
                <w:rFonts w:ascii="Cambria" w:hAnsi="Cambria"/>
                <w:sz w:val="24"/>
                <w:szCs w:val="24"/>
              </w:rPr>
            </w:pPr>
            <w:r>
              <w:rPr>
                <w:rFonts w:ascii="Cambria" w:hAnsi="Cambria"/>
                <w:sz w:val="24"/>
                <w:szCs w:val="24"/>
              </w:rPr>
              <w:t>36.39</w:t>
            </w:r>
          </w:p>
        </w:tc>
        <w:tc>
          <w:tcPr>
            <w:tcW w:w="1087" w:type="dxa"/>
          </w:tcPr>
          <w:p w:rsidR="00847659" w:rsidRDefault="00847659" w:rsidP="00175925">
            <w:pPr>
              <w:jc w:val="right"/>
              <w:rPr>
                <w:rFonts w:ascii="Cambria" w:hAnsi="Cambria"/>
                <w:sz w:val="24"/>
                <w:szCs w:val="24"/>
              </w:rPr>
            </w:pPr>
            <w:r>
              <w:rPr>
                <w:rFonts w:ascii="Cambria" w:hAnsi="Cambria"/>
                <w:sz w:val="24"/>
                <w:szCs w:val="24"/>
              </w:rPr>
              <w:t>28.74</w:t>
            </w:r>
          </w:p>
        </w:tc>
        <w:tc>
          <w:tcPr>
            <w:tcW w:w="1258" w:type="dxa"/>
          </w:tcPr>
          <w:p w:rsidR="00847659" w:rsidRDefault="00847659" w:rsidP="00175925">
            <w:pPr>
              <w:jc w:val="right"/>
              <w:rPr>
                <w:rFonts w:ascii="Cambria" w:hAnsi="Cambria"/>
                <w:sz w:val="24"/>
                <w:szCs w:val="24"/>
              </w:rPr>
            </w:pPr>
            <w:r>
              <w:rPr>
                <w:rFonts w:ascii="Cambria" w:hAnsi="Cambria"/>
                <w:sz w:val="24"/>
                <w:szCs w:val="24"/>
              </w:rPr>
              <w:t>350</w:t>
            </w:r>
          </w:p>
        </w:tc>
        <w:tc>
          <w:tcPr>
            <w:tcW w:w="1472" w:type="dxa"/>
          </w:tcPr>
          <w:p w:rsidR="00847659" w:rsidRDefault="00847659" w:rsidP="00175925">
            <w:pPr>
              <w:jc w:val="right"/>
              <w:rPr>
                <w:rFonts w:ascii="Cambria" w:hAnsi="Cambria"/>
                <w:sz w:val="24"/>
                <w:szCs w:val="24"/>
              </w:rPr>
            </w:pPr>
            <w:r>
              <w:rPr>
                <w:rFonts w:ascii="Cambria" w:hAnsi="Cambria"/>
                <w:sz w:val="24"/>
                <w:szCs w:val="24"/>
              </w:rPr>
              <w:t>1,965</w:t>
            </w:r>
          </w:p>
        </w:tc>
        <w:tc>
          <w:tcPr>
            <w:tcW w:w="901" w:type="dxa"/>
          </w:tcPr>
          <w:p w:rsidR="00847659" w:rsidRDefault="00847659" w:rsidP="00175925">
            <w:pPr>
              <w:jc w:val="right"/>
              <w:rPr>
                <w:rFonts w:ascii="Cambria" w:hAnsi="Cambria"/>
                <w:sz w:val="24"/>
                <w:szCs w:val="24"/>
              </w:rPr>
            </w:pPr>
            <w:r>
              <w:rPr>
                <w:rFonts w:ascii="Cambria" w:hAnsi="Cambria"/>
                <w:sz w:val="24"/>
                <w:szCs w:val="24"/>
              </w:rPr>
              <w:t>16.7</w:t>
            </w:r>
          </w:p>
        </w:tc>
        <w:tc>
          <w:tcPr>
            <w:tcW w:w="1255" w:type="dxa"/>
          </w:tcPr>
          <w:p w:rsidR="00847659" w:rsidRDefault="00847659" w:rsidP="00175925">
            <w:pPr>
              <w:jc w:val="right"/>
              <w:rPr>
                <w:rFonts w:ascii="Cambria" w:hAnsi="Cambria"/>
                <w:sz w:val="24"/>
                <w:szCs w:val="24"/>
              </w:rPr>
            </w:pPr>
            <w:r>
              <w:rPr>
                <w:rFonts w:ascii="Cambria" w:hAnsi="Cambria"/>
                <w:sz w:val="24"/>
                <w:szCs w:val="24"/>
              </w:rPr>
              <w:t>2,315</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54%</w:t>
            </w:r>
          </w:p>
        </w:tc>
        <w:tc>
          <w:tcPr>
            <w:tcW w:w="1055" w:type="dxa"/>
          </w:tcPr>
          <w:p w:rsidR="00847659" w:rsidRDefault="00847659" w:rsidP="00175925">
            <w:pPr>
              <w:jc w:val="right"/>
              <w:rPr>
                <w:rFonts w:ascii="Cambria" w:hAnsi="Cambria"/>
                <w:sz w:val="24"/>
                <w:szCs w:val="24"/>
              </w:rPr>
            </w:pPr>
            <w:r>
              <w:rPr>
                <w:rFonts w:ascii="Cambria" w:hAnsi="Cambria"/>
                <w:sz w:val="24"/>
                <w:szCs w:val="24"/>
              </w:rPr>
              <w:t>96%</w:t>
            </w:r>
          </w:p>
        </w:tc>
        <w:tc>
          <w:tcPr>
            <w:tcW w:w="1087" w:type="dxa"/>
          </w:tcPr>
          <w:p w:rsidR="00847659" w:rsidRDefault="00847659" w:rsidP="00175925">
            <w:pPr>
              <w:jc w:val="right"/>
              <w:rPr>
                <w:rFonts w:ascii="Cambria" w:hAnsi="Cambria"/>
                <w:sz w:val="24"/>
                <w:szCs w:val="24"/>
              </w:rPr>
            </w:pPr>
            <w:r>
              <w:rPr>
                <w:rFonts w:ascii="Cambria" w:hAnsi="Cambria"/>
                <w:sz w:val="24"/>
                <w:szCs w:val="24"/>
              </w:rPr>
              <w:t>99%</w:t>
            </w:r>
          </w:p>
        </w:tc>
        <w:tc>
          <w:tcPr>
            <w:tcW w:w="1258" w:type="dxa"/>
          </w:tcPr>
          <w:p w:rsidR="00847659" w:rsidRDefault="00847659" w:rsidP="00175925">
            <w:pPr>
              <w:jc w:val="right"/>
              <w:rPr>
                <w:rFonts w:ascii="Cambria" w:hAnsi="Cambria"/>
                <w:sz w:val="24"/>
                <w:szCs w:val="24"/>
              </w:rPr>
            </w:pPr>
            <w:r>
              <w:rPr>
                <w:rFonts w:ascii="Cambria" w:hAnsi="Cambria"/>
                <w:sz w:val="24"/>
                <w:szCs w:val="24"/>
              </w:rPr>
              <w:t>97%</w:t>
            </w:r>
          </w:p>
        </w:tc>
        <w:tc>
          <w:tcPr>
            <w:tcW w:w="1472" w:type="dxa"/>
          </w:tcPr>
          <w:p w:rsidR="00847659" w:rsidRDefault="00847659" w:rsidP="00175925">
            <w:pPr>
              <w:jc w:val="right"/>
              <w:rPr>
                <w:rFonts w:ascii="Cambria" w:hAnsi="Cambria"/>
                <w:sz w:val="24"/>
                <w:szCs w:val="24"/>
              </w:rPr>
            </w:pPr>
            <w:r>
              <w:rPr>
                <w:rFonts w:ascii="Cambria" w:hAnsi="Cambria"/>
                <w:sz w:val="24"/>
                <w:szCs w:val="24"/>
              </w:rPr>
              <w:t>15%</w:t>
            </w:r>
          </w:p>
        </w:tc>
        <w:tc>
          <w:tcPr>
            <w:tcW w:w="901" w:type="dxa"/>
          </w:tcPr>
          <w:p w:rsidR="00847659" w:rsidRDefault="00847659" w:rsidP="00175925">
            <w:pPr>
              <w:jc w:val="right"/>
              <w:rPr>
                <w:rFonts w:ascii="Cambria" w:hAnsi="Cambria"/>
                <w:sz w:val="24"/>
                <w:szCs w:val="24"/>
              </w:rPr>
            </w:pPr>
            <w:r>
              <w:rPr>
                <w:rFonts w:ascii="Cambria" w:hAnsi="Cambria"/>
                <w:sz w:val="24"/>
                <w:szCs w:val="24"/>
              </w:rPr>
              <w:t>96%</w:t>
            </w:r>
          </w:p>
        </w:tc>
        <w:tc>
          <w:tcPr>
            <w:tcW w:w="1255" w:type="dxa"/>
          </w:tcPr>
          <w:p w:rsidR="00847659" w:rsidRDefault="00847659" w:rsidP="00175925">
            <w:pPr>
              <w:jc w:val="right"/>
              <w:rPr>
                <w:rFonts w:ascii="Cambria" w:hAnsi="Cambria"/>
                <w:sz w:val="24"/>
                <w:szCs w:val="24"/>
              </w:rPr>
            </w:pPr>
            <w:r>
              <w:rPr>
                <w:rFonts w:ascii="Cambria" w:hAnsi="Cambria"/>
                <w:sz w:val="24"/>
                <w:szCs w:val="24"/>
              </w:rPr>
              <w:t>17%</w:t>
            </w:r>
          </w:p>
        </w:tc>
      </w:tr>
    </w:tbl>
    <w:p w:rsidR="00847659" w:rsidRDefault="00847659" w:rsidP="00847659">
      <w:pPr>
        <w:rPr>
          <w:rFonts w:ascii="Cambria" w:hAnsi="Cambria"/>
          <w:sz w:val="24"/>
          <w:szCs w:val="24"/>
        </w:rPr>
      </w:pPr>
    </w:p>
    <w:p w:rsidR="00847659" w:rsidRDefault="00847659" w:rsidP="0084765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847659" w:rsidRDefault="00847659" w:rsidP="0084765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847659" w:rsidRDefault="00847659" w:rsidP="00847659">
      <w:pPr>
        <w:rPr>
          <w:rFonts w:ascii="Cambria" w:hAnsi="Cambria"/>
          <w:sz w:val="24"/>
          <w:szCs w:val="24"/>
        </w:rPr>
      </w:pPr>
      <w:r>
        <w:rPr>
          <w:rFonts w:ascii="Cambria" w:hAnsi="Cambria"/>
          <w:sz w:val="24"/>
          <w:szCs w:val="24"/>
        </w:rPr>
        <w:t>For the existing 600 MW operating powerplant industry, consuming 4.8 million bone dry tons (BDT)/year</w:t>
      </w:r>
      <w:r w:rsidR="009953FD">
        <w:rPr>
          <w:rFonts w:ascii="Cambria" w:hAnsi="Cambria"/>
          <w:sz w:val="24"/>
          <w:szCs w:val="24"/>
        </w:rPr>
        <w:t>, Springsteen’s results were</w:t>
      </w:r>
      <w:r>
        <w:rPr>
          <w:rFonts w:ascii="Cambria" w:hAnsi="Cambria"/>
          <w:sz w:val="24"/>
          <w:szCs w:val="24"/>
        </w:rPr>
        <w:t>:</w:t>
      </w:r>
    </w:p>
    <w:p w:rsidR="00847659" w:rsidRDefault="009247FC" w:rsidP="00847659">
      <w:pPr>
        <w:rPr>
          <w:rFonts w:ascii="Cambria" w:hAnsi="Cambria"/>
          <w:sz w:val="24"/>
          <w:szCs w:val="24"/>
        </w:rPr>
      </w:pPr>
      <w:r>
        <w:rPr>
          <w:rFonts w:ascii="Cambria" w:hAnsi="Cambria"/>
          <w:sz w:val="24"/>
          <w:szCs w:val="24"/>
        </w:rPr>
        <w:t>2,315 tons net CO2e</w:t>
      </w:r>
      <w:r w:rsidR="00847659">
        <w:rPr>
          <w:rFonts w:ascii="Cambria" w:hAnsi="Cambria"/>
          <w:sz w:val="24"/>
          <w:szCs w:val="24"/>
        </w:rPr>
        <w:t xml:space="preserve"> </w:t>
      </w:r>
      <w:r w:rsidR="009953FD">
        <w:rPr>
          <w:rFonts w:ascii="Cambria" w:hAnsi="Cambria"/>
          <w:sz w:val="24"/>
          <w:szCs w:val="24"/>
        </w:rPr>
        <w:t xml:space="preserve">annual </w:t>
      </w:r>
      <w:r w:rsidR="00847659">
        <w:rPr>
          <w:rFonts w:ascii="Cambria" w:hAnsi="Cambria"/>
          <w:sz w:val="24"/>
          <w:szCs w:val="24"/>
        </w:rPr>
        <w:t>reduction/</w:t>
      </w:r>
      <w:r>
        <w:rPr>
          <w:rFonts w:ascii="Cambria" w:hAnsi="Cambria"/>
          <w:sz w:val="24"/>
          <w:szCs w:val="24"/>
        </w:rPr>
        <w:t xml:space="preserve">6,096 </w:t>
      </w:r>
      <w:r w:rsidR="00847659">
        <w:rPr>
          <w:rFonts w:ascii="Cambria" w:hAnsi="Cambria"/>
          <w:sz w:val="24"/>
          <w:szCs w:val="24"/>
        </w:rPr>
        <w:t>BDT X 4.8 million BDT = 1.8 million tons reduction X $11/ton on offset cap-and-trade market = $19.8 million</w:t>
      </w:r>
    </w:p>
    <w:p w:rsidR="00847659" w:rsidRDefault="00847659" w:rsidP="00847659">
      <w:pPr>
        <w:rPr>
          <w:rFonts w:ascii="Cambria" w:hAnsi="Cambria"/>
          <w:sz w:val="24"/>
          <w:szCs w:val="24"/>
        </w:rPr>
      </w:pPr>
      <w:r>
        <w:rPr>
          <w:rFonts w:ascii="Cambria" w:hAnsi="Cambria"/>
          <w:sz w:val="24"/>
          <w:szCs w:val="24"/>
        </w:rPr>
        <w:t xml:space="preserve">36.39 tons of particulate matter </w:t>
      </w:r>
      <w:r w:rsidR="009953FD">
        <w:rPr>
          <w:rFonts w:ascii="Cambria" w:hAnsi="Cambria"/>
          <w:sz w:val="24"/>
          <w:szCs w:val="24"/>
        </w:rPr>
        <w:t xml:space="preserve">annual </w:t>
      </w:r>
      <w:r>
        <w:rPr>
          <w:rFonts w:ascii="Cambria" w:hAnsi="Cambria"/>
          <w:sz w:val="24"/>
          <w:szCs w:val="24"/>
        </w:rPr>
        <w:t>reduction/6,096 BDT X 4.8 million BDT = 28,654 tons reduction X $2,500/ton =$71.6 million.  Note the $2,500/ton figure comes from Morris, 1999.  The Carl Moyer Program today values PM2.5 at up to $16,000/ton.</w:t>
      </w:r>
    </w:p>
    <w:p w:rsidR="00847659" w:rsidRDefault="00847659" w:rsidP="00847659">
      <w:pPr>
        <w:rPr>
          <w:rFonts w:ascii="Cambria" w:hAnsi="Cambria"/>
          <w:sz w:val="24"/>
          <w:szCs w:val="24"/>
        </w:rPr>
      </w:pPr>
    </w:p>
    <w:p w:rsidR="00847659" w:rsidRPr="006D1E39" w:rsidRDefault="00847659" w:rsidP="00847659">
      <w:pPr>
        <w:rPr>
          <w:rFonts w:ascii="Cambria" w:hAnsi="Cambria"/>
          <w:sz w:val="24"/>
          <w:szCs w:val="24"/>
        </w:rPr>
      </w:pPr>
      <w:r w:rsidRPr="00C218CF">
        <w:rPr>
          <w:rFonts w:ascii="Cambria" w:hAnsi="Cambria"/>
          <w:b/>
          <w:sz w:val="24"/>
          <w:szCs w:val="24"/>
        </w:rPr>
        <w:t>Summary:</w:t>
      </w:r>
    </w:p>
    <w:p w:rsidR="00847659" w:rsidRPr="00C218CF" w:rsidRDefault="00847659" w:rsidP="00847659">
      <w:pPr>
        <w:autoSpaceDE w:val="0"/>
        <w:autoSpaceDN w:val="0"/>
        <w:adjustRightInd w:val="0"/>
        <w:spacing w:after="0" w:line="240" w:lineRule="auto"/>
        <w:rPr>
          <w:rFonts w:ascii="Cambria" w:hAnsi="Cambria"/>
          <w:sz w:val="24"/>
          <w:szCs w:val="24"/>
        </w:rPr>
      </w:pP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Utilizing woody residues (agriculture, forest, and urban) to generate heat and power compared to open burning or above ground decomposition has over 11 cents/kW of uncompensated ancillary benefits.</w:t>
      </w: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Considering biogenic boiler emissions no different than fossil emissions  will lead to increasing rather than decreasing emissions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The reduced criteria pollutants with the current 600 MW operating capacity of the Biomass Powerplant industry is about 17% (1.8 million tons of CO2e</w:t>
      </w:r>
      <w:r w:rsidR="005B02BD">
        <w:rPr>
          <w:rFonts w:ascii="Cambria" w:hAnsi="Cambria"/>
          <w:sz w:val="24"/>
          <w:szCs w:val="24"/>
        </w:rPr>
        <w:t xml:space="preserve"> (methane)</w:t>
      </w:r>
      <w:r>
        <w:rPr>
          <w:rFonts w:ascii="Cambria" w:hAnsi="Cambria"/>
          <w:sz w:val="24"/>
          <w:szCs w:val="24"/>
        </w:rPr>
        <w:t xml:space="preserve">) </w:t>
      </w:r>
      <w:r>
        <w:rPr>
          <w:rFonts w:ascii="Cambria" w:hAnsi="Cambria"/>
          <w:sz w:val="24"/>
          <w:szCs w:val="24"/>
        </w:rPr>
        <w:lastRenderedPageBreak/>
        <w:t>and 98% (28,000 tons) for particulate matter.  If the 2012 Bioenergy Action Plan were fully implemented increasing the operating capacity to 1,200 MW, the values of reduced criteria pollutants would double.</w:t>
      </w:r>
    </w:p>
    <w:p w:rsidR="00AA3DA5" w:rsidRPr="00A225F7" w:rsidRDefault="00AA3DA5" w:rsidP="00A225F7">
      <w:pPr>
        <w:pStyle w:val="ListParagraph"/>
        <w:numPr>
          <w:ilvl w:val="0"/>
          <w:numId w:val="17"/>
        </w:numPr>
        <w:rPr>
          <w:rFonts w:ascii="Cambria" w:hAnsi="Cambria"/>
          <w:sz w:val="24"/>
          <w:szCs w:val="24"/>
        </w:rPr>
      </w:pPr>
      <w:r w:rsidRPr="00A225F7">
        <w:rPr>
          <w:rFonts w:ascii="Cambria" w:hAnsi="Cambria"/>
          <w:sz w:val="24"/>
          <w:szCs w:val="24"/>
        </w:rPr>
        <w:br w:type="page"/>
      </w:r>
    </w:p>
    <w:p w:rsidR="00AA3DA5" w:rsidRPr="00D140C4" w:rsidRDefault="00AA3DA5" w:rsidP="00AA3DA5">
      <w:pPr>
        <w:pStyle w:val="ListParagraph"/>
        <w:rPr>
          <w:rFonts w:ascii="Cambria" w:hAnsi="Cambria"/>
          <w:b/>
          <w:sz w:val="24"/>
          <w:szCs w:val="24"/>
        </w:rPr>
      </w:pPr>
    </w:p>
    <w:p w:rsidR="00AA3DA5" w:rsidRPr="00D140C4" w:rsidRDefault="00AA3DA5" w:rsidP="00086540">
      <w:pPr>
        <w:pStyle w:val="ListParagraph"/>
        <w:numPr>
          <w:ilvl w:val="0"/>
          <w:numId w:val="25"/>
        </w:numPr>
        <w:ind w:left="360" w:hanging="360"/>
        <w:rPr>
          <w:rFonts w:ascii="Cambria" w:hAnsi="Cambria"/>
          <w:b/>
          <w:sz w:val="24"/>
          <w:szCs w:val="24"/>
        </w:rPr>
      </w:pPr>
      <w:r w:rsidRPr="00D140C4">
        <w:rPr>
          <w:rFonts w:ascii="Cambria" w:hAnsi="Cambria"/>
          <w:b/>
          <w:sz w:val="24"/>
          <w:szCs w:val="24"/>
        </w:rPr>
        <w:t>Current state of the Vegetation Condition on California’s National Forests</w:t>
      </w:r>
    </w:p>
    <w:p w:rsidR="00E80EBF" w:rsidRDefault="00D140C4" w:rsidP="00D140C4">
      <w:pPr>
        <w:ind w:left="360"/>
        <w:rPr>
          <w:rFonts w:ascii="Cambria" w:hAnsi="Cambria"/>
          <w:sz w:val="24"/>
          <w:szCs w:val="24"/>
        </w:rPr>
      </w:pPr>
      <w:r>
        <w:rPr>
          <w:rFonts w:ascii="Cambria" w:hAnsi="Cambria"/>
          <w:sz w:val="24"/>
          <w:szCs w:val="24"/>
        </w:rPr>
        <w:t>Th</w:t>
      </w:r>
      <w:r w:rsidR="004E4AAA">
        <w:rPr>
          <w:rFonts w:ascii="Cambria" w:hAnsi="Cambria"/>
          <w:sz w:val="24"/>
          <w:szCs w:val="24"/>
        </w:rPr>
        <w:t xml:space="preserve">e National Forests in California are over 50% of the productive forest land statewide.  About 9.8 million acres of </w:t>
      </w:r>
      <w:r w:rsidR="00E80EBF">
        <w:rPr>
          <w:rFonts w:ascii="Cambria" w:hAnsi="Cambria"/>
          <w:sz w:val="24"/>
          <w:szCs w:val="24"/>
        </w:rPr>
        <w:t>the productive forest land</w:t>
      </w:r>
      <w:r w:rsidR="004E4AAA">
        <w:rPr>
          <w:rFonts w:ascii="Cambria" w:hAnsi="Cambria"/>
          <w:sz w:val="24"/>
          <w:szCs w:val="24"/>
        </w:rPr>
        <w:t xml:space="preserve"> is available for active management (not reserved)</w:t>
      </w:r>
      <w:r w:rsidR="00A8761C">
        <w:rPr>
          <w:rFonts w:ascii="Cambria" w:hAnsi="Cambria"/>
          <w:sz w:val="24"/>
          <w:szCs w:val="24"/>
        </w:rPr>
        <w:t xml:space="preserve"> (California’s Forest Resources, 20015-2005, Table 2)</w:t>
      </w:r>
      <w:r w:rsidR="004E4AAA">
        <w:rPr>
          <w:rFonts w:ascii="Cambria" w:hAnsi="Cambria"/>
          <w:sz w:val="24"/>
          <w:szCs w:val="24"/>
        </w:rPr>
        <w:t>.</w:t>
      </w:r>
      <w:r w:rsidR="00E80EBF">
        <w:rPr>
          <w:rFonts w:ascii="Cambria" w:hAnsi="Cambria"/>
          <w:sz w:val="24"/>
          <w:szCs w:val="24"/>
        </w:rPr>
        <w:t xml:space="preserve">  The Forest Service Regional Forester, Randy Moore, in a March 2011 publication titled “Region 5 Ecological Restoration, Leadership Intent” stated that 9 million acres needs forest health and/or fuels reduction treatment over the next 15-20 years to return the national forests to a resilient condition (resistant to insect, disease, and wildfire) (</w:t>
      </w:r>
      <w:hyperlink r:id="rId16" w:history="1">
        <w:r w:rsidR="00E80EBF" w:rsidRPr="00983F74">
          <w:rPr>
            <w:rStyle w:val="Hyperlink"/>
            <w:rFonts w:ascii="Cambria" w:hAnsi="Cambria"/>
            <w:sz w:val="24"/>
            <w:szCs w:val="24"/>
          </w:rPr>
          <w:t>http://www.fs.usda.gov/Internet/FSE_DOCUMENTS/stelprdb5351674.pdf</w:t>
        </w:r>
      </w:hyperlink>
      <w:r w:rsidR="00E80EBF">
        <w:rPr>
          <w:rFonts w:ascii="Cambria" w:hAnsi="Cambria"/>
          <w:sz w:val="24"/>
          <w:szCs w:val="24"/>
        </w:rPr>
        <w:t>, page 3).</w:t>
      </w:r>
    </w:p>
    <w:p w:rsidR="00547CC0" w:rsidRDefault="00E80EBF" w:rsidP="00D140C4">
      <w:pPr>
        <w:ind w:left="360"/>
        <w:rPr>
          <w:rFonts w:ascii="Cambria" w:hAnsi="Cambria"/>
          <w:sz w:val="24"/>
          <w:szCs w:val="24"/>
        </w:rPr>
      </w:pPr>
      <w:r>
        <w:rPr>
          <w:rFonts w:ascii="Cambria" w:hAnsi="Cambria"/>
          <w:sz w:val="24"/>
          <w:szCs w:val="24"/>
        </w:rPr>
        <w:t>California’s National Forest productive forest land grows at the rate of 4.5 billion board feet per year and has annual mortality of about 840 million board feet</w:t>
      </w:r>
      <w:r w:rsidR="00547CC0">
        <w:rPr>
          <w:rFonts w:ascii="Cambria" w:hAnsi="Cambria"/>
          <w:sz w:val="24"/>
          <w:szCs w:val="24"/>
        </w:rPr>
        <w:t xml:space="preserve"> (mmbf)</w:t>
      </w:r>
      <w:r>
        <w:rPr>
          <w:rFonts w:ascii="Cambria" w:hAnsi="Cambria"/>
          <w:sz w:val="24"/>
          <w:szCs w:val="24"/>
        </w:rPr>
        <w:t xml:space="preserve"> per year (19% of growth) (Forest Service Forest Inventory and Analysis Data, 2001-2005</w:t>
      </w:r>
      <w:r w:rsidR="002D36E2">
        <w:rPr>
          <w:rFonts w:ascii="Cambria" w:hAnsi="Cambria"/>
          <w:sz w:val="24"/>
          <w:szCs w:val="24"/>
        </w:rPr>
        <w:t xml:space="preserve"> (Enclosure #3</w:t>
      </w:r>
      <w:r>
        <w:rPr>
          <w:rFonts w:ascii="Cambria" w:hAnsi="Cambria"/>
          <w:sz w:val="24"/>
          <w:szCs w:val="24"/>
        </w:rPr>
        <w:t>).  In the late 1980’s</w:t>
      </w:r>
      <w:r w:rsidR="00547CC0">
        <w:rPr>
          <w:rFonts w:ascii="Cambria" w:hAnsi="Cambria"/>
          <w:sz w:val="24"/>
          <w:szCs w:val="24"/>
        </w:rPr>
        <w:t>, the Forest Service was</w:t>
      </w:r>
      <w:r>
        <w:rPr>
          <w:rFonts w:ascii="Cambria" w:hAnsi="Cambria"/>
          <w:sz w:val="24"/>
          <w:szCs w:val="24"/>
        </w:rPr>
        <w:t xml:space="preserve"> removing </w:t>
      </w:r>
      <w:r w:rsidR="00547CC0">
        <w:rPr>
          <w:rFonts w:ascii="Cambria" w:hAnsi="Cambria"/>
          <w:sz w:val="24"/>
          <w:szCs w:val="24"/>
        </w:rPr>
        <w:t>about 1.8 billion board feet per year (40% of annual growth).  Primarily because of the Northern and California Spotted Owl, that harvest level was reduced by 1994 to about 344 mmbf/year (about 7% of annual growth) and has remained at that level for the past 20 years (Board of Equalization Timbe</w:t>
      </w:r>
      <w:r w:rsidR="002D36E2">
        <w:rPr>
          <w:rFonts w:ascii="Cambria" w:hAnsi="Cambria"/>
          <w:sz w:val="24"/>
          <w:szCs w:val="24"/>
        </w:rPr>
        <w:t>r Yield Statistics, Enclosure #4</w:t>
      </w:r>
      <w:r w:rsidR="00547CC0">
        <w:rPr>
          <w:rFonts w:ascii="Cambria" w:hAnsi="Cambria"/>
          <w:sz w:val="24"/>
          <w:szCs w:val="24"/>
        </w:rPr>
        <w:t>).</w:t>
      </w:r>
    </w:p>
    <w:p w:rsidR="00C75C81" w:rsidRDefault="00547CC0" w:rsidP="00D140C4">
      <w:pPr>
        <w:ind w:left="360"/>
        <w:rPr>
          <w:rFonts w:ascii="Cambria" w:hAnsi="Cambria"/>
          <w:sz w:val="24"/>
          <w:szCs w:val="24"/>
        </w:rPr>
      </w:pPr>
      <w:r>
        <w:rPr>
          <w:rFonts w:ascii="Cambria" w:hAnsi="Cambria"/>
          <w:sz w:val="24"/>
          <w:szCs w:val="24"/>
        </w:rPr>
        <w:t>By only removing on average 7% of annual growth over the past 20 years, the new growth has added nearly 2 tons/acre/year to the available productive forest land on the National Forests.  Today the National Forests average about 224 trees/acre; in 1911, the Sierra Nevada’s averaged about 19 trees/acre (Enclosure #</w:t>
      </w:r>
      <w:r w:rsidR="002D36E2">
        <w:rPr>
          <w:rFonts w:ascii="Cambria" w:hAnsi="Cambria"/>
          <w:sz w:val="24"/>
          <w:szCs w:val="24"/>
        </w:rPr>
        <w:t>5</w:t>
      </w:r>
      <w:r>
        <w:rPr>
          <w:rFonts w:ascii="Cambria" w:hAnsi="Cambria"/>
          <w:sz w:val="24"/>
          <w:szCs w:val="24"/>
        </w:rPr>
        <w:t>).</w:t>
      </w:r>
      <w:r w:rsidR="00C75C81">
        <w:rPr>
          <w:rFonts w:ascii="Cambria" w:hAnsi="Cambria"/>
          <w:sz w:val="24"/>
          <w:szCs w:val="24"/>
        </w:rPr>
        <w:t xml:space="preserve">  The National Forests have become homogenized and are gr</w:t>
      </w:r>
      <w:r w:rsidR="00BB3638">
        <w:rPr>
          <w:rFonts w:ascii="Cambria" w:hAnsi="Cambria"/>
          <w:sz w:val="24"/>
          <w:szCs w:val="24"/>
        </w:rPr>
        <w:t>ossly overly dense (Enclo</w:t>
      </w:r>
      <w:r w:rsidR="002D36E2">
        <w:rPr>
          <w:rFonts w:ascii="Cambria" w:hAnsi="Cambria"/>
          <w:sz w:val="24"/>
          <w:szCs w:val="24"/>
        </w:rPr>
        <w:t>sure #6</w:t>
      </w:r>
      <w:r w:rsidR="00C75C81">
        <w:rPr>
          <w:rFonts w:ascii="Cambria" w:hAnsi="Cambria"/>
          <w:sz w:val="24"/>
          <w:szCs w:val="24"/>
        </w:rPr>
        <w:t>).</w:t>
      </w:r>
    </w:p>
    <w:p w:rsidR="00C75C81" w:rsidRDefault="00C75C81" w:rsidP="00D140C4">
      <w:pPr>
        <w:ind w:left="360"/>
        <w:rPr>
          <w:rFonts w:ascii="Cambria" w:hAnsi="Cambria"/>
          <w:sz w:val="24"/>
          <w:szCs w:val="24"/>
        </w:rPr>
      </w:pPr>
      <w:r>
        <w:rPr>
          <w:rFonts w:ascii="Cambria" w:hAnsi="Cambria"/>
          <w:sz w:val="24"/>
          <w:szCs w:val="24"/>
        </w:rPr>
        <w:t xml:space="preserve">The result of negligible management of the National Forest vegetation for </w:t>
      </w:r>
      <w:r w:rsidR="005F1917">
        <w:rPr>
          <w:rFonts w:ascii="Cambria" w:hAnsi="Cambria"/>
          <w:sz w:val="24"/>
          <w:szCs w:val="24"/>
        </w:rPr>
        <w:t xml:space="preserve">the past </w:t>
      </w:r>
      <w:r>
        <w:rPr>
          <w:rFonts w:ascii="Cambria" w:hAnsi="Cambria"/>
          <w:sz w:val="24"/>
          <w:szCs w:val="24"/>
        </w:rPr>
        <w:t>20 years is that, coupled with the 4 years of drought, the forest has now become very susceptible to insect, di</w:t>
      </w:r>
      <w:r w:rsidR="002D36E2">
        <w:rPr>
          <w:rFonts w:ascii="Cambria" w:hAnsi="Cambria"/>
          <w:sz w:val="24"/>
          <w:szCs w:val="24"/>
        </w:rPr>
        <w:t>sease and wildfire (Enclosures 7, 8, and 9</w:t>
      </w:r>
      <w:r>
        <w:rPr>
          <w:rFonts w:ascii="Cambria" w:hAnsi="Cambria"/>
          <w:sz w:val="24"/>
          <w:szCs w:val="24"/>
        </w:rPr>
        <w:t>).</w:t>
      </w:r>
      <w:r w:rsidR="005F1917">
        <w:rPr>
          <w:rFonts w:ascii="Cambria" w:hAnsi="Cambria"/>
          <w:sz w:val="24"/>
          <w:szCs w:val="24"/>
        </w:rPr>
        <w:t xml:space="preserve">  In fact, on average, 2001-2014, the national forests are experiencing 305,000 burned acres/year due to wildfire</w:t>
      </w:r>
      <w:r w:rsidR="002D36E2">
        <w:rPr>
          <w:rFonts w:ascii="Cambria" w:hAnsi="Cambria"/>
          <w:sz w:val="24"/>
          <w:szCs w:val="24"/>
        </w:rPr>
        <w:t xml:space="preserve"> (Enclosure #10</w:t>
      </w:r>
      <w:r w:rsidR="001810AC">
        <w:rPr>
          <w:rFonts w:ascii="Cambria" w:hAnsi="Cambria"/>
          <w:sz w:val="24"/>
          <w:szCs w:val="24"/>
        </w:rPr>
        <w:t>)</w:t>
      </w:r>
      <w:r w:rsidR="005F1917">
        <w:rPr>
          <w:rFonts w:ascii="Cambria" w:hAnsi="Cambria"/>
          <w:sz w:val="24"/>
          <w:szCs w:val="24"/>
        </w:rPr>
        <w:t>.  Further, fire severity has increased dramatically from 21% high severity in 1986 to about 50% in 2014 (King Fire, Eldorado National Forest).</w:t>
      </w:r>
    </w:p>
    <w:p w:rsidR="005F1917" w:rsidRDefault="005F1917" w:rsidP="00D140C4">
      <w:pPr>
        <w:ind w:left="360"/>
        <w:rPr>
          <w:rFonts w:ascii="Cambria" w:hAnsi="Cambria"/>
          <w:sz w:val="24"/>
          <w:szCs w:val="24"/>
        </w:rPr>
      </w:pPr>
      <w:r>
        <w:rPr>
          <w:rFonts w:ascii="Cambria" w:hAnsi="Cambria"/>
          <w:sz w:val="24"/>
          <w:szCs w:val="24"/>
        </w:rPr>
        <w:t>From their own statistics, the Forest Service, California Region, has shown that</w:t>
      </w:r>
      <w:r w:rsidR="00F03AA3">
        <w:rPr>
          <w:rFonts w:ascii="Cambria" w:hAnsi="Cambria"/>
          <w:sz w:val="24"/>
          <w:szCs w:val="24"/>
        </w:rPr>
        <w:t xml:space="preserve"> from 2005-2012</w:t>
      </w:r>
      <w:r>
        <w:rPr>
          <w:rFonts w:ascii="Cambria" w:hAnsi="Cambria"/>
          <w:sz w:val="24"/>
          <w:szCs w:val="24"/>
        </w:rPr>
        <w:t xml:space="preserve"> they are only restoring and reforesting less than 9% of the moderate and high sev</w:t>
      </w:r>
      <w:r w:rsidR="002D36E2">
        <w:rPr>
          <w:rFonts w:ascii="Cambria" w:hAnsi="Cambria"/>
          <w:sz w:val="24"/>
          <w:szCs w:val="24"/>
        </w:rPr>
        <w:t>erity burned acres (Enclosure #11</w:t>
      </w:r>
      <w:r>
        <w:rPr>
          <w:rFonts w:ascii="Cambria" w:hAnsi="Cambria"/>
          <w:sz w:val="24"/>
          <w:szCs w:val="24"/>
        </w:rPr>
        <w:t xml:space="preserve">).  With </w:t>
      </w:r>
      <w:r w:rsidR="00F03AA3">
        <w:rPr>
          <w:rFonts w:ascii="Cambria" w:hAnsi="Cambria"/>
          <w:sz w:val="24"/>
          <w:szCs w:val="24"/>
        </w:rPr>
        <w:t xml:space="preserve">now about </w:t>
      </w:r>
      <w:r>
        <w:rPr>
          <w:rFonts w:ascii="Cambria" w:hAnsi="Cambria"/>
          <w:sz w:val="24"/>
          <w:szCs w:val="24"/>
        </w:rPr>
        <w:t xml:space="preserve">150,000 acres/year of high severity burn </w:t>
      </w:r>
      <w:r w:rsidR="0053763F">
        <w:rPr>
          <w:rFonts w:ascii="Cambria" w:hAnsi="Cambria"/>
          <w:sz w:val="24"/>
          <w:szCs w:val="24"/>
        </w:rPr>
        <w:t xml:space="preserve">of which about 70% is productive forest land, </w:t>
      </w:r>
      <w:r>
        <w:rPr>
          <w:rFonts w:ascii="Cambria" w:hAnsi="Cambria"/>
          <w:sz w:val="24"/>
          <w:szCs w:val="24"/>
        </w:rPr>
        <w:t>and only 9% re</w:t>
      </w:r>
      <w:r w:rsidR="0053763F">
        <w:rPr>
          <w:rFonts w:ascii="Cambria" w:hAnsi="Cambria"/>
          <w:sz w:val="24"/>
          <w:szCs w:val="24"/>
        </w:rPr>
        <w:t>storation, that leaves about 90</w:t>
      </w:r>
      <w:r>
        <w:rPr>
          <w:rFonts w:ascii="Cambria" w:hAnsi="Cambria"/>
          <w:sz w:val="24"/>
          <w:szCs w:val="24"/>
        </w:rPr>
        <w:t>,000 acres per year that are type converting from productive forestland to brushfields.</w:t>
      </w:r>
      <w:r w:rsidR="00F03AA3">
        <w:rPr>
          <w:rFonts w:ascii="Cambria" w:hAnsi="Cambria"/>
          <w:sz w:val="24"/>
          <w:szCs w:val="24"/>
        </w:rPr>
        <w:t xml:space="preserve">  The Forest Service is working toward increasing the percent restoration </w:t>
      </w:r>
      <w:r w:rsidR="00582A15">
        <w:rPr>
          <w:rFonts w:ascii="Cambria" w:hAnsi="Cambria"/>
          <w:sz w:val="24"/>
          <w:szCs w:val="24"/>
        </w:rPr>
        <w:t xml:space="preserve">on recent large wildfires </w:t>
      </w:r>
      <w:r w:rsidR="00F03AA3">
        <w:rPr>
          <w:rFonts w:ascii="Cambria" w:hAnsi="Cambria"/>
          <w:sz w:val="24"/>
          <w:szCs w:val="24"/>
        </w:rPr>
        <w:t>(Rim and King Fire) but the implementation has not yet begun.</w:t>
      </w:r>
    </w:p>
    <w:p w:rsidR="00162E55" w:rsidRDefault="00162E55" w:rsidP="00D140C4">
      <w:pPr>
        <w:ind w:left="360"/>
        <w:rPr>
          <w:rFonts w:ascii="Cambria" w:hAnsi="Cambria"/>
          <w:sz w:val="24"/>
          <w:szCs w:val="24"/>
        </w:rPr>
      </w:pPr>
      <w:r>
        <w:rPr>
          <w:rFonts w:ascii="Cambria" w:hAnsi="Cambria"/>
          <w:sz w:val="24"/>
          <w:szCs w:val="24"/>
        </w:rPr>
        <w:t xml:space="preserve">The Forest Service mechanically thins about 60,000 acres/year in California on the National Forests producing about 780,000 bone dry tons of biomass (about 125 MW).  </w:t>
      </w:r>
      <w:r>
        <w:rPr>
          <w:rFonts w:ascii="Cambria" w:hAnsi="Cambria"/>
          <w:sz w:val="24"/>
          <w:szCs w:val="24"/>
        </w:rPr>
        <w:lastRenderedPageBreak/>
        <w:t>They are also salvaging about 15,000 acres/year of high severity burn from wildfires producing about 375,000 bone dry tons of biomass (45 MW).</w:t>
      </w:r>
    </w:p>
    <w:p w:rsidR="00162E55" w:rsidRDefault="00C21989" w:rsidP="00D140C4">
      <w:pPr>
        <w:ind w:left="360"/>
        <w:rPr>
          <w:rFonts w:ascii="Cambria" w:hAnsi="Cambria"/>
          <w:sz w:val="24"/>
          <w:szCs w:val="24"/>
        </w:rPr>
      </w:pPr>
      <w:r>
        <w:rPr>
          <w:rFonts w:ascii="Cambria" w:hAnsi="Cambria"/>
          <w:sz w:val="24"/>
          <w:szCs w:val="24"/>
        </w:rPr>
        <w:t xml:space="preserve">Private </w:t>
      </w:r>
      <w:r w:rsidR="00162E55">
        <w:rPr>
          <w:rFonts w:ascii="Cambria" w:hAnsi="Cambria"/>
          <w:sz w:val="24"/>
          <w:szCs w:val="24"/>
        </w:rPr>
        <w:t>forest lands in California are harvesting about 50,000 acres per year (1.2 billion board feet per year) generating about 1.5 million bone dry tons of biomass (190 MW).</w:t>
      </w:r>
    </w:p>
    <w:p w:rsidR="00086540" w:rsidRDefault="00086540" w:rsidP="00D140C4">
      <w:pPr>
        <w:ind w:left="360"/>
        <w:rPr>
          <w:rFonts w:ascii="Cambria" w:hAnsi="Cambria"/>
          <w:sz w:val="24"/>
          <w:szCs w:val="24"/>
        </w:rPr>
      </w:pPr>
      <w:r>
        <w:rPr>
          <w:rFonts w:ascii="Cambria" w:hAnsi="Cambria"/>
          <w:sz w:val="24"/>
          <w:szCs w:val="24"/>
        </w:rPr>
        <w:t>Finally, the State of California, both State and Federal, cumulatively are spending about $1.2 billion per year on fire suppression.  Nationally, the 52% of entire Forest Service budget goes toward wildfire preparedness and suppression.  The trend is for continued increase in size and intensity of wildfire primarily due to the overly dense national forests.  This will continue to take more and more dollars from the constrained Forest Service budget toward fire suppression rather than forest health and fuels reduction projects.</w:t>
      </w:r>
    </w:p>
    <w:p w:rsidR="007C19A3" w:rsidRDefault="007C19A3" w:rsidP="007C19A3">
      <w:pPr>
        <w:ind w:left="360"/>
        <w:rPr>
          <w:rFonts w:ascii="Cambria" w:hAnsi="Cambria"/>
          <w:sz w:val="24"/>
          <w:szCs w:val="24"/>
        </w:rPr>
      </w:pPr>
      <w:r>
        <w:rPr>
          <w:rFonts w:ascii="Cambria" w:hAnsi="Cambria"/>
          <w:sz w:val="24"/>
          <w:szCs w:val="24"/>
        </w:rPr>
        <w:t>In summary, in regard to California’s National Forests:</w:t>
      </w:r>
    </w:p>
    <w:p w:rsidR="007C19A3" w:rsidRDefault="007C19A3" w:rsidP="007C19A3">
      <w:pPr>
        <w:pStyle w:val="ListParagraph"/>
        <w:numPr>
          <w:ilvl w:val="0"/>
          <w:numId w:val="18"/>
        </w:numPr>
        <w:rPr>
          <w:rFonts w:ascii="Cambria" w:hAnsi="Cambria"/>
          <w:sz w:val="24"/>
          <w:szCs w:val="24"/>
        </w:rPr>
      </w:pPr>
      <w:r w:rsidRPr="007C19A3">
        <w:rPr>
          <w:rFonts w:ascii="Cambria" w:hAnsi="Cambria"/>
          <w:sz w:val="24"/>
          <w:szCs w:val="24"/>
        </w:rPr>
        <w:t>Forest Service Regional Forester, Randy Moore, has published that he wants to see a tripling of forest health and fuels reduction accomplishments on California’s National Forests to about 500,000 acres per year.  There are 9 million acres that need treatment over the coming 15-20 years.</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They are grossly overly dense and homogenized leading to ever increasing number, size and intensity of wildfires and continuing damage from insects and disease.</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Historically, the National Forests had about 19 trees/acre; today 224 trees/acre.  Today, forest health treatments only remove about 7% of annual growth in contrast to the late 1980’s when 40% of annual growth was removed.</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 xml:space="preserve">Wildfires on average over the past 15 years </w:t>
      </w:r>
      <w:r w:rsidR="0053763F">
        <w:rPr>
          <w:rFonts w:ascii="Cambria" w:hAnsi="Cambria"/>
          <w:sz w:val="24"/>
          <w:szCs w:val="24"/>
        </w:rPr>
        <w:t xml:space="preserve">have </w:t>
      </w:r>
      <w:r>
        <w:rPr>
          <w:rFonts w:ascii="Cambria" w:hAnsi="Cambria"/>
          <w:sz w:val="24"/>
          <w:szCs w:val="24"/>
        </w:rPr>
        <w:t>burn</w:t>
      </w:r>
      <w:r w:rsidR="0053763F">
        <w:rPr>
          <w:rFonts w:ascii="Cambria" w:hAnsi="Cambria"/>
          <w:sz w:val="24"/>
          <w:szCs w:val="24"/>
        </w:rPr>
        <w:t>ed</w:t>
      </w:r>
      <w:r>
        <w:rPr>
          <w:rFonts w:ascii="Cambria" w:hAnsi="Cambria"/>
          <w:sz w:val="24"/>
          <w:szCs w:val="24"/>
        </w:rPr>
        <w:t xml:space="preserve"> about 305,000 acres per year on the National Forests and the severity has increased dramatically from 1986 where 21% of acres burned was high severity (greater than 90% of vegetation killed) to 2014 where the high severity was near 50%.</w:t>
      </w:r>
    </w:p>
    <w:p w:rsidR="009541D1" w:rsidRDefault="009541D1" w:rsidP="007C19A3">
      <w:pPr>
        <w:pStyle w:val="ListParagraph"/>
        <w:numPr>
          <w:ilvl w:val="0"/>
          <w:numId w:val="18"/>
        </w:numPr>
        <w:rPr>
          <w:rFonts w:ascii="Cambria" w:hAnsi="Cambria"/>
          <w:sz w:val="24"/>
          <w:szCs w:val="24"/>
        </w:rPr>
      </w:pPr>
      <w:r>
        <w:rPr>
          <w:rFonts w:ascii="Cambria" w:hAnsi="Cambria"/>
          <w:sz w:val="24"/>
          <w:szCs w:val="24"/>
        </w:rPr>
        <w:t>At the current rate of restorative activities on high severity burned acres, type conversion to brushfields will result, which will lead to more intense wildfires.</w:t>
      </w:r>
    </w:p>
    <w:p w:rsidR="007C19A3" w:rsidRDefault="0053763F" w:rsidP="007C19A3">
      <w:pPr>
        <w:pStyle w:val="ListParagraph"/>
        <w:numPr>
          <w:ilvl w:val="0"/>
          <w:numId w:val="18"/>
        </w:numPr>
        <w:rPr>
          <w:rFonts w:ascii="Cambria" w:hAnsi="Cambria"/>
          <w:sz w:val="24"/>
          <w:szCs w:val="24"/>
        </w:rPr>
      </w:pPr>
      <w:r>
        <w:rPr>
          <w:rFonts w:ascii="Cambria" w:hAnsi="Cambria"/>
          <w:sz w:val="24"/>
          <w:szCs w:val="24"/>
        </w:rPr>
        <w:t>The national forests</w:t>
      </w:r>
      <w:r w:rsidR="007C19A3">
        <w:rPr>
          <w:rFonts w:ascii="Cambria" w:hAnsi="Cambria"/>
          <w:sz w:val="24"/>
          <w:szCs w:val="24"/>
        </w:rPr>
        <w:t xml:space="preserve"> are going to continue to get denser and denser and denser spawning a continuing upward trend in number, size, and intensity of wildfire and insect and disease attack.  Nothing can stop it until the Federal Government dramatically changes its approach to vegetation management.</w:t>
      </w:r>
    </w:p>
    <w:p w:rsidR="000B7605" w:rsidRDefault="000B7605" w:rsidP="007C19A3">
      <w:pPr>
        <w:pStyle w:val="ListParagraph"/>
        <w:numPr>
          <w:ilvl w:val="0"/>
          <w:numId w:val="18"/>
        </w:numPr>
        <w:rPr>
          <w:rFonts w:ascii="Cambria" w:hAnsi="Cambria"/>
          <w:sz w:val="24"/>
          <w:szCs w:val="24"/>
        </w:rPr>
      </w:pPr>
      <w:r>
        <w:rPr>
          <w:rFonts w:ascii="Cambria" w:hAnsi="Cambria"/>
          <w:sz w:val="24"/>
          <w:szCs w:val="24"/>
        </w:rPr>
        <w:t>Percentage of the Forest Service budget going to wildfire preparedness and prevention will continue to increase thereby reducing available appropriations for forest health and fuels reduction projects.</w:t>
      </w:r>
    </w:p>
    <w:p w:rsidR="005B2FA3" w:rsidRDefault="005B2FA3">
      <w:pPr>
        <w:rPr>
          <w:rFonts w:ascii="Cambria" w:hAnsi="Cambria"/>
          <w:sz w:val="24"/>
          <w:szCs w:val="24"/>
        </w:rPr>
      </w:pPr>
      <w:r>
        <w:rPr>
          <w:rFonts w:ascii="Cambria" w:hAnsi="Cambria"/>
          <w:sz w:val="24"/>
          <w:szCs w:val="24"/>
        </w:rPr>
        <w:br w:type="page"/>
      </w:r>
    </w:p>
    <w:p w:rsidR="005B2FA3" w:rsidRDefault="005B2FA3" w:rsidP="005B2FA3">
      <w:pPr>
        <w:pStyle w:val="ListParagraph"/>
        <w:rPr>
          <w:rFonts w:ascii="Cambria" w:hAnsi="Cambria"/>
          <w:sz w:val="24"/>
          <w:szCs w:val="24"/>
        </w:rPr>
      </w:pPr>
      <w:r>
        <w:rPr>
          <w:rFonts w:ascii="Cambria" w:hAnsi="Cambria"/>
          <w:b/>
          <w:sz w:val="24"/>
          <w:szCs w:val="24"/>
        </w:rPr>
        <w:lastRenderedPageBreak/>
        <w:t>Enclosure #1 –</w:t>
      </w:r>
      <w:r>
        <w:rPr>
          <w:rFonts w:ascii="Cambria" w:hAnsi="Cambria"/>
          <w:sz w:val="24"/>
          <w:szCs w:val="24"/>
        </w:rPr>
        <w:t>California’s Biomass Powerplant Industry</w:t>
      </w:r>
    </w:p>
    <w:p w:rsidR="005B2FA3" w:rsidRPr="005B2FA3" w:rsidRDefault="005B2FA3" w:rsidP="005B2FA3">
      <w:pPr>
        <w:pStyle w:val="ListParagraph"/>
        <w:rPr>
          <w:rFonts w:ascii="Cambria" w:hAnsi="Cambria"/>
          <w:sz w:val="24"/>
          <w:szCs w:val="24"/>
        </w:rPr>
      </w:pPr>
    </w:p>
    <w:p w:rsidR="005B2FA3" w:rsidRDefault="005B2FA3" w:rsidP="005B2FA3">
      <w:pPr>
        <w:pStyle w:val="ListParagraph"/>
        <w:rPr>
          <w:rFonts w:ascii="Cambria" w:hAnsi="Cambria"/>
          <w:sz w:val="24"/>
          <w:szCs w:val="24"/>
        </w:rPr>
      </w:pPr>
      <w:r w:rsidRPr="005B2FA3">
        <w:rPr>
          <w:rFonts w:ascii="Cambria" w:hAnsi="Cambria"/>
          <w:noProof/>
          <w:sz w:val="24"/>
          <w:szCs w:val="24"/>
        </w:rPr>
        <w:drawing>
          <wp:inline distT="0" distB="0" distL="0" distR="0">
            <wp:extent cx="4953000" cy="766773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130" cy="7671029"/>
                    </a:xfrm>
                    <a:prstGeom prst="rect">
                      <a:avLst/>
                    </a:prstGeom>
                    <a:noFill/>
                    <a:ln>
                      <a:noFill/>
                    </a:ln>
                  </pic:spPr>
                </pic:pic>
              </a:graphicData>
            </a:graphic>
          </wp:inline>
        </w:drawing>
      </w:r>
    </w:p>
    <w:p w:rsidR="005B2FA3" w:rsidRPr="007F5AA2" w:rsidRDefault="005B2FA3" w:rsidP="005B2FA3">
      <w:pPr>
        <w:pStyle w:val="ListParagraph"/>
        <w:ind w:left="360"/>
        <w:rPr>
          <w:rFonts w:ascii="Cambria" w:hAnsi="Cambria"/>
          <w:b/>
          <w:sz w:val="24"/>
          <w:szCs w:val="24"/>
        </w:rPr>
      </w:pPr>
      <w:r>
        <w:rPr>
          <w:rFonts w:ascii="Cambria" w:hAnsi="Cambria"/>
          <w:b/>
          <w:sz w:val="24"/>
          <w:szCs w:val="24"/>
        </w:rPr>
        <w:lastRenderedPageBreak/>
        <w:t>Enclosure #2 – 66 Original Wood-Fired Powerplants Constructed in California</w:t>
      </w:r>
    </w:p>
    <w:tbl>
      <w:tblPr>
        <w:tblW w:w="17559" w:type="dxa"/>
        <w:tblLook w:val="04A0" w:firstRow="1" w:lastRow="0" w:firstColumn="1" w:lastColumn="0" w:noHBand="0" w:noVBand="1"/>
      </w:tblPr>
      <w:tblGrid>
        <w:gridCol w:w="272"/>
        <w:gridCol w:w="2068"/>
        <w:gridCol w:w="2700"/>
        <w:gridCol w:w="1710"/>
        <w:gridCol w:w="1350"/>
        <w:gridCol w:w="990"/>
        <w:gridCol w:w="2493"/>
        <w:gridCol w:w="1560"/>
        <w:gridCol w:w="4416"/>
      </w:tblGrid>
      <w:tr w:rsidR="005B2FA3" w:rsidRPr="00B43C8F" w:rsidTr="005B2FA3">
        <w:trPr>
          <w:trHeight w:val="255"/>
        </w:trPr>
        <w:tc>
          <w:tcPr>
            <w:tcW w:w="5040" w:type="dxa"/>
            <w:gridSpan w:val="3"/>
            <w:tcBorders>
              <w:top w:val="nil"/>
              <w:left w:val="nil"/>
              <w:bottom w:val="nil"/>
              <w:right w:val="nil"/>
            </w:tcBorders>
            <w:shd w:val="clear" w:color="auto" w:fill="auto"/>
            <w:noWrap/>
            <w:vAlign w:val="bottom"/>
            <w:hideMark/>
          </w:tcPr>
          <w:p w:rsidR="005B2FA3" w:rsidRPr="00B43C8F" w:rsidRDefault="005B2FA3" w:rsidP="005B2FA3">
            <w:pPr>
              <w:spacing w:after="0" w:line="240" w:lineRule="auto"/>
              <w:ind w:left="342"/>
              <w:rPr>
                <w:rFonts w:ascii="Arial" w:eastAsia="Times New Roman" w:hAnsi="Arial" w:cs="Arial"/>
                <w:sz w:val="20"/>
                <w:szCs w:val="20"/>
              </w:rPr>
            </w:pPr>
            <w:r w:rsidRPr="00B43C8F">
              <w:rPr>
                <w:rFonts w:ascii="Arial" w:eastAsia="Times New Roman" w:hAnsi="Arial" w:cs="Arial"/>
                <w:sz w:val="20"/>
                <w:szCs w:val="20"/>
              </w:rPr>
              <w:t xml:space="preserve">California Biomass Plants, </w:t>
            </w:r>
            <w:r w:rsidRPr="003160A9">
              <w:rPr>
                <w:rFonts w:ascii="Arial" w:eastAsia="Times New Roman" w:hAnsi="Arial" w:cs="Arial"/>
                <w:b/>
                <w:sz w:val="20"/>
                <w:szCs w:val="20"/>
                <w:highlight w:val="yellow"/>
                <w:u w:val="single"/>
              </w:rPr>
              <w:t>June 2007</w:t>
            </w: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Plant Name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Owner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Town/City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County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Net MW</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Gross MW</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Status</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Buyer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b/>
                <w:bCs/>
                <w:sz w:val="20"/>
                <w:szCs w:val="20"/>
                <w:u w:val="single"/>
              </w:rPr>
            </w:pPr>
            <w:r w:rsidRPr="00B43C8F">
              <w:rPr>
                <w:rFonts w:ascii="Times New Roman" w:eastAsia="Times New Roman" w:hAnsi="Times New Roman" w:cs="Times New Roman"/>
                <w:b/>
                <w:bCs/>
                <w:sz w:val="20"/>
                <w:szCs w:val="20"/>
                <w:u w:val="single"/>
              </w:rPr>
              <w:t>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 Lumber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Bieber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6.8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513"/>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 Forest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Connectiv</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31</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Collins Pine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Collins Companies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Chester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Colmac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Riverside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52</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Stockton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Fairhaven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Eel River Sawmill</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Eureka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GP Fort Bragg</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Georgia Pacific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Ft. Bragg</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Mendocino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Jackson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18</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 Energy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Enpower Corp</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14</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15.2</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American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HL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CMS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 Co.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Scotia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19</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Fibreboard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SPI Sonora</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 Growers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Ultrapower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 II</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 Power LLC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Merced</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Forest Products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Terra Bella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Lincoln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Lincoln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Loyalton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Loyalton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Quincy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Quincy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Susanville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Sonora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various</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Hayfork</w:t>
            </w: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Trinity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Energy Factors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Yuba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SDG&amp;E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Xcel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Yolo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Tracy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GWF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Tracy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Wadham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Colusa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Primary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Imperial</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70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71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tcPr>
          <w:p w:rsidR="005B2FA3" w:rsidRPr="00B43C8F" w:rsidRDefault="005B2FA3" w:rsidP="005B2FA3">
            <w:pPr>
              <w:spacing w:after="0" w:line="240" w:lineRule="auto"/>
              <w:jc w:val="center"/>
              <w:rPr>
                <w:rFonts w:ascii="Arial" w:eastAsia="Times New Roman" w:hAnsi="Arial" w:cs="Arial"/>
                <w:sz w:val="20"/>
                <w:szCs w:val="20"/>
              </w:rPr>
            </w:pPr>
          </w:p>
        </w:tc>
        <w:tc>
          <w:tcPr>
            <w:tcW w:w="2493"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56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4416"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 2</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Hudson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7.5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Yanke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Monterey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2.2</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 Cogen</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 Paper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Antioch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Contra Costa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 Ind.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Roseberg </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Roseburg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 Power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City of Redding</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0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 Paper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29</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 Redwood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 Norte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 and G</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Procter &amp; Gamble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Long Beach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Los Angeles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Now Soledad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Soledad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Apex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Apex Orchards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Bakersfield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 College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 Foods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Stanislaus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MW Totals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957.3</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843.5</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neg all-in = negotiated contract, energy-only price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B53314" w:rsidRDefault="00B53314" w:rsidP="005B2FA3">
            <w:pPr>
              <w:spacing w:after="0" w:line="240" w:lineRule="auto"/>
              <w:rPr>
                <w:rFonts w:ascii="Arial" w:eastAsia="Times New Roman" w:hAnsi="Arial" w:cs="Arial"/>
                <w:sz w:val="20"/>
                <w:szCs w:val="20"/>
              </w:rPr>
            </w:pPr>
          </w:p>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 xml:space="preserve">Operating Net </w:t>
            </w:r>
            <w:r w:rsidRPr="00B43C8F">
              <w:rPr>
                <w:rFonts w:ascii="Arial" w:eastAsia="Times New Roman" w:hAnsi="Arial" w:cs="Arial"/>
                <w:sz w:val="20"/>
                <w:szCs w:val="20"/>
              </w:rPr>
              <w:t>MW</w:t>
            </w:r>
            <w:r w:rsidR="0053763F">
              <w:rPr>
                <w:rFonts w:ascii="Arial" w:eastAsia="Times New Roman" w:hAnsi="Arial" w:cs="Arial"/>
                <w:sz w:val="20"/>
                <w:szCs w:val="20"/>
              </w:rPr>
              <w:t xml:space="preserve"> today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3763F" w:rsidP="005B2FA3">
            <w:pPr>
              <w:spacing w:after="0" w:line="240" w:lineRule="auto"/>
              <w:jc w:val="right"/>
              <w:rPr>
                <w:rFonts w:ascii="Arial" w:eastAsia="Times New Roman" w:hAnsi="Arial" w:cs="Arial"/>
                <w:sz w:val="20"/>
                <w:szCs w:val="20"/>
              </w:rPr>
            </w:pPr>
            <w:r>
              <w:rPr>
                <w:rFonts w:ascii="Arial" w:eastAsia="Times New Roman" w:hAnsi="Arial" w:cs="Arial"/>
                <w:sz w:val="20"/>
                <w:szCs w:val="20"/>
              </w:rPr>
              <w:t>616</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5.37 = 5.37-cent substitution for SRAC in SO-4</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692.7</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RPS = competitive RFP winner</w:t>
            </w:r>
          </w:p>
        </w:tc>
      </w:tr>
    </w:tbl>
    <w:p w:rsidR="005B2FA3" w:rsidRDefault="005B2FA3" w:rsidP="005B2FA3">
      <w:pPr>
        <w:pStyle w:val="ListParagraph"/>
        <w:rPr>
          <w:rFonts w:ascii="Cambria" w:hAnsi="Cambria"/>
          <w:sz w:val="24"/>
          <w:szCs w:val="24"/>
        </w:rPr>
      </w:pPr>
    </w:p>
    <w:p w:rsidR="00162E55" w:rsidRPr="007C19A3" w:rsidRDefault="005B2FA3" w:rsidP="005B2FA3">
      <w:pPr>
        <w:pStyle w:val="ListParagraph"/>
        <w:rPr>
          <w:rFonts w:ascii="Cambria" w:hAnsi="Cambria"/>
          <w:sz w:val="24"/>
          <w:szCs w:val="24"/>
        </w:rPr>
      </w:pPr>
      <w:r w:rsidRPr="00086540">
        <w:rPr>
          <w:rFonts w:ascii="Cambria" w:hAnsi="Cambria"/>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#3</w:t>
      </w:r>
      <w:r w:rsidR="00582A15">
        <w:rPr>
          <w:rFonts w:ascii="Cambria" w:hAnsi="Cambria"/>
          <w:sz w:val="24"/>
          <w:szCs w:val="24"/>
        </w:rPr>
        <w:t>– California National Forests Available Productive Forest Land Not Reserved Growth and Mortality</w:t>
      </w:r>
      <w:r w:rsidR="0053763F">
        <w:rPr>
          <w:rFonts w:ascii="Cambria" w:hAnsi="Cambria"/>
          <w:sz w:val="24"/>
          <w:szCs w:val="24"/>
        </w:rPr>
        <w:t xml:space="preserve"> (Forest Service Inventory &amp; Analysis (FIA) 2001-2005)</w:t>
      </w:r>
    </w:p>
    <w:p w:rsidR="00582A15" w:rsidRDefault="00582A15" w:rsidP="004E4AAA">
      <w:pPr>
        <w:rPr>
          <w:rFonts w:ascii="Cambria" w:hAnsi="Cambria"/>
          <w:sz w:val="24"/>
          <w:szCs w:val="24"/>
        </w:rPr>
      </w:pPr>
    </w:p>
    <w:p w:rsidR="00582A15" w:rsidRDefault="00582A15" w:rsidP="004E4AAA">
      <w:pPr>
        <w:rPr>
          <w:rFonts w:ascii="Cambria" w:hAnsi="Cambria"/>
          <w:b/>
          <w:sz w:val="24"/>
          <w:szCs w:val="24"/>
        </w:rPr>
      </w:pPr>
      <w:r w:rsidRPr="007103D2">
        <w:rPr>
          <w:rFonts w:ascii="Cambria" w:hAnsi="Cambria"/>
          <w:b/>
          <w:noProof/>
          <w:sz w:val="24"/>
          <w:szCs w:val="24"/>
        </w:rPr>
        <w:drawing>
          <wp:inline distT="0" distB="0" distL="0" distR="0" wp14:anchorId="2195EC47" wp14:editId="0F9636F0">
            <wp:extent cx="5791199" cy="4343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5612" cy="4354210"/>
                    </a:xfrm>
                    <a:prstGeom prst="rect">
                      <a:avLst/>
                    </a:prstGeom>
                  </pic:spPr>
                </pic:pic>
              </a:graphicData>
            </a:graphic>
          </wp:inline>
        </w:drawing>
      </w:r>
    </w:p>
    <w:p w:rsidR="00582A15" w:rsidRDefault="0053763F">
      <w:pPr>
        <w:rPr>
          <w:rFonts w:ascii="Cambria" w:hAnsi="Cambria"/>
          <w:b/>
          <w:sz w:val="24"/>
          <w:szCs w:val="24"/>
        </w:rPr>
      </w:pPr>
      <w:r>
        <w:rPr>
          <w:rFonts w:ascii="Cambria" w:hAnsi="Cambria"/>
          <w:b/>
          <w:sz w:val="24"/>
          <w:szCs w:val="24"/>
        </w:rPr>
        <w:t xml:space="preserve">Note: </w:t>
      </w:r>
      <w:r>
        <w:rPr>
          <w:rFonts w:ascii="Cambria" w:hAnsi="Cambria"/>
          <w:sz w:val="24"/>
          <w:szCs w:val="24"/>
        </w:rPr>
        <w:t>The FIA plot data used in this graph is from 2001-2005.  Since 2012, there has been a substantial increase in mortality due to insect and disease.</w:t>
      </w:r>
      <w:r w:rsidR="00582A15">
        <w:rPr>
          <w:rFonts w:ascii="Cambria" w:hAnsi="Cambria"/>
          <w:b/>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#4</w:t>
      </w:r>
      <w:r w:rsidR="00582A15">
        <w:rPr>
          <w:rFonts w:ascii="Cambria" w:hAnsi="Cambria"/>
          <w:b/>
          <w:sz w:val="24"/>
          <w:szCs w:val="24"/>
        </w:rPr>
        <w:t xml:space="preserve"> –</w:t>
      </w:r>
      <w:r w:rsidR="00582A15" w:rsidRPr="007103D2">
        <w:rPr>
          <w:rFonts w:ascii="Cambria" w:hAnsi="Cambria"/>
          <w:sz w:val="24"/>
          <w:szCs w:val="24"/>
        </w:rPr>
        <w:t xml:space="preserve"> California</w:t>
      </w:r>
      <w:r w:rsidR="00582A15">
        <w:rPr>
          <w:rFonts w:ascii="Cambria" w:hAnsi="Cambria"/>
          <w:b/>
          <w:sz w:val="24"/>
          <w:szCs w:val="24"/>
        </w:rPr>
        <w:t xml:space="preserve"> </w:t>
      </w:r>
      <w:r w:rsidR="00582A15">
        <w:rPr>
          <w:rFonts w:ascii="Cambria" w:hAnsi="Cambria"/>
          <w:sz w:val="24"/>
          <w:szCs w:val="24"/>
        </w:rPr>
        <w:t>Board of Equalization Timber Yield Statistics for Private and Public Lands 1978-2014</w:t>
      </w:r>
    </w:p>
    <w:p w:rsidR="00582A15" w:rsidRDefault="00582A15" w:rsidP="00582A15">
      <w:pPr>
        <w:rPr>
          <w:rFonts w:ascii="Cambria" w:hAnsi="Cambria"/>
          <w:sz w:val="24"/>
          <w:szCs w:val="24"/>
        </w:rPr>
      </w:pPr>
      <w:r>
        <w:rPr>
          <w:rFonts w:ascii="Cambria" w:hAnsi="Cambria"/>
          <w:sz w:val="24"/>
          <w:szCs w:val="24"/>
        </w:rPr>
        <w:tab/>
      </w:r>
    </w:p>
    <w:p w:rsidR="00582A15" w:rsidRDefault="00582A15" w:rsidP="00582A15">
      <w:pPr>
        <w:rPr>
          <w:rFonts w:ascii="Cambria" w:hAnsi="Cambria"/>
          <w:b/>
          <w:sz w:val="24"/>
          <w:szCs w:val="24"/>
        </w:rPr>
      </w:pPr>
      <w:r>
        <w:rPr>
          <w:rFonts w:ascii="Cambria" w:hAnsi="Cambria"/>
          <w:b/>
          <w:sz w:val="24"/>
          <w:szCs w:val="24"/>
        </w:rPr>
        <w:t>California Board of Equalization</w:t>
      </w:r>
    </w:p>
    <w:tbl>
      <w:tblPr>
        <w:tblW w:w="7924" w:type="dxa"/>
        <w:tblInd w:w="-108" w:type="dxa"/>
        <w:tblBorders>
          <w:top w:val="nil"/>
          <w:left w:val="nil"/>
          <w:bottom w:val="nil"/>
          <w:right w:val="nil"/>
        </w:tblBorders>
        <w:tblLayout w:type="fixed"/>
        <w:tblLook w:val="0000" w:firstRow="0" w:lastRow="0" w:firstColumn="0" w:lastColumn="0" w:noHBand="0" w:noVBand="0"/>
      </w:tblPr>
      <w:tblGrid>
        <w:gridCol w:w="1583"/>
        <w:gridCol w:w="1583"/>
        <w:gridCol w:w="1622"/>
        <w:gridCol w:w="1547"/>
        <w:gridCol w:w="1589"/>
      </w:tblGrid>
      <w:tr w:rsidR="00582A15" w:rsidRPr="00CF5C43" w:rsidTr="00514039">
        <w:trPr>
          <w:trHeight w:val="808"/>
        </w:trPr>
        <w:tc>
          <w:tcPr>
            <w:tcW w:w="7924" w:type="dxa"/>
            <w:gridSpan w:val="5"/>
          </w:tcPr>
          <w:p w:rsidR="00582A15" w:rsidRPr="00CF5C43" w:rsidRDefault="00582A15" w:rsidP="00514039">
            <w:pPr>
              <w:autoSpaceDE w:val="0"/>
              <w:autoSpaceDN w:val="0"/>
              <w:adjustRightInd w:val="0"/>
              <w:spacing w:after="0" w:line="240" w:lineRule="auto"/>
              <w:rPr>
                <w:rFonts w:ascii="Courier New" w:hAnsi="Courier New" w:cs="Courier New"/>
                <w:b/>
                <w:bCs/>
                <w:color w:val="000000"/>
                <w:sz w:val="23"/>
                <w:szCs w:val="23"/>
              </w:rPr>
            </w:pPr>
          </w:p>
        </w:tc>
      </w:tr>
      <w:tr w:rsidR="00582A15" w:rsidRPr="00CF5C43" w:rsidTr="00514039">
        <w:trPr>
          <w:trHeight w:val="808"/>
        </w:trPr>
        <w:tc>
          <w:tcPr>
            <w:tcW w:w="7924" w:type="dxa"/>
            <w:gridSpan w:val="5"/>
          </w:tcPr>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Courier New"/>
                <w:b/>
                <w:bCs/>
                <w:color w:val="000000"/>
                <w:sz w:val="24"/>
                <w:szCs w:val="24"/>
              </w:rPr>
              <w:t>CALIFORNIA TIMBER HARVEST STATISTICS</w:t>
            </w:r>
            <w:r w:rsidRPr="00CF5C43">
              <w:rPr>
                <w:rFonts w:ascii="Cambria" w:hAnsi="Cambria" w:cs="Courier New"/>
                <w:color w:val="000000"/>
                <w:sz w:val="24"/>
                <w:szCs w:val="24"/>
              </w:rPr>
              <w:t>COMPILED FROM TIMBER TAX RECORDS</w:t>
            </w:r>
            <w:r w:rsidRPr="00547CC0">
              <w:rPr>
                <w:rFonts w:ascii="Cambria" w:hAnsi="Cambria" w:cs="Courier New"/>
                <w:color w:val="000000"/>
                <w:sz w:val="24"/>
                <w:szCs w:val="24"/>
              </w:rPr>
              <w:t xml:space="preserve"> </w:t>
            </w:r>
            <w:r w:rsidRPr="00CF5C43">
              <w:rPr>
                <w:rFonts w:ascii="Cambria" w:hAnsi="Cambria" w:cs="Times New Roman"/>
                <w:color w:val="000000"/>
                <w:sz w:val="24"/>
                <w:szCs w:val="24"/>
              </w:rPr>
              <w:t xml:space="preserve">VOLUME FIGURES-ALL TIMBER </w:t>
            </w:r>
            <w:r w:rsidRPr="00547CC0">
              <w:rPr>
                <w:rFonts w:ascii="Cambria" w:hAnsi="Cambria" w:cs="Times New Roman"/>
                <w:color w:val="000000"/>
                <w:sz w:val="24"/>
                <w:szCs w:val="24"/>
              </w:rPr>
              <w:t>in Million board feet (mmbf)</w:t>
            </w:r>
          </w:p>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p>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547CC0">
              <w:rPr>
                <w:rFonts w:ascii="Cambria" w:hAnsi="Cambria" w:cs="Times New Roman"/>
                <w:color w:val="000000"/>
                <w:sz w:val="24"/>
                <w:szCs w:val="24"/>
              </w:rPr>
              <w:t>Calendar             Total                   Public                                                Private</w:t>
            </w:r>
          </w:p>
        </w:tc>
      </w:tr>
      <w:tr w:rsidR="00582A15" w:rsidRPr="00CF5C43" w:rsidTr="0053763F">
        <w:trPr>
          <w:trHeight w:val="115"/>
        </w:trPr>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YEAR</w:t>
            </w:r>
          </w:p>
        </w:tc>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MMBF</w:t>
            </w:r>
          </w:p>
        </w:tc>
        <w:tc>
          <w:tcPr>
            <w:tcW w:w="1622"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c>
          <w:tcPr>
            <w:tcW w:w="1547"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p>
        </w:tc>
        <w:tc>
          <w:tcPr>
            <w:tcW w:w="1589"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2,766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3,991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2,268</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3,164</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1,228</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2,672</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818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3,358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1,890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3,546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1,446</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3,818</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1,613</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2,205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4,265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1,869</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2,396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4,500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2,640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4,670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4,424</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1,791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2,633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4,021</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1,326</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2,695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3,195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1,142</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2,053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2,973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841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2,132</w:t>
            </w:r>
          </w:p>
        </w:tc>
      </w:tr>
      <w:tr w:rsidR="00582A15" w:rsidRPr="00CF5C43" w:rsidTr="0053763F">
        <w:trPr>
          <w:trHeight w:val="112"/>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2,871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344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375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1,931</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357</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2,043</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254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1,837</w:t>
            </w:r>
          </w:p>
        </w:tc>
      </w:tr>
      <w:tr w:rsidR="00582A15" w:rsidRPr="00CF5C43" w:rsidTr="0081455D">
        <w:trPr>
          <w:trHeight w:val="115"/>
        </w:trPr>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1999</w:t>
            </w:r>
          </w:p>
        </w:tc>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2,144</w:t>
            </w:r>
          </w:p>
        </w:tc>
        <w:tc>
          <w:tcPr>
            <w:tcW w:w="1622"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241</w:t>
            </w:r>
          </w:p>
        </w:tc>
        <w:tc>
          <w:tcPr>
            <w:tcW w:w="1547" w:type="dxa"/>
            <w:tcBorders>
              <w:top w:val="single" w:sz="8" w:space="0" w:color="000000"/>
              <w:left w:val="single" w:sz="4" w:space="0" w:color="auto"/>
              <w:bottom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1,903</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2000</w:t>
            </w:r>
          </w:p>
        </w:tc>
        <w:tc>
          <w:tcPr>
            <w:tcW w:w="1583" w:type="dxa"/>
            <w:tcBorders>
              <w:top w:val="single" w:sz="8" w:space="0" w:color="000000"/>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1,966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1,701</w:t>
            </w:r>
          </w:p>
        </w:tc>
      </w:tr>
      <w:tr w:rsidR="00582A15" w:rsidRPr="00CF5C43" w:rsidTr="0081455D">
        <w:trPr>
          <w:trHeight w:val="115"/>
        </w:trPr>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2001</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1,603</w:t>
            </w:r>
          </w:p>
        </w:tc>
        <w:tc>
          <w:tcPr>
            <w:tcW w:w="1622"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w:t>
            </w:r>
          </w:p>
        </w:tc>
        <w:tc>
          <w:tcPr>
            <w:tcW w:w="1547"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1,475</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2002</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1,690</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1,521</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2003</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1,663</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155</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1,508</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2004</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1,706</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1,593</w:t>
            </w:r>
          </w:p>
        </w:tc>
      </w:tr>
      <w:tr w:rsidR="00582A15" w:rsidRPr="00CF5C43" w:rsidTr="0081455D">
        <w:trPr>
          <w:trHeight w:val="115"/>
        </w:trPr>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2005</w:t>
            </w:r>
          </w:p>
        </w:tc>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622" w:type="dxa"/>
            <w:tcBorders>
              <w:top w:val="single" w:sz="4" w:space="0" w:color="auto"/>
              <w:left w:val="single" w:sz="4" w:space="0" w:color="auto"/>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w:t>
            </w:r>
          </w:p>
        </w:tc>
        <w:tc>
          <w:tcPr>
            <w:tcW w:w="1547" w:type="dxa"/>
            <w:tcBorders>
              <w:top w:val="single" w:sz="4" w:space="0" w:color="auto"/>
              <w:left w:val="single" w:sz="8" w:space="0" w:color="000000"/>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1,495</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2006</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1,631</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1,431</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 xml:space="preserve">2007 </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1,626</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187</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1,439</w:t>
            </w:r>
          </w:p>
        </w:tc>
      </w:tr>
      <w:tr w:rsidR="00582A15" w:rsidRPr="00CF5C43" w:rsidTr="0081455D">
        <w:trPr>
          <w:trHeight w:val="115"/>
        </w:trPr>
        <w:tc>
          <w:tcPr>
            <w:tcW w:w="1583"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2008</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1,372</w:t>
            </w:r>
          </w:p>
        </w:tc>
        <w:tc>
          <w:tcPr>
            <w:tcW w:w="1622"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99</w:t>
            </w:r>
          </w:p>
        </w:tc>
        <w:tc>
          <w:tcPr>
            <w:tcW w:w="1547"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1,273</w:t>
            </w:r>
          </w:p>
        </w:tc>
      </w:tr>
      <w:tr w:rsidR="00582A15" w:rsidRPr="00CF5C43" w:rsidTr="0081455D">
        <w:trPr>
          <w:trHeight w:val="115"/>
        </w:trPr>
        <w:tc>
          <w:tcPr>
            <w:tcW w:w="1583" w:type="dxa"/>
            <w:tcBorders>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2009</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805</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745</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2010</w:t>
            </w:r>
          </w:p>
        </w:tc>
        <w:tc>
          <w:tcPr>
            <w:tcW w:w="1583" w:type="dxa"/>
            <w:tcBorders>
              <w:top w:val="single" w:sz="4" w:space="0" w:color="auto"/>
              <w:right w:val="single" w:sz="4" w:space="0" w:color="auto"/>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1,161</w:t>
            </w:r>
          </w:p>
        </w:tc>
        <w:tc>
          <w:tcPr>
            <w:tcW w:w="1622" w:type="dxa"/>
            <w:tcBorders>
              <w:left w:val="single" w:sz="4" w:space="0" w:color="auto"/>
              <w:bottom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136</w:t>
            </w:r>
          </w:p>
        </w:tc>
        <w:tc>
          <w:tcPr>
            <w:tcW w:w="1547"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1,025</w:t>
            </w:r>
          </w:p>
        </w:tc>
      </w:tr>
      <w:tr w:rsidR="00582A15" w:rsidRPr="00CF5C43" w:rsidTr="0081455D">
        <w:trPr>
          <w:trHeight w:val="115"/>
        </w:trPr>
        <w:tc>
          <w:tcPr>
            <w:tcW w:w="1583"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2011</w:t>
            </w:r>
          </w:p>
        </w:tc>
        <w:tc>
          <w:tcPr>
            <w:tcW w:w="1583" w:type="dxa"/>
            <w:tcBorders>
              <w:bottom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1,288</w:t>
            </w:r>
          </w:p>
        </w:tc>
        <w:tc>
          <w:tcPr>
            <w:tcW w:w="1622"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1,130</w:t>
            </w:r>
          </w:p>
        </w:tc>
      </w:tr>
      <w:tr w:rsidR="00582A15" w:rsidRPr="00CF5C43" w:rsidTr="0081455D">
        <w:trPr>
          <w:trHeight w:val="115"/>
        </w:trPr>
        <w:tc>
          <w:tcPr>
            <w:tcW w:w="1583"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2012</w:t>
            </w:r>
          </w:p>
        </w:tc>
        <w:tc>
          <w:tcPr>
            <w:tcW w:w="1583" w:type="dxa"/>
            <w:tcBorders>
              <w:top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1,307</w:t>
            </w:r>
          </w:p>
        </w:tc>
        <w:tc>
          <w:tcPr>
            <w:tcW w:w="1622"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1,157</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1,645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1,422</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1,231</w:t>
            </w:r>
          </w:p>
        </w:tc>
      </w:tr>
      <w:tr w:rsidR="00BB3638"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622"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47"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r>
    </w:tbl>
    <w:p w:rsidR="00582A15" w:rsidRDefault="00582A15" w:rsidP="00582A15">
      <w:pPr>
        <w:tabs>
          <w:tab w:val="left" w:pos="8730"/>
        </w:tabs>
        <w:rPr>
          <w:rFonts w:ascii="Cambria" w:hAnsi="Cambria"/>
          <w:b/>
          <w:sz w:val="24"/>
          <w:szCs w:val="24"/>
        </w:rPr>
      </w:pPr>
    </w:p>
    <w:p w:rsidR="00BB3638" w:rsidRDefault="005B2FA3" w:rsidP="00BB3638">
      <w:pPr>
        <w:rPr>
          <w:rFonts w:ascii="Cambria" w:hAnsi="Cambria"/>
          <w:sz w:val="24"/>
          <w:szCs w:val="24"/>
        </w:rPr>
      </w:pPr>
      <w:r>
        <w:rPr>
          <w:rFonts w:ascii="Cambria" w:hAnsi="Cambria"/>
          <w:b/>
          <w:sz w:val="24"/>
          <w:szCs w:val="24"/>
        </w:rPr>
        <w:lastRenderedPageBreak/>
        <w:t>Enclosure #5</w:t>
      </w:r>
      <w:r w:rsidR="00BB3638">
        <w:rPr>
          <w:rFonts w:ascii="Cambria" w:hAnsi="Cambria"/>
          <w:sz w:val="24"/>
          <w:szCs w:val="24"/>
        </w:rPr>
        <w:t xml:space="preserve"> – U.C. Berkeley (Scott Stephens) and Forest Service Pacific Southwest Research Station (Brandon Collins) Research on Sierra Nevada Historic Condition</w:t>
      </w:r>
    </w:p>
    <w:p w:rsidR="00BB3638" w:rsidRDefault="00BB3638" w:rsidP="00BB3638">
      <w:pPr>
        <w:rPr>
          <w:rFonts w:ascii="Cambria" w:hAnsi="Cambria"/>
          <w:sz w:val="24"/>
          <w:szCs w:val="24"/>
        </w:rPr>
      </w:pPr>
      <w:r w:rsidRPr="00D92E2C">
        <w:rPr>
          <w:rFonts w:ascii="Cambria" w:hAnsi="Cambria"/>
          <w:noProof/>
          <w:sz w:val="24"/>
          <w:szCs w:val="24"/>
        </w:rPr>
        <w:drawing>
          <wp:inline distT="0" distB="0" distL="0" distR="0" wp14:anchorId="68356064" wp14:editId="62BFC2AE">
            <wp:extent cx="5943600" cy="747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47486"/>
                    </a:xfrm>
                    <a:prstGeom prst="rect">
                      <a:avLst/>
                    </a:prstGeom>
                    <a:noFill/>
                    <a:ln>
                      <a:noFill/>
                    </a:ln>
                  </pic:spPr>
                </pic:pic>
              </a:graphicData>
            </a:graphic>
          </wp:inline>
        </w:drawing>
      </w:r>
    </w:p>
    <w:p w:rsidR="00BB3638" w:rsidRDefault="00BB3638">
      <w:pPr>
        <w:rPr>
          <w:rFonts w:ascii="Cambria" w:hAnsi="Cambria"/>
          <w:b/>
          <w:sz w:val="24"/>
          <w:szCs w:val="24"/>
        </w:rPr>
      </w:pPr>
      <w:r w:rsidRPr="00D92E2C">
        <w:rPr>
          <w:rFonts w:ascii="Cambria" w:hAnsi="Cambria"/>
          <w:noProof/>
          <w:sz w:val="24"/>
          <w:szCs w:val="24"/>
        </w:rPr>
        <w:drawing>
          <wp:inline distT="0" distB="0" distL="0" distR="0" wp14:anchorId="38DD85B5" wp14:editId="255F3311">
            <wp:extent cx="6708140" cy="62387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7145" cy="6247108"/>
                    </a:xfrm>
                    <a:prstGeom prst="rect">
                      <a:avLst/>
                    </a:prstGeom>
                    <a:noFill/>
                    <a:ln>
                      <a:noFill/>
                    </a:ln>
                  </pic:spPr>
                </pic:pic>
              </a:graphicData>
            </a:graphic>
          </wp:inline>
        </w:drawing>
      </w:r>
      <w:r>
        <w:rPr>
          <w:rFonts w:ascii="Cambria" w:hAnsi="Cambria"/>
          <w:b/>
          <w:sz w:val="24"/>
          <w:szCs w:val="24"/>
        </w:rPr>
        <w:br w:type="page"/>
      </w:r>
    </w:p>
    <w:p w:rsidR="00BB3638" w:rsidRDefault="00BB3638" w:rsidP="00582A15">
      <w:pPr>
        <w:tabs>
          <w:tab w:val="left" w:pos="8730"/>
        </w:tabs>
        <w:rPr>
          <w:rFonts w:ascii="Cambria" w:hAnsi="Cambria"/>
          <w:b/>
          <w:sz w:val="24"/>
          <w:szCs w:val="24"/>
        </w:rPr>
      </w:pPr>
    </w:p>
    <w:p w:rsidR="007103D2" w:rsidRPr="00582A15" w:rsidRDefault="007103D2" w:rsidP="00582A15">
      <w:pPr>
        <w:tabs>
          <w:tab w:val="left" w:pos="8730"/>
        </w:tabs>
        <w:rPr>
          <w:rFonts w:ascii="Cambria" w:hAnsi="Cambria"/>
          <w:b/>
          <w:sz w:val="24"/>
          <w:szCs w:val="24"/>
        </w:rPr>
      </w:pPr>
      <w:r>
        <w:rPr>
          <w:rFonts w:ascii="Cambria" w:hAnsi="Cambria"/>
          <w:b/>
          <w:sz w:val="24"/>
          <w:szCs w:val="24"/>
        </w:rPr>
        <w:t>E</w:t>
      </w:r>
      <w:r w:rsidR="00582A15">
        <w:rPr>
          <w:rFonts w:ascii="Cambria" w:hAnsi="Cambria"/>
          <w:b/>
          <w:sz w:val="24"/>
          <w:szCs w:val="24"/>
        </w:rPr>
        <w:t>nclo</w:t>
      </w:r>
      <w:r w:rsidR="005B2FA3">
        <w:rPr>
          <w:rFonts w:ascii="Cambria" w:hAnsi="Cambria"/>
          <w:b/>
          <w:sz w:val="24"/>
          <w:szCs w:val="24"/>
        </w:rPr>
        <w:t>sure #6</w:t>
      </w:r>
      <w:r>
        <w:rPr>
          <w:rFonts w:ascii="Cambria" w:hAnsi="Cambria"/>
          <w:b/>
          <w:sz w:val="24"/>
          <w:szCs w:val="24"/>
        </w:rPr>
        <w:t xml:space="preserve"> – </w:t>
      </w:r>
      <w:r>
        <w:rPr>
          <w:rFonts w:ascii="Cambria" w:hAnsi="Cambria"/>
          <w:sz w:val="24"/>
          <w:szCs w:val="24"/>
        </w:rPr>
        <w:t>Pace and Scale of Thinning and Fuels Reduction on California National Forests has only been at a rate of 7% of annual growth for the past 20 years</w:t>
      </w:r>
    </w:p>
    <w:p w:rsidR="007103D2" w:rsidRDefault="007103D2">
      <w:pPr>
        <w:rPr>
          <w:rFonts w:ascii="Cambria" w:hAnsi="Cambria"/>
          <w:sz w:val="24"/>
          <w:szCs w:val="24"/>
        </w:rPr>
      </w:pPr>
    </w:p>
    <w:p w:rsidR="00B13960" w:rsidRDefault="007103D2">
      <w:pPr>
        <w:rPr>
          <w:rFonts w:ascii="Cambria" w:hAnsi="Cambria"/>
          <w:b/>
          <w:sz w:val="24"/>
          <w:szCs w:val="24"/>
        </w:rPr>
      </w:pPr>
      <w:r w:rsidRPr="007103D2">
        <w:rPr>
          <w:rFonts w:ascii="Cambria" w:hAnsi="Cambria"/>
          <w:b/>
          <w:noProof/>
          <w:sz w:val="24"/>
          <w:szCs w:val="24"/>
        </w:rPr>
        <w:drawing>
          <wp:inline distT="0" distB="0" distL="0" distR="0" wp14:anchorId="58A1E361" wp14:editId="7C616EB4">
            <wp:extent cx="6464299" cy="484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8582" cy="4888937"/>
                    </a:xfrm>
                    <a:prstGeom prst="rect">
                      <a:avLst/>
                    </a:prstGeom>
                  </pic:spPr>
                </pic:pic>
              </a:graphicData>
            </a:graphic>
          </wp:inline>
        </w:drawing>
      </w:r>
    </w:p>
    <w:p w:rsidR="00BB3638" w:rsidRDefault="00BB3638">
      <w:pPr>
        <w:rPr>
          <w:rFonts w:ascii="Cambria" w:hAnsi="Cambria"/>
          <w:b/>
          <w:sz w:val="24"/>
          <w:szCs w:val="24"/>
        </w:rPr>
      </w:pPr>
      <w:r>
        <w:rPr>
          <w:rFonts w:ascii="Cambria" w:hAnsi="Cambria"/>
          <w:b/>
          <w:sz w:val="24"/>
          <w:szCs w:val="24"/>
        </w:rPr>
        <w:br w:type="page"/>
      </w:r>
    </w:p>
    <w:p w:rsidR="00BB3638" w:rsidRDefault="00BB3638"/>
    <w:tbl>
      <w:tblPr>
        <w:tblW w:w="0" w:type="auto"/>
        <w:tblInd w:w="-30" w:type="dxa"/>
        <w:tblLayout w:type="fixed"/>
        <w:tblLook w:val="0000" w:firstRow="0" w:lastRow="0" w:firstColumn="0" w:lastColumn="0" w:noHBand="0" w:noVBand="0"/>
      </w:tblPr>
      <w:tblGrid>
        <w:gridCol w:w="6996"/>
      </w:tblGrid>
      <w:tr w:rsidR="00BB3638" w:rsidRPr="00C75C81" w:rsidTr="00514039">
        <w:trPr>
          <w:trHeight w:val="290"/>
        </w:trPr>
        <w:tc>
          <w:tcPr>
            <w:tcW w:w="6996" w:type="dxa"/>
            <w:tcBorders>
              <w:top w:val="nil"/>
              <w:left w:val="nil"/>
              <w:bottom w:val="nil"/>
              <w:right w:val="nil"/>
            </w:tcBorders>
          </w:tcPr>
          <w:p w:rsidR="00BB3638" w:rsidRDefault="00BB3638" w:rsidP="00514039">
            <w:pPr>
              <w:autoSpaceDE w:val="0"/>
              <w:autoSpaceDN w:val="0"/>
              <w:adjustRightInd w:val="0"/>
              <w:spacing w:after="0" w:line="240" w:lineRule="auto"/>
              <w:rPr>
                <w:rFonts w:ascii="Calibri" w:hAnsi="Calibri" w:cs="Calibri"/>
                <w:color w:val="000000"/>
              </w:rPr>
            </w:pPr>
          </w:p>
          <w:p w:rsidR="00BB3638" w:rsidRDefault="005B2FA3" w:rsidP="00BB3638">
            <w:pPr>
              <w:rPr>
                <w:rFonts w:ascii="Cambria" w:hAnsi="Cambria"/>
                <w:noProof/>
                <w:sz w:val="24"/>
                <w:szCs w:val="24"/>
              </w:rPr>
            </w:pPr>
            <w:r>
              <w:rPr>
                <w:rFonts w:ascii="Cambria" w:hAnsi="Cambria"/>
                <w:b/>
                <w:noProof/>
                <w:sz w:val="24"/>
                <w:szCs w:val="24"/>
              </w:rPr>
              <w:t>Enclosure #7</w:t>
            </w:r>
            <w:r w:rsidR="00BB3638">
              <w:rPr>
                <w:rFonts w:ascii="Cambria" w:hAnsi="Cambria"/>
                <w:b/>
                <w:noProof/>
                <w:sz w:val="24"/>
                <w:szCs w:val="24"/>
              </w:rPr>
              <w:t xml:space="preserve"> – </w:t>
            </w:r>
            <w:r w:rsidR="00BB3638" w:rsidRPr="00983154">
              <w:rPr>
                <w:rFonts w:ascii="Cambria" w:hAnsi="Cambria"/>
                <w:noProof/>
                <w:sz w:val="24"/>
                <w:szCs w:val="24"/>
              </w:rPr>
              <w:t>Drought Induced Insect and Disease Mortality in California</w:t>
            </w:r>
            <w:r w:rsidR="00BB3638">
              <w:rPr>
                <w:rFonts w:ascii="Cambria" w:hAnsi="Cambria"/>
                <w:noProof/>
                <w:sz w:val="24"/>
                <w:szCs w:val="24"/>
              </w:rPr>
              <w:t>, 2014 (Forest Service Aerial Survey, R5-PR-034)</w:t>
            </w:r>
          </w:p>
          <w:p w:rsidR="00BB3638" w:rsidRPr="00B53314" w:rsidRDefault="00BB3638" w:rsidP="00BB3638">
            <w:pPr>
              <w:pStyle w:val="Default"/>
              <w:rPr>
                <w:rFonts w:ascii="Cambria" w:hAnsi="Cambria" w:cs="Arial"/>
              </w:rPr>
            </w:pPr>
            <w:r w:rsidRPr="00B53314">
              <w:rPr>
                <w:rFonts w:ascii="Cambria" w:hAnsi="Cambria"/>
                <w:noProof/>
              </w:rPr>
              <w:t xml:space="preserve">Summary:  </w:t>
            </w:r>
          </w:p>
          <w:p w:rsidR="00BB3638" w:rsidRPr="00B53314" w:rsidRDefault="007E277F" w:rsidP="00BB3638">
            <w:pPr>
              <w:autoSpaceDE w:val="0"/>
              <w:autoSpaceDN w:val="0"/>
              <w:adjustRightInd w:val="0"/>
              <w:spacing w:after="0" w:line="240" w:lineRule="auto"/>
              <w:rPr>
                <w:rFonts w:ascii="Cambria" w:hAnsi="Cambria" w:cs="Arial"/>
                <w:color w:val="000000"/>
                <w:sz w:val="24"/>
                <w:szCs w:val="24"/>
              </w:rPr>
            </w:pPr>
            <w:r w:rsidRPr="00B53314">
              <w:rPr>
                <w:rFonts w:ascii="Cambria" w:hAnsi="Cambria" w:cs="Arial"/>
                <w:color w:val="000000"/>
                <w:sz w:val="24"/>
                <w:szCs w:val="24"/>
              </w:rPr>
              <w:t xml:space="preserve">2014 - </w:t>
            </w:r>
            <w:r w:rsidR="00BB3638" w:rsidRPr="00B53314">
              <w:rPr>
                <w:rFonts w:ascii="Cambria" w:hAnsi="Cambria" w:cs="Arial"/>
                <w:color w:val="000000"/>
                <w:sz w:val="24"/>
                <w:szCs w:val="24"/>
              </w:rPr>
              <w:t xml:space="preserve">820,000 acres with elevated mortality due to bark beetles or wood borers were mapped, up from 350,000 acres in 2013. </w:t>
            </w:r>
          </w:p>
          <w:p w:rsidR="00BB3638" w:rsidRPr="00C75C81" w:rsidRDefault="00BB3638" w:rsidP="00514039">
            <w:pPr>
              <w:autoSpaceDE w:val="0"/>
              <w:autoSpaceDN w:val="0"/>
              <w:adjustRightInd w:val="0"/>
              <w:spacing w:after="0" w:line="240" w:lineRule="auto"/>
              <w:rPr>
                <w:rFonts w:ascii="Calibri" w:hAnsi="Calibri" w:cs="Calibri"/>
                <w:color w:val="000000"/>
              </w:rPr>
            </w:pPr>
          </w:p>
        </w:tc>
      </w:tr>
    </w:tbl>
    <w:p w:rsidR="00D92E2C" w:rsidRPr="00BB3638" w:rsidRDefault="00BB3638">
      <w:pPr>
        <w:rPr>
          <w:rFonts w:ascii="Cambria" w:hAnsi="Cambria"/>
          <w:b/>
          <w:sz w:val="24"/>
          <w:szCs w:val="24"/>
        </w:rPr>
      </w:pPr>
      <w:r w:rsidRPr="00983154">
        <w:rPr>
          <w:rFonts w:ascii="Cambria" w:hAnsi="Cambria"/>
          <w:noProof/>
          <w:sz w:val="24"/>
          <w:szCs w:val="24"/>
        </w:rPr>
        <w:drawing>
          <wp:inline distT="0" distB="0" distL="0" distR="0" wp14:anchorId="129D8C3A" wp14:editId="41194019">
            <wp:extent cx="5676900" cy="654769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092" cy="6568679"/>
                    </a:xfrm>
                    <a:prstGeom prst="rect">
                      <a:avLst/>
                    </a:prstGeom>
                    <a:noFill/>
                    <a:ln>
                      <a:noFill/>
                    </a:ln>
                  </pic:spPr>
                </pic:pic>
              </a:graphicData>
            </a:graphic>
          </wp:inline>
        </w:drawing>
      </w:r>
    </w:p>
    <w:p w:rsidR="00D92E2C" w:rsidRPr="00D92E2C" w:rsidRDefault="00BB3638" w:rsidP="00BB3638">
      <w:pPr>
        <w:jc w:val="center"/>
        <w:rPr>
          <w:rFonts w:ascii="Cambria" w:hAnsi="Cambria"/>
          <w:noProof/>
          <w:sz w:val="24"/>
          <w:szCs w:val="24"/>
        </w:rPr>
      </w:pPr>
      <w:r w:rsidRPr="00BB3638">
        <w:rPr>
          <w:rFonts w:ascii="Cambria" w:hAnsi="Cambria"/>
          <w:b/>
          <w:noProof/>
          <w:sz w:val="24"/>
          <w:szCs w:val="24"/>
        </w:rPr>
        <w:lastRenderedPageBreak/>
        <w:t>Encl</w:t>
      </w:r>
      <w:r w:rsidR="005B2FA3">
        <w:rPr>
          <w:rFonts w:ascii="Cambria" w:hAnsi="Cambria"/>
          <w:b/>
          <w:noProof/>
          <w:sz w:val="24"/>
          <w:szCs w:val="24"/>
        </w:rPr>
        <w:t>osure #8</w:t>
      </w:r>
      <w:r w:rsidR="00D92E2C" w:rsidRPr="00D92E2C">
        <w:rPr>
          <w:rFonts w:ascii="Cambria" w:hAnsi="Cambria"/>
          <w:b/>
          <w:noProof/>
          <w:sz w:val="24"/>
          <w:szCs w:val="24"/>
        </w:rPr>
        <w:t xml:space="preserve"> </w:t>
      </w:r>
      <w:r w:rsidR="00D92E2C">
        <w:rPr>
          <w:rFonts w:ascii="Cambria" w:hAnsi="Cambria"/>
          <w:b/>
          <w:noProof/>
          <w:sz w:val="24"/>
          <w:szCs w:val="24"/>
        </w:rPr>
        <w:t>– Rim Fire</w:t>
      </w:r>
      <w:r w:rsidR="00D92E2C">
        <w:rPr>
          <w:rFonts w:ascii="Cambria" w:hAnsi="Cambria"/>
          <w:noProof/>
          <w:sz w:val="24"/>
          <w:szCs w:val="24"/>
        </w:rPr>
        <w:t xml:space="preserve"> (Stanislaus National Forest) Pre-Fire Photo July 15, 2013</w:t>
      </w:r>
    </w:p>
    <w:p w:rsidR="00D92E2C" w:rsidRDefault="00D92E2C">
      <w:pPr>
        <w:rPr>
          <w:rFonts w:ascii="Cambria" w:hAnsi="Cambria"/>
          <w:noProof/>
          <w:sz w:val="24"/>
          <w:szCs w:val="24"/>
        </w:rPr>
      </w:pPr>
    </w:p>
    <w:p w:rsidR="00D92E2C" w:rsidRDefault="00D92E2C">
      <w:pPr>
        <w:rPr>
          <w:rFonts w:ascii="Cambria" w:hAnsi="Cambria"/>
          <w:noProof/>
          <w:sz w:val="24"/>
          <w:szCs w:val="24"/>
        </w:rPr>
      </w:pPr>
      <w:r w:rsidRPr="00D92E2C">
        <w:rPr>
          <w:rFonts w:ascii="Cambria" w:hAnsi="Cambria"/>
          <w:noProof/>
          <w:sz w:val="24"/>
          <w:szCs w:val="24"/>
        </w:rPr>
        <w:drawing>
          <wp:inline distT="0" distB="0" distL="0" distR="0">
            <wp:extent cx="5943600" cy="47063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06329"/>
                    </a:xfrm>
                    <a:prstGeom prst="rect">
                      <a:avLst/>
                    </a:prstGeom>
                    <a:noFill/>
                    <a:ln>
                      <a:noFill/>
                    </a:ln>
                  </pic:spPr>
                </pic:pic>
              </a:graphicData>
            </a:graphic>
          </wp:inline>
        </w:drawing>
      </w:r>
    </w:p>
    <w:p w:rsidR="00D92E2C" w:rsidRPr="00D92E2C" w:rsidRDefault="00D92E2C">
      <w:pPr>
        <w:rPr>
          <w:rFonts w:ascii="Cambria" w:hAnsi="Cambria"/>
          <w:b/>
          <w:noProof/>
          <w:sz w:val="24"/>
          <w:szCs w:val="24"/>
        </w:rPr>
      </w:pPr>
    </w:p>
    <w:p w:rsidR="007103D2" w:rsidRDefault="007103D2">
      <w:pPr>
        <w:rPr>
          <w:rFonts w:ascii="Cambria" w:hAnsi="Cambria"/>
          <w:b/>
          <w:noProof/>
          <w:sz w:val="24"/>
          <w:szCs w:val="24"/>
        </w:rPr>
      </w:pPr>
      <w:r>
        <w:rPr>
          <w:rFonts w:ascii="Cambria" w:hAnsi="Cambria"/>
          <w:b/>
          <w:noProof/>
          <w:sz w:val="24"/>
          <w:szCs w:val="24"/>
        </w:rPr>
        <w:br w:type="page"/>
      </w:r>
    </w:p>
    <w:p w:rsidR="00D92E2C" w:rsidRDefault="005B2FA3">
      <w:pPr>
        <w:rPr>
          <w:rFonts w:ascii="Cambria" w:hAnsi="Cambria"/>
          <w:noProof/>
          <w:sz w:val="24"/>
          <w:szCs w:val="24"/>
        </w:rPr>
      </w:pPr>
      <w:r>
        <w:rPr>
          <w:rFonts w:ascii="Cambria" w:hAnsi="Cambria"/>
          <w:b/>
          <w:noProof/>
          <w:sz w:val="24"/>
          <w:szCs w:val="24"/>
        </w:rPr>
        <w:lastRenderedPageBreak/>
        <w:t>Enclosure #9</w:t>
      </w:r>
      <w:r w:rsidR="00D92E2C">
        <w:rPr>
          <w:rFonts w:ascii="Cambria" w:hAnsi="Cambria"/>
          <w:noProof/>
          <w:sz w:val="24"/>
          <w:szCs w:val="24"/>
        </w:rPr>
        <w:t xml:space="preserve"> – Rim Fire Post-Fire Photo </w:t>
      </w:r>
      <w:r w:rsidR="007103D2">
        <w:rPr>
          <w:rFonts w:ascii="Cambria" w:hAnsi="Cambria"/>
          <w:noProof/>
          <w:sz w:val="24"/>
          <w:szCs w:val="24"/>
        </w:rPr>
        <w:t xml:space="preserve">Sept. 25, 2013 </w:t>
      </w:r>
      <w:r w:rsidR="007E277F">
        <w:rPr>
          <w:rFonts w:ascii="Cambria" w:hAnsi="Cambria"/>
          <w:noProof/>
          <w:sz w:val="24"/>
          <w:szCs w:val="24"/>
        </w:rPr>
        <w:t>(same location as Enclosure #8</w:t>
      </w:r>
      <w:r w:rsidR="00D92E2C">
        <w:rPr>
          <w:rFonts w:ascii="Cambria" w:hAnsi="Cambria"/>
          <w:noProof/>
          <w:sz w:val="24"/>
          <w:szCs w:val="24"/>
        </w:rPr>
        <w:t>)</w:t>
      </w:r>
    </w:p>
    <w:p w:rsidR="00BB3638" w:rsidRDefault="007103D2">
      <w:pPr>
        <w:rPr>
          <w:rFonts w:ascii="Cambria" w:hAnsi="Cambria"/>
          <w:noProof/>
          <w:sz w:val="24"/>
          <w:szCs w:val="24"/>
        </w:rPr>
      </w:pPr>
      <w:r w:rsidRPr="007103D2">
        <w:rPr>
          <w:rFonts w:ascii="Cambria" w:hAnsi="Cambria"/>
          <w:noProof/>
          <w:sz w:val="24"/>
          <w:szCs w:val="24"/>
        </w:rPr>
        <w:drawing>
          <wp:inline distT="0" distB="0" distL="0" distR="0">
            <wp:extent cx="6438900" cy="49634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2290" cy="4966081"/>
                    </a:xfrm>
                    <a:prstGeom prst="rect">
                      <a:avLst/>
                    </a:prstGeom>
                    <a:noFill/>
                    <a:ln>
                      <a:noFill/>
                    </a:ln>
                  </pic:spPr>
                </pic:pic>
              </a:graphicData>
            </a:graphic>
          </wp:inline>
        </w:drawing>
      </w:r>
    </w:p>
    <w:p w:rsidR="001810AC" w:rsidRDefault="001810AC">
      <w:pPr>
        <w:rPr>
          <w:rFonts w:ascii="Cambria" w:hAnsi="Cambria"/>
          <w:noProof/>
          <w:sz w:val="24"/>
          <w:szCs w:val="24"/>
        </w:rPr>
      </w:pPr>
      <w:r>
        <w:rPr>
          <w:rFonts w:ascii="Cambria" w:hAnsi="Cambria"/>
          <w:noProof/>
          <w:sz w:val="24"/>
          <w:szCs w:val="24"/>
        </w:rPr>
        <w:br w:type="page"/>
      </w:r>
    </w:p>
    <w:p w:rsidR="001810AC" w:rsidRPr="00CF5C43" w:rsidRDefault="005B2FA3" w:rsidP="001810AC">
      <w:pPr>
        <w:rPr>
          <w:rFonts w:ascii="Cambria" w:hAnsi="Cambria"/>
          <w:b/>
          <w:noProof/>
          <w:sz w:val="24"/>
          <w:szCs w:val="24"/>
        </w:rPr>
      </w:pPr>
      <w:r>
        <w:rPr>
          <w:rFonts w:ascii="Cambria" w:hAnsi="Cambria"/>
          <w:b/>
          <w:noProof/>
          <w:sz w:val="24"/>
          <w:szCs w:val="24"/>
        </w:rPr>
        <w:lastRenderedPageBreak/>
        <w:t>Enclosure #10</w:t>
      </w:r>
      <w:r w:rsidR="001810AC">
        <w:rPr>
          <w:rFonts w:ascii="Cambria" w:hAnsi="Cambria"/>
          <w:b/>
          <w:noProof/>
          <w:sz w:val="24"/>
          <w:szCs w:val="24"/>
        </w:rPr>
        <w:t xml:space="preserve"> – </w:t>
      </w:r>
      <w:r w:rsidR="001810AC" w:rsidRPr="00CF5C43">
        <w:rPr>
          <w:rFonts w:ascii="Cambria" w:hAnsi="Cambria"/>
          <w:noProof/>
          <w:sz w:val="24"/>
          <w:szCs w:val="24"/>
        </w:rPr>
        <w:t>Average Wildfire Burned Acres on C</w:t>
      </w:r>
      <w:r w:rsidR="001810AC">
        <w:rPr>
          <w:rFonts w:ascii="Cambria" w:hAnsi="Cambria"/>
          <w:noProof/>
          <w:sz w:val="24"/>
          <w:szCs w:val="24"/>
        </w:rPr>
        <w:t>alifornia National Forests 2001</w:t>
      </w:r>
      <w:r w:rsidR="001810AC" w:rsidRPr="00CF5C43">
        <w:rPr>
          <w:rFonts w:ascii="Cambria" w:hAnsi="Cambria"/>
          <w:noProof/>
          <w:sz w:val="24"/>
          <w:szCs w:val="24"/>
        </w:rPr>
        <w:t>-2014</w:t>
      </w:r>
    </w:p>
    <w:p w:rsidR="001810AC" w:rsidRDefault="001810AC" w:rsidP="001810AC">
      <w:pPr>
        <w:rPr>
          <w:rFonts w:ascii="Cambria" w:hAnsi="Cambria"/>
          <w:b/>
          <w:noProof/>
          <w:sz w:val="24"/>
          <w:szCs w:val="24"/>
        </w:rPr>
      </w:pPr>
    </w:p>
    <w:tbl>
      <w:tblPr>
        <w:tblW w:w="0" w:type="auto"/>
        <w:tblInd w:w="-30" w:type="dxa"/>
        <w:tblLayout w:type="fixed"/>
        <w:tblLook w:val="0000" w:firstRow="0" w:lastRow="0" w:firstColumn="0" w:lastColumn="0" w:noHBand="0" w:noVBand="0"/>
      </w:tblPr>
      <w:tblGrid>
        <w:gridCol w:w="1032"/>
        <w:gridCol w:w="1562"/>
        <w:gridCol w:w="1032"/>
        <w:gridCol w:w="1306"/>
        <w:gridCol w:w="1032"/>
        <w:gridCol w:w="1032"/>
      </w:tblGrid>
      <w:tr w:rsidR="001810AC" w:rsidRPr="00C75C81" w:rsidTr="00514039">
        <w:trPr>
          <w:trHeight w:val="873"/>
        </w:trPr>
        <w:tc>
          <w:tcPr>
            <w:tcW w:w="6996" w:type="dxa"/>
            <w:gridSpan w:val="6"/>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California Acres Burned (US Forest Service and Total) Year 2001-2014</w:t>
            </w:r>
          </w:p>
          <w:p w:rsidR="001810AC" w:rsidRDefault="001810AC" w:rsidP="00514039">
            <w:pPr>
              <w:autoSpaceDE w:val="0"/>
              <w:autoSpaceDN w:val="0"/>
              <w:adjustRightInd w:val="0"/>
              <w:spacing w:after="0" w:line="240" w:lineRule="auto"/>
              <w:rPr>
                <w:rFonts w:ascii="Calibri" w:hAnsi="Calibri" w:cs="Calibri"/>
                <w:color w:val="000000"/>
              </w:rPr>
            </w:pPr>
          </w:p>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80"/>
        </w:trPr>
        <w:tc>
          <w:tcPr>
            <w:tcW w:w="6996" w:type="dxa"/>
            <w:gridSpan w:val="6"/>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center"/>
              <w:rPr>
                <w:rFonts w:ascii="Calibri" w:hAnsi="Calibri" w:cs="Calibri"/>
                <w:b/>
                <w:color w:val="000000"/>
                <w:u w:val="single"/>
              </w:rPr>
            </w:pPr>
            <w:r w:rsidRPr="00C75C81">
              <w:rPr>
                <w:rFonts w:ascii="Calibri" w:hAnsi="Calibri" w:cs="Calibri"/>
                <w:b/>
                <w:color w:val="000000"/>
                <w:u w:val="single"/>
              </w:rPr>
              <w:t>Year</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Forest Service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Statewide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w:t>
            </w:r>
          </w:p>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2015</w:t>
            </w: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Over 400,000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B53314" w:rsidP="00B53314">
            <w:pPr>
              <w:autoSpaceDE w:val="0"/>
              <w:autoSpaceDN w:val="0"/>
              <w:adjustRightInd w:val="0"/>
              <w:spacing w:after="0" w:line="240" w:lineRule="auto"/>
              <w:rPr>
                <w:rFonts w:ascii="Calibri" w:hAnsi="Calibri" w:cs="Calibri"/>
                <w:color w:val="000000"/>
              </w:rPr>
            </w:pPr>
            <w:r>
              <w:rPr>
                <w:rFonts w:ascii="Calibri" w:hAnsi="Calibri" w:cs="Calibri"/>
                <w:color w:val="000000"/>
              </w:rPr>
              <w:t>Over 700,000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400,005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530,794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350,642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577,675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297,212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xml:space="preserve"> </w:t>
            </w: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869,599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41,777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126,854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2010</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39,288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109,529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2009</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305,371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405,585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2008</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919,716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1,375,781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2007</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551,932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1,087,110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2006</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453,500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678,919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2005</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19,583</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202,754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49,437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242,057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363,964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793,402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365,945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506,696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106,798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329,126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AVG.</w:t>
            </w:r>
            <w:r w:rsidR="007E277F">
              <w:rPr>
                <w:rFonts w:ascii="Calibri" w:hAnsi="Calibri" w:cs="Calibri"/>
                <w:color w:val="000000"/>
              </w:rPr>
              <w:t xml:space="preserve"> 2001-2014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304,655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559,706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5964" w:type="dxa"/>
            <w:gridSpan w:val="5"/>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- 20% of acreage in California; 53% of acres burned</w:t>
            </w:r>
          </w:p>
          <w:p w:rsidR="001810AC" w:rsidRDefault="001810AC" w:rsidP="00514039">
            <w:pPr>
              <w:autoSpaceDE w:val="0"/>
              <w:autoSpaceDN w:val="0"/>
              <w:adjustRightInd w:val="0"/>
              <w:spacing w:after="0" w:line="240" w:lineRule="auto"/>
              <w:rPr>
                <w:rFonts w:ascii="Calibri" w:hAnsi="Calibri" w:cs="Calibri"/>
                <w:color w:val="000000"/>
              </w:rPr>
            </w:pPr>
          </w:p>
          <w:p w:rsidR="001810AC" w:rsidRDefault="001810AC" w:rsidP="00514039">
            <w:pPr>
              <w:autoSpaceDE w:val="0"/>
              <w:autoSpaceDN w:val="0"/>
              <w:adjustRightInd w:val="0"/>
              <w:spacing w:after="0" w:line="240" w:lineRule="auto"/>
              <w:rPr>
                <w:rFonts w:ascii="Calibri" w:hAnsi="Calibri" w:cs="Calibri"/>
                <w:color w:val="000000"/>
              </w:rPr>
            </w:pPr>
            <w:r>
              <w:rPr>
                <w:rFonts w:ascii="Calibri" w:hAnsi="Calibri" w:cs="Calibri"/>
                <w:color w:val="000000"/>
              </w:rPr>
              <w:t>S</w:t>
            </w:r>
            <w:r w:rsidRPr="00C75C81">
              <w:rPr>
                <w:rFonts w:ascii="Calibri" w:hAnsi="Calibri" w:cs="Calibri"/>
                <w:color w:val="000000"/>
              </w:rPr>
              <w:t xml:space="preserve">ource:  http://www.nifc.gov/fireInfo/fireInfo_statistics.html </w:t>
            </w:r>
          </w:p>
          <w:p w:rsidR="001810AC" w:rsidRPr="00C75C81" w:rsidRDefault="001810AC" w:rsidP="00514039">
            <w:pPr>
              <w:autoSpaceDE w:val="0"/>
              <w:autoSpaceDN w:val="0"/>
              <w:adjustRightInd w:val="0"/>
              <w:spacing w:after="0" w:line="240" w:lineRule="auto"/>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bl>
    <w:p w:rsidR="001810AC" w:rsidRDefault="001810AC">
      <w:pPr>
        <w:rPr>
          <w:rFonts w:ascii="Cambria" w:hAnsi="Cambria"/>
          <w:noProof/>
          <w:sz w:val="24"/>
          <w:szCs w:val="24"/>
        </w:rPr>
      </w:pPr>
      <w:r>
        <w:br w:type="page"/>
      </w:r>
    </w:p>
    <w:p w:rsidR="00D92E2C" w:rsidRPr="005F1917" w:rsidRDefault="005B2FA3">
      <w:pPr>
        <w:rPr>
          <w:rFonts w:ascii="Cambria" w:hAnsi="Cambria"/>
          <w:sz w:val="24"/>
          <w:szCs w:val="24"/>
        </w:rPr>
      </w:pPr>
      <w:r>
        <w:rPr>
          <w:rFonts w:ascii="Cambria" w:hAnsi="Cambria"/>
          <w:b/>
          <w:sz w:val="24"/>
          <w:szCs w:val="24"/>
        </w:rPr>
        <w:lastRenderedPageBreak/>
        <w:t>Enclosure #11</w:t>
      </w:r>
      <w:r w:rsidR="005F1917" w:rsidRPr="005F1917">
        <w:rPr>
          <w:rFonts w:ascii="Cambria" w:hAnsi="Cambria"/>
          <w:b/>
          <w:sz w:val="24"/>
          <w:szCs w:val="24"/>
        </w:rPr>
        <w:t xml:space="preserve"> </w:t>
      </w:r>
      <w:r w:rsidR="008167BC">
        <w:rPr>
          <w:rFonts w:ascii="Cambria" w:hAnsi="Cambria"/>
          <w:b/>
          <w:sz w:val="24"/>
          <w:szCs w:val="24"/>
        </w:rPr>
        <w:t>–</w:t>
      </w:r>
      <w:r w:rsidR="005F1917" w:rsidRPr="005F1917">
        <w:rPr>
          <w:rFonts w:ascii="Cambria" w:hAnsi="Cambria"/>
          <w:b/>
          <w:sz w:val="24"/>
          <w:szCs w:val="24"/>
        </w:rPr>
        <w:t xml:space="preserve"> </w:t>
      </w:r>
    </w:p>
    <w:p w:rsidR="00D92E2C" w:rsidRPr="005F1917" w:rsidRDefault="00D92E2C">
      <w:pPr>
        <w:rPr>
          <w:rFonts w:ascii="Cambria" w:hAnsi="Cambria"/>
          <w:sz w:val="24"/>
          <w:szCs w:val="24"/>
        </w:rPr>
      </w:pP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 xml:space="preserve">Regional Cumulative Effects Analysis for Black-Backed Woodpeckers in California </w:t>
      </w: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Using Burned Forested Habitat – June 13, 2013</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Geographic Extent of Calculations</w:t>
      </w:r>
    </w:p>
    <w:p w:rsidR="005F1917" w:rsidRDefault="005F1917" w:rsidP="005F1917">
      <w:pPr>
        <w:autoSpaceDE w:val="0"/>
        <w:autoSpaceDN w:val="0"/>
        <w:adjustRightInd w:val="0"/>
        <w:spacing w:after="0" w:line="240" w:lineRule="auto"/>
        <w:rPr>
          <w:rFonts w:ascii="Cambria" w:hAnsi="Cambria" w:cs="Times New Roman"/>
          <w:sz w:val="24"/>
          <w:szCs w:val="24"/>
        </w:rPr>
      </w:pPr>
      <w:r w:rsidRPr="005F1917">
        <w:rPr>
          <w:rFonts w:ascii="Cambria" w:hAnsi="Cambria" w:cs="Times New Roman"/>
          <w:sz w:val="24"/>
          <w:szCs w:val="24"/>
        </w:rPr>
        <w:t xml:space="preserve">We defined the area of interest as the range of the Black-backed Woodpecker in California based on the revised California Wildlife Habitat Relations (CWHR) map/shapefile for the Black-backed Woodpecker that the California Department of Fish and Wildlife (DFW) used in their recent CESA listing package (Daniel Applebee, DFW, personal communication). Black-backed Woodpeckers are known to specialize on burned forest, but they also use unburned forests; </w:t>
      </w:r>
      <w:r w:rsidRPr="005F1917">
        <w:rPr>
          <w:rFonts w:ascii="Cambria" w:hAnsi="Cambria" w:cs="Times New Roman"/>
          <w:sz w:val="24"/>
          <w:szCs w:val="24"/>
          <w:u w:val="single"/>
        </w:rPr>
        <w:t>we restricted this analysis to burned forest</w:t>
      </w:r>
      <w:r w:rsidRPr="005F1917">
        <w:rPr>
          <w:rFonts w:ascii="Cambria" w:hAnsi="Cambria" w:cs="Times New Roman"/>
          <w:sz w:val="24"/>
          <w:szCs w:val="24"/>
        </w:rPr>
        <w:t>. Within the extent of the Black-backed Woodpecker’s range, we only considered CWHR forest types Douglas-Fir, Jeffrey Pine, Eastside Pine, Klamath Mixed Conifer, Lodgepole Pine, Ponderosa Pine, Red Fir, Subalpine Conifer, Sierran Mixed Conifer, White Fir, and Unknown Conifer in CWHR size classes greater or equal to 3 (size class 3 corresponds to 6-11 inch dbh) and where the CWHR tree canopy was moderate or dense as identified in the CalFIRE FRAP fveg02_2 data layer. These criteria correspond to the habitat preferences of Black-backed Woodpeckers:</w:t>
      </w:r>
    </w:p>
    <w:p w:rsidR="005F1917" w:rsidRPr="005F1917" w:rsidRDefault="005F1917" w:rsidP="005F1917">
      <w:pPr>
        <w:autoSpaceDE w:val="0"/>
        <w:autoSpaceDN w:val="0"/>
        <w:adjustRightInd w:val="0"/>
        <w:spacing w:after="0" w:line="240" w:lineRule="auto"/>
        <w:rPr>
          <w:rFonts w:ascii="Cambria" w:hAnsi="Cambria" w:cs="Times New Roman"/>
          <w:sz w:val="24"/>
          <w:szCs w:val="24"/>
        </w:rPr>
      </w:pPr>
    </w:p>
    <w:p w:rsidR="005F1917" w:rsidRPr="005F1917" w:rsidRDefault="005F1917" w:rsidP="005F1917">
      <w:pPr>
        <w:autoSpaceDE w:val="0"/>
        <w:autoSpaceDN w:val="0"/>
        <w:adjustRightInd w:val="0"/>
        <w:spacing w:after="0" w:line="240" w:lineRule="auto"/>
        <w:ind w:left="720"/>
        <w:rPr>
          <w:rFonts w:ascii="Cambria" w:hAnsi="Cambria" w:cs="Times New Roman"/>
          <w:sz w:val="24"/>
          <w:szCs w:val="24"/>
        </w:rPr>
      </w:pPr>
      <w:r w:rsidRPr="005F1917">
        <w:rPr>
          <w:rFonts w:ascii="Cambria" w:hAnsi="Cambria" w:cs="Times New Roman"/>
          <w:sz w:val="24"/>
          <w:szCs w:val="24"/>
        </w:rPr>
        <w:t xml:space="preserve"> “</w:t>
      </w:r>
      <w:r w:rsidRPr="005F1917">
        <w:rPr>
          <w:rFonts w:ascii="Cambria" w:hAnsi="Cambria" w:cs="TimesNewRomanPSMT"/>
          <w:sz w:val="24"/>
          <w:szCs w:val="24"/>
        </w:rPr>
        <w:t>Researchers working in different forest types have defined tree size classes in various ways, but as a general guideline, large snags indicative of preferred foraging habitat roughly correspond to California Wildlife Habitat Relationships (CWHR; Mayer and Laudenslayer 1988) size class 5 (dbh &gt;24”) and medium- and small-diameter snags typical of nesting habitat roughly correspond to CWHR size class 4 (dbh = 11-24”) or occasionally 3 (dbh = 6-11”)” (Bond et al. 2012, p. 9).</w:t>
      </w:r>
      <w:r w:rsidRPr="005F1917">
        <w:rPr>
          <w:rFonts w:ascii="Cambria" w:hAnsi="Cambria" w:cs="Times New Roman"/>
          <w:sz w:val="24"/>
          <w:szCs w:val="24"/>
        </w:rPr>
        <w:t xml:space="preserve"> </w:t>
      </w:r>
    </w:p>
    <w:p w:rsidR="005F1917" w:rsidRPr="005F1917" w:rsidRDefault="005F1917" w:rsidP="005F1917">
      <w:pPr>
        <w:autoSpaceDE w:val="0"/>
        <w:autoSpaceDN w:val="0"/>
        <w:adjustRightInd w:val="0"/>
        <w:spacing w:after="0" w:line="240" w:lineRule="auto"/>
        <w:rPr>
          <w:rFonts w:ascii="Cambria" w:hAnsi="Cambria" w:cs="TimesNewRomanPSMT"/>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considered the following land ownership categories: Forest Service lands, National Park Service (NPS) lands, and other lands. The other lands category primarily includes private lands, but could also include state or federal lands that are not part of NPS or the Forest Service.</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Temporal Extent of Calculations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Black-backed Woodpecker are known to use areas burned in the previous 10 years with the greatest activity generally occurring in the 8 years following fire. We included fires that occurred from 2005-2012 which represents the prior 8 years for birds using the habitat in 2013.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 xml:space="preserve">Calculating the Amount of Burned Habitat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used the Vegetation Burn Severity data layer to calculate the extent of burned habitat using GIS. This layer includes public and private lands and ranks the burn severity of forested lands as low, moderate, or high for fires at a minimum size of 300 acres, so our analysis only includes fires which were 300 acres or greater</w:t>
      </w:r>
      <w:r w:rsidRPr="005F1917">
        <w:rPr>
          <w:rFonts w:ascii="Cambria" w:hAnsi="Cambria" w:cs="Times New Roman"/>
          <w:color w:val="000000"/>
          <w:sz w:val="24"/>
          <w:szCs w:val="24"/>
        </w:rPr>
        <w:t xml:space="preserve">.  Low severity represents </w:t>
      </w:r>
      <w:r w:rsidRPr="005F1917">
        <w:rPr>
          <w:rFonts w:ascii="Cambria" w:hAnsi="Cambria" w:cs="Times New Roman"/>
          <w:color w:val="000000"/>
          <w:sz w:val="24"/>
          <w:szCs w:val="24"/>
        </w:rPr>
        <w:lastRenderedPageBreak/>
        <w:t>areas of surface fire with little change in cover and little mortality of the structurally dominant vegetation; 0.1 &lt;= CBI &lt; 1.25 (CBI=Composite Burn Index).  Moderate severity represents fire areas between low and high and means there is a mixture of effects on the structurally dominant vegetation; 1.25 &lt;= CBI &lt; 2.25. High severity represents areas where the dominant vegetation has high to complete mortality; 2.25 &lt;= CBI &lt;= 3.0.</w:t>
      </w:r>
      <w:r w:rsidRPr="005F1917">
        <w:rPr>
          <w:rFonts w:ascii="Cambria" w:hAnsi="Cambria"/>
          <w:color w:val="000000"/>
          <w:sz w:val="24"/>
          <w:szCs w:val="24"/>
        </w:rPr>
        <w:t xml:space="preserve"> </w:t>
      </w:r>
      <w:r w:rsidRPr="005F1917">
        <w:rPr>
          <w:rFonts w:ascii="Cambria" w:hAnsi="Cambria" w:cs="Times New Roman"/>
          <w:sz w:val="24"/>
          <w:szCs w:val="24"/>
        </w:rPr>
        <w:t xml:space="preserve">For NPS lands, only fires that extend into Forest Service lands are mapped on the Vegetation Burn Severity data layer.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burned habitat within the range of the Black-backed Woodpecker using two sets of criteria for woodpecker habitat.  We first calculated area using both moderate and high severity burn categories (which Black-backed Woodpeckers are known to prefer), and then we repeated the calculation to include low, moderate, and high severity areas within each fire. Although Black-backed Woodpeckers prefer high and moderate severity fire, they also use low severity fire areas, particularly when those areas are interspersed with more severely burned areas, and hence we did the calculation both ways in order to develop a range in the amount of burned habitat. We did not include the following burn severity categories: unchanged/no burn (in which a portion of the fire affected area did not burn) or unmapped (in which cloud cover obscured the degree to which an area had burned in the satellite data). </w:t>
      </w:r>
    </w:p>
    <w:p w:rsidR="005F1917" w:rsidRPr="005F1917" w:rsidRDefault="005F1917" w:rsidP="005F1917">
      <w:pPr>
        <w:spacing w:after="0" w:line="240" w:lineRule="auto"/>
        <w:rPr>
          <w:rFonts w:ascii="Cambria" w:hAnsi="Cambria" w:cs="Times New Roman"/>
          <w:i/>
          <w:iCs/>
          <w:sz w:val="24"/>
          <w:szCs w:val="24"/>
        </w:rPr>
      </w:pPr>
      <w:r w:rsidRPr="005F1917">
        <w:rPr>
          <w:rFonts w:ascii="Cambria" w:hAnsi="Cambria" w:cs="Times New Roman"/>
          <w:i/>
          <w:iCs/>
          <w:sz w:val="24"/>
          <w:szCs w:val="24"/>
        </w:rPr>
        <w:t>Calculating the Amount of Treated Burned Habitat</w:t>
      </w:r>
    </w:p>
    <w:p w:rsidR="005F1917" w:rsidRPr="005F1917" w:rsidRDefault="005F1917" w:rsidP="005F1917">
      <w:pPr>
        <w:spacing w:after="0" w:line="240" w:lineRule="auto"/>
        <w:rPr>
          <w:rFonts w:ascii="Cambria" w:hAnsi="Cambria" w:cs="Times New Roman"/>
          <w:i/>
          <w:iCs/>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After calculating the amount of burned habitat with and without low severity fires (see above), we then determined the amount of this habitat that had been removed or altered due to post-fire timber management activities (referred to as “treated”). The FACTS GIS data layers include information on any tree/snag removal treatments that have occurred on Forest Service lands. We overlaid the FACTS layers for completed projects with the burned area layers to determine areas that burned and were subsequently treated, in order to calculate the area with post-fire tree removal. We included any FACTS treatment types in which standing trees were removed (e.g. salvage timber removal, hazardous tree removal, yarding, etc.).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For fires that occurred in 2012 within the boundary of the range of the Black-backed Woodpecker where treatments have not yet occurred as of May 2013, we included the proposed area to be treated on the Plumas National Forest (Peak fire and Chips fires), Lassen National Forest (Chips and Reading fires), Modoc National Forest (Barry Point fire), and Stanislaus National Forest (Ramsey fire). These are the 2012 fires within the Black-backed Woodpecker range in California in which snag removal projects are planned for 2013, but have not yet occurred. Because the projects have not yet occurred we did not always have spatially explicit information on the project boundaries (e.g. the scope of the project might include setting aside multiple 3-5 acre patches of snags, but the exact location of those patches has not been determined). Without the boundaries we could not necessarily determine the burn severity levels within the areas to be treated.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lastRenderedPageBreak/>
        <w:t xml:space="preserve">We did not have data for post-fire timber management activities on non-Forest Service lands. We made the assumption that 100% of the burned other lands (non-FS and non-NPS) were treated; this is likely an overestimate as not all of these lands are industrial timber lands. We chose to overestimate treatments on other lands in order to come up with a maximum value of the area potentially affected by snag removal. We also made the assumption that 100% of the NPS lands were not treated because NPS generally only removes hazardous trees and does not engage in other post-fire timber management practices (e.g. salvage timber removal).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Analyses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Our analyses were conducted within the range of the Black-backed Woodpecker in California, in burned forest types used by Black-backed Woodpeckers, for forested lands that burned from 2005-2012 (see details above). We included burned timber removal activities that occurred in 2005-2012, as well as burned timber removal activity proposed to occur in 2013 within areas that burned in 2012.</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untreated Black-backed Woodpecker habitat created by fire within each of the three landowner categories. We calculated (or, for NPS and other lands, estimated, using the assumptions described above) the percent treated due to post-fire timber management activities that occurred in 2005-2012, or are proposed to occur in 2013.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Table 1: Amount of burned suitable Black-backed Woodpecker habitat that has been subsequently treated (tree removal) or untreated (no tree removal) within the range of the Black-backed Woodpecker in California from fires occurring in 2005-2012 of different burn severity categories (high, moderate, and low). Treated acres from 2012 fires are estimated based on proposed salvage work occurring in 2013 on 12,398 acres in suitable Black-backed Woodpecker habitat. Data are broken down by landowner (Forest Service, National Park Service, and Other) or summed for “all” lands. See text for methods and assumptions. </w:t>
      </w:r>
    </w:p>
    <w:tbl>
      <w:tblPr>
        <w:tblW w:w="8925" w:type="dxa"/>
        <w:tblInd w:w="93" w:type="dxa"/>
        <w:tblLayout w:type="fixed"/>
        <w:tblLook w:val="00A0" w:firstRow="1" w:lastRow="0" w:firstColumn="1" w:lastColumn="0" w:noHBand="0" w:noVBand="0"/>
      </w:tblPr>
      <w:tblGrid>
        <w:gridCol w:w="921"/>
        <w:gridCol w:w="1027"/>
        <w:gridCol w:w="950"/>
        <w:gridCol w:w="1027"/>
        <w:gridCol w:w="940"/>
        <w:gridCol w:w="1027"/>
        <w:gridCol w:w="973"/>
        <w:gridCol w:w="1027"/>
        <w:gridCol w:w="1033"/>
      </w:tblGrid>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977" w:type="dxa"/>
            <w:gridSpan w:val="2"/>
            <w:tcBorders>
              <w:top w:val="single" w:sz="4" w:space="0" w:color="auto"/>
              <w:left w:val="single" w:sz="4" w:space="0" w:color="auto"/>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Treated</w:t>
            </w:r>
          </w:p>
        </w:tc>
        <w:tc>
          <w:tcPr>
            <w:tcW w:w="1967"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Untreated</w:t>
            </w:r>
          </w:p>
        </w:tc>
        <w:tc>
          <w:tcPr>
            <w:tcW w:w="200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Total</w:t>
            </w:r>
          </w:p>
        </w:tc>
        <w:tc>
          <w:tcPr>
            <w:tcW w:w="206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Percent Treated</w:t>
            </w:r>
          </w:p>
        </w:tc>
      </w:tr>
      <w:tr w:rsidR="005F1917" w:rsidRPr="005F1917" w:rsidTr="00514039">
        <w:trPr>
          <w:trHeight w:val="275"/>
        </w:trPr>
        <w:tc>
          <w:tcPr>
            <w:tcW w:w="921" w:type="dxa"/>
            <w:tcBorders>
              <w:top w:val="single" w:sz="4" w:space="0" w:color="auto"/>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Burn severity</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5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4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7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103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FS lands </w:t>
            </w:r>
            <w:r w:rsidRPr="005F1917">
              <w:rPr>
                <w:rFonts w:ascii="Cambria" w:hAnsi="Cambria"/>
                <w:color w:val="000000"/>
                <w:sz w:val="20"/>
                <w:szCs w:val="20"/>
                <w:vertAlign w:val="superscript"/>
              </w:rPr>
              <w:t>a</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41,326</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38,100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743,106</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390,446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784,432</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428,546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5.3%</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8.9%</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NPS lands </w:t>
            </w:r>
            <w:r w:rsidRPr="005F1917">
              <w:rPr>
                <w:rFonts w:ascii="Cambria" w:hAnsi="Cambria"/>
                <w:color w:val="000000"/>
                <w:sz w:val="20"/>
                <w:szCs w:val="20"/>
                <w:vertAlign w:val="superscript"/>
              </w:rPr>
              <w:t>b</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Other lands </w:t>
            </w:r>
            <w:r w:rsidRPr="005F1917">
              <w:rPr>
                <w:rFonts w:ascii="Cambria" w:hAnsi="Cambria"/>
                <w:color w:val="000000"/>
                <w:sz w:val="20"/>
                <w:szCs w:val="20"/>
                <w:vertAlign w:val="superscript"/>
              </w:rPr>
              <w:t>c</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All lands </w:t>
            </w:r>
            <w:r w:rsidRPr="005F1917">
              <w:rPr>
                <w:rFonts w:ascii="Cambria" w:hAnsi="Cambria"/>
                <w:color w:val="000000"/>
                <w:sz w:val="20"/>
                <w:szCs w:val="20"/>
                <w:vertAlign w:val="superscript"/>
              </w:rPr>
              <w:t>d</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165,916</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129,690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783,850</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413,894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949,766</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543,584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17.5%</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23.9%</w:t>
            </w:r>
          </w:p>
        </w:tc>
      </w:tr>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5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4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7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3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r>
      <w:tr w:rsidR="005F1917" w:rsidRPr="005F1917" w:rsidTr="00514039">
        <w:trPr>
          <w:trHeight w:val="649"/>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a </w:t>
            </w:r>
            <w:r w:rsidRPr="005F1917">
              <w:rPr>
                <w:rFonts w:ascii="Cambria" w:hAnsi="Cambria"/>
                <w:color w:val="000000"/>
                <w:sz w:val="24"/>
                <w:szCs w:val="24"/>
              </w:rPr>
              <w:t>Treated values include 12,398 acres that burned in 2012 and are proposed for treatment in 2013. The burn severity is not known for the 12,398 acres, so they are included in BOTH burn severity categories.</w:t>
            </w:r>
          </w:p>
        </w:tc>
      </w:tr>
      <w:tr w:rsidR="005F1917" w:rsidRPr="005F1917" w:rsidTr="00514039">
        <w:trPr>
          <w:trHeight w:val="718"/>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lastRenderedPageBreak/>
              <w:t xml:space="preserve">b </w:t>
            </w:r>
            <w:r w:rsidRPr="005F1917">
              <w:rPr>
                <w:rFonts w:ascii="Cambria" w:hAnsi="Cambria"/>
                <w:color w:val="000000"/>
                <w:sz w:val="24"/>
                <w:szCs w:val="24"/>
              </w:rPr>
              <w:t>For NPS lands we assumed no burned acres were treated. Only fires that burned on both Forest Service and NPS lands are included (see text) so we likely underestimate untreated acres.</w:t>
            </w:r>
          </w:p>
        </w:tc>
      </w:tr>
      <w:tr w:rsidR="005F1917" w:rsidRPr="005F1917" w:rsidTr="00514039">
        <w:trPr>
          <w:trHeight w:val="413"/>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c </w:t>
            </w:r>
            <w:r w:rsidRPr="005F1917">
              <w:rPr>
                <w:rFonts w:ascii="Cambria" w:hAnsi="Cambria"/>
                <w:color w:val="000000"/>
                <w:sz w:val="24"/>
                <w:szCs w:val="24"/>
              </w:rPr>
              <w:t xml:space="preserve">For Other lands we assumed that all of the burned acres were treated. </w:t>
            </w:r>
          </w:p>
        </w:tc>
      </w:tr>
      <w:tr w:rsidR="005F1917" w:rsidRPr="005F1917" w:rsidTr="00514039">
        <w:trPr>
          <w:trHeight w:val="401"/>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d </w:t>
            </w:r>
            <w:r w:rsidRPr="005F1917">
              <w:rPr>
                <w:rFonts w:ascii="Cambria" w:hAnsi="Cambria"/>
                <w:color w:val="000000"/>
                <w:sz w:val="24"/>
                <w:szCs w:val="24"/>
              </w:rPr>
              <w:t>For All lands we summed values for FS, NPS, and Other lands.</w:t>
            </w:r>
          </w:p>
        </w:tc>
      </w:tr>
    </w:tbl>
    <w:p w:rsidR="005F1917" w:rsidRPr="005F1917" w:rsidRDefault="005F1917" w:rsidP="005F1917">
      <w:pPr>
        <w:rPr>
          <w:rFonts w:ascii="Cambria" w:hAnsi="Cambria" w:cs="Times New Roman"/>
          <w:sz w:val="24"/>
          <w:szCs w:val="24"/>
        </w:rPr>
      </w:pPr>
    </w:p>
    <w:p w:rsidR="005F1917" w:rsidRPr="005F1917" w:rsidRDefault="005F1917" w:rsidP="005F1917">
      <w:pPr>
        <w:rPr>
          <w:rFonts w:ascii="Cambria" w:hAnsi="Cambria" w:cs="Times New Roman"/>
          <w:sz w:val="24"/>
          <w:szCs w:val="24"/>
          <w:u w:val="single"/>
        </w:rPr>
      </w:pPr>
      <w:r w:rsidRPr="005F1917">
        <w:rPr>
          <w:rFonts w:ascii="Cambria" w:hAnsi="Cambria" w:cs="Times New Roman"/>
          <w:sz w:val="24"/>
          <w:szCs w:val="24"/>
        </w:rPr>
        <w:t xml:space="preserve">Our analyses show that between 5.3%-8.9% (depending on fire severity levels) of the FS acres that burned from 2005-2012 and are suitable for Black-backed Woodpeckers have been, or are proposed to be treated with post-fire timber removal. This percentage range can be further broken down into treatments that have already occurred (3.7%-6.0%) and treatments that are proposed to occur in 2013 (1.6%-2.9%) on 12,398 acres of suitable Black-backed Woodpecker habitat. </w:t>
      </w:r>
      <w:r w:rsidRPr="005F1917">
        <w:rPr>
          <w:rFonts w:ascii="Cambria" w:hAnsi="Cambria" w:cs="Times New Roman"/>
          <w:sz w:val="24"/>
          <w:szCs w:val="24"/>
          <w:u w:val="single"/>
        </w:rPr>
        <w:t xml:space="preserve">Therefore the burned timber removal planned in 2013 (from the 2012 fires) will contribute to a 1.6%-2.9% reduction in suitable habitat for Black-backed Woodpeckers which is in addition to the 3.7-6.0% reduction in suitable habitat from treatments on fires that occurred in 2005-2011.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Our estimates for all lands (regardless of landowner) show that between 17.5% to 23.9%  (depending on fire severity levels) of the acres that burned in the range of the Black-backed Woodpecker in California from 2005-2012 have been, or are proposed to be treated with post-fire timber removal (of which 5.3%-8.9% occur on FS lands). This range for treated acres on all lands is likely an overestimate because it includes the assumption that all “other lands” (non-FS and non-NPS) are harvested following a fire. Moreover, the percent treated values for all lands is likely missing fires that occurred exclusively on NPS land as we did not have access to data on fires that occurred exclusively on NPS lands (we only had access to data on fires where the fire perimeter overlapped with FS lands). An increase in fires on NPS lands would likely increase the amount of habitat available to woodpeckers and lead to an overall decrease in the percent treated on all lands (as NPS lands are not harvested). </w:t>
      </w:r>
    </w:p>
    <w:p w:rsidR="00D92E2C" w:rsidRDefault="005F1917" w:rsidP="00A73F08">
      <w:pPr>
        <w:rPr>
          <w:rFonts w:ascii="Cambria" w:hAnsi="Cambria" w:cs="AdvP41461E"/>
          <w:sz w:val="24"/>
          <w:szCs w:val="24"/>
        </w:rPr>
      </w:pPr>
      <w:r>
        <w:rPr>
          <w:rFonts w:ascii="Cambria" w:hAnsi="Cambria" w:cs="AdvP41461E"/>
          <w:sz w:val="24"/>
          <w:szCs w:val="24"/>
        </w:rPr>
        <w:br w:type="page"/>
      </w:r>
    </w:p>
    <w:p w:rsidR="00A73F08" w:rsidRPr="005F1917" w:rsidRDefault="00A73F08" w:rsidP="00A73F08">
      <w:pPr>
        <w:autoSpaceDE w:val="0"/>
        <w:autoSpaceDN w:val="0"/>
        <w:adjustRightInd w:val="0"/>
        <w:spacing w:after="0" w:line="240" w:lineRule="auto"/>
        <w:rPr>
          <w:rFonts w:ascii="Cambria" w:hAnsi="Cambria" w:cs="AdvP41461E"/>
          <w:b/>
          <w:sz w:val="24"/>
          <w:szCs w:val="24"/>
        </w:rPr>
      </w:pPr>
      <w:r w:rsidRPr="005F1917">
        <w:rPr>
          <w:rFonts w:ascii="Cambria" w:hAnsi="Cambria" w:cs="AdvP41461E"/>
          <w:b/>
          <w:sz w:val="24"/>
          <w:szCs w:val="24"/>
        </w:rPr>
        <w:lastRenderedPageBreak/>
        <w:t>Bibliography:</w:t>
      </w:r>
    </w:p>
    <w:p w:rsidR="00A73F08" w:rsidRDefault="00A73F08" w:rsidP="00A73F08">
      <w:pPr>
        <w:autoSpaceDE w:val="0"/>
        <w:autoSpaceDN w:val="0"/>
        <w:adjustRightInd w:val="0"/>
        <w:spacing w:after="0" w:line="240" w:lineRule="auto"/>
        <w:rPr>
          <w:rFonts w:ascii="Cambria" w:hAnsi="Cambria" w:cs="AdvP41461E"/>
          <w:sz w:val="24"/>
          <w:szCs w:val="24"/>
        </w:rPr>
      </w:pP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1461E"/>
          <w:sz w:val="24"/>
          <w:szCs w:val="24"/>
        </w:rPr>
        <w:t>2014, February. Danny L. Fry, Scott L. Stephens, Brandon M. Collins, Malcolm P. North, Ernesto Franco-Vizcaı´no, Samantha J. Gill</w:t>
      </w:r>
      <w:r w:rsidRPr="00D92E2C">
        <w:rPr>
          <w:rFonts w:ascii="Cambria" w:hAnsi="Cambria" w:cs="AdvP41461E"/>
          <w:sz w:val="24"/>
          <w:szCs w:val="24"/>
        </w:rPr>
        <w:t xml:space="preserve">. </w:t>
      </w:r>
      <w:r w:rsidRPr="00D92E2C">
        <w:rPr>
          <w:rFonts w:ascii="Cambria" w:hAnsi="Cambria" w:cs="AdvP40319B"/>
          <w:sz w:val="24"/>
          <w:szCs w:val="24"/>
        </w:rPr>
        <w:t>Contrasting Spatial Patterns in Active-Fire and Fire-</w:t>
      </w:r>
      <w:r w:rsidRPr="00D92E2C">
        <w:rPr>
          <w:rFonts w:ascii="Cambria" w:hAnsi="Cambria" w:cs="AdvP41461E"/>
          <w:sz w:val="24"/>
          <w:szCs w:val="24"/>
        </w:rPr>
        <w:t xml:space="preserve"> </w:t>
      </w:r>
      <w:r w:rsidRPr="00D92E2C">
        <w:rPr>
          <w:rFonts w:ascii="Cambria" w:hAnsi="Cambria" w:cs="AdvP40319B"/>
          <w:sz w:val="24"/>
          <w:szCs w:val="24"/>
        </w:rPr>
        <w:t>Suppressed Mediterranean Climate Old-Growth Mixed</w:t>
      </w:r>
      <w:r w:rsidRPr="00D92E2C">
        <w:rPr>
          <w:rFonts w:ascii="Cambria" w:hAnsi="Cambria" w:cs="AdvP41461E"/>
          <w:sz w:val="24"/>
          <w:szCs w:val="24"/>
        </w:rPr>
        <w:t xml:space="preserve"> </w:t>
      </w:r>
      <w:r w:rsidRPr="00D92E2C">
        <w:rPr>
          <w:rFonts w:ascii="Cambria" w:hAnsi="Cambria" w:cs="AdvP40319B"/>
          <w:sz w:val="24"/>
          <w:szCs w:val="24"/>
        </w:rPr>
        <w:t>Conifer Forests</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Forest Service, California Region, 2014 Insect and Disease Aerial Mortality Survey (R5-PR-034).</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Randy Moore.  Region 5 Ecological Restoration Leadership Intent (R5-MR-048).</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2008, November.  California’s Forest Resources, 2001-2005.  Five-year forest inventory and analysis report. PNW-GTR-763.</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2010, January.  Mark Nechodom.  California Energy Commission Study (CEC-500-2009-080); “Biomass to Energy: Forest Management for Wildfire Reduction, Energy Production, and Other Benefits”.</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TTE149BA98t00"/>
          <w:color w:val="000000" w:themeColor="text1"/>
          <w:sz w:val="24"/>
          <w:szCs w:val="24"/>
        </w:rPr>
      </w:pPr>
      <w:r w:rsidRPr="008F20CD">
        <w:rPr>
          <w:rFonts w:ascii="Cambria" w:hAnsi="Cambria" w:cs="AdvP40319B"/>
          <w:sz w:val="24"/>
          <w:szCs w:val="24"/>
        </w:rPr>
        <w:t xml:space="preserve">2009, April. Mark Nechodom, PowerPoint.  </w:t>
      </w:r>
      <w:r>
        <w:rPr>
          <w:rFonts w:ascii="Cambria" w:hAnsi="Cambria" w:cs="AdvP40319B"/>
          <w:sz w:val="24"/>
          <w:szCs w:val="24"/>
        </w:rPr>
        <w:t>“</w:t>
      </w:r>
      <w:r w:rsidRPr="008F20CD">
        <w:rPr>
          <w:rFonts w:ascii="Cambria" w:hAnsi="Cambria" w:cs="TTE149BA98t00"/>
          <w:color w:val="000000" w:themeColor="text1"/>
          <w:sz w:val="24"/>
          <w:szCs w:val="24"/>
        </w:rPr>
        <w:t>Forest Biomass:</w:t>
      </w:r>
      <w:r>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Wildfire, Ecosystem Services and</w:t>
      </w:r>
      <w:r w:rsidRPr="008F20CD">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Net Benefits of Bioenergy</w:t>
      </w:r>
      <w:r>
        <w:rPr>
          <w:rFonts w:ascii="Cambria" w:hAnsi="Cambria" w:cs="TTE1613ED0t00"/>
          <w:color w:val="000000" w:themeColor="text1"/>
          <w:sz w:val="24"/>
          <w:szCs w:val="24"/>
        </w:rPr>
        <w:t>”</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sidRPr="008F20CD">
        <w:rPr>
          <w:rFonts w:ascii="Cambria" w:hAnsi="Cambria" w:cs="AdvP40319B"/>
          <w:sz w:val="24"/>
          <w:szCs w:val="24"/>
        </w:rPr>
        <w:t xml:space="preserve">Leland Tarnay.  PowerPoint Presentation. </w:t>
      </w:r>
      <w:r w:rsidRPr="008F20CD">
        <w:rPr>
          <w:rFonts w:ascii="Cambria" w:hAnsi="Cambria" w:cs="AdvP40319B"/>
        </w:rPr>
        <w:t>“</w:t>
      </w:r>
      <w:r w:rsidRPr="008F20CD">
        <w:rPr>
          <w:rFonts w:ascii="Cambria" w:hAnsi="Cambria"/>
          <w:sz w:val="24"/>
          <w:szCs w:val="24"/>
        </w:rPr>
        <w:t>Managing Smoke and Carbon: Strategies</w:t>
      </w:r>
      <w:r w:rsidRPr="008F20CD">
        <w:rPr>
          <w:rFonts w:ascii="Cambria" w:hAnsi="Cambria"/>
        </w:rPr>
        <w:t xml:space="preserve"> </w:t>
      </w:r>
      <w:r w:rsidRPr="008F20CD">
        <w:rPr>
          <w:rFonts w:ascii="Cambria" w:hAnsi="Cambria"/>
          <w:sz w:val="24"/>
          <w:szCs w:val="24"/>
        </w:rPr>
        <w:t>for minimizing</w:t>
      </w:r>
      <w:r w:rsidRPr="008F20CD">
        <w:rPr>
          <w:rFonts w:ascii="Cambria" w:hAnsi="Cambria"/>
        </w:rPr>
        <w:t xml:space="preserve"> </w:t>
      </w:r>
      <w:r w:rsidRPr="008F20CD">
        <w:rPr>
          <w:rFonts w:ascii="Cambria" w:hAnsi="Cambria"/>
          <w:sz w:val="24"/>
          <w:szCs w:val="24"/>
        </w:rPr>
        <w:t>impacts while increasing pace and scale of fire treatments</w:t>
      </w:r>
      <w:r w:rsidRPr="008F20CD">
        <w:rPr>
          <w:rFonts w:ascii="Cambria" w:hAnsi="Cambria"/>
        </w:rPr>
        <w:t>”.</w:t>
      </w:r>
    </w:p>
    <w:p w:rsidR="00A73F08" w:rsidRPr="00532DD6" w:rsidRDefault="00A73F08" w:rsidP="00A73F08">
      <w:pPr>
        <w:pStyle w:val="ListParagraph"/>
        <w:numPr>
          <w:ilvl w:val="0"/>
          <w:numId w:val="32"/>
        </w:numPr>
        <w:autoSpaceDE w:val="0"/>
        <w:autoSpaceDN w:val="0"/>
        <w:adjustRightInd w:val="0"/>
        <w:spacing w:after="0" w:line="240" w:lineRule="auto"/>
        <w:rPr>
          <w:rFonts w:ascii="Cambria" w:hAnsi="Cambria" w:cs="AdvGulliv-R"/>
          <w:sz w:val="24"/>
          <w:szCs w:val="24"/>
        </w:rPr>
      </w:pPr>
      <w:r>
        <w:rPr>
          <w:rFonts w:ascii="Cambria" w:hAnsi="Cambria" w:cs="AdvP40319B"/>
          <w:sz w:val="24"/>
          <w:szCs w:val="24"/>
        </w:rPr>
        <w:t xml:space="preserve">2014. June. </w:t>
      </w:r>
      <w:r w:rsidRPr="00C21989">
        <w:rPr>
          <w:rFonts w:ascii="Cambria" w:hAnsi="Cambria" w:cs="AdvP40319B"/>
          <w:sz w:val="24"/>
          <w:szCs w:val="24"/>
        </w:rPr>
        <w:t>Lydersen, North, Collins.  “</w:t>
      </w:r>
      <w:r w:rsidRPr="00C21989">
        <w:rPr>
          <w:rFonts w:ascii="Cambria" w:hAnsi="Cambria" w:cs="AdvGulliv-R"/>
          <w:sz w:val="24"/>
          <w:szCs w:val="24"/>
        </w:rPr>
        <w:t>Severity of an uncharacteristically large wildfire, the Rim Fire, in forests with relatively restored frequent fire regimes</w:t>
      </w:r>
      <w:r>
        <w:rPr>
          <w:rFonts w:ascii="Cambria" w:hAnsi="Cambria" w:cs="AdvGulliv-R"/>
          <w:sz w:val="24"/>
          <w:szCs w:val="24"/>
        </w:rPr>
        <w:t xml:space="preserve">”.  </w:t>
      </w:r>
      <w:r w:rsidRPr="00C21989">
        <w:rPr>
          <w:rFonts w:ascii="Cambria" w:hAnsi="Cambria"/>
          <w:sz w:val="24"/>
          <w:szCs w:val="24"/>
        </w:rPr>
        <w:t>Forest Ecology and Management 328, 326-334.</w:t>
      </w:r>
    </w:p>
    <w:p w:rsidR="00A73F08" w:rsidRPr="00640DD8" w:rsidRDefault="00A73F08" w:rsidP="00A73F08">
      <w:pPr>
        <w:pStyle w:val="Default"/>
        <w:numPr>
          <w:ilvl w:val="0"/>
          <w:numId w:val="32"/>
        </w:numPr>
        <w:rPr>
          <w:rFonts w:ascii="Arial" w:hAnsi="Arial" w:cs="Arial"/>
        </w:rPr>
      </w:pPr>
      <w:r>
        <w:rPr>
          <w:rFonts w:ascii="Cambria" w:hAnsi="Cambria"/>
        </w:rPr>
        <w:t>2014. February.  California Air Resources Board.  “</w:t>
      </w:r>
      <w:r w:rsidRPr="00532DD6">
        <w:rPr>
          <w:rFonts w:ascii="Cambria" w:hAnsi="Cambria" w:cs="Arial"/>
          <w:bCs/>
        </w:rPr>
        <w:t>Proposed First Update to the Climate Change Scoping Plan: Building on the Framework</w:t>
      </w:r>
      <w:r>
        <w:rPr>
          <w:rFonts w:ascii="Cambria" w:hAnsi="Cambria" w:cs="Arial"/>
          <w:bCs/>
        </w:rPr>
        <w:t>”.</w:t>
      </w:r>
      <w:r w:rsidRPr="00532DD6">
        <w:rPr>
          <w:rFonts w:ascii="Arial" w:hAnsi="Arial" w:cs="Arial"/>
          <w:b/>
          <w:bCs/>
          <w:sz w:val="28"/>
          <w:szCs w:val="28"/>
        </w:rPr>
        <w:t xml:space="preserve"> </w:t>
      </w:r>
    </w:p>
    <w:p w:rsidR="00A73F08" w:rsidRPr="00575B6D" w:rsidRDefault="00A73F08" w:rsidP="00A73F08">
      <w:pPr>
        <w:pStyle w:val="Default"/>
        <w:numPr>
          <w:ilvl w:val="0"/>
          <w:numId w:val="32"/>
        </w:numPr>
        <w:rPr>
          <w:rFonts w:ascii="Cambria" w:hAnsi="Cambria" w:cs="Arial"/>
        </w:rPr>
      </w:pPr>
      <w:r w:rsidRPr="00640DD8">
        <w:rPr>
          <w:rFonts w:ascii="Cambria" w:hAnsi="Cambria" w:cs="Arial"/>
          <w:bCs/>
        </w:rPr>
        <w:t>2012. California</w:t>
      </w:r>
      <w:r>
        <w:rPr>
          <w:rFonts w:ascii="Cambria" w:hAnsi="Cambria" w:cs="Arial"/>
          <w:bCs/>
        </w:rPr>
        <w:t xml:space="preserve"> Bioenergy Action Plan at: </w:t>
      </w:r>
      <w:hyperlink r:id="rId25" w:history="1">
        <w:r w:rsidRPr="00143841">
          <w:rPr>
            <w:rStyle w:val="Hyperlink"/>
            <w:rFonts w:ascii="Cambria" w:hAnsi="Cambria" w:cs="Arial"/>
            <w:bCs/>
          </w:rPr>
          <w:t>http://resources.ca.gov/docs/energy_and_climate_change/2012_Bioenergy_Action_Plan.pdf</w:t>
        </w:r>
      </w:hyperlink>
    </w:p>
    <w:p w:rsidR="00A73F08" w:rsidRPr="00695D61" w:rsidRDefault="00A73F08" w:rsidP="00A73F08">
      <w:pPr>
        <w:pStyle w:val="Default"/>
        <w:numPr>
          <w:ilvl w:val="0"/>
          <w:numId w:val="32"/>
        </w:numPr>
        <w:rPr>
          <w:rStyle w:val="Hyperlink"/>
          <w:rFonts w:ascii="Cambria" w:hAnsi="Cambria" w:cs="Arial"/>
          <w:color w:val="000000"/>
          <w:u w:val="none"/>
        </w:rPr>
      </w:pPr>
      <w:r>
        <w:rPr>
          <w:rFonts w:ascii="Cambria" w:hAnsi="Cambria" w:cs="Arial"/>
        </w:rPr>
        <w:t xml:space="preserve">2012, August 22.  Press Release for 2012 Bioenergy Action Plan at: </w:t>
      </w:r>
      <w:hyperlink r:id="rId26" w:history="1">
        <w:r w:rsidRPr="00594C5A">
          <w:rPr>
            <w:rStyle w:val="Hyperlink"/>
            <w:rFonts w:ascii="Cambria" w:hAnsi="Cambria" w:cs="Arial"/>
          </w:rPr>
          <w:t>http://resources.ca.gov/docs/Final_Bioenergy_Action_Plan_Release_8-22-12.pdf</w:t>
        </w:r>
      </w:hyperlink>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sidRPr="00695D61">
        <w:rPr>
          <w:rStyle w:val="Hyperlink"/>
          <w:rFonts w:ascii="Cambria" w:hAnsi="Cambria" w:cs="Arial"/>
          <w:color w:val="auto"/>
          <w:sz w:val="24"/>
          <w:szCs w:val="24"/>
        </w:rPr>
        <w:t>2011. Lippke etal. “</w:t>
      </w:r>
      <w:r w:rsidRPr="00695D61">
        <w:rPr>
          <w:rFonts w:ascii="Cambria" w:hAnsi="Cambria" w:cs="MyriadPro-Regular"/>
          <w:sz w:val="24"/>
          <w:szCs w:val="24"/>
        </w:rPr>
        <w:t xml:space="preserve">Life cycle impacts of forest management and wood utilization on carbon mitigation: knowns and unknowns.” </w:t>
      </w:r>
      <w:r w:rsidRPr="00695D61">
        <w:rPr>
          <w:rFonts w:ascii="Cambria" w:hAnsi="Cambria" w:cs="MyriadPro-BoldIt"/>
          <w:b/>
          <w:bCs/>
          <w:i/>
          <w:iCs/>
          <w:sz w:val="24"/>
          <w:szCs w:val="24"/>
        </w:rPr>
        <w:t xml:space="preserve">Carbon Management </w:t>
      </w:r>
      <w:r w:rsidRPr="00695D61">
        <w:rPr>
          <w:rFonts w:ascii="Cambria" w:hAnsi="Cambria" w:cs="MyriadPro-Regular"/>
          <w:sz w:val="24"/>
          <w:szCs w:val="24"/>
        </w:rPr>
        <w:t>(2011) 2(3), pp. 303–333</w:t>
      </w:r>
      <w:r>
        <w:rPr>
          <w:rFonts w:ascii="Cambria" w:hAnsi="Cambria" w:cs="MyriadPro-Regular"/>
          <w:sz w:val="24"/>
          <w:szCs w:val="24"/>
        </w:rPr>
        <w: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Pr>
          <w:rFonts w:ascii="Cambria" w:hAnsi="Cambria" w:cs="MyriadPro-Regular"/>
          <w:sz w:val="24"/>
          <w:szCs w:val="24"/>
        </w:rPr>
        <w:t>2006, January.  Western Governors Association. “Biomass Taskforce Report”.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rialMT"/>
          <w:sz w:val="24"/>
          <w:szCs w:val="24"/>
        </w:rPr>
      </w:pPr>
      <w:r w:rsidRPr="00DB432A">
        <w:rPr>
          <w:rFonts w:ascii="Cambria" w:hAnsi="Cambria" w:cs="MyriadPro-Regular"/>
          <w:sz w:val="24"/>
          <w:szCs w:val="24"/>
        </w:rPr>
        <w:t>1999. Dr. Gregg Morris. “</w:t>
      </w:r>
      <w:r w:rsidRPr="00DB432A">
        <w:rPr>
          <w:rFonts w:ascii="Cambria" w:hAnsi="Cambria" w:cs="Arial-BoldMT"/>
          <w:bCs/>
          <w:sz w:val="24"/>
          <w:szCs w:val="24"/>
        </w:rPr>
        <w:t xml:space="preserve">The Value of the Benefits of U.S. Biomass Power”.  </w:t>
      </w:r>
      <w:r w:rsidRPr="00DB432A">
        <w:rPr>
          <w:rFonts w:ascii="Cambria" w:hAnsi="Cambria" w:cs="ArialMT"/>
          <w:sz w:val="24"/>
          <w:szCs w:val="24"/>
        </w:rPr>
        <w:t>National Renewable Energy Lab/SR-570-27541.</w:t>
      </w:r>
    </w:p>
    <w:p w:rsidR="00A73F08" w:rsidRDefault="00A73F08" w:rsidP="00A73F08">
      <w:pPr>
        <w:pStyle w:val="Default"/>
        <w:numPr>
          <w:ilvl w:val="0"/>
          <w:numId w:val="32"/>
        </w:numPr>
        <w:rPr>
          <w:rFonts w:ascii="Cambria" w:hAnsi="Cambria" w:cs="AGaramond-Regular"/>
        </w:rPr>
      </w:pPr>
      <w:r>
        <w:rPr>
          <w:rFonts w:ascii="Cambria" w:hAnsi="Cambria" w:cs="ArialMT"/>
        </w:rPr>
        <w:t xml:space="preserve">2011, November 29.  Dr. Roger Bales, etal. </w:t>
      </w:r>
      <w:r w:rsidRPr="00C137D1">
        <w:rPr>
          <w:rFonts w:ascii="Cambria" w:hAnsi="Cambria" w:cs="ArialMT"/>
        </w:rPr>
        <w:t xml:space="preserve"> “</w:t>
      </w:r>
      <w:r w:rsidRPr="00C137D1">
        <w:rPr>
          <w:rFonts w:ascii="Cambria" w:hAnsi="Cambria" w:cs="Arial"/>
          <w:bCs/>
        </w:rPr>
        <w:t>Forests and Water in the Sierra Nevada: Sierra Nevada Watershed Ecosystem Enhancement Project”</w:t>
      </w:r>
      <w:r>
        <w:rPr>
          <w:rFonts w:ascii="Cambria" w:hAnsi="Cambria" w:cs="Arial"/>
          <w:bCs/>
        </w:rPr>
        <w:t>. (</w:t>
      </w:r>
      <w:hyperlink r:id="rId27" w:history="1">
        <w:r w:rsidRPr="00676BDA">
          <w:rPr>
            <w:rStyle w:val="Hyperlink"/>
            <w:rFonts w:ascii="Cambria" w:hAnsi="Cambria" w:cs="AGaramond-Regular"/>
          </w:rPr>
          <w:t>http://ucanr.edu/sites/cff/files/146199.pdf</w:t>
        </w:r>
      </w:hyperlink>
      <w:r>
        <w:rPr>
          <w:rFonts w:ascii="Cambria" w:hAnsi="Cambria" w:cs="AGaramond-Regular"/>
        </w:rPr>
        <w:t>)</w:t>
      </w:r>
    </w:p>
    <w:p w:rsidR="00A73F08" w:rsidRDefault="00A73F08" w:rsidP="00A73F08">
      <w:pPr>
        <w:pStyle w:val="Default"/>
        <w:numPr>
          <w:ilvl w:val="0"/>
          <w:numId w:val="32"/>
        </w:numPr>
        <w:rPr>
          <w:rFonts w:ascii="Cambria" w:hAnsi="Cambria" w:cs="Arial"/>
        </w:rPr>
      </w:pPr>
      <w:r>
        <w:rPr>
          <w:rFonts w:ascii="Cambria" w:hAnsi="Cambria" w:cs="Arial"/>
        </w:rPr>
        <w:t xml:space="preserve">2010. Springsteen etal. “Emission Reductions from Woody Biomass Waste for Energy as an Alternative to Open Burning.” Air and Waste Management Assoc. 61:63-68. </w:t>
      </w:r>
      <w:hyperlink r:id="rId28" w:history="1">
        <w:r w:rsidRPr="00115FCD">
          <w:rPr>
            <w:rStyle w:val="Hyperlink"/>
            <w:rFonts w:ascii="Cambria" w:hAnsi="Cambria" w:cs="Arial"/>
          </w:rPr>
          <w:t>www.placer.ca.gov/~/media/apc/documents/APCD%20Biomass/EmissionReductionsFromWoodyBiomassAWMA.pdf</w:t>
        </w:r>
      </w:hyperlink>
      <w:r>
        <w:rPr>
          <w:rFonts w:ascii="Cambria" w:hAnsi="Cambria" w:cs="Arial"/>
        </w:rPr>
        <w:t xml:space="preserve"> </w:t>
      </w:r>
    </w:p>
    <w:p w:rsidR="00A73F08" w:rsidRPr="008A4763" w:rsidRDefault="00A73F08" w:rsidP="00A73F08">
      <w:pPr>
        <w:pStyle w:val="Default"/>
        <w:numPr>
          <w:ilvl w:val="0"/>
          <w:numId w:val="32"/>
        </w:numPr>
        <w:rPr>
          <w:rFonts w:ascii="Cambria" w:hAnsi="Cambria" w:cs="Arial-BoldMT"/>
          <w:bCs/>
        </w:rPr>
      </w:pPr>
      <w:r w:rsidRPr="008A4763">
        <w:rPr>
          <w:rFonts w:ascii="Cambria" w:hAnsi="Cambria" w:cs="Arial"/>
        </w:rPr>
        <w:t xml:space="preserve">2015, September.  Springsteen etal. “Forest biomass diversion in the Sierra Nevada: Energy, economics and emissions.” (Scheduled to be printed in California Agriculture September 2015 Edition. </w:t>
      </w:r>
    </w:p>
    <w:p w:rsidR="00717883" w:rsidRPr="008A4763" w:rsidRDefault="00717883" w:rsidP="00A73F08">
      <w:pPr>
        <w:pStyle w:val="Default"/>
        <w:numPr>
          <w:ilvl w:val="0"/>
          <w:numId w:val="32"/>
        </w:numPr>
        <w:rPr>
          <w:rFonts w:ascii="Cambria" w:hAnsi="Cambria" w:cs="Arial-BoldMT"/>
          <w:bCs/>
        </w:rPr>
      </w:pPr>
      <w:r>
        <w:rPr>
          <w:rFonts w:ascii="Cambria" w:hAnsi="Cambria" w:cs="Arial-BoldMT"/>
          <w:bCs/>
        </w:rPr>
        <w:lastRenderedPageBreak/>
        <w:t xml:space="preserve">1979, April.  E.F. Darley, University of California, Riverside. </w:t>
      </w:r>
      <w:r w:rsidRPr="00900552">
        <w:rPr>
          <w:rFonts w:ascii="Cambria" w:hAnsi="Cambria"/>
        </w:rPr>
        <w:t>“Hydrocarbon Characterization of Agricultural Waste Burni</w:t>
      </w:r>
      <w:r>
        <w:rPr>
          <w:rFonts w:ascii="Cambria" w:hAnsi="Cambria"/>
        </w:rPr>
        <w:t>ng”, CAL/ARB Project A7-068-30.</w:t>
      </w:r>
    </w:p>
    <w:sectPr w:rsidR="00717883" w:rsidRPr="008A4763" w:rsidSect="00CF5C43">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9D" w:rsidRDefault="0084409D" w:rsidP="004E4AAA">
      <w:pPr>
        <w:spacing w:after="0" w:line="240" w:lineRule="auto"/>
      </w:pPr>
      <w:r>
        <w:separator/>
      </w:r>
    </w:p>
  </w:endnote>
  <w:endnote w:type="continuationSeparator" w:id="0">
    <w:p w:rsidR="0084409D" w:rsidRDefault="0084409D" w:rsidP="004E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41461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Garamond-Regular">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P40319B">
    <w:panose1 w:val="00000000000000000000"/>
    <w:charset w:val="00"/>
    <w:family w:val="swiss"/>
    <w:notTrueType/>
    <w:pitch w:val="default"/>
    <w:sig w:usb0="00000003" w:usb1="00000000" w:usb2="00000000" w:usb3="00000000" w:csb0="00000001" w:csb1="00000000"/>
  </w:font>
  <w:font w:name="TTE149BA98t00">
    <w:panose1 w:val="00000000000000000000"/>
    <w:charset w:val="00"/>
    <w:family w:val="auto"/>
    <w:notTrueType/>
    <w:pitch w:val="default"/>
    <w:sig w:usb0="00000003" w:usb1="00000000" w:usb2="00000000" w:usb3="00000000" w:csb0="00000001" w:csb1="00000000"/>
  </w:font>
  <w:font w:name="TTE1613ED0t00">
    <w:panose1 w:val="00000000000000000000"/>
    <w:charset w:val="00"/>
    <w:family w:val="auto"/>
    <w:notTrueType/>
    <w:pitch w:val="default"/>
    <w:sig w:usb0="00000003" w:usb1="00000000" w:usb2="00000000" w:usb3="00000000" w:csb0="00000001" w:csb1="00000000"/>
  </w:font>
  <w:font w:name="TTE148F848t00">
    <w:panose1 w:val="00000000000000000000"/>
    <w:charset w:val="00"/>
    <w:family w:val="auto"/>
    <w:notTrueType/>
    <w:pitch w:val="default"/>
    <w:sig w:usb0="00000003" w:usb1="00000000" w:usb2="00000000" w:usb3="00000000" w:csb0="00000001" w:csb1="00000000"/>
  </w:font>
  <w:font w:name="TTE10E3338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760490"/>
      <w:docPartObj>
        <w:docPartGallery w:val="Page Numbers (Bottom of Page)"/>
        <w:docPartUnique/>
      </w:docPartObj>
    </w:sdtPr>
    <w:sdtEndPr>
      <w:rPr>
        <w:noProof/>
      </w:rPr>
    </w:sdtEndPr>
    <w:sdtContent>
      <w:p w:rsidR="0084409D" w:rsidRDefault="0084409D">
        <w:pPr>
          <w:pStyle w:val="Footer"/>
          <w:jc w:val="center"/>
        </w:pPr>
        <w:r>
          <w:fldChar w:fldCharType="begin"/>
        </w:r>
        <w:r>
          <w:instrText xml:space="preserve"> PAGE   \* MERGEFORMAT </w:instrText>
        </w:r>
        <w:r>
          <w:fldChar w:fldCharType="separate"/>
        </w:r>
        <w:r w:rsidR="00E43AD8">
          <w:rPr>
            <w:noProof/>
          </w:rPr>
          <w:t>11</w:t>
        </w:r>
        <w:r>
          <w:rPr>
            <w:noProof/>
          </w:rPr>
          <w:fldChar w:fldCharType="end"/>
        </w:r>
      </w:p>
    </w:sdtContent>
  </w:sdt>
  <w:p w:rsidR="0084409D" w:rsidRDefault="00844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9D" w:rsidRDefault="0084409D" w:rsidP="004E4AAA">
      <w:pPr>
        <w:spacing w:after="0" w:line="240" w:lineRule="auto"/>
      </w:pPr>
      <w:r>
        <w:separator/>
      </w:r>
    </w:p>
  </w:footnote>
  <w:footnote w:type="continuationSeparator" w:id="0">
    <w:p w:rsidR="0084409D" w:rsidRDefault="0084409D" w:rsidP="004E4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6F45"/>
    <w:multiLevelType w:val="hybridMultilevel"/>
    <w:tmpl w:val="F72A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00099"/>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F66AF"/>
    <w:multiLevelType w:val="hybridMultilevel"/>
    <w:tmpl w:val="49FE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297E55"/>
    <w:multiLevelType w:val="hybridMultilevel"/>
    <w:tmpl w:val="68A4F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4530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15600"/>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83B"/>
    <w:multiLevelType w:val="hybridMultilevel"/>
    <w:tmpl w:val="3E74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C7C2B"/>
    <w:multiLevelType w:val="hybridMultilevel"/>
    <w:tmpl w:val="90EC4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B5E0B"/>
    <w:multiLevelType w:val="hybridMultilevel"/>
    <w:tmpl w:val="0B9E2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86E85"/>
    <w:multiLevelType w:val="hybridMultilevel"/>
    <w:tmpl w:val="F8102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87F21"/>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B046E"/>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D2617"/>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46DAC"/>
    <w:multiLevelType w:val="hybridMultilevel"/>
    <w:tmpl w:val="CB224E12"/>
    <w:lvl w:ilvl="0" w:tplc="D090AF5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52819"/>
    <w:multiLevelType w:val="hybridMultilevel"/>
    <w:tmpl w:val="F7A64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F0BD5"/>
    <w:multiLevelType w:val="hybridMultilevel"/>
    <w:tmpl w:val="DF94AB62"/>
    <w:lvl w:ilvl="0" w:tplc="925C7EB8">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A5B75"/>
    <w:multiLevelType w:val="hybridMultilevel"/>
    <w:tmpl w:val="F668977E"/>
    <w:lvl w:ilvl="0" w:tplc="90E66794">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A686D"/>
    <w:multiLevelType w:val="hybridMultilevel"/>
    <w:tmpl w:val="FB765F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52D50"/>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D0C04A5"/>
    <w:multiLevelType w:val="hybridMultilevel"/>
    <w:tmpl w:val="B4C456B0"/>
    <w:lvl w:ilvl="0" w:tplc="932EB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2598C"/>
    <w:multiLevelType w:val="hybridMultilevel"/>
    <w:tmpl w:val="0DF84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107AE"/>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67A62"/>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42304EC"/>
    <w:multiLevelType w:val="hybridMultilevel"/>
    <w:tmpl w:val="9D2878B2"/>
    <w:lvl w:ilvl="0" w:tplc="2FDC524C">
      <w:start w:val="25"/>
      <w:numFmt w:val="decimal"/>
      <w:lvlText w:val="%1."/>
      <w:lvlJc w:val="left"/>
      <w:pPr>
        <w:tabs>
          <w:tab w:val="num" w:pos="780"/>
        </w:tabs>
        <w:ind w:left="780" w:hanging="4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4A86653"/>
    <w:multiLevelType w:val="hybridMultilevel"/>
    <w:tmpl w:val="A2E6D5B6"/>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95D6D"/>
    <w:multiLevelType w:val="hybridMultilevel"/>
    <w:tmpl w:val="D80E2F04"/>
    <w:lvl w:ilvl="0" w:tplc="84704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6F5113"/>
    <w:multiLevelType w:val="hybridMultilevel"/>
    <w:tmpl w:val="9A461B8E"/>
    <w:lvl w:ilvl="0" w:tplc="46F0E5D4">
      <w:start w:val="1"/>
      <w:numFmt w:val="decimal"/>
      <w:lvlText w:val="%1)"/>
      <w:lvlJc w:val="left"/>
      <w:pPr>
        <w:ind w:left="1080" w:hanging="360"/>
      </w:pPr>
      <w:rPr>
        <w:rFonts w:ascii="Cambria" w:hAnsi="Cambria"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9F7674"/>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836CA"/>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CE91F35"/>
    <w:multiLevelType w:val="hybridMultilevel"/>
    <w:tmpl w:val="CDA00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312B1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C874E8"/>
    <w:multiLevelType w:val="hybridMultilevel"/>
    <w:tmpl w:val="87D43A04"/>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34E76"/>
    <w:multiLevelType w:val="hybridMultilevel"/>
    <w:tmpl w:val="AD983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664231"/>
    <w:multiLevelType w:val="hybridMultilevel"/>
    <w:tmpl w:val="12CA25F2"/>
    <w:lvl w:ilvl="0" w:tplc="23A282A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4" w15:restartNumberingAfterBreak="0">
    <w:nsid w:val="799F2CAB"/>
    <w:multiLevelType w:val="hybridMultilevel"/>
    <w:tmpl w:val="F0AEED8C"/>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4"/>
  </w:num>
  <w:num w:numId="4">
    <w:abstractNumId w:val="17"/>
  </w:num>
  <w:num w:numId="5">
    <w:abstractNumId w:val="34"/>
  </w:num>
  <w:num w:numId="6">
    <w:abstractNumId w:val="31"/>
  </w:num>
  <w:num w:numId="7">
    <w:abstractNumId w:val="7"/>
  </w:num>
  <w:num w:numId="8">
    <w:abstractNumId w:val="2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0"/>
  </w:num>
  <w:num w:numId="11">
    <w:abstractNumId w:val="5"/>
  </w:num>
  <w:num w:numId="12">
    <w:abstractNumId w:val="2"/>
  </w:num>
  <w:num w:numId="13">
    <w:abstractNumId w:val="32"/>
  </w:num>
  <w:num w:numId="14">
    <w:abstractNumId w:val="29"/>
  </w:num>
  <w:num w:numId="15">
    <w:abstractNumId w:val="8"/>
  </w:num>
  <w:num w:numId="16">
    <w:abstractNumId w:val="27"/>
  </w:num>
  <w:num w:numId="17">
    <w:abstractNumId w:val="25"/>
  </w:num>
  <w:num w:numId="18">
    <w:abstractNumId w:val="14"/>
  </w:num>
  <w:num w:numId="19">
    <w:abstractNumId w:val="26"/>
  </w:num>
  <w:num w:numId="20">
    <w:abstractNumId w:val="30"/>
  </w:num>
  <w:num w:numId="21">
    <w:abstractNumId w:val="0"/>
  </w:num>
  <w:num w:numId="22">
    <w:abstractNumId w:val="16"/>
  </w:num>
  <w:num w:numId="23">
    <w:abstractNumId w:val="15"/>
  </w:num>
  <w:num w:numId="24">
    <w:abstractNumId w:val="1"/>
  </w:num>
  <w:num w:numId="25">
    <w:abstractNumId w:val="19"/>
  </w:num>
  <w:num w:numId="26">
    <w:abstractNumId w:val="4"/>
  </w:num>
  <w:num w:numId="27">
    <w:abstractNumId w:val="3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8"/>
  </w:num>
  <w:num w:numId="31">
    <w:abstractNumId w:val="20"/>
  </w:num>
  <w:num w:numId="32">
    <w:abstractNumId w:val="12"/>
  </w:num>
  <w:num w:numId="33">
    <w:abstractNumId w:val="6"/>
  </w:num>
  <w:num w:numId="34">
    <w:abstractNumId w:val="9"/>
  </w:num>
  <w:num w:numId="35">
    <w:abstractNumId w:val="3"/>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E2C"/>
    <w:rsid w:val="0000415B"/>
    <w:rsid w:val="00025477"/>
    <w:rsid w:val="00031E30"/>
    <w:rsid w:val="0007618D"/>
    <w:rsid w:val="00086540"/>
    <w:rsid w:val="000921E2"/>
    <w:rsid w:val="00093DB4"/>
    <w:rsid w:val="000B7605"/>
    <w:rsid w:val="000F3874"/>
    <w:rsid w:val="000F6AB9"/>
    <w:rsid w:val="00103A28"/>
    <w:rsid w:val="00107AAA"/>
    <w:rsid w:val="0011772D"/>
    <w:rsid w:val="00162E55"/>
    <w:rsid w:val="00170DAD"/>
    <w:rsid w:val="00175925"/>
    <w:rsid w:val="001810AC"/>
    <w:rsid w:val="0018359B"/>
    <w:rsid w:val="00192D57"/>
    <w:rsid w:val="001A1985"/>
    <w:rsid w:val="001C5BB9"/>
    <w:rsid w:val="001D06DA"/>
    <w:rsid w:val="001E4231"/>
    <w:rsid w:val="001E6120"/>
    <w:rsid w:val="001F3873"/>
    <w:rsid w:val="00203C50"/>
    <w:rsid w:val="00215226"/>
    <w:rsid w:val="00220969"/>
    <w:rsid w:val="002263ED"/>
    <w:rsid w:val="00260CF5"/>
    <w:rsid w:val="002813F2"/>
    <w:rsid w:val="00282C16"/>
    <w:rsid w:val="002858AD"/>
    <w:rsid w:val="0029515D"/>
    <w:rsid w:val="002A70BA"/>
    <w:rsid w:val="002B479C"/>
    <w:rsid w:val="002D36E2"/>
    <w:rsid w:val="002F5F6F"/>
    <w:rsid w:val="00310F02"/>
    <w:rsid w:val="003114E2"/>
    <w:rsid w:val="00314197"/>
    <w:rsid w:val="003160A9"/>
    <w:rsid w:val="00316B87"/>
    <w:rsid w:val="00335E3B"/>
    <w:rsid w:val="0036258C"/>
    <w:rsid w:val="00366E15"/>
    <w:rsid w:val="00392E51"/>
    <w:rsid w:val="003B4CCA"/>
    <w:rsid w:val="00485DCD"/>
    <w:rsid w:val="0049242E"/>
    <w:rsid w:val="004A3DF0"/>
    <w:rsid w:val="004E4AAA"/>
    <w:rsid w:val="005066C5"/>
    <w:rsid w:val="00514039"/>
    <w:rsid w:val="00532DD6"/>
    <w:rsid w:val="0053763F"/>
    <w:rsid w:val="00544C8B"/>
    <w:rsid w:val="00547CC0"/>
    <w:rsid w:val="005558F5"/>
    <w:rsid w:val="00575B6D"/>
    <w:rsid w:val="00582A15"/>
    <w:rsid w:val="005B02BD"/>
    <w:rsid w:val="005B2FA3"/>
    <w:rsid w:val="005C14E6"/>
    <w:rsid w:val="005C22FC"/>
    <w:rsid w:val="005D3C3A"/>
    <w:rsid w:val="005E1C52"/>
    <w:rsid w:val="005F1917"/>
    <w:rsid w:val="00637C5C"/>
    <w:rsid w:val="00640C53"/>
    <w:rsid w:val="00640DD8"/>
    <w:rsid w:val="00647404"/>
    <w:rsid w:val="00655AAB"/>
    <w:rsid w:val="00670806"/>
    <w:rsid w:val="0067622E"/>
    <w:rsid w:val="0068030E"/>
    <w:rsid w:val="00695D61"/>
    <w:rsid w:val="006D1E39"/>
    <w:rsid w:val="006F2C43"/>
    <w:rsid w:val="007103D2"/>
    <w:rsid w:val="00717883"/>
    <w:rsid w:val="00750898"/>
    <w:rsid w:val="00775A88"/>
    <w:rsid w:val="00793588"/>
    <w:rsid w:val="007C19A3"/>
    <w:rsid w:val="007E277F"/>
    <w:rsid w:val="007F5AA2"/>
    <w:rsid w:val="0081455D"/>
    <w:rsid w:val="008167BC"/>
    <w:rsid w:val="0084409D"/>
    <w:rsid w:val="00847659"/>
    <w:rsid w:val="008903EC"/>
    <w:rsid w:val="008A4763"/>
    <w:rsid w:val="008B4B7F"/>
    <w:rsid w:val="008E6B78"/>
    <w:rsid w:val="008F20CD"/>
    <w:rsid w:val="00900552"/>
    <w:rsid w:val="009245E8"/>
    <w:rsid w:val="009247FC"/>
    <w:rsid w:val="009541D1"/>
    <w:rsid w:val="00955125"/>
    <w:rsid w:val="00980D98"/>
    <w:rsid w:val="00983154"/>
    <w:rsid w:val="009953FD"/>
    <w:rsid w:val="009D37DF"/>
    <w:rsid w:val="009F2154"/>
    <w:rsid w:val="00A05ADF"/>
    <w:rsid w:val="00A225F7"/>
    <w:rsid w:val="00A44B0C"/>
    <w:rsid w:val="00A50EF0"/>
    <w:rsid w:val="00A52639"/>
    <w:rsid w:val="00A73F08"/>
    <w:rsid w:val="00A8350C"/>
    <w:rsid w:val="00A8474C"/>
    <w:rsid w:val="00A84BC0"/>
    <w:rsid w:val="00A8761C"/>
    <w:rsid w:val="00AA3DA5"/>
    <w:rsid w:val="00AB0386"/>
    <w:rsid w:val="00AC1507"/>
    <w:rsid w:val="00AC173A"/>
    <w:rsid w:val="00AC4F8C"/>
    <w:rsid w:val="00AC6AC4"/>
    <w:rsid w:val="00AD7EEF"/>
    <w:rsid w:val="00B02A46"/>
    <w:rsid w:val="00B13960"/>
    <w:rsid w:val="00B168B3"/>
    <w:rsid w:val="00B43C8F"/>
    <w:rsid w:val="00B53314"/>
    <w:rsid w:val="00B66988"/>
    <w:rsid w:val="00B92F84"/>
    <w:rsid w:val="00B96E0E"/>
    <w:rsid w:val="00BB3638"/>
    <w:rsid w:val="00BF7247"/>
    <w:rsid w:val="00C137D1"/>
    <w:rsid w:val="00C218CF"/>
    <w:rsid w:val="00C21989"/>
    <w:rsid w:val="00C337EE"/>
    <w:rsid w:val="00C75C81"/>
    <w:rsid w:val="00CD35DE"/>
    <w:rsid w:val="00CD68DB"/>
    <w:rsid w:val="00CF5C43"/>
    <w:rsid w:val="00D12C18"/>
    <w:rsid w:val="00D140C4"/>
    <w:rsid w:val="00D25D21"/>
    <w:rsid w:val="00D67196"/>
    <w:rsid w:val="00D67AFC"/>
    <w:rsid w:val="00D86D0B"/>
    <w:rsid w:val="00D90357"/>
    <w:rsid w:val="00D92E2C"/>
    <w:rsid w:val="00D9747E"/>
    <w:rsid w:val="00DB432A"/>
    <w:rsid w:val="00DC1B1B"/>
    <w:rsid w:val="00DD5740"/>
    <w:rsid w:val="00DE4A87"/>
    <w:rsid w:val="00DF7928"/>
    <w:rsid w:val="00E43AD8"/>
    <w:rsid w:val="00E7521D"/>
    <w:rsid w:val="00E80EBF"/>
    <w:rsid w:val="00E91440"/>
    <w:rsid w:val="00E92E89"/>
    <w:rsid w:val="00EB1380"/>
    <w:rsid w:val="00EB6083"/>
    <w:rsid w:val="00EC32EA"/>
    <w:rsid w:val="00EF134C"/>
    <w:rsid w:val="00EF3A9A"/>
    <w:rsid w:val="00F03AA3"/>
    <w:rsid w:val="00F11090"/>
    <w:rsid w:val="00F47E45"/>
    <w:rsid w:val="00F50F3E"/>
    <w:rsid w:val="00F61BDB"/>
    <w:rsid w:val="00F83118"/>
    <w:rsid w:val="00F87278"/>
    <w:rsid w:val="00FC7A59"/>
    <w:rsid w:val="00FD34D2"/>
    <w:rsid w:val="00FF55C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01FEBC-5687-4808-92E2-B2E80386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E2C"/>
    <w:pPr>
      <w:ind w:left="720"/>
      <w:contextualSpacing/>
    </w:pPr>
  </w:style>
  <w:style w:type="paragraph" w:customStyle="1" w:styleId="Default">
    <w:name w:val="Default"/>
    <w:rsid w:val="00B13960"/>
    <w:pPr>
      <w:autoSpaceDE w:val="0"/>
      <w:autoSpaceDN w:val="0"/>
      <w:adjustRightInd w:val="0"/>
      <w:spacing w:after="0" w:line="240" w:lineRule="auto"/>
    </w:pPr>
    <w:rPr>
      <w:rFonts w:ascii="Courier New" w:hAnsi="Courier New" w:cs="Courier New"/>
      <w:color w:val="000000"/>
      <w:sz w:val="24"/>
      <w:szCs w:val="24"/>
    </w:rPr>
  </w:style>
  <w:style w:type="paragraph" w:styleId="Header">
    <w:name w:val="header"/>
    <w:basedOn w:val="Normal"/>
    <w:link w:val="HeaderChar"/>
    <w:uiPriority w:val="99"/>
    <w:unhideWhenUsed/>
    <w:rsid w:val="004E4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AA"/>
  </w:style>
  <w:style w:type="paragraph" w:styleId="Footer">
    <w:name w:val="footer"/>
    <w:basedOn w:val="Normal"/>
    <w:link w:val="FooterChar"/>
    <w:unhideWhenUsed/>
    <w:rsid w:val="004E4AAA"/>
    <w:pPr>
      <w:tabs>
        <w:tab w:val="center" w:pos="4680"/>
        <w:tab w:val="right" w:pos="9360"/>
      </w:tabs>
      <w:spacing w:after="0" w:line="240" w:lineRule="auto"/>
    </w:pPr>
  </w:style>
  <w:style w:type="character" w:customStyle="1" w:styleId="FooterChar">
    <w:name w:val="Footer Char"/>
    <w:basedOn w:val="DefaultParagraphFont"/>
    <w:link w:val="Footer"/>
    <w:rsid w:val="004E4AAA"/>
  </w:style>
  <w:style w:type="character" w:styleId="Hyperlink">
    <w:name w:val="Hyperlink"/>
    <w:basedOn w:val="DefaultParagraphFont"/>
    <w:uiPriority w:val="99"/>
    <w:unhideWhenUsed/>
    <w:rsid w:val="00E80EBF"/>
    <w:rPr>
      <w:color w:val="0563C1" w:themeColor="hyperlink"/>
      <w:u w:val="single"/>
    </w:rPr>
  </w:style>
  <w:style w:type="character" w:styleId="FollowedHyperlink">
    <w:name w:val="FollowedHyperlink"/>
    <w:basedOn w:val="DefaultParagraphFont"/>
    <w:uiPriority w:val="99"/>
    <w:semiHidden/>
    <w:unhideWhenUsed/>
    <w:rsid w:val="00E80EBF"/>
    <w:rPr>
      <w:color w:val="954F72" w:themeColor="followedHyperlink"/>
      <w:u w:val="single"/>
    </w:rPr>
  </w:style>
  <w:style w:type="table" w:styleId="TableGrid">
    <w:name w:val="Table Grid"/>
    <w:basedOn w:val="TableNormal"/>
    <w:uiPriority w:val="39"/>
    <w:rsid w:val="0051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8E6B78"/>
    <w:pPr>
      <w:spacing w:after="0" w:line="240" w:lineRule="auto"/>
    </w:pPr>
    <w:rPr>
      <w:rFonts w:ascii="Times New Roman" w:eastAsia="Times New Roman" w:hAnsi="Times New Roman" w:cs="Times New Roman"/>
      <w:b/>
      <w:bCs/>
      <w:sz w:val="24"/>
      <w:szCs w:val="40"/>
    </w:rPr>
  </w:style>
  <w:style w:type="character" w:customStyle="1" w:styleId="BodyTextChar">
    <w:name w:val="Body Text Char"/>
    <w:basedOn w:val="DefaultParagraphFont"/>
    <w:link w:val="BodyText"/>
    <w:semiHidden/>
    <w:rsid w:val="008E6B78"/>
    <w:rPr>
      <w:rFonts w:ascii="Times New Roman" w:eastAsia="Times New Roman" w:hAnsi="Times New Roman" w:cs="Times New Roman"/>
      <w:b/>
      <w:bCs/>
      <w:sz w:val="24"/>
      <w:szCs w:val="40"/>
    </w:rPr>
  </w:style>
  <w:style w:type="paragraph" w:styleId="BodyTextIndent">
    <w:name w:val="Body Text Indent"/>
    <w:basedOn w:val="Normal"/>
    <w:link w:val="BodyTextIndentChar"/>
    <w:semiHidden/>
    <w:unhideWhenUsed/>
    <w:rsid w:val="008E6B78"/>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8E6B78"/>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8E6B78"/>
    <w:pPr>
      <w:spacing w:after="0" w:line="240" w:lineRule="auto"/>
      <w:ind w:left="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E6B78"/>
    <w:rPr>
      <w:rFonts w:ascii="Times New Roman" w:eastAsia="Times New Roman" w:hAnsi="Times New Roman" w:cs="Times New Roman"/>
      <w:sz w:val="24"/>
      <w:szCs w:val="24"/>
    </w:rPr>
  </w:style>
  <w:style w:type="paragraph" w:styleId="NormalWeb">
    <w:name w:val="Normal (Web)"/>
    <w:basedOn w:val="Normal"/>
    <w:uiPriority w:val="99"/>
    <w:semiHidden/>
    <w:unhideWhenUsed/>
    <w:rsid w:val="005558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5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740"/>
    <w:rPr>
      <w:rFonts w:ascii="Segoe UI" w:hAnsi="Segoe UI" w:cs="Segoe UI"/>
      <w:sz w:val="18"/>
      <w:szCs w:val="18"/>
    </w:rPr>
  </w:style>
  <w:style w:type="table" w:customStyle="1" w:styleId="TableGrid1">
    <w:name w:val="Table Grid1"/>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9862">
      <w:bodyDiv w:val="1"/>
      <w:marLeft w:val="0"/>
      <w:marRight w:val="0"/>
      <w:marTop w:val="0"/>
      <w:marBottom w:val="0"/>
      <w:divBdr>
        <w:top w:val="none" w:sz="0" w:space="0" w:color="auto"/>
        <w:left w:val="none" w:sz="0" w:space="0" w:color="auto"/>
        <w:bottom w:val="none" w:sz="0" w:space="0" w:color="auto"/>
        <w:right w:val="none" w:sz="0" w:space="0" w:color="auto"/>
      </w:divBdr>
    </w:div>
    <w:div w:id="206070884">
      <w:bodyDiv w:val="1"/>
      <w:marLeft w:val="0"/>
      <w:marRight w:val="0"/>
      <w:marTop w:val="0"/>
      <w:marBottom w:val="0"/>
      <w:divBdr>
        <w:top w:val="none" w:sz="0" w:space="0" w:color="auto"/>
        <w:left w:val="none" w:sz="0" w:space="0" w:color="auto"/>
        <w:bottom w:val="none" w:sz="0" w:space="0" w:color="auto"/>
        <w:right w:val="none" w:sz="0" w:space="0" w:color="auto"/>
      </w:divBdr>
    </w:div>
    <w:div w:id="380175823">
      <w:bodyDiv w:val="1"/>
      <w:marLeft w:val="0"/>
      <w:marRight w:val="0"/>
      <w:marTop w:val="0"/>
      <w:marBottom w:val="0"/>
      <w:divBdr>
        <w:top w:val="none" w:sz="0" w:space="0" w:color="auto"/>
        <w:left w:val="none" w:sz="0" w:space="0" w:color="auto"/>
        <w:bottom w:val="none" w:sz="0" w:space="0" w:color="auto"/>
        <w:right w:val="none" w:sz="0" w:space="0" w:color="auto"/>
      </w:divBdr>
      <w:divsChild>
        <w:div w:id="1775979843">
          <w:marLeft w:val="0"/>
          <w:marRight w:val="0"/>
          <w:marTop w:val="0"/>
          <w:marBottom w:val="0"/>
          <w:divBdr>
            <w:top w:val="none" w:sz="0" w:space="0" w:color="auto"/>
            <w:left w:val="none" w:sz="0" w:space="0" w:color="auto"/>
            <w:bottom w:val="none" w:sz="0" w:space="0" w:color="auto"/>
            <w:right w:val="none" w:sz="0" w:space="0" w:color="auto"/>
          </w:divBdr>
          <w:divsChild>
            <w:div w:id="1412509739">
              <w:marLeft w:val="0"/>
              <w:marRight w:val="0"/>
              <w:marTop w:val="0"/>
              <w:marBottom w:val="0"/>
              <w:divBdr>
                <w:top w:val="none" w:sz="0" w:space="0" w:color="auto"/>
                <w:left w:val="none" w:sz="0" w:space="0" w:color="auto"/>
                <w:bottom w:val="none" w:sz="0" w:space="0" w:color="auto"/>
                <w:right w:val="none" w:sz="0" w:space="0" w:color="auto"/>
              </w:divBdr>
              <w:divsChild>
                <w:div w:id="1848397812">
                  <w:marLeft w:val="0"/>
                  <w:marRight w:val="0"/>
                  <w:marTop w:val="0"/>
                  <w:marBottom w:val="0"/>
                  <w:divBdr>
                    <w:top w:val="none" w:sz="0" w:space="0" w:color="auto"/>
                    <w:left w:val="none" w:sz="0" w:space="0" w:color="auto"/>
                    <w:bottom w:val="none" w:sz="0" w:space="0" w:color="auto"/>
                    <w:right w:val="none" w:sz="0" w:space="0" w:color="auto"/>
                  </w:divBdr>
                  <w:divsChild>
                    <w:div w:id="1454983042">
                      <w:marLeft w:val="0"/>
                      <w:marRight w:val="0"/>
                      <w:marTop w:val="0"/>
                      <w:marBottom w:val="0"/>
                      <w:divBdr>
                        <w:top w:val="none" w:sz="0" w:space="0" w:color="auto"/>
                        <w:left w:val="none" w:sz="0" w:space="0" w:color="auto"/>
                        <w:bottom w:val="none" w:sz="0" w:space="0" w:color="auto"/>
                        <w:right w:val="none" w:sz="0" w:space="0" w:color="auto"/>
                      </w:divBdr>
                      <w:divsChild>
                        <w:div w:id="224027510">
                          <w:marLeft w:val="0"/>
                          <w:marRight w:val="0"/>
                          <w:marTop w:val="0"/>
                          <w:marBottom w:val="0"/>
                          <w:divBdr>
                            <w:top w:val="none" w:sz="0" w:space="0" w:color="auto"/>
                            <w:left w:val="none" w:sz="0" w:space="0" w:color="auto"/>
                            <w:bottom w:val="none" w:sz="0" w:space="0" w:color="auto"/>
                            <w:right w:val="none" w:sz="0" w:space="0" w:color="auto"/>
                          </w:divBdr>
                          <w:divsChild>
                            <w:div w:id="1428040227">
                              <w:marLeft w:val="0"/>
                              <w:marRight w:val="0"/>
                              <w:marTop w:val="0"/>
                              <w:marBottom w:val="0"/>
                              <w:divBdr>
                                <w:top w:val="none" w:sz="0" w:space="0" w:color="auto"/>
                                <w:left w:val="none" w:sz="0" w:space="0" w:color="auto"/>
                                <w:bottom w:val="none" w:sz="0" w:space="0" w:color="auto"/>
                                <w:right w:val="none" w:sz="0" w:space="0" w:color="auto"/>
                              </w:divBdr>
                              <w:divsChild>
                                <w:div w:id="1581215911">
                                  <w:marLeft w:val="0"/>
                                  <w:marRight w:val="0"/>
                                  <w:marTop w:val="0"/>
                                  <w:marBottom w:val="0"/>
                                  <w:divBdr>
                                    <w:top w:val="none" w:sz="0" w:space="0" w:color="auto"/>
                                    <w:left w:val="none" w:sz="0" w:space="0" w:color="auto"/>
                                    <w:bottom w:val="none" w:sz="0" w:space="0" w:color="auto"/>
                                    <w:right w:val="none" w:sz="0" w:space="0" w:color="auto"/>
                                  </w:divBdr>
                                  <w:divsChild>
                                    <w:div w:id="224340147">
                                      <w:marLeft w:val="0"/>
                                      <w:marRight w:val="0"/>
                                      <w:marTop w:val="0"/>
                                      <w:marBottom w:val="0"/>
                                      <w:divBdr>
                                        <w:top w:val="none" w:sz="0" w:space="0" w:color="auto"/>
                                        <w:left w:val="none" w:sz="0" w:space="0" w:color="auto"/>
                                        <w:bottom w:val="none" w:sz="0" w:space="0" w:color="auto"/>
                                        <w:right w:val="none" w:sz="0" w:space="0" w:color="auto"/>
                                      </w:divBdr>
                                      <w:divsChild>
                                        <w:div w:id="235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433218">
      <w:bodyDiv w:val="1"/>
      <w:marLeft w:val="0"/>
      <w:marRight w:val="0"/>
      <w:marTop w:val="0"/>
      <w:marBottom w:val="0"/>
      <w:divBdr>
        <w:top w:val="none" w:sz="0" w:space="0" w:color="auto"/>
        <w:left w:val="none" w:sz="0" w:space="0" w:color="auto"/>
        <w:bottom w:val="none" w:sz="0" w:space="0" w:color="auto"/>
        <w:right w:val="none" w:sz="0" w:space="0" w:color="auto"/>
      </w:divBdr>
    </w:div>
    <w:div w:id="1097360322">
      <w:bodyDiv w:val="1"/>
      <w:marLeft w:val="0"/>
      <w:marRight w:val="0"/>
      <w:marTop w:val="0"/>
      <w:marBottom w:val="0"/>
      <w:divBdr>
        <w:top w:val="none" w:sz="0" w:space="0" w:color="auto"/>
        <w:left w:val="none" w:sz="0" w:space="0" w:color="auto"/>
        <w:bottom w:val="none" w:sz="0" w:space="0" w:color="auto"/>
        <w:right w:val="none" w:sz="0" w:space="0" w:color="auto"/>
      </w:divBdr>
    </w:div>
    <w:div w:id="1113668546">
      <w:bodyDiv w:val="1"/>
      <w:marLeft w:val="0"/>
      <w:marRight w:val="0"/>
      <w:marTop w:val="0"/>
      <w:marBottom w:val="0"/>
      <w:divBdr>
        <w:top w:val="none" w:sz="0" w:space="0" w:color="auto"/>
        <w:left w:val="none" w:sz="0" w:space="0" w:color="auto"/>
        <w:bottom w:val="none" w:sz="0" w:space="0" w:color="auto"/>
        <w:right w:val="none" w:sz="0" w:space="0" w:color="auto"/>
      </w:divBdr>
    </w:div>
    <w:div w:id="176877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resources.ca.gov/docs/Final_Bioenergy_Action_Plan_Release_8-22-12.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passthrough.fw-notify.net/download/762289/http://www.energy.ca.gov/2009publications/CEC-500-2009-080/CEC-500-2009-080.PDF" TargetMode="External"/><Relationship Id="rId17" Type="http://schemas.openxmlformats.org/officeDocument/2006/relationships/image" Target="media/image4.emf"/><Relationship Id="rId25" Type="http://schemas.openxmlformats.org/officeDocument/2006/relationships/hyperlink" Target="http://resources.ca.gov/docs/energy_and_climate_change/2012_Bioenergy_Action_Plan.pdf" TargetMode="External"/><Relationship Id="rId2" Type="http://schemas.openxmlformats.org/officeDocument/2006/relationships/numbering" Target="numbering.xml"/><Relationship Id="rId16" Type="http://schemas.openxmlformats.org/officeDocument/2006/relationships/hyperlink" Target="http://www.fs.usda.gov/Internet/FSE_DOCUMENTS/stelprdb5351674.pdf" TargetMode="External"/><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erranevada.ca.gov/our-region/rim-fire/rimairqualityfacts.pdf"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www.sierranevada.ca.gov/our-region/bioenergy" TargetMode="External"/><Relationship Id="rId23" Type="http://schemas.openxmlformats.org/officeDocument/2006/relationships/image" Target="media/image10.emf"/><Relationship Id="rId28" Type="http://schemas.openxmlformats.org/officeDocument/2006/relationships/hyperlink" Target="http://www.placer.ca.gov/~/media/apc/documents/APCD%20Biomass/EmissionReductionsFromWoodyBiomassAWMA.pdf" TargetMode="External"/><Relationship Id="rId10" Type="http://schemas.openxmlformats.org/officeDocument/2006/relationships/hyperlink" Target="http://ucanr.edu/sites/cff/files/146199.pdf" TargetMode="Externa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stgov.org" TargetMode="External"/><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hyperlink" Target="http://ucanr.edu/sites/cff/files/146199.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3938-CA97-4F7C-8E07-1F673EF6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9423</Words>
  <Characters>53714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Brink</dc:creator>
  <cp:keywords/>
  <dc:description/>
  <cp:lastModifiedBy>Steven Brink</cp:lastModifiedBy>
  <cp:revision>3</cp:revision>
  <cp:lastPrinted>2015-10-04T23:03:00Z</cp:lastPrinted>
  <dcterms:created xsi:type="dcterms:W3CDTF">2015-10-04T23:07:00Z</dcterms:created>
  <dcterms:modified xsi:type="dcterms:W3CDTF">2015-10-04T23:09:00Z</dcterms:modified>
</cp:coreProperties>
</file>