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1A90" w14:textId="649413F8" w:rsidR="003C2382" w:rsidRPr="003C2382" w:rsidRDefault="00557339" w:rsidP="003C2382">
      <w:pPr>
        <w:pStyle w:val="Header"/>
        <w:tabs>
          <w:tab w:val="clear" w:pos="4320"/>
          <w:tab w:val="clear" w:pos="8640"/>
          <w:tab w:val="right" w:pos="9936"/>
        </w:tabs>
        <w:rPr>
          <w:rFonts w:ascii="Arial Narrow" w:hAnsi="Arial Narrow" w:cs="Arial"/>
          <w:b/>
          <w:sz w:val="16"/>
          <w:szCs w:val="16"/>
        </w:rPr>
      </w:pPr>
      <w:r>
        <w:rPr>
          <w:rFonts w:ascii="Arial Narrow" w:hAnsi="Arial Narrow" w:cs="Arial"/>
          <w:b/>
          <w:sz w:val="16"/>
          <w:szCs w:val="16"/>
        </w:rPr>
        <w:t xml:space="preserve">On </w:t>
      </w:r>
      <w:r w:rsidR="003C2382" w:rsidRPr="003C2382">
        <w:rPr>
          <w:rFonts w:ascii="Arial Narrow" w:hAnsi="Arial Narrow" w:cs="Arial"/>
          <w:b/>
          <w:sz w:val="16"/>
          <w:szCs w:val="16"/>
        </w:rPr>
        <w:t>Robert Hassebrock</w:t>
      </w:r>
    </w:p>
    <w:p w14:paraId="22ACFE0D" w14:textId="5ECF6B5E" w:rsidR="003C2382" w:rsidRPr="003C2382" w:rsidRDefault="003C2382" w:rsidP="003C2382">
      <w:pPr>
        <w:pStyle w:val="Header"/>
        <w:tabs>
          <w:tab w:val="clear" w:pos="4320"/>
          <w:tab w:val="clear" w:pos="8640"/>
          <w:tab w:val="right" w:pos="9936"/>
        </w:tabs>
        <w:rPr>
          <w:rFonts w:ascii="Arial Narrow" w:hAnsi="Arial Narrow" w:cs="Arial"/>
          <w:b/>
          <w:sz w:val="16"/>
          <w:szCs w:val="16"/>
        </w:rPr>
      </w:pPr>
      <w:r w:rsidRPr="003C2382">
        <w:rPr>
          <w:rFonts w:ascii="Arial Narrow" w:hAnsi="Arial Narrow" w:cs="Arial"/>
          <w:b/>
          <w:sz w:val="16"/>
          <w:szCs w:val="16"/>
        </w:rPr>
        <w:t xml:space="preserve">HSE Manager, </w:t>
      </w:r>
      <w:r w:rsidR="00256955">
        <w:rPr>
          <w:rFonts w:ascii="Arial Narrow" w:hAnsi="Arial Narrow" w:cs="Arial"/>
          <w:b/>
          <w:sz w:val="16"/>
          <w:szCs w:val="16"/>
        </w:rPr>
        <w:t xml:space="preserve">NAM South </w:t>
      </w:r>
      <w:r w:rsidRPr="003C2382">
        <w:rPr>
          <w:rFonts w:ascii="Arial Narrow" w:hAnsi="Arial Narrow" w:cs="Arial"/>
          <w:b/>
          <w:sz w:val="16"/>
          <w:szCs w:val="16"/>
        </w:rPr>
        <w:t>Pacific Area</w:t>
      </w:r>
    </w:p>
    <w:p w14:paraId="619AF663" w14:textId="77777777" w:rsidR="003C2382" w:rsidRPr="00467FA0" w:rsidRDefault="003C2382" w:rsidP="003C2382">
      <w:pPr>
        <w:pStyle w:val="Header"/>
        <w:tabs>
          <w:tab w:val="clear" w:pos="4320"/>
          <w:tab w:val="clear" w:pos="8640"/>
          <w:tab w:val="right" w:pos="9936"/>
        </w:tabs>
        <w:rPr>
          <w:sz w:val="22"/>
          <w:szCs w:val="22"/>
        </w:rPr>
      </w:pPr>
    </w:p>
    <w:p w14:paraId="10EB209D" w14:textId="312D4A32" w:rsidR="00634EF9" w:rsidRPr="002725C1" w:rsidRDefault="000B20D6" w:rsidP="00634EF9">
      <w:pPr>
        <w:rPr>
          <w:sz w:val="22"/>
          <w:szCs w:val="22"/>
        </w:rPr>
      </w:pPr>
      <w:r w:rsidRPr="002725C1">
        <w:rPr>
          <w:sz w:val="22"/>
          <w:szCs w:val="22"/>
        </w:rPr>
        <w:t>Date</w:t>
      </w:r>
      <w:r w:rsidR="00B2418D" w:rsidRPr="002725C1">
        <w:rPr>
          <w:sz w:val="22"/>
          <w:szCs w:val="22"/>
        </w:rPr>
        <w:t>:</w:t>
      </w:r>
      <w:r w:rsidR="00A96ADA" w:rsidRPr="002725C1">
        <w:rPr>
          <w:sz w:val="22"/>
          <w:szCs w:val="22"/>
        </w:rPr>
        <w:tab/>
      </w:r>
    </w:p>
    <w:p w14:paraId="274EE90C" w14:textId="77777777" w:rsidR="00634EF9" w:rsidRPr="002725C1" w:rsidRDefault="00634EF9">
      <w:pPr>
        <w:pStyle w:val="InsideAddress"/>
        <w:rPr>
          <w:sz w:val="22"/>
          <w:szCs w:val="22"/>
        </w:rPr>
      </w:pPr>
    </w:p>
    <w:p w14:paraId="799BD1DC" w14:textId="16261FBD" w:rsidR="001B4C0C" w:rsidRDefault="00634EF9" w:rsidP="00F2482A">
      <w:pPr>
        <w:rPr>
          <w:sz w:val="22"/>
          <w:szCs w:val="22"/>
        </w:rPr>
      </w:pPr>
      <w:r w:rsidRPr="002725C1">
        <w:rPr>
          <w:sz w:val="22"/>
          <w:szCs w:val="22"/>
        </w:rPr>
        <w:t>To:</w:t>
      </w:r>
      <w:r w:rsidRPr="002725C1">
        <w:rPr>
          <w:sz w:val="22"/>
          <w:szCs w:val="22"/>
        </w:rPr>
        <w:tab/>
      </w:r>
      <w:r w:rsidR="001B4C0C">
        <w:rPr>
          <w:sz w:val="22"/>
          <w:szCs w:val="22"/>
        </w:rPr>
        <w:t>Clerk of the Board</w:t>
      </w:r>
    </w:p>
    <w:p w14:paraId="194F4C2D" w14:textId="4F9C4277" w:rsidR="00634EF9" w:rsidRDefault="005B1F40" w:rsidP="001B4C0C">
      <w:pPr>
        <w:ind w:firstLine="720"/>
        <w:rPr>
          <w:sz w:val="22"/>
          <w:szCs w:val="22"/>
        </w:rPr>
      </w:pPr>
      <w:r>
        <w:rPr>
          <w:sz w:val="22"/>
          <w:szCs w:val="22"/>
        </w:rPr>
        <w:t>California Air Resources Board (CARB)</w:t>
      </w:r>
    </w:p>
    <w:p w14:paraId="38AEC0E6" w14:textId="15946A45" w:rsidR="001B4C0C" w:rsidRDefault="001B4C0C" w:rsidP="001B4C0C">
      <w:pPr>
        <w:ind w:firstLine="720"/>
        <w:rPr>
          <w:sz w:val="22"/>
          <w:szCs w:val="22"/>
        </w:rPr>
      </w:pPr>
      <w:r>
        <w:rPr>
          <w:sz w:val="22"/>
          <w:szCs w:val="22"/>
        </w:rPr>
        <w:t>1001 I St., 6</w:t>
      </w:r>
      <w:r w:rsidRPr="001B4C0C">
        <w:rPr>
          <w:sz w:val="22"/>
          <w:szCs w:val="22"/>
          <w:vertAlign w:val="superscript"/>
        </w:rPr>
        <w:t>th</w:t>
      </w:r>
      <w:r>
        <w:rPr>
          <w:sz w:val="22"/>
          <w:szCs w:val="22"/>
        </w:rPr>
        <w:t xml:space="preserve"> Floor</w:t>
      </w:r>
    </w:p>
    <w:p w14:paraId="79BD9561" w14:textId="58947F6F" w:rsidR="001B4C0C" w:rsidRPr="002725C1" w:rsidRDefault="001B4C0C" w:rsidP="001B4C0C">
      <w:pPr>
        <w:ind w:firstLine="720"/>
        <w:rPr>
          <w:sz w:val="22"/>
          <w:szCs w:val="22"/>
        </w:rPr>
      </w:pPr>
      <w:r>
        <w:rPr>
          <w:sz w:val="22"/>
          <w:szCs w:val="22"/>
        </w:rPr>
        <w:t>Sacramento, CA 95814</w:t>
      </w:r>
    </w:p>
    <w:p w14:paraId="122A1385" w14:textId="77777777" w:rsidR="00634EF9" w:rsidRPr="002725C1" w:rsidRDefault="00634EF9">
      <w:pPr>
        <w:pStyle w:val="InsideAddress"/>
        <w:rPr>
          <w:sz w:val="22"/>
          <w:szCs w:val="22"/>
        </w:rPr>
      </w:pPr>
    </w:p>
    <w:p w14:paraId="733B9F7E" w14:textId="53E9A3CF" w:rsidR="00EB7259" w:rsidRPr="002725C1" w:rsidRDefault="00EB7259">
      <w:pPr>
        <w:pStyle w:val="Heading1"/>
        <w:rPr>
          <w:sz w:val="22"/>
          <w:szCs w:val="22"/>
        </w:rPr>
      </w:pPr>
      <w:r w:rsidRPr="002725C1">
        <w:rPr>
          <w:sz w:val="22"/>
          <w:szCs w:val="22"/>
        </w:rPr>
        <w:t>RE:</w:t>
      </w:r>
      <w:r w:rsidRPr="002725C1">
        <w:rPr>
          <w:sz w:val="22"/>
          <w:szCs w:val="22"/>
        </w:rPr>
        <w:tab/>
      </w:r>
      <w:r w:rsidR="005B1F40">
        <w:rPr>
          <w:sz w:val="22"/>
          <w:szCs w:val="22"/>
        </w:rPr>
        <w:t>Advanced Clean Fleet</w:t>
      </w:r>
      <w:r w:rsidR="001B4C0C">
        <w:rPr>
          <w:sz w:val="22"/>
          <w:szCs w:val="22"/>
        </w:rPr>
        <w:t>s</w:t>
      </w:r>
      <w:r w:rsidR="005B1F40">
        <w:rPr>
          <w:sz w:val="22"/>
          <w:szCs w:val="22"/>
        </w:rPr>
        <w:t xml:space="preserve"> Draft Regulations</w:t>
      </w:r>
    </w:p>
    <w:p w14:paraId="51629E3B" w14:textId="77777777" w:rsidR="00EB7259" w:rsidRPr="002725C1" w:rsidRDefault="00EB7259">
      <w:pPr>
        <w:rPr>
          <w:sz w:val="22"/>
          <w:szCs w:val="22"/>
        </w:rPr>
      </w:pPr>
    </w:p>
    <w:p w14:paraId="4F5D2835" w14:textId="20CD50B1" w:rsidR="00634EF9" w:rsidRDefault="00374B8C">
      <w:pPr>
        <w:rPr>
          <w:sz w:val="22"/>
          <w:szCs w:val="22"/>
        </w:rPr>
      </w:pPr>
      <w:r>
        <w:rPr>
          <w:sz w:val="22"/>
          <w:szCs w:val="22"/>
        </w:rPr>
        <w:t xml:space="preserve">Weatherford is a supplier of goods and services primarily in the energy industry with </w:t>
      </w:r>
      <w:proofErr w:type="gramStart"/>
      <w:r>
        <w:rPr>
          <w:sz w:val="22"/>
          <w:szCs w:val="22"/>
        </w:rPr>
        <w:t>the majority of</w:t>
      </w:r>
      <w:proofErr w:type="gramEnd"/>
      <w:r>
        <w:rPr>
          <w:sz w:val="22"/>
          <w:szCs w:val="22"/>
        </w:rPr>
        <w:t xml:space="preserve"> that work in the Oil and Gas Drilling and Production sector.  </w:t>
      </w:r>
      <w:r w:rsidR="005B1F40">
        <w:rPr>
          <w:sz w:val="22"/>
          <w:szCs w:val="22"/>
        </w:rPr>
        <w:t xml:space="preserve">We appreciate the opportunity to provide comments on the referenced proposed regulations.  </w:t>
      </w:r>
      <w:r w:rsidR="001B4C0C">
        <w:rPr>
          <w:sz w:val="22"/>
          <w:szCs w:val="22"/>
        </w:rPr>
        <w:t xml:space="preserve">Our comments have nothing to do with </w:t>
      </w:r>
      <w:r>
        <w:rPr>
          <w:sz w:val="22"/>
          <w:szCs w:val="22"/>
        </w:rPr>
        <w:t xml:space="preserve">our support for </w:t>
      </w:r>
      <w:r w:rsidR="001B4C0C">
        <w:rPr>
          <w:sz w:val="22"/>
          <w:szCs w:val="22"/>
        </w:rPr>
        <w:t xml:space="preserve">the goals of the regulation but are rather focused </w:t>
      </w:r>
      <w:r w:rsidR="00557339">
        <w:rPr>
          <w:sz w:val="22"/>
          <w:szCs w:val="22"/>
        </w:rPr>
        <w:t xml:space="preserve">on the </w:t>
      </w:r>
      <w:r w:rsidR="001B4C0C">
        <w:rPr>
          <w:sz w:val="22"/>
          <w:szCs w:val="22"/>
        </w:rPr>
        <w:t xml:space="preserve">clarity of the regulation and feasibility of such a </w:t>
      </w:r>
      <w:r w:rsidR="00557339">
        <w:rPr>
          <w:sz w:val="22"/>
          <w:szCs w:val="22"/>
        </w:rPr>
        <w:t>significant</w:t>
      </w:r>
      <w:r w:rsidR="001B4C0C">
        <w:rPr>
          <w:sz w:val="22"/>
          <w:szCs w:val="22"/>
        </w:rPr>
        <w:t xml:space="preserve"> change in manag</w:t>
      </w:r>
      <w:r>
        <w:rPr>
          <w:sz w:val="22"/>
          <w:szCs w:val="22"/>
        </w:rPr>
        <w:t>ing</w:t>
      </w:r>
      <w:r w:rsidR="001B4C0C">
        <w:rPr>
          <w:sz w:val="22"/>
          <w:szCs w:val="22"/>
        </w:rPr>
        <w:t xml:space="preserve"> transportation and support vehicles</w:t>
      </w:r>
      <w:r>
        <w:rPr>
          <w:sz w:val="22"/>
          <w:szCs w:val="22"/>
        </w:rPr>
        <w:t xml:space="preserve"> for companies subject to this proposed regulation.  </w:t>
      </w:r>
    </w:p>
    <w:p w14:paraId="604CBB15" w14:textId="7AB1FDFA" w:rsidR="001B4C0C" w:rsidRDefault="001B4C0C">
      <w:pPr>
        <w:rPr>
          <w:sz w:val="22"/>
          <w:szCs w:val="22"/>
        </w:rPr>
      </w:pPr>
    </w:p>
    <w:p w14:paraId="075D2C0F" w14:textId="538B0A40" w:rsidR="001B4C0C" w:rsidRDefault="00557339">
      <w:pPr>
        <w:rPr>
          <w:sz w:val="22"/>
          <w:szCs w:val="22"/>
        </w:rPr>
      </w:pPr>
      <w:r>
        <w:rPr>
          <w:sz w:val="22"/>
          <w:szCs w:val="22"/>
        </w:rPr>
        <w:t>W</w:t>
      </w:r>
      <w:r w:rsidR="001B4C0C">
        <w:rPr>
          <w:sz w:val="22"/>
          <w:szCs w:val="22"/>
        </w:rPr>
        <w:t>e appreciate that the Board has</w:t>
      </w:r>
      <w:r w:rsidR="00374B8C">
        <w:rPr>
          <w:sz w:val="22"/>
          <w:szCs w:val="22"/>
        </w:rPr>
        <w:t xml:space="preserve"> directed</w:t>
      </w:r>
      <w:r w:rsidR="001B4C0C">
        <w:rPr>
          <w:sz w:val="22"/>
          <w:szCs w:val="22"/>
        </w:rPr>
        <w:t xml:space="preserve"> </w:t>
      </w:r>
      <w:r w:rsidR="00B73168">
        <w:rPr>
          <w:sz w:val="22"/>
          <w:szCs w:val="22"/>
        </w:rPr>
        <w:t>Staff to move with caution in developing</w:t>
      </w:r>
      <w:r w:rsidR="001B4C0C">
        <w:rPr>
          <w:sz w:val="22"/>
          <w:szCs w:val="22"/>
        </w:rPr>
        <w:t xml:space="preserve"> this regulation and would suggest that </w:t>
      </w:r>
      <w:r w:rsidR="00CD402D">
        <w:rPr>
          <w:sz w:val="22"/>
          <w:szCs w:val="22"/>
        </w:rPr>
        <w:t xml:space="preserve">exercising </w:t>
      </w:r>
      <w:r w:rsidR="001B4C0C">
        <w:rPr>
          <w:sz w:val="22"/>
          <w:szCs w:val="22"/>
        </w:rPr>
        <w:t xml:space="preserve">patience may </w:t>
      </w:r>
      <w:r w:rsidR="00CD402D">
        <w:rPr>
          <w:sz w:val="22"/>
          <w:szCs w:val="22"/>
        </w:rPr>
        <w:t xml:space="preserve">also </w:t>
      </w:r>
      <w:r w:rsidR="001B4C0C">
        <w:rPr>
          <w:sz w:val="22"/>
          <w:szCs w:val="22"/>
        </w:rPr>
        <w:t>be required</w:t>
      </w:r>
      <w:r w:rsidR="00374B8C">
        <w:rPr>
          <w:sz w:val="22"/>
          <w:szCs w:val="22"/>
        </w:rPr>
        <w:t xml:space="preserve"> </w:t>
      </w:r>
      <w:r w:rsidR="00CD402D">
        <w:rPr>
          <w:sz w:val="22"/>
          <w:szCs w:val="22"/>
        </w:rPr>
        <w:t>during the development process</w:t>
      </w:r>
      <w:r w:rsidR="001B4C0C">
        <w:rPr>
          <w:sz w:val="22"/>
          <w:szCs w:val="22"/>
        </w:rPr>
        <w:t xml:space="preserve">.  The implementation date in the regulation </w:t>
      </w:r>
      <w:r>
        <w:rPr>
          <w:sz w:val="22"/>
          <w:szCs w:val="22"/>
        </w:rPr>
        <w:t>may require</w:t>
      </w:r>
      <w:r w:rsidR="001B4C0C">
        <w:rPr>
          <w:sz w:val="22"/>
          <w:szCs w:val="22"/>
        </w:rPr>
        <w:t xml:space="preserve"> capital expenditures in 2024</w:t>
      </w:r>
      <w:r w:rsidR="00CB527B">
        <w:rPr>
          <w:sz w:val="22"/>
          <w:szCs w:val="22"/>
        </w:rPr>
        <w:t>,</w:t>
      </w:r>
      <w:r w:rsidR="001B4C0C">
        <w:rPr>
          <w:sz w:val="22"/>
          <w:szCs w:val="22"/>
        </w:rPr>
        <w:t xml:space="preserve"> and </w:t>
      </w:r>
      <w:r w:rsidR="00CB527B">
        <w:rPr>
          <w:sz w:val="22"/>
          <w:szCs w:val="22"/>
        </w:rPr>
        <w:t>such expenditures will</w:t>
      </w:r>
      <w:r w:rsidR="00CD402D">
        <w:rPr>
          <w:sz w:val="22"/>
          <w:szCs w:val="22"/>
        </w:rPr>
        <w:t xml:space="preserve"> be</w:t>
      </w:r>
      <w:r w:rsidR="00CB527B">
        <w:rPr>
          <w:sz w:val="22"/>
          <w:szCs w:val="22"/>
        </w:rPr>
        <w:t xml:space="preserve"> </w:t>
      </w:r>
      <w:r w:rsidR="001B4C0C">
        <w:rPr>
          <w:sz w:val="22"/>
          <w:szCs w:val="22"/>
        </w:rPr>
        <w:t xml:space="preserve">mandatory in 2025.  </w:t>
      </w:r>
      <w:r w:rsidR="00374B8C">
        <w:rPr>
          <w:sz w:val="22"/>
          <w:szCs w:val="22"/>
        </w:rPr>
        <w:t>The U</w:t>
      </w:r>
      <w:r w:rsidR="00CB527B">
        <w:rPr>
          <w:sz w:val="22"/>
          <w:szCs w:val="22"/>
        </w:rPr>
        <w:t>.</w:t>
      </w:r>
      <w:r w:rsidR="00374B8C">
        <w:rPr>
          <w:sz w:val="22"/>
          <w:szCs w:val="22"/>
        </w:rPr>
        <w:t>S</w:t>
      </w:r>
      <w:r w:rsidR="00CB527B">
        <w:rPr>
          <w:sz w:val="22"/>
          <w:szCs w:val="22"/>
        </w:rPr>
        <w:t>.</w:t>
      </w:r>
      <w:r w:rsidR="00185EED">
        <w:rPr>
          <w:sz w:val="22"/>
          <w:szCs w:val="22"/>
        </w:rPr>
        <w:t>, if not the global economy</w:t>
      </w:r>
      <w:r w:rsidR="00EC67A8">
        <w:rPr>
          <w:sz w:val="22"/>
          <w:szCs w:val="22"/>
        </w:rPr>
        <w:t>,</w:t>
      </w:r>
      <w:r w:rsidR="00A35269">
        <w:rPr>
          <w:sz w:val="22"/>
          <w:szCs w:val="22"/>
        </w:rPr>
        <w:t xml:space="preserve"> </w:t>
      </w:r>
      <w:r w:rsidR="00374B8C">
        <w:rPr>
          <w:sz w:val="22"/>
          <w:szCs w:val="22"/>
        </w:rPr>
        <w:t>is</w:t>
      </w:r>
      <w:r w:rsidR="001B4C0C">
        <w:rPr>
          <w:sz w:val="22"/>
          <w:szCs w:val="22"/>
        </w:rPr>
        <w:t xml:space="preserve"> </w:t>
      </w:r>
      <w:proofErr w:type="gramStart"/>
      <w:r w:rsidR="001B4C0C">
        <w:rPr>
          <w:sz w:val="22"/>
          <w:szCs w:val="22"/>
        </w:rPr>
        <w:t>in the midst of</w:t>
      </w:r>
      <w:proofErr w:type="gramEnd"/>
      <w:r w:rsidR="001B4C0C">
        <w:rPr>
          <w:sz w:val="22"/>
          <w:szCs w:val="22"/>
        </w:rPr>
        <w:t xml:space="preserve"> a banking crisis that has the potential to impact access to capital for many companies</w:t>
      </w:r>
      <w:r w:rsidR="00B73168">
        <w:rPr>
          <w:sz w:val="22"/>
          <w:szCs w:val="22"/>
        </w:rPr>
        <w:t xml:space="preserve">, even if we </w:t>
      </w:r>
      <w:r w:rsidR="00185EED">
        <w:rPr>
          <w:sz w:val="22"/>
          <w:szCs w:val="22"/>
        </w:rPr>
        <w:t xml:space="preserve">(Weatherford) </w:t>
      </w:r>
      <w:r w:rsidR="00B73168">
        <w:rPr>
          <w:sz w:val="22"/>
          <w:szCs w:val="22"/>
        </w:rPr>
        <w:t>are not impacted directly</w:t>
      </w:r>
      <w:r w:rsidR="00374B8C">
        <w:rPr>
          <w:sz w:val="22"/>
          <w:szCs w:val="22"/>
        </w:rPr>
        <w:t>.  S</w:t>
      </w:r>
      <w:r w:rsidR="00B73168">
        <w:rPr>
          <w:sz w:val="22"/>
          <w:szCs w:val="22"/>
        </w:rPr>
        <w:t>ince we seek to work with Disadvantaged Business Entities, we have concern for this sector of the economy.  While the</w:t>
      </w:r>
      <w:r w:rsidR="00185EED">
        <w:rPr>
          <w:sz w:val="22"/>
          <w:szCs w:val="22"/>
        </w:rPr>
        <w:t>se companies</w:t>
      </w:r>
      <w:r w:rsidR="00B73168">
        <w:rPr>
          <w:sz w:val="22"/>
          <w:szCs w:val="22"/>
        </w:rPr>
        <w:t xml:space="preserve"> might be able to weather the stress of this regulation under normal circumstances, it is possible that the potential constriction in access to capital could impact this sector unfavorably</w:t>
      </w:r>
      <w:r w:rsidR="00185EED">
        <w:rPr>
          <w:sz w:val="22"/>
          <w:szCs w:val="22"/>
        </w:rPr>
        <w:t xml:space="preserve"> resulting in inequitable outcomes,</w:t>
      </w:r>
      <w:r w:rsidR="00B73168">
        <w:rPr>
          <w:sz w:val="22"/>
          <w:szCs w:val="22"/>
        </w:rPr>
        <w:t xml:space="preserve"> and it would be </w:t>
      </w:r>
      <w:r w:rsidR="00CD402D">
        <w:rPr>
          <w:sz w:val="22"/>
          <w:szCs w:val="22"/>
        </w:rPr>
        <w:t xml:space="preserve">prudent </w:t>
      </w:r>
      <w:r w:rsidR="00B73168">
        <w:rPr>
          <w:sz w:val="22"/>
          <w:szCs w:val="22"/>
        </w:rPr>
        <w:t xml:space="preserve">to </w:t>
      </w:r>
      <w:r w:rsidR="00CD402D">
        <w:rPr>
          <w:sz w:val="22"/>
          <w:szCs w:val="22"/>
        </w:rPr>
        <w:t xml:space="preserve">delay </w:t>
      </w:r>
      <w:r w:rsidR="00B73168">
        <w:rPr>
          <w:sz w:val="22"/>
          <w:szCs w:val="22"/>
        </w:rPr>
        <w:t xml:space="preserve">implementation </w:t>
      </w:r>
      <w:r w:rsidR="00CD402D">
        <w:rPr>
          <w:sz w:val="22"/>
          <w:szCs w:val="22"/>
        </w:rPr>
        <w:t>by at least one year</w:t>
      </w:r>
      <w:r w:rsidR="00B73168">
        <w:rPr>
          <w:sz w:val="22"/>
          <w:szCs w:val="22"/>
        </w:rPr>
        <w:t xml:space="preserve"> or more </w:t>
      </w:r>
      <w:r w:rsidR="00CB527B">
        <w:rPr>
          <w:sz w:val="22"/>
          <w:szCs w:val="22"/>
        </w:rPr>
        <w:t xml:space="preserve">in the future </w:t>
      </w:r>
      <w:r w:rsidR="00B73168">
        <w:rPr>
          <w:sz w:val="22"/>
          <w:szCs w:val="22"/>
        </w:rPr>
        <w:t>to</w:t>
      </w:r>
      <w:r>
        <w:rPr>
          <w:sz w:val="22"/>
          <w:szCs w:val="22"/>
        </w:rPr>
        <w:t xml:space="preserve"> </w:t>
      </w:r>
      <w:r w:rsidRPr="00557339">
        <w:rPr>
          <w:sz w:val="22"/>
          <w:szCs w:val="22"/>
        </w:rPr>
        <w:t>reduce the financial burde</w:t>
      </w:r>
      <w:r>
        <w:rPr>
          <w:sz w:val="22"/>
          <w:szCs w:val="22"/>
        </w:rPr>
        <w:t>n</w:t>
      </w:r>
      <w:r w:rsidR="00B73168">
        <w:rPr>
          <w:sz w:val="22"/>
          <w:szCs w:val="22"/>
        </w:rPr>
        <w:t>.</w:t>
      </w:r>
    </w:p>
    <w:p w14:paraId="4D419870" w14:textId="6881CDF0" w:rsidR="00B73168" w:rsidRDefault="00B73168">
      <w:pPr>
        <w:rPr>
          <w:sz w:val="22"/>
          <w:szCs w:val="22"/>
        </w:rPr>
      </w:pPr>
    </w:p>
    <w:p w14:paraId="56C65471" w14:textId="751F3D22" w:rsidR="00B73168" w:rsidRDefault="00557339">
      <w:pPr>
        <w:rPr>
          <w:sz w:val="22"/>
          <w:szCs w:val="22"/>
        </w:rPr>
      </w:pPr>
      <w:r>
        <w:rPr>
          <w:sz w:val="22"/>
          <w:szCs w:val="22"/>
        </w:rPr>
        <w:t>T</w:t>
      </w:r>
      <w:r w:rsidR="00B73168">
        <w:rPr>
          <w:sz w:val="22"/>
          <w:szCs w:val="22"/>
        </w:rPr>
        <w:t xml:space="preserve">here is </w:t>
      </w:r>
      <w:proofErr w:type="gramStart"/>
      <w:r>
        <w:rPr>
          <w:sz w:val="22"/>
          <w:szCs w:val="22"/>
        </w:rPr>
        <w:t>the</w:t>
      </w:r>
      <w:r w:rsidR="00B73168">
        <w:rPr>
          <w:sz w:val="22"/>
          <w:szCs w:val="22"/>
        </w:rPr>
        <w:t xml:space="preserve"> potential</w:t>
      </w:r>
      <w:proofErr w:type="gramEnd"/>
      <w:r w:rsidR="00B73168">
        <w:rPr>
          <w:sz w:val="22"/>
          <w:szCs w:val="22"/>
        </w:rPr>
        <w:t xml:space="preserve"> disruption to the economy as </w:t>
      </w:r>
      <w:r>
        <w:rPr>
          <w:sz w:val="22"/>
          <w:szCs w:val="22"/>
        </w:rPr>
        <w:t xml:space="preserve">a </w:t>
      </w:r>
      <w:r w:rsidR="00B73168">
        <w:rPr>
          <w:sz w:val="22"/>
          <w:szCs w:val="22"/>
        </w:rPr>
        <w:t>result of this regulation</w:t>
      </w:r>
      <w:r w:rsidR="00CB527B">
        <w:rPr>
          <w:sz w:val="22"/>
          <w:szCs w:val="22"/>
        </w:rPr>
        <w:t>.</w:t>
      </w:r>
      <w:r w:rsidR="00B73168">
        <w:rPr>
          <w:sz w:val="22"/>
          <w:szCs w:val="22"/>
        </w:rPr>
        <w:t xml:space="preserve"> </w:t>
      </w:r>
      <w:r w:rsidR="00CB527B">
        <w:rPr>
          <w:sz w:val="22"/>
          <w:szCs w:val="22"/>
        </w:rPr>
        <w:t>W</w:t>
      </w:r>
      <w:r w:rsidR="00B73168">
        <w:rPr>
          <w:sz w:val="22"/>
          <w:szCs w:val="22"/>
        </w:rPr>
        <w:t xml:space="preserve">e </w:t>
      </w:r>
      <w:r w:rsidR="00CD402D">
        <w:rPr>
          <w:sz w:val="22"/>
          <w:szCs w:val="22"/>
        </w:rPr>
        <w:t xml:space="preserve">are curious </w:t>
      </w:r>
      <w:r w:rsidR="00B73168">
        <w:rPr>
          <w:sz w:val="22"/>
          <w:szCs w:val="22"/>
        </w:rPr>
        <w:t xml:space="preserve">if CARB has identified economic metrics to </w:t>
      </w:r>
      <w:r w:rsidR="00CD402D">
        <w:rPr>
          <w:sz w:val="22"/>
          <w:szCs w:val="22"/>
        </w:rPr>
        <w:t xml:space="preserve">monitor </w:t>
      </w:r>
      <w:r w:rsidR="00B73168">
        <w:rPr>
          <w:sz w:val="22"/>
          <w:szCs w:val="22"/>
        </w:rPr>
        <w:t xml:space="preserve">in future years should there be unintended consequences to </w:t>
      </w:r>
      <w:r>
        <w:rPr>
          <w:sz w:val="22"/>
          <w:szCs w:val="22"/>
        </w:rPr>
        <w:t>industr</w:t>
      </w:r>
      <w:r w:rsidR="00CB527B">
        <w:rPr>
          <w:sz w:val="22"/>
          <w:szCs w:val="22"/>
        </w:rPr>
        <w:t>ies</w:t>
      </w:r>
      <w:r>
        <w:rPr>
          <w:sz w:val="22"/>
          <w:szCs w:val="22"/>
        </w:rPr>
        <w:t xml:space="preserve"> in general</w:t>
      </w:r>
      <w:r w:rsidR="00CB527B">
        <w:rPr>
          <w:sz w:val="22"/>
          <w:szCs w:val="22"/>
        </w:rPr>
        <w:t>,</w:t>
      </w:r>
      <w:r>
        <w:rPr>
          <w:sz w:val="22"/>
          <w:szCs w:val="22"/>
        </w:rPr>
        <w:t xml:space="preserve"> </w:t>
      </w:r>
      <w:r w:rsidR="00B73168">
        <w:rPr>
          <w:sz w:val="22"/>
          <w:szCs w:val="22"/>
        </w:rPr>
        <w:t xml:space="preserve">or to disadvantaged sectors </w:t>
      </w:r>
      <w:r>
        <w:rPr>
          <w:sz w:val="22"/>
          <w:szCs w:val="22"/>
        </w:rPr>
        <w:t xml:space="preserve">resulting from </w:t>
      </w:r>
      <w:r w:rsidR="00374B8C">
        <w:rPr>
          <w:sz w:val="22"/>
          <w:szCs w:val="22"/>
        </w:rPr>
        <w:t xml:space="preserve">implementation.  If yes, what are the </w:t>
      </w:r>
      <w:r w:rsidR="00B73168">
        <w:rPr>
          <w:sz w:val="22"/>
          <w:szCs w:val="22"/>
        </w:rPr>
        <w:t>planne</w:t>
      </w:r>
      <w:r w:rsidR="00374B8C">
        <w:rPr>
          <w:sz w:val="22"/>
          <w:szCs w:val="22"/>
        </w:rPr>
        <w:t>d</w:t>
      </w:r>
      <w:r w:rsidR="00B73168">
        <w:rPr>
          <w:sz w:val="22"/>
          <w:szCs w:val="22"/>
        </w:rPr>
        <w:t xml:space="preserve"> actions that will be implemented if these metrics indicate a need</w:t>
      </w:r>
      <w:r w:rsidR="00CB527B">
        <w:rPr>
          <w:sz w:val="22"/>
          <w:szCs w:val="22"/>
        </w:rPr>
        <w:t>?</w:t>
      </w:r>
      <w:r w:rsidR="00B73168">
        <w:rPr>
          <w:sz w:val="22"/>
          <w:szCs w:val="22"/>
        </w:rPr>
        <w:t xml:space="preserve">  We believe that these metrics and actions should be</w:t>
      </w:r>
      <w:r w:rsidR="00374B8C">
        <w:rPr>
          <w:sz w:val="22"/>
          <w:szCs w:val="22"/>
        </w:rPr>
        <w:t xml:space="preserve"> developed and</w:t>
      </w:r>
      <w:r w:rsidR="00B73168">
        <w:rPr>
          <w:sz w:val="22"/>
          <w:szCs w:val="22"/>
        </w:rPr>
        <w:t xml:space="preserve"> shared as part of the background for promulgation.</w:t>
      </w:r>
    </w:p>
    <w:p w14:paraId="4AA5E7F3" w14:textId="59C03A94" w:rsidR="00B73168" w:rsidRDefault="00B73168">
      <w:pPr>
        <w:rPr>
          <w:sz w:val="22"/>
          <w:szCs w:val="22"/>
        </w:rPr>
      </w:pPr>
    </w:p>
    <w:p w14:paraId="3E942FC9" w14:textId="16E87B32" w:rsidR="00B73168" w:rsidRDefault="00EC3BCE">
      <w:pPr>
        <w:rPr>
          <w:sz w:val="22"/>
          <w:szCs w:val="22"/>
        </w:rPr>
      </w:pPr>
      <w:r>
        <w:rPr>
          <w:sz w:val="22"/>
          <w:szCs w:val="22"/>
        </w:rPr>
        <w:t>We believe that the definition of Specialty Vehicle, sho</w:t>
      </w:r>
      <w:r w:rsidR="00374B8C">
        <w:rPr>
          <w:sz w:val="22"/>
          <w:szCs w:val="22"/>
        </w:rPr>
        <w:t>uld</w:t>
      </w:r>
      <w:r>
        <w:rPr>
          <w:sz w:val="22"/>
          <w:szCs w:val="22"/>
        </w:rPr>
        <w:t xml:space="preserve"> we choose to use the 2015.2 compliance strategy, should be clearer </w:t>
      </w:r>
      <w:r w:rsidR="00CD402D">
        <w:rPr>
          <w:sz w:val="22"/>
          <w:szCs w:val="22"/>
        </w:rPr>
        <w:t>in terms</w:t>
      </w:r>
      <w:r>
        <w:rPr>
          <w:sz w:val="22"/>
          <w:szCs w:val="22"/>
        </w:rPr>
        <w:t xml:space="preserve"> of</w:t>
      </w:r>
      <w:r w:rsidR="00CD402D">
        <w:rPr>
          <w:sz w:val="22"/>
          <w:szCs w:val="22"/>
        </w:rPr>
        <w:t xml:space="preserve"> the</w:t>
      </w:r>
      <w:r>
        <w:rPr>
          <w:sz w:val="22"/>
          <w:szCs w:val="22"/>
        </w:rPr>
        <w:t xml:space="preserve"> features that qualify a vehicle</w:t>
      </w:r>
      <w:r w:rsidR="00374B8C">
        <w:rPr>
          <w:sz w:val="22"/>
          <w:szCs w:val="22"/>
        </w:rPr>
        <w:t xml:space="preserve"> for this exemption</w:t>
      </w:r>
      <w:r>
        <w:rPr>
          <w:sz w:val="22"/>
          <w:szCs w:val="22"/>
        </w:rPr>
        <w:t xml:space="preserve">.  For instance, the term </w:t>
      </w:r>
      <w:r w:rsidR="00CB527B">
        <w:rPr>
          <w:sz w:val="22"/>
          <w:szCs w:val="22"/>
        </w:rPr>
        <w:t>“</w:t>
      </w:r>
      <w:r w:rsidR="00557339">
        <w:rPr>
          <w:sz w:val="22"/>
          <w:szCs w:val="22"/>
        </w:rPr>
        <w:t>d</w:t>
      </w:r>
      <w:r>
        <w:rPr>
          <w:sz w:val="22"/>
          <w:szCs w:val="22"/>
        </w:rPr>
        <w:t xml:space="preserve">rilling </w:t>
      </w:r>
      <w:r w:rsidR="00557339">
        <w:rPr>
          <w:sz w:val="22"/>
          <w:szCs w:val="22"/>
        </w:rPr>
        <w:t>r</w:t>
      </w:r>
      <w:r>
        <w:rPr>
          <w:sz w:val="22"/>
          <w:szCs w:val="22"/>
        </w:rPr>
        <w:t>ig</w:t>
      </w:r>
      <w:r w:rsidR="00CB527B">
        <w:rPr>
          <w:sz w:val="22"/>
          <w:szCs w:val="22"/>
        </w:rPr>
        <w:t>”</w:t>
      </w:r>
      <w:r>
        <w:rPr>
          <w:sz w:val="22"/>
          <w:szCs w:val="22"/>
        </w:rPr>
        <w:t xml:space="preserve"> could be construed as limiting this definition to only </w:t>
      </w:r>
      <w:r w:rsidR="00557339">
        <w:rPr>
          <w:sz w:val="22"/>
          <w:szCs w:val="22"/>
        </w:rPr>
        <w:t>d</w:t>
      </w:r>
      <w:r>
        <w:rPr>
          <w:sz w:val="22"/>
          <w:szCs w:val="22"/>
        </w:rPr>
        <w:t xml:space="preserve">rilling </w:t>
      </w:r>
      <w:r w:rsidR="00557339">
        <w:rPr>
          <w:sz w:val="22"/>
          <w:szCs w:val="22"/>
        </w:rPr>
        <w:t>r</w:t>
      </w:r>
      <w:r>
        <w:rPr>
          <w:sz w:val="22"/>
          <w:szCs w:val="22"/>
        </w:rPr>
        <w:t>igs vs</w:t>
      </w:r>
      <w:r w:rsidR="00CB527B">
        <w:rPr>
          <w:sz w:val="22"/>
          <w:szCs w:val="22"/>
        </w:rPr>
        <w:t>.</w:t>
      </w:r>
      <w:r>
        <w:rPr>
          <w:sz w:val="22"/>
          <w:szCs w:val="22"/>
        </w:rPr>
        <w:t xml:space="preserve"> </w:t>
      </w:r>
      <w:r w:rsidR="00557339">
        <w:rPr>
          <w:sz w:val="22"/>
          <w:szCs w:val="22"/>
        </w:rPr>
        <w:t>w</w:t>
      </w:r>
      <w:r>
        <w:rPr>
          <w:sz w:val="22"/>
          <w:szCs w:val="22"/>
        </w:rPr>
        <w:t xml:space="preserve">orkover, </w:t>
      </w:r>
      <w:r w:rsidR="00D51A25">
        <w:rPr>
          <w:sz w:val="22"/>
          <w:szCs w:val="22"/>
        </w:rPr>
        <w:t>p</w:t>
      </w:r>
      <w:r>
        <w:rPr>
          <w:sz w:val="22"/>
          <w:szCs w:val="22"/>
        </w:rPr>
        <w:t xml:space="preserve">roduction, or other types of </w:t>
      </w:r>
      <w:r w:rsidR="00557339">
        <w:rPr>
          <w:sz w:val="22"/>
          <w:szCs w:val="22"/>
        </w:rPr>
        <w:t>r</w:t>
      </w:r>
      <w:r>
        <w:rPr>
          <w:sz w:val="22"/>
          <w:szCs w:val="22"/>
        </w:rPr>
        <w:t xml:space="preserve">igs.  On our part, we might think that a </w:t>
      </w:r>
      <w:r w:rsidR="00557339">
        <w:rPr>
          <w:sz w:val="22"/>
          <w:szCs w:val="22"/>
        </w:rPr>
        <w:t>t</w:t>
      </w:r>
      <w:r>
        <w:rPr>
          <w:sz w:val="22"/>
          <w:szCs w:val="22"/>
        </w:rPr>
        <w:t xml:space="preserve">est </w:t>
      </w:r>
      <w:r w:rsidR="00557339">
        <w:rPr>
          <w:sz w:val="22"/>
          <w:szCs w:val="22"/>
        </w:rPr>
        <w:t>t</w:t>
      </w:r>
      <w:r>
        <w:rPr>
          <w:sz w:val="22"/>
          <w:szCs w:val="22"/>
        </w:rPr>
        <w:t xml:space="preserve">ruck, </w:t>
      </w:r>
      <w:r w:rsidR="00557339">
        <w:rPr>
          <w:sz w:val="22"/>
          <w:szCs w:val="22"/>
        </w:rPr>
        <w:t>t</w:t>
      </w:r>
      <w:r>
        <w:rPr>
          <w:sz w:val="22"/>
          <w:szCs w:val="22"/>
        </w:rPr>
        <w:t xml:space="preserve">ong </w:t>
      </w:r>
      <w:r w:rsidR="00557339">
        <w:rPr>
          <w:sz w:val="22"/>
          <w:szCs w:val="22"/>
        </w:rPr>
        <w:t>t</w:t>
      </w:r>
      <w:r>
        <w:rPr>
          <w:sz w:val="22"/>
          <w:szCs w:val="22"/>
        </w:rPr>
        <w:t>ruck</w:t>
      </w:r>
      <w:r w:rsidR="00CB527B">
        <w:rPr>
          <w:sz w:val="22"/>
          <w:szCs w:val="22"/>
        </w:rPr>
        <w:t>,</w:t>
      </w:r>
      <w:r>
        <w:rPr>
          <w:sz w:val="22"/>
          <w:szCs w:val="22"/>
        </w:rPr>
        <w:t xml:space="preserve"> </w:t>
      </w:r>
      <w:r w:rsidR="00557339">
        <w:rPr>
          <w:sz w:val="22"/>
          <w:szCs w:val="22"/>
        </w:rPr>
        <w:t>l</w:t>
      </w:r>
      <w:r>
        <w:rPr>
          <w:sz w:val="22"/>
          <w:szCs w:val="22"/>
        </w:rPr>
        <w:t xml:space="preserve">ay </w:t>
      </w:r>
      <w:r w:rsidR="00612C2C">
        <w:rPr>
          <w:sz w:val="22"/>
          <w:szCs w:val="22"/>
        </w:rPr>
        <w:t>d</w:t>
      </w:r>
      <w:r>
        <w:rPr>
          <w:sz w:val="22"/>
          <w:szCs w:val="22"/>
        </w:rPr>
        <w:t xml:space="preserve">own </w:t>
      </w:r>
      <w:r w:rsidR="00612C2C">
        <w:rPr>
          <w:sz w:val="22"/>
          <w:szCs w:val="22"/>
        </w:rPr>
        <w:t>t</w:t>
      </w:r>
      <w:r>
        <w:rPr>
          <w:sz w:val="22"/>
          <w:szCs w:val="22"/>
        </w:rPr>
        <w:t>ruck</w:t>
      </w:r>
      <w:r w:rsidR="00CB527B">
        <w:rPr>
          <w:sz w:val="22"/>
          <w:szCs w:val="22"/>
        </w:rPr>
        <w:t>,</w:t>
      </w:r>
      <w:r>
        <w:rPr>
          <w:sz w:val="22"/>
          <w:szCs w:val="22"/>
        </w:rPr>
        <w:t xml:space="preserve"> or other types of vehicles that perform work from a stationary position using a PTO (Power Take Off)</w:t>
      </w:r>
      <w:r w:rsidR="00374B8C">
        <w:rPr>
          <w:sz w:val="22"/>
          <w:szCs w:val="22"/>
        </w:rPr>
        <w:t xml:space="preserve"> to run critical functions</w:t>
      </w:r>
      <w:r w:rsidR="00612C2C">
        <w:rPr>
          <w:sz w:val="22"/>
          <w:szCs w:val="22"/>
        </w:rPr>
        <w:t xml:space="preserve"> is common</w:t>
      </w:r>
      <w:r>
        <w:rPr>
          <w:sz w:val="22"/>
          <w:szCs w:val="22"/>
        </w:rPr>
        <w:t xml:space="preserve"> </w:t>
      </w:r>
      <w:r w:rsidR="00612C2C">
        <w:rPr>
          <w:sz w:val="22"/>
          <w:szCs w:val="22"/>
        </w:rPr>
        <w:t>to</w:t>
      </w:r>
      <w:r>
        <w:rPr>
          <w:sz w:val="22"/>
          <w:szCs w:val="22"/>
        </w:rPr>
        <w:t xml:space="preserve"> many of these vehicles.  It would be simpler to include PTO as an indication of a Specialty Vehicle </w:t>
      </w:r>
      <w:r w:rsidR="00CB527B">
        <w:rPr>
          <w:sz w:val="22"/>
          <w:szCs w:val="22"/>
        </w:rPr>
        <w:t xml:space="preserve">rather </w:t>
      </w:r>
      <w:r>
        <w:rPr>
          <w:sz w:val="22"/>
          <w:szCs w:val="22"/>
        </w:rPr>
        <w:t xml:space="preserve">than to list </w:t>
      </w:r>
      <w:r w:rsidR="00612C2C">
        <w:rPr>
          <w:sz w:val="22"/>
          <w:szCs w:val="22"/>
        </w:rPr>
        <w:t>specific vehicles</w:t>
      </w:r>
      <w:r>
        <w:rPr>
          <w:sz w:val="22"/>
          <w:szCs w:val="22"/>
        </w:rPr>
        <w:t xml:space="preserve"> </w:t>
      </w:r>
      <w:r w:rsidR="00CB527B">
        <w:rPr>
          <w:sz w:val="22"/>
          <w:szCs w:val="22"/>
        </w:rPr>
        <w:t xml:space="preserve">in order </w:t>
      </w:r>
      <w:r>
        <w:rPr>
          <w:sz w:val="22"/>
          <w:szCs w:val="22"/>
        </w:rPr>
        <w:t>to prevent exclusion of</w:t>
      </w:r>
      <w:r w:rsidR="00612C2C">
        <w:rPr>
          <w:sz w:val="22"/>
          <w:szCs w:val="22"/>
        </w:rPr>
        <w:t xml:space="preserve"> other vehicles that qualify</w:t>
      </w:r>
      <w:r>
        <w:rPr>
          <w:sz w:val="22"/>
          <w:szCs w:val="22"/>
        </w:rPr>
        <w:t xml:space="preserve"> </w:t>
      </w:r>
      <w:r w:rsidR="00612C2C">
        <w:rPr>
          <w:sz w:val="22"/>
          <w:szCs w:val="22"/>
        </w:rPr>
        <w:t xml:space="preserve">for </w:t>
      </w:r>
      <w:r>
        <w:rPr>
          <w:sz w:val="22"/>
          <w:szCs w:val="22"/>
        </w:rPr>
        <w:t xml:space="preserve">the exemption.  </w:t>
      </w:r>
    </w:p>
    <w:p w14:paraId="6413669D" w14:textId="5754820E" w:rsidR="00EC3BCE" w:rsidRDefault="00EC3BCE">
      <w:pPr>
        <w:rPr>
          <w:sz w:val="22"/>
          <w:szCs w:val="22"/>
        </w:rPr>
      </w:pPr>
    </w:p>
    <w:p w14:paraId="600E37F0" w14:textId="6FCAED86" w:rsidR="00EC3BCE" w:rsidRDefault="00EC3EA7">
      <w:pPr>
        <w:rPr>
          <w:sz w:val="22"/>
          <w:szCs w:val="22"/>
        </w:rPr>
      </w:pPr>
      <w:r>
        <w:rPr>
          <w:sz w:val="22"/>
          <w:szCs w:val="22"/>
        </w:rPr>
        <w:t>The reporting period of the Month of January from 2015.4(b) with a deadline of February 1 of each calendar year is compressed</w:t>
      </w:r>
      <w:r w:rsidR="00CB527B">
        <w:rPr>
          <w:sz w:val="22"/>
          <w:szCs w:val="22"/>
        </w:rPr>
        <w:t>,</w:t>
      </w:r>
      <w:r>
        <w:rPr>
          <w:sz w:val="22"/>
          <w:szCs w:val="22"/>
        </w:rPr>
        <w:t xml:space="preserve"> and we </w:t>
      </w:r>
      <w:r w:rsidR="00621B67">
        <w:rPr>
          <w:sz w:val="22"/>
          <w:szCs w:val="22"/>
        </w:rPr>
        <w:t>believe</w:t>
      </w:r>
      <w:r>
        <w:rPr>
          <w:sz w:val="22"/>
          <w:szCs w:val="22"/>
        </w:rPr>
        <w:t xml:space="preserve"> adds a burden that is not justified by the benefit of such a </w:t>
      </w:r>
      <w:r>
        <w:rPr>
          <w:sz w:val="22"/>
          <w:szCs w:val="22"/>
        </w:rPr>
        <w:lastRenderedPageBreak/>
        <w:t>tight timeline.  We would like to suggest March 31</w:t>
      </w:r>
      <w:r w:rsidRPr="00EC3EA7">
        <w:rPr>
          <w:sz w:val="22"/>
          <w:szCs w:val="22"/>
          <w:vertAlign w:val="superscript"/>
        </w:rPr>
        <w:t>st</w:t>
      </w:r>
      <w:r>
        <w:rPr>
          <w:sz w:val="22"/>
          <w:szCs w:val="22"/>
        </w:rPr>
        <w:t xml:space="preserve"> as the annual reporting deadline as preferable</w:t>
      </w:r>
      <w:r w:rsidR="00457C23">
        <w:rPr>
          <w:sz w:val="22"/>
          <w:szCs w:val="22"/>
        </w:rPr>
        <w:t>,</w:t>
      </w:r>
      <w:r>
        <w:rPr>
          <w:sz w:val="22"/>
          <w:szCs w:val="22"/>
        </w:rPr>
        <w:t xml:space="preserve"> and March 1</w:t>
      </w:r>
      <w:r w:rsidR="00457C23" w:rsidRPr="00457C23">
        <w:rPr>
          <w:sz w:val="22"/>
          <w:szCs w:val="22"/>
          <w:vertAlign w:val="superscript"/>
        </w:rPr>
        <w:t>st</w:t>
      </w:r>
      <w:r>
        <w:rPr>
          <w:sz w:val="22"/>
          <w:szCs w:val="22"/>
        </w:rPr>
        <w:t xml:space="preserve"> as the soonest that CARB should require without an economic justification.  </w:t>
      </w:r>
    </w:p>
    <w:p w14:paraId="122CD784" w14:textId="5D54AF87" w:rsidR="00404702" w:rsidRDefault="00404702">
      <w:pPr>
        <w:rPr>
          <w:sz w:val="22"/>
          <w:szCs w:val="22"/>
        </w:rPr>
      </w:pPr>
    </w:p>
    <w:p w14:paraId="38053BC3" w14:textId="363BEB72" w:rsidR="00404702" w:rsidRDefault="00404702">
      <w:pPr>
        <w:rPr>
          <w:sz w:val="22"/>
          <w:szCs w:val="22"/>
        </w:rPr>
      </w:pPr>
      <w:r>
        <w:rPr>
          <w:sz w:val="22"/>
          <w:szCs w:val="22"/>
        </w:rPr>
        <w:t xml:space="preserve">We </w:t>
      </w:r>
      <w:r w:rsidR="00185EED">
        <w:rPr>
          <w:sz w:val="22"/>
          <w:szCs w:val="22"/>
        </w:rPr>
        <w:t>believe</w:t>
      </w:r>
      <w:r>
        <w:rPr>
          <w:sz w:val="22"/>
          <w:szCs w:val="22"/>
        </w:rPr>
        <w:t xml:space="preserve"> Staff </w:t>
      </w:r>
      <w:r w:rsidR="00185EED">
        <w:rPr>
          <w:sz w:val="22"/>
          <w:szCs w:val="22"/>
        </w:rPr>
        <w:t xml:space="preserve">needs </w:t>
      </w:r>
      <w:r>
        <w:rPr>
          <w:sz w:val="22"/>
          <w:szCs w:val="22"/>
        </w:rPr>
        <w:t xml:space="preserve">to address the </w:t>
      </w:r>
      <w:r w:rsidRPr="00404702">
        <w:rPr>
          <w:sz w:val="22"/>
          <w:szCs w:val="22"/>
        </w:rPr>
        <w:t>ZEV Infrastructure Construction Delays</w:t>
      </w:r>
      <w:r>
        <w:rPr>
          <w:sz w:val="22"/>
          <w:szCs w:val="22"/>
        </w:rPr>
        <w:t xml:space="preserve"> </w:t>
      </w:r>
      <w:r w:rsidR="00185EED">
        <w:rPr>
          <w:sz w:val="22"/>
          <w:szCs w:val="22"/>
        </w:rPr>
        <w:t>(2015.3(c)</w:t>
      </w:r>
      <w:r w:rsidR="00EC67A8">
        <w:rPr>
          <w:sz w:val="22"/>
          <w:szCs w:val="22"/>
        </w:rPr>
        <w:t>(1)</w:t>
      </w:r>
      <w:r w:rsidR="00185EED">
        <w:rPr>
          <w:sz w:val="22"/>
          <w:szCs w:val="22"/>
        </w:rPr>
        <w:t xml:space="preserve">) </w:t>
      </w:r>
      <w:r>
        <w:rPr>
          <w:sz w:val="22"/>
          <w:szCs w:val="22"/>
        </w:rPr>
        <w:t xml:space="preserve">provisions.  </w:t>
      </w:r>
      <w:r w:rsidR="00185EED">
        <w:rPr>
          <w:sz w:val="22"/>
          <w:szCs w:val="22"/>
        </w:rPr>
        <w:t>The draft regulation</w:t>
      </w:r>
      <w:r>
        <w:rPr>
          <w:sz w:val="22"/>
          <w:szCs w:val="22"/>
        </w:rPr>
        <w:t xml:space="preserve"> allows for 2 years of extension for circumstances beyond the control of the Fleet </w:t>
      </w:r>
      <w:proofErr w:type="gramStart"/>
      <w:r>
        <w:rPr>
          <w:sz w:val="22"/>
          <w:szCs w:val="22"/>
        </w:rPr>
        <w:t>Owner, but</w:t>
      </w:r>
      <w:proofErr w:type="gramEnd"/>
      <w:r>
        <w:rPr>
          <w:sz w:val="22"/>
          <w:szCs w:val="22"/>
        </w:rPr>
        <w:t xml:space="preserve"> </w:t>
      </w:r>
      <w:r w:rsidR="00185EED">
        <w:rPr>
          <w:sz w:val="22"/>
          <w:szCs w:val="22"/>
        </w:rPr>
        <w:t>does not identify</w:t>
      </w:r>
      <w:r>
        <w:rPr>
          <w:sz w:val="22"/>
          <w:szCs w:val="22"/>
        </w:rPr>
        <w:t xml:space="preserve"> the magical formula Fleet Owners might employ if those circumstances are not resolved besides cessation of work</w:t>
      </w:r>
      <w:r w:rsidR="006D6E9D">
        <w:rPr>
          <w:sz w:val="22"/>
          <w:szCs w:val="22"/>
        </w:rPr>
        <w:t xml:space="preserve">.  </w:t>
      </w:r>
      <w:r>
        <w:rPr>
          <w:sz w:val="22"/>
          <w:szCs w:val="22"/>
        </w:rPr>
        <w:t>This is an untenable condition and needs significant stakeholder input.</w:t>
      </w:r>
    </w:p>
    <w:p w14:paraId="593CA507" w14:textId="0693E5B2" w:rsidR="00404702" w:rsidRDefault="00404702">
      <w:pPr>
        <w:rPr>
          <w:sz w:val="22"/>
          <w:szCs w:val="22"/>
        </w:rPr>
      </w:pPr>
    </w:p>
    <w:p w14:paraId="14DEC050" w14:textId="619CF338" w:rsidR="00404702" w:rsidRDefault="00404702">
      <w:pPr>
        <w:rPr>
          <w:sz w:val="22"/>
          <w:szCs w:val="22"/>
        </w:rPr>
      </w:pPr>
      <w:r>
        <w:rPr>
          <w:sz w:val="22"/>
          <w:szCs w:val="22"/>
        </w:rPr>
        <w:t xml:space="preserve">Similarly, the </w:t>
      </w:r>
      <w:r w:rsidRPr="00404702">
        <w:rPr>
          <w:sz w:val="22"/>
          <w:szCs w:val="22"/>
        </w:rPr>
        <w:t>ZEV Infrastructure Site Electrification Delays</w:t>
      </w:r>
      <w:r w:rsidR="00EC67A8">
        <w:rPr>
          <w:sz w:val="22"/>
          <w:szCs w:val="22"/>
        </w:rPr>
        <w:t xml:space="preserve"> </w:t>
      </w:r>
      <w:r w:rsidR="00EC67A8" w:rsidRPr="00EC67A8">
        <w:rPr>
          <w:sz w:val="22"/>
          <w:szCs w:val="22"/>
        </w:rPr>
        <w:t>(2015.3(c)(</w:t>
      </w:r>
      <w:r w:rsidR="00EC67A8">
        <w:rPr>
          <w:sz w:val="22"/>
          <w:szCs w:val="22"/>
        </w:rPr>
        <w:t>2</w:t>
      </w:r>
      <w:r w:rsidR="00EC67A8" w:rsidRPr="00EC67A8">
        <w:rPr>
          <w:sz w:val="22"/>
          <w:szCs w:val="22"/>
        </w:rPr>
        <w:t>))</w:t>
      </w:r>
      <w:r>
        <w:rPr>
          <w:sz w:val="22"/>
          <w:szCs w:val="22"/>
        </w:rPr>
        <w:t xml:space="preserve"> provision includes a hard </w:t>
      </w:r>
      <w:r w:rsidR="00EC67A8">
        <w:rPr>
          <w:sz w:val="22"/>
          <w:szCs w:val="22"/>
        </w:rPr>
        <w:t>5-year</w:t>
      </w:r>
      <w:r>
        <w:rPr>
          <w:sz w:val="22"/>
          <w:szCs w:val="22"/>
        </w:rPr>
        <w:t xml:space="preserve"> (3 + 2) extension when a utility cannot provide the power sufficient to the needs of the Fleet.  With the rapid advance in demand on the </w:t>
      </w:r>
      <w:r w:rsidR="00612C2C">
        <w:rPr>
          <w:sz w:val="22"/>
          <w:szCs w:val="22"/>
        </w:rPr>
        <w:t>g</w:t>
      </w:r>
      <w:r>
        <w:rPr>
          <w:sz w:val="22"/>
          <w:szCs w:val="22"/>
        </w:rPr>
        <w:t xml:space="preserve">rid and the lack of </w:t>
      </w:r>
      <w:r w:rsidR="00612C2C">
        <w:rPr>
          <w:sz w:val="22"/>
          <w:szCs w:val="22"/>
        </w:rPr>
        <w:t>u</w:t>
      </w:r>
      <w:r>
        <w:rPr>
          <w:sz w:val="22"/>
          <w:szCs w:val="22"/>
        </w:rPr>
        <w:t>tilities</w:t>
      </w:r>
      <w:r w:rsidR="00D51A25">
        <w:rPr>
          <w:sz w:val="22"/>
          <w:szCs w:val="22"/>
        </w:rPr>
        <w:t xml:space="preserve"> efforts</w:t>
      </w:r>
      <w:r>
        <w:rPr>
          <w:sz w:val="22"/>
          <w:szCs w:val="22"/>
        </w:rPr>
        <w:t xml:space="preserve"> to make meaningful improvements, it is again untenable to set hard rules into a regulation that may cause severe hardship for stakeholders.</w:t>
      </w:r>
    </w:p>
    <w:p w14:paraId="6F70F846" w14:textId="5BF1921C" w:rsidR="00404702" w:rsidRDefault="00404702">
      <w:pPr>
        <w:rPr>
          <w:sz w:val="22"/>
          <w:szCs w:val="22"/>
        </w:rPr>
      </w:pPr>
    </w:p>
    <w:p w14:paraId="5D7F1F9A" w14:textId="02306E9D" w:rsidR="00404702" w:rsidRDefault="009059FB">
      <w:pPr>
        <w:rPr>
          <w:sz w:val="22"/>
          <w:szCs w:val="22"/>
        </w:rPr>
      </w:pPr>
      <w:r>
        <w:rPr>
          <w:sz w:val="22"/>
          <w:szCs w:val="22"/>
        </w:rPr>
        <w:t>Also</w:t>
      </w:r>
      <w:r w:rsidR="00D51A25">
        <w:rPr>
          <w:sz w:val="22"/>
          <w:szCs w:val="22"/>
        </w:rPr>
        <w:t>,</w:t>
      </w:r>
      <w:r>
        <w:rPr>
          <w:sz w:val="22"/>
          <w:szCs w:val="22"/>
        </w:rPr>
        <w:t xml:space="preserve"> in this group of extension provisions </w:t>
      </w:r>
      <w:r w:rsidR="00D54CA2">
        <w:rPr>
          <w:sz w:val="22"/>
          <w:szCs w:val="22"/>
        </w:rPr>
        <w:t>there is</w:t>
      </w:r>
      <w:r>
        <w:rPr>
          <w:sz w:val="22"/>
          <w:szCs w:val="22"/>
        </w:rPr>
        <w:t xml:space="preserve"> the </w:t>
      </w:r>
      <w:r w:rsidRPr="009059FB">
        <w:rPr>
          <w:sz w:val="22"/>
          <w:szCs w:val="22"/>
        </w:rPr>
        <w:t>Vehicle Delivery Delay Extension</w:t>
      </w:r>
      <w:r>
        <w:rPr>
          <w:sz w:val="22"/>
          <w:szCs w:val="22"/>
        </w:rPr>
        <w:t xml:space="preserve"> </w:t>
      </w:r>
      <w:r w:rsidR="00EC67A8" w:rsidRPr="00EC67A8">
        <w:rPr>
          <w:sz w:val="22"/>
          <w:szCs w:val="22"/>
        </w:rPr>
        <w:t>(2015.3(</w:t>
      </w:r>
      <w:r w:rsidR="00EC67A8">
        <w:rPr>
          <w:sz w:val="22"/>
          <w:szCs w:val="22"/>
        </w:rPr>
        <w:t>d</w:t>
      </w:r>
      <w:r w:rsidR="00EC67A8" w:rsidRPr="00EC67A8">
        <w:rPr>
          <w:sz w:val="22"/>
          <w:szCs w:val="22"/>
        </w:rPr>
        <w:t>))</w:t>
      </w:r>
      <w:r w:rsidR="006961DD">
        <w:rPr>
          <w:sz w:val="22"/>
          <w:szCs w:val="22"/>
        </w:rPr>
        <w:t>,</w:t>
      </w:r>
      <w:r w:rsidR="00EC67A8" w:rsidRPr="00EC67A8">
        <w:rPr>
          <w:sz w:val="22"/>
          <w:szCs w:val="22"/>
        </w:rPr>
        <w:t xml:space="preserve"> </w:t>
      </w:r>
      <w:r>
        <w:rPr>
          <w:sz w:val="22"/>
          <w:szCs w:val="22"/>
        </w:rPr>
        <w:t>which does not include any aspect of costs for purchase</w:t>
      </w:r>
      <w:r w:rsidR="001273AD">
        <w:rPr>
          <w:sz w:val="22"/>
          <w:szCs w:val="22"/>
        </w:rPr>
        <w:t>.</w:t>
      </w:r>
      <w:r>
        <w:rPr>
          <w:sz w:val="22"/>
          <w:szCs w:val="22"/>
        </w:rPr>
        <w:t xml:space="preserve"> </w:t>
      </w:r>
      <w:r w:rsidR="001273AD">
        <w:rPr>
          <w:sz w:val="22"/>
          <w:szCs w:val="22"/>
        </w:rPr>
        <w:t xml:space="preserve">This </w:t>
      </w:r>
      <w:r w:rsidR="000B2435">
        <w:rPr>
          <w:sz w:val="22"/>
          <w:szCs w:val="22"/>
        </w:rPr>
        <w:t>could potentially provide</w:t>
      </w:r>
      <w:r>
        <w:rPr>
          <w:sz w:val="22"/>
          <w:szCs w:val="22"/>
        </w:rPr>
        <w:t xml:space="preserve"> manufacturers </w:t>
      </w:r>
      <w:r w:rsidR="000B2435">
        <w:rPr>
          <w:sz w:val="22"/>
          <w:szCs w:val="22"/>
        </w:rPr>
        <w:t>with the ability to exploit the system</w:t>
      </w:r>
      <w:r>
        <w:rPr>
          <w:sz w:val="22"/>
          <w:szCs w:val="22"/>
        </w:rPr>
        <w:t xml:space="preserve"> as the market builds out configurations.  For instance, if a vehicle on the ZEV Purchase Exemption List </w:t>
      </w:r>
      <w:r w:rsidR="00EC67A8" w:rsidRPr="00EC67A8">
        <w:rPr>
          <w:sz w:val="22"/>
          <w:szCs w:val="22"/>
        </w:rPr>
        <w:t>(2015.3(</w:t>
      </w:r>
      <w:r w:rsidR="00EC67A8">
        <w:rPr>
          <w:sz w:val="22"/>
          <w:szCs w:val="22"/>
        </w:rPr>
        <w:t>e</w:t>
      </w:r>
      <w:r w:rsidR="00EC67A8" w:rsidRPr="00EC67A8">
        <w:rPr>
          <w:sz w:val="22"/>
          <w:szCs w:val="22"/>
        </w:rPr>
        <w:t>)(1))</w:t>
      </w:r>
      <w:r w:rsidR="00DE0582">
        <w:rPr>
          <w:sz w:val="22"/>
          <w:szCs w:val="22"/>
        </w:rPr>
        <w:t xml:space="preserve">, or more specifically, the Configurations List (2015.3(e)(1)(A), </w:t>
      </w:r>
      <w:r>
        <w:rPr>
          <w:sz w:val="22"/>
          <w:szCs w:val="22"/>
        </w:rPr>
        <w:t xml:space="preserve">becomes available as part of the growth of configurations, and that vehicle </w:t>
      </w:r>
      <w:r w:rsidR="00EC67A8">
        <w:rPr>
          <w:sz w:val="22"/>
          <w:szCs w:val="22"/>
        </w:rPr>
        <w:t xml:space="preserve">configuration </w:t>
      </w:r>
      <w:r>
        <w:rPr>
          <w:sz w:val="22"/>
          <w:szCs w:val="22"/>
        </w:rPr>
        <w:t xml:space="preserve">is removed from the list by the Executive Officer, the Fleet Owner will be held captive without a functioning market to </w:t>
      </w:r>
      <w:r w:rsidR="00DE0582">
        <w:rPr>
          <w:sz w:val="22"/>
          <w:szCs w:val="22"/>
        </w:rPr>
        <w:t xml:space="preserve">control </w:t>
      </w:r>
      <w:r>
        <w:rPr>
          <w:sz w:val="22"/>
          <w:szCs w:val="22"/>
        </w:rPr>
        <w:t>costs.  What is the economic justification Staff has</w:t>
      </w:r>
      <w:r w:rsidR="00612C2C">
        <w:rPr>
          <w:sz w:val="22"/>
          <w:szCs w:val="22"/>
        </w:rPr>
        <w:t xml:space="preserve"> utilized </w:t>
      </w:r>
      <w:r>
        <w:rPr>
          <w:sz w:val="22"/>
          <w:szCs w:val="22"/>
        </w:rPr>
        <w:t>to support this requirement</w:t>
      </w:r>
      <w:r w:rsidR="00DE0582">
        <w:rPr>
          <w:sz w:val="22"/>
          <w:szCs w:val="22"/>
        </w:rPr>
        <w:t>?</w:t>
      </w:r>
      <w:r>
        <w:rPr>
          <w:sz w:val="22"/>
          <w:szCs w:val="22"/>
        </w:rPr>
        <w:t xml:space="preserve">  We believe this condition presents a significant hardship and must be </w:t>
      </w:r>
      <w:r w:rsidR="001273AD">
        <w:rPr>
          <w:sz w:val="22"/>
          <w:szCs w:val="22"/>
        </w:rPr>
        <w:t>re-</w:t>
      </w:r>
      <w:r>
        <w:rPr>
          <w:sz w:val="22"/>
          <w:szCs w:val="22"/>
        </w:rPr>
        <w:t>visited with stakeholders to resolve</w:t>
      </w:r>
      <w:r w:rsidR="001273AD">
        <w:rPr>
          <w:sz w:val="22"/>
          <w:szCs w:val="22"/>
        </w:rPr>
        <w:t xml:space="preserve"> </w:t>
      </w:r>
      <w:r w:rsidR="00E367F7">
        <w:rPr>
          <w:sz w:val="22"/>
          <w:szCs w:val="22"/>
        </w:rPr>
        <w:t>the problem</w:t>
      </w:r>
      <w:r>
        <w:rPr>
          <w:sz w:val="22"/>
          <w:szCs w:val="22"/>
        </w:rPr>
        <w:t xml:space="preserve">.  </w:t>
      </w:r>
    </w:p>
    <w:p w14:paraId="4B84409C" w14:textId="2BAF8261" w:rsidR="009059FB" w:rsidRDefault="009059FB">
      <w:pPr>
        <w:rPr>
          <w:sz w:val="22"/>
          <w:szCs w:val="22"/>
        </w:rPr>
      </w:pPr>
    </w:p>
    <w:p w14:paraId="072997B0" w14:textId="4F9FF925" w:rsidR="009059FB" w:rsidRDefault="009059FB">
      <w:pPr>
        <w:rPr>
          <w:sz w:val="22"/>
          <w:szCs w:val="22"/>
        </w:rPr>
      </w:pPr>
      <w:r>
        <w:rPr>
          <w:sz w:val="22"/>
          <w:szCs w:val="22"/>
        </w:rPr>
        <w:t>While speaking about the ZEV Purchase Exemption List</w:t>
      </w:r>
      <w:r w:rsidR="00DE0582">
        <w:rPr>
          <w:sz w:val="22"/>
          <w:szCs w:val="22"/>
        </w:rPr>
        <w:t>/Configurations List</w:t>
      </w:r>
      <w:r w:rsidR="00A729BB">
        <w:rPr>
          <w:sz w:val="22"/>
          <w:szCs w:val="22"/>
        </w:rPr>
        <w:t xml:space="preserve"> we must now address that</w:t>
      </w:r>
      <w:r w:rsidR="00DE0582">
        <w:rPr>
          <w:sz w:val="22"/>
          <w:szCs w:val="22"/>
        </w:rPr>
        <w:t xml:space="preserve"> section</w:t>
      </w:r>
      <w:r w:rsidR="00A729BB">
        <w:rPr>
          <w:sz w:val="22"/>
          <w:szCs w:val="22"/>
        </w:rPr>
        <w:t xml:space="preserve"> along with the ZEV Purchase Exemption Application</w:t>
      </w:r>
      <w:r w:rsidR="00EC67A8">
        <w:rPr>
          <w:sz w:val="22"/>
          <w:szCs w:val="22"/>
        </w:rPr>
        <w:t xml:space="preserve"> </w:t>
      </w:r>
      <w:r w:rsidR="00EC67A8" w:rsidRPr="00EC67A8">
        <w:rPr>
          <w:sz w:val="22"/>
          <w:szCs w:val="22"/>
        </w:rPr>
        <w:t>(2015.3(</w:t>
      </w:r>
      <w:r w:rsidR="00EC67A8">
        <w:rPr>
          <w:sz w:val="22"/>
          <w:szCs w:val="22"/>
        </w:rPr>
        <w:t>e</w:t>
      </w:r>
      <w:r w:rsidR="00EC67A8" w:rsidRPr="00EC67A8">
        <w:rPr>
          <w:sz w:val="22"/>
          <w:szCs w:val="22"/>
        </w:rPr>
        <w:t>)(</w:t>
      </w:r>
      <w:r w:rsidR="00EC67A8">
        <w:rPr>
          <w:sz w:val="22"/>
          <w:szCs w:val="22"/>
        </w:rPr>
        <w:t>2</w:t>
      </w:r>
      <w:r w:rsidR="00EC67A8" w:rsidRPr="00EC67A8">
        <w:rPr>
          <w:sz w:val="22"/>
          <w:szCs w:val="22"/>
        </w:rPr>
        <w:t>))</w:t>
      </w:r>
      <w:r w:rsidR="00A729BB">
        <w:rPr>
          <w:sz w:val="22"/>
          <w:szCs w:val="22"/>
        </w:rPr>
        <w:t xml:space="preserve">.  Here </w:t>
      </w:r>
      <w:r w:rsidR="00792C7A">
        <w:rPr>
          <w:sz w:val="22"/>
          <w:szCs w:val="22"/>
        </w:rPr>
        <w:t xml:space="preserve">we see justification for our concern above that a partial list of indications of a “Specialty Vehicle” will result in a hard list that locks out vehicle configurations not included.  This Configuration List </w:t>
      </w:r>
      <w:r w:rsidR="000B2435">
        <w:rPr>
          <w:sz w:val="22"/>
          <w:szCs w:val="22"/>
        </w:rPr>
        <w:t xml:space="preserve">referred to </w:t>
      </w:r>
      <w:r w:rsidR="00792C7A">
        <w:rPr>
          <w:sz w:val="22"/>
          <w:szCs w:val="22"/>
        </w:rPr>
        <w:t>does not include any of the configurations</w:t>
      </w:r>
      <w:r w:rsidR="00DE0582">
        <w:rPr>
          <w:sz w:val="22"/>
          <w:szCs w:val="22"/>
        </w:rPr>
        <w:t xml:space="preserve"> we mentioned above</w:t>
      </w:r>
      <w:r w:rsidR="000B2435">
        <w:rPr>
          <w:sz w:val="22"/>
          <w:szCs w:val="22"/>
        </w:rPr>
        <w:t>, creating</w:t>
      </w:r>
      <w:r w:rsidR="00792C7A">
        <w:rPr>
          <w:sz w:val="22"/>
          <w:szCs w:val="22"/>
        </w:rPr>
        <w:t xml:space="preserve"> an unequal load on Specialty Vehicle Fleet Owners simply because they were not included in the Configuration List.  The inequity must be corrected before this rule is sent to the Board for a</w:t>
      </w:r>
      <w:r w:rsidR="00A729BB">
        <w:rPr>
          <w:sz w:val="22"/>
          <w:szCs w:val="22"/>
        </w:rPr>
        <w:t>pproval</w:t>
      </w:r>
      <w:r w:rsidR="00B06D05">
        <w:rPr>
          <w:sz w:val="22"/>
          <w:szCs w:val="22"/>
        </w:rPr>
        <w:t>,</w:t>
      </w:r>
      <w:r w:rsidR="00A729BB">
        <w:rPr>
          <w:sz w:val="22"/>
          <w:szCs w:val="22"/>
        </w:rPr>
        <w:t xml:space="preserve"> and that will require working with stakeholders who have similar concerns.  </w:t>
      </w:r>
    </w:p>
    <w:p w14:paraId="13D5D1D2" w14:textId="0CDF159F" w:rsidR="00A729BB" w:rsidRDefault="00A729BB">
      <w:pPr>
        <w:rPr>
          <w:sz w:val="22"/>
          <w:szCs w:val="22"/>
        </w:rPr>
      </w:pPr>
    </w:p>
    <w:p w14:paraId="654D2E4E" w14:textId="68469978" w:rsidR="00A729BB" w:rsidRDefault="006D12EF">
      <w:pPr>
        <w:rPr>
          <w:sz w:val="22"/>
          <w:szCs w:val="22"/>
        </w:rPr>
      </w:pPr>
      <w:r>
        <w:rPr>
          <w:sz w:val="22"/>
          <w:szCs w:val="22"/>
        </w:rPr>
        <w:t>Next</w:t>
      </w:r>
      <w:r w:rsidR="00A729BB">
        <w:rPr>
          <w:sz w:val="22"/>
          <w:szCs w:val="22"/>
        </w:rPr>
        <w:t xml:space="preserve">, the requirements in the </w:t>
      </w:r>
      <w:r w:rsidR="00A729BB" w:rsidRPr="00A729BB">
        <w:rPr>
          <w:sz w:val="22"/>
          <w:szCs w:val="22"/>
        </w:rPr>
        <w:t>ZEV Purchase Exemption Application</w:t>
      </w:r>
      <w:r w:rsidR="00A729BB">
        <w:rPr>
          <w:sz w:val="22"/>
          <w:szCs w:val="22"/>
        </w:rPr>
        <w:t xml:space="preserve"> for a fleet owner to submit information leaves out critical features that will need to be resolved before a vehicle will meet the configuration needs of many of the vehicles </w:t>
      </w:r>
      <w:r>
        <w:rPr>
          <w:sz w:val="22"/>
          <w:szCs w:val="22"/>
        </w:rPr>
        <w:t xml:space="preserve">included </w:t>
      </w:r>
      <w:r w:rsidR="00A729BB">
        <w:rPr>
          <w:sz w:val="22"/>
          <w:szCs w:val="22"/>
        </w:rPr>
        <w:t>on the Configurations List</w:t>
      </w:r>
      <w:r w:rsidR="00DE0582">
        <w:rPr>
          <w:sz w:val="22"/>
          <w:szCs w:val="22"/>
        </w:rPr>
        <w:t>.</w:t>
      </w:r>
      <w:r w:rsidR="00A729BB">
        <w:rPr>
          <w:sz w:val="22"/>
          <w:szCs w:val="22"/>
        </w:rPr>
        <w:t xml:space="preserve"> </w:t>
      </w:r>
      <w:r w:rsidR="00DE0582">
        <w:rPr>
          <w:sz w:val="22"/>
          <w:szCs w:val="22"/>
        </w:rPr>
        <w:t xml:space="preserve"> The </w:t>
      </w:r>
      <w:r w:rsidR="00A729BB">
        <w:rPr>
          <w:sz w:val="22"/>
          <w:szCs w:val="22"/>
        </w:rPr>
        <w:t xml:space="preserve">vehicles we have </w:t>
      </w:r>
      <w:r w:rsidR="00DE0582">
        <w:rPr>
          <w:sz w:val="22"/>
          <w:szCs w:val="22"/>
        </w:rPr>
        <w:t xml:space="preserve">listed above </w:t>
      </w:r>
      <w:r w:rsidR="00A729BB">
        <w:rPr>
          <w:sz w:val="22"/>
          <w:szCs w:val="22"/>
        </w:rPr>
        <w:t xml:space="preserve">need to be included in a proper list, </w:t>
      </w:r>
      <w:r w:rsidR="00DE0582">
        <w:rPr>
          <w:sz w:val="22"/>
          <w:szCs w:val="22"/>
        </w:rPr>
        <w:t xml:space="preserve">and a critical need for these vehicles </w:t>
      </w:r>
      <w:r w:rsidR="00A729BB">
        <w:rPr>
          <w:sz w:val="22"/>
          <w:szCs w:val="22"/>
        </w:rPr>
        <w:t>has to do with power consumption while parked and performing work</w:t>
      </w:r>
      <w:r w:rsidR="00DE0582">
        <w:rPr>
          <w:sz w:val="22"/>
          <w:szCs w:val="22"/>
        </w:rPr>
        <w:t xml:space="preserve"> which is missing from the criteria in the draft regulation</w:t>
      </w:r>
      <w:r w:rsidR="00A729BB">
        <w:rPr>
          <w:sz w:val="22"/>
          <w:szCs w:val="22"/>
        </w:rPr>
        <w:t xml:space="preserve">.  </w:t>
      </w:r>
      <w:r w:rsidR="00146E13">
        <w:rPr>
          <w:sz w:val="22"/>
          <w:szCs w:val="22"/>
        </w:rPr>
        <w:t xml:space="preserve">So, it </w:t>
      </w:r>
      <w:r>
        <w:rPr>
          <w:sz w:val="22"/>
          <w:szCs w:val="22"/>
        </w:rPr>
        <w:t xml:space="preserve">is not </w:t>
      </w:r>
      <w:r w:rsidR="00146E13">
        <w:rPr>
          <w:sz w:val="22"/>
          <w:szCs w:val="22"/>
        </w:rPr>
        <w:t xml:space="preserve">frame, body, </w:t>
      </w:r>
      <w:r w:rsidR="00D51A25">
        <w:rPr>
          <w:sz w:val="22"/>
          <w:szCs w:val="22"/>
        </w:rPr>
        <w:t xml:space="preserve">or </w:t>
      </w:r>
      <w:r w:rsidR="00146E13">
        <w:rPr>
          <w:sz w:val="22"/>
          <w:szCs w:val="22"/>
        </w:rPr>
        <w:t xml:space="preserve">attachments that need to be considered any more than the ability to park and perform work for the timeframes that are required.  </w:t>
      </w:r>
      <w:r w:rsidR="006E3D00">
        <w:rPr>
          <w:sz w:val="22"/>
          <w:szCs w:val="22"/>
        </w:rPr>
        <w:t>Further, the requirement that Fleet Owners identify manufacturers that will attest</w:t>
      </w:r>
      <w:r w:rsidR="004D46E2">
        <w:rPr>
          <w:sz w:val="22"/>
          <w:szCs w:val="22"/>
        </w:rPr>
        <w:t xml:space="preserve"> as to</w:t>
      </w:r>
      <w:r w:rsidR="006E3D00">
        <w:rPr>
          <w:sz w:val="22"/>
          <w:szCs w:val="22"/>
        </w:rPr>
        <w:t xml:space="preserve"> </w:t>
      </w:r>
      <w:r w:rsidR="00612C2C">
        <w:rPr>
          <w:sz w:val="22"/>
          <w:szCs w:val="22"/>
        </w:rPr>
        <w:t>whether</w:t>
      </w:r>
      <w:r w:rsidR="006E3D00">
        <w:rPr>
          <w:sz w:val="22"/>
          <w:szCs w:val="22"/>
        </w:rPr>
        <w:t xml:space="preserve"> they </w:t>
      </w:r>
      <w:r w:rsidR="00612C2C">
        <w:rPr>
          <w:sz w:val="22"/>
          <w:szCs w:val="22"/>
        </w:rPr>
        <w:t xml:space="preserve">do or </w:t>
      </w:r>
      <w:r w:rsidR="006E3D00">
        <w:rPr>
          <w:sz w:val="22"/>
          <w:szCs w:val="22"/>
        </w:rPr>
        <w:t xml:space="preserve">do not offer </w:t>
      </w:r>
      <w:r w:rsidR="00612C2C">
        <w:rPr>
          <w:sz w:val="22"/>
          <w:szCs w:val="22"/>
        </w:rPr>
        <w:t xml:space="preserve">options </w:t>
      </w:r>
      <w:r w:rsidR="006E3D00">
        <w:rPr>
          <w:sz w:val="22"/>
          <w:szCs w:val="22"/>
        </w:rPr>
        <w:t>that meet “the needed configuration” should be CARB</w:t>
      </w:r>
      <w:r w:rsidR="00F069A1">
        <w:rPr>
          <w:sz w:val="22"/>
          <w:szCs w:val="22"/>
        </w:rPr>
        <w:t>’s responsibility</w:t>
      </w:r>
      <w:r w:rsidR="004D46E2">
        <w:rPr>
          <w:sz w:val="22"/>
          <w:szCs w:val="22"/>
        </w:rPr>
        <w:t>,</w:t>
      </w:r>
      <w:r w:rsidR="006E3D00">
        <w:rPr>
          <w:sz w:val="22"/>
          <w:szCs w:val="22"/>
        </w:rPr>
        <w:t xml:space="preserve"> as we know that manufacturers are </w:t>
      </w:r>
      <w:r w:rsidR="004D46E2">
        <w:rPr>
          <w:sz w:val="22"/>
          <w:szCs w:val="22"/>
        </w:rPr>
        <w:t xml:space="preserve">generally </w:t>
      </w:r>
      <w:r w:rsidR="006E3D00">
        <w:rPr>
          <w:sz w:val="22"/>
          <w:szCs w:val="22"/>
        </w:rPr>
        <w:t xml:space="preserve">much more responsive to CARB than to Fleet Owners.  </w:t>
      </w:r>
      <w:r w:rsidR="00ED138D">
        <w:rPr>
          <w:sz w:val="22"/>
          <w:szCs w:val="22"/>
        </w:rPr>
        <w:t>Further,</w:t>
      </w:r>
      <w:r w:rsidR="006E3D00">
        <w:rPr>
          <w:sz w:val="22"/>
          <w:szCs w:val="22"/>
        </w:rPr>
        <w:t xml:space="preserve"> </w:t>
      </w:r>
      <w:r w:rsidR="002A3E2D">
        <w:rPr>
          <w:sz w:val="22"/>
          <w:szCs w:val="22"/>
        </w:rPr>
        <w:t xml:space="preserve">a </w:t>
      </w:r>
      <w:r w:rsidR="005451A6">
        <w:rPr>
          <w:sz w:val="22"/>
          <w:szCs w:val="22"/>
        </w:rPr>
        <w:t xml:space="preserve">necessary addition </w:t>
      </w:r>
      <w:r w:rsidR="006E3D00">
        <w:rPr>
          <w:sz w:val="22"/>
          <w:szCs w:val="22"/>
        </w:rPr>
        <w:t>is the inclusion of language once again</w:t>
      </w:r>
      <w:r w:rsidR="002A3E2D">
        <w:rPr>
          <w:sz w:val="22"/>
          <w:szCs w:val="22"/>
        </w:rPr>
        <w:t xml:space="preserve"> </w:t>
      </w:r>
      <w:r w:rsidR="008D5EF0">
        <w:rPr>
          <w:sz w:val="22"/>
          <w:szCs w:val="22"/>
        </w:rPr>
        <w:t>stating</w:t>
      </w:r>
      <w:r w:rsidR="006E3D00">
        <w:rPr>
          <w:sz w:val="22"/>
          <w:szCs w:val="22"/>
        </w:rPr>
        <w:t xml:space="preserve"> that a single vehicle meeting the configuration needs will remove the exception which holds the Fleet Owner captive to a close</w:t>
      </w:r>
      <w:r w:rsidR="00ED138D">
        <w:rPr>
          <w:sz w:val="22"/>
          <w:szCs w:val="22"/>
        </w:rPr>
        <w:t>d</w:t>
      </w:r>
      <w:r w:rsidR="006E3D00">
        <w:rPr>
          <w:sz w:val="22"/>
          <w:szCs w:val="22"/>
        </w:rPr>
        <w:t xml:space="preserve"> market and unable to consider or negotiate </w:t>
      </w:r>
      <w:proofErr w:type="gramStart"/>
      <w:r w:rsidR="006E3D00">
        <w:rPr>
          <w:sz w:val="22"/>
          <w:szCs w:val="22"/>
        </w:rPr>
        <w:t>price</w:t>
      </w:r>
      <w:proofErr w:type="gramEnd"/>
      <w:r w:rsidR="006E3D00">
        <w:rPr>
          <w:sz w:val="22"/>
          <w:szCs w:val="22"/>
        </w:rPr>
        <w:t xml:space="preserve">.  This entire section needs </w:t>
      </w:r>
      <w:r w:rsidR="00F069A1">
        <w:rPr>
          <w:sz w:val="22"/>
          <w:szCs w:val="22"/>
        </w:rPr>
        <w:t xml:space="preserve">to be revisited incorporating </w:t>
      </w:r>
      <w:r w:rsidR="006E3D00">
        <w:rPr>
          <w:sz w:val="22"/>
          <w:szCs w:val="22"/>
        </w:rPr>
        <w:t xml:space="preserve">comments from stakeholders before it is sent to the Board for approval.  </w:t>
      </w:r>
    </w:p>
    <w:p w14:paraId="3ADBD5BB" w14:textId="1EA33982" w:rsidR="006E3D00" w:rsidRDefault="006E3D00">
      <w:pPr>
        <w:rPr>
          <w:sz w:val="22"/>
          <w:szCs w:val="22"/>
        </w:rPr>
      </w:pPr>
    </w:p>
    <w:p w14:paraId="1656733E" w14:textId="2EA612E5" w:rsidR="006E3D00" w:rsidRDefault="006E3D00">
      <w:pPr>
        <w:rPr>
          <w:sz w:val="22"/>
          <w:szCs w:val="22"/>
        </w:rPr>
      </w:pPr>
      <w:r>
        <w:rPr>
          <w:sz w:val="22"/>
          <w:szCs w:val="22"/>
        </w:rPr>
        <w:t>We would like to state again our appreciation of the Board</w:t>
      </w:r>
      <w:r w:rsidR="00A269A0">
        <w:rPr>
          <w:sz w:val="22"/>
          <w:szCs w:val="22"/>
        </w:rPr>
        <w:t>’</w:t>
      </w:r>
      <w:r>
        <w:rPr>
          <w:sz w:val="22"/>
          <w:szCs w:val="22"/>
        </w:rPr>
        <w:t xml:space="preserve">s </w:t>
      </w:r>
      <w:r w:rsidR="004B785B">
        <w:rPr>
          <w:sz w:val="22"/>
          <w:szCs w:val="22"/>
        </w:rPr>
        <w:t>intent to ensure this regulation is crafted with caution</w:t>
      </w:r>
      <w:r w:rsidR="00A269A0">
        <w:rPr>
          <w:sz w:val="22"/>
          <w:szCs w:val="22"/>
        </w:rPr>
        <w:t>,</w:t>
      </w:r>
      <w:r w:rsidR="004B785B">
        <w:rPr>
          <w:sz w:val="22"/>
          <w:szCs w:val="22"/>
        </w:rPr>
        <w:t xml:space="preserve"> and </w:t>
      </w:r>
      <w:r w:rsidR="00F069A1">
        <w:rPr>
          <w:sz w:val="22"/>
          <w:szCs w:val="22"/>
        </w:rPr>
        <w:t xml:space="preserve">we </w:t>
      </w:r>
      <w:r w:rsidR="004B785B">
        <w:rPr>
          <w:sz w:val="22"/>
          <w:szCs w:val="22"/>
        </w:rPr>
        <w:t xml:space="preserve">appreciate </w:t>
      </w:r>
      <w:r w:rsidR="00F069A1" w:rsidRPr="00F069A1">
        <w:rPr>
          <w:sz w:val="22"/>
          <w:szCs w:val="22"/>
        </w:rPr>
        <w:t>the opportunity to provide comments for consideration</w:t>
      </w:r>
      <w:r w:rsidR="00F069A1">
        <w:rPr>
          <w:sz w:val="22"/>
          <w:szCs w:val="22"/>
        </w:rPr>
        <w:t>.</w:t>
      </w:r>
      <w:r w:rsidR="00F069A1" w:rsidRPr="00F069A1">
        <w:rPr>
          <w:sz w:val="22"/>
          <w:szCs w:val="22"/>
        </w:rPr>
        <w:t xml:space="preserve"> </w:t>
      </w:r>
      <w:r w:rsidR="00F069A1">
        <w:rPr>
          <w:sz w:val="22"/>
          <w:szCs w:val="22"/>
        </w:rPr>
        <w:t>W</w:t>
      </w:r>
      <w:r w:rsidR="004B785B">
        <w:rPr>
          <w:sz w:val="22"/>
          <w:szCs w:val="22"/>
        </w:rPr>
        <w:t>e understand that it is</w:t>
      </w:r>
      <w:r w:rsidR="00F069A1">
        <w:rPr>
          <w:sz w:val="22"/>
          <w:szCs w:val="22"/>
        </w:rPr>
        <w:t xml:space="preserve"> a</w:t>
      </w:r>
      <w:r w:rsidR="004B785B">
        <w:rPr>
          <w:sz w:val="22"/>
          <w:szCs w:val="22"/>
        </w:rPr>
        <w:t xml:space="preserve"> difficult</w:t>
      </w:r>
      <w:r w:rsidR="00F069A1">
        <w:rPr>
          <w:sz w:val="22"/>
          <w:szCs w:val="22"/>
        </w:rPr>
        <w:t xml:space="preserve"> task</w:t>
      </w:r>
      <w:r w:rsidR="004B785B">
        <w:rPr>
          <w:sz w:val="22"/>
          <w:szCs w:val="22"/>
        </w:rPr>
        <w:t xml:space="preserve"> to</w:t>
      </w:r>
      <w:r w:rsidR="00F069A1">
        <w:rPr>
          <w:sz w:val="22"/>
          <w:szCs w:val="22"/>
        </w:rPr>
        <w:t xml:space="preserve"> develop </w:t>
      </w:r>
      <w:r w:rsidR="004B785B">
        <w:rPr>
          <w:sz w:val="22"/>
          <w:szCs w:val="22"/>
        </w:rPr>
        <w:t>a regulation of this scope</w:t>
      </w:r>
      <w:r w:rsidR="00A269A0">
        <w:rPr>
          <w:sz w:val="22"/>
          <w:szCs w:val="22"/>
        </w:rPr>
        <w:t>,</w:t>
      </w:r>
      <w:r w:rsidR="004B785B">
        <w:rPr>
          <w:sz w:val="22"/>
          <w:szCs w:val="22"/>
        </w:rPr>
        <w:t xml:space="preserve"> </w:t>
      </w:r>
      <w:r w:rsidR="00F069A1">
        <w:rPr>
          <w:sz w:val="22"/>
          <w:szCs w:val="22"/>
        </w:rPr>
        <w:t>so</w:t>
      </w:r>
      <w:r w:rsidR="004B785B">
        <w:rPr>
          <w:sz w:val="22"/>
          <w:szCs w:val="22"/>
        </w:rPr>
        <w:t xml:space="preserve"> we stand ready to answer questions and work with Staff to address </w:t>
      </w:r>
      <w:r w:rsidR="006C3869">
        <w:rPr>
          <w:sz w:val="22"/>
          <w:szCs w:val="22"/>
        </w:rPr>
        <w:t>any concern</w:t>
      </w:r>
      <w:r w:rsidR="004B785B">
        <w:rPr>
          <w:sz w:val="22"/>
          <w:szCs w:val="22"/>
        </w:rPr>
        <w:t xml:space="preserve"> brought by stakeholders.  </w:t>
      </w:r>
    </w:p>
    <w:p w14:paraId="6100D199" w14:textId="77777777" w:rsidR="006E3D00" w:rsidRDefault="006E3D00">
      <w:pPr>
        <w:rPr>
          <w:sz w:val="22"/>
          <w:szCs w:val="22"/>
        </w:rPr>
      </w:pPr>
    </w:p>
    <w:p w14:paraId="2B5216C4" w14:textId="074032DA" w:rsidR="00B73168" w:rsidRDefault="00B73168">
      <w:pPr>
        <w:rPr>
          <w:sz w:val="22"/>
          <w:szCs w:val="22"/>
        </w:rPr>
      </w:pPr>
    </w:p>
    <w:p w14:paraId="69C525E3" w14:textId="77777777" w:rsidR="00EB7259" w:rsidRPr="002725C1" w:rsidRDefault="00EB7259">
      <w:pPr>
        <w:rPr>
          <w:sz w:val="22"/>
          <w:szCs w:val="22"/>
        </w:rPr>
      </w:pPr>
      <w:r w:rsidRPr="002725C1">
        <w:rPr>
          <w:sz w:val="22"/>
          <w:szCs w:val="22"/>
        </w:rPr>
        <w:t>Sincerely,</w:t>
      </w:r>
    </w:p>
    <w:p w14:paraId="4B4B676E" w14:textId="77777777" w:rsidR="000A08D5" w:rsidRPr="003C2382" w:rsidRDefault="000A08D5">
      <w:pPr>
        <w:rPr>
          <w:sz w:val="22"/>
          <w:szCs w:val="22"/>
        </w:rPr>
      </w:pPr>
    </w:p>
    <w:p w14:paraId="26CBCB5E" w14:textId="77777777" w:rsidR="000A08D5" w:rsidRPr="003C2382" w:rsidRDefault="000A08D5">
      <w:pPr>
        <w:rPr>
          <w:sz w:val="22"/>
          <w:szCs w:val="22"/>
        </w:rPr>
      </w:pPr>
    </w:p>
    <w:p w14:paraId="734597E8" w14:textId="719BE726" w:rsidR="0025450F" w:rsidRDefault="000A08D5" w:rsidP="00D2653D">
      <w:pPr>
        <w:pStyle w:val="Signature"/>
        <w:rPr>
          <w:sz w:val="22"/>
          <w:szCs w:val="22"/>
        </w:rPr>
      </w:pPr>
      <w:r w:rsidRPr="003C2382">
        <w:rPr>
          <w:sz w:val="22"/>
          <w:szCs w:val="22"/>
        </w:rPr>
        <w:t>Robert Hassebrock</w:t>
      </w:r>
    </w:p>
    <w:p w14:paraId="04FF8FE6" w14:textId="00BC3237" w:rsidR="00374B8C" w:rsidRDefault="00374B8C" w:rsidP="00D2653D">
      <w:pPr>
        <w:pStyle w:val="Signature"/>
        <w:rPr>
          <w:sz w:val="22"/>
          <w:szCs w:val="22"/>
        </w:rPr>
      </w:pPr>
      <w:r>
        <w:rPr>
          <w:sz w:val="22"/>
          <w:szCs w:val="22"/>
        </w:rPr>
        <w:t>HSE Manager</w:t>
      </w:r>
    </w:p>
    <w:p w14:paraId="4EDF16E3" w14:textId="0D874A42" w:rsidR="00374B8C" w:rsidRDefault="00374B8C" w:rsidP="00D2653D">
      <w:pPr>
        <w:pStyle w:val="Signature"/>
        <w:rPr>
          <w:sz w:val="24"/>
        </w:rPr>
      </w:pPr>
      <w:r>
        <w:rPr>
          <w:sz w:val="22"/>
          <w:szCs w:val="22"/>
        </w:rPr>
        <w:t>US Pacific Area</w:t>
      </w:r>
    </w:p>
    <w:sectPr w:rsidR="00374B8C" w:rsidSect="003C2382">
      <w:headerReference w:type="default" r:id="rId8"/>
      <w:footerReference w:type="default" r:id="rId9"/>
      <w:pgSz w:w="12240" w:h="15840" w:code="1"/>
      <w:pgMar w:top="720" w:right="1440" w:bottom="720"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9EB2" w14:textId="77777777" w:rsidR="0010607D" w:rsidRDefault="0010607D">
      <w:r>
        <w:separator/>
      </w:r>
    </w:p>
  </w:endnote>
  <w:endnote w:type="continuationSeparator" w:id="0">
    <w:p w14:paraId="40691C79" w14:textId="77777777" w:rsidR="0010607D" w:rsidRDefault="0010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1E0" w:firstRow="1" w:lastRow="1" w:firstColumn="1" w:lastColumn="1" w:noHBand="0" w:noVBand="0"/>
    </w:tblPr>
    <w:tblGrid>
      <w:gridCol w:w="2939"/>
      <w:gridCol w:w="1529"/>
      <w:gridCol w:w="1715"/>
      <w:gridCol w:w="3177"/>
    </w:tblGrid>
    <w:tr w:rsidR="00F7341C" w:rsidRPr="0031795A" w14:paraId="22C45336" w14:textId="77777777" w:rsidTr="0031795A">
      <w:tc>
        <w:tcPr>
          <w:tcW w:w="3315" w:type="dxa"/>
        </w:tcPr>
        <w:p w14:paraId="462B23DD" w14:textId="77777777" w:rsidR="000265CB" w:rsidRDefault="000265CB">
          <w:pPr>
            <w:pStyle w:val="Footer"/>
          </w:pPr>
        </w:p>
        <w:p w14:paraId="000BBB31" w14:textId="34254D1B" w:rsidR="00F7341C" w:rsidRDefault="00F7341C">
          <w:pPr>
            <w:pStyle w:val="Footer"/>
          </w:pPr>
          <w:r>
            <w:t>Weatherford</w:t>
          </w:r>
        </w:p>
        <w:p w14:paraId="5D1906F0" w14:textId="77777777" w:rsidR="00F7341C" w:rsidRPr="0031795A" w:rsidRDefault="00F7341C">
          <w:pPr>
            <w:pStyle w:val="Footer"/>
            <w:rPr>
              <w:lang w:val="es-MX"/>
            </w:rPr>
          </w:pPr>
          <w:r w:rsidRPr="0031795A">
            <w:rPr>
              <w:lang w:val="es-MX"/>
            </w:rPr>
            <w:t>P.O. Box 31</w:t>
          </w:r>
        </w:p>
        <w:p w14:paraId="242C119D" w14:textId="77777777" w:rsidR="00F7341C" w:rsidRPr="0031795A" w:rsidRDefault="00F7341C">
          <w:pPr>
            <w:pStyle w:val="Footer"/>
            <w:rPr>
              <w:lang w:val="es-MX"/>
            </w:rPr>
          </w:pPr>
          <w:r w:rsidRPr="0031795A">
            <w:rPr>
              <w:lang w:val="es-MX"/>
            </w:rPr>
            <w:t>Santa Paula, CA 93061-0031</w:t>
          </w:r>
        </w:p>
      </w:tc>
      <w:tc>
        <w:tcPr>
          <w:tcW w:w="1729" w:type="dxa"/>
        </w:tcPr>
        <w:p w14:paraId="49AC6EC7" w14:textId="77777777" w:rsidR="000265CB" w:rsidRPr="0031795A" w:rsidRDefault="000265CB" w:rsidP="0031795A">
          <w:pPr>
            <w:pStyle w:val="Footer"/>
            <w:jc w:val="right"/>
            <w:rPr>
              <w:lang w:val="es-MX"/>
            </w:rPr>
          </w:pPr>
        </w:p>
        <w:p w14:paraId="7722B1B7" w14:textId="77777777" w:rsidR="00F7341C" w:rsidRPr="0031795A" w:rsidRDefault="00F7341C" w:rsidP="0031795A">
          <w:pPr>
            <w:pStyle w:val="Footer"/>
            <w:jc w:val="right"/>
            <w:rPr>
              <w:lang w:val="es-MX"/>
            </w:rPr>
          </w:pPr>
          <w:r w:rsidRPr="0031795A">
            <w:rPr>
              <w:lang w:val="es-MX"/>
            </w:rPr>
            <w:t>805-525-6679</w:t>
          </w:r>
        </w:p>
        <w:p w14:paraId="0908A921" w14:textId="77777777" w:rsidR="00F7341C" w:rsidRPr="0031795A" w:rsidRDefault="00F7341C" w:rsidP="0031795A">
          <w:pPr>
            <w:pStyle w:val="Footer"/>
            <w:jc w:val="right"/>
            <w:rPr>
              <w:lang w:val="es-MX"/>
            </w:rPr>
          </w:pPr>
          <w:r w:rsidRPr="0031795A">
            <w:rPr>
              <w:lang w:val="es-MX"/>
            </w:rPr>
            <w:t>805-933-0208</w:t>
          </w:r>
        </w:p>
        <w:p w14:paraId="2C4CFCFA" w14:textId="77777777" w:rsidR="00F7341C" w:rsidRPr="0031795A" w:rsidRDefault="00F7341C" w:rsidP="0031795A">
          <w:pPr>
            <w:pStyle w:val="Footer"/>
            <w:jc w:val="right"/>
            <w:rPr>
              <w:lang w:val="es-MX"/>
            </w:rPr>
          </w:pPr>
          <w:r w:rsidRPr="0031795A">
            <w:rPr>
              <w:lang w:val="es-MX"/>
            </w:rPr>
            <w:t>805-340-6279</w:t>
          </w:r>
        </w:p>
        <w:p w14:paraId="2091E02F" w14:textId="77777777" w:rsidR="00F7341C" w:rsidRPr="0031795A" w:rsidRDefault="00F7341C" w:rsidP="0031795A">
          <w:pPr>
            <w:pStyle w:val="Footer"/>
            <w:jc w:val="right"/>
            <w:rPr>
              <w:lang w:val="es-MX"/>
            </w:rPr>
          </w:pPr>
          <w:r w:rsidRPr="0031795A">
            <w:rPr>
              <w:lang w:val="es-MX"/>
            </w:rPr>
            <w:t>805-933-0299</w:t>
          </w:r>
        </w:p>
      </w:tc>
      <w:tc>
        <w:tcPr>
          <w:tcW w:w="1931" w:type="dxa"/>
        </w:tcPr>
        <w:p w14:paraId="17522AFE" w14:textId="77777777" w:rsidR="000265CB" w:rsidRPr="0031795A" w:rsidRDefault="000265CB">
          <w:pPr>
            <w:pStyle w:val="Footer"/>
            <w:rPr>
              <w:lang w:val="es-MX"/>
            </w:rPr>
          </w:pPr>
        </w:p>
        <w:p w14:paraId="4648036D" w14:textId="77777777" w:rsidR="00F7341C" w:rsidRPr="0031795A" w:rsidRDefault="00F7341C">
          <w:pPr>
            <w:pStyle w:val="Footer"/>
            <w:rPr>
              <w:lang w:val="es-MX"/>
            </w:rPr>
          </w:pPr>
          <w:r w:rsidRPr="0031795A">
            <w:rPr>
              <w:lang w:val="es-MX"/>
            </w:rPr>
            <w:t>Office</w:t>
          </w:r>
        </w:p>
        <w:p w14:paraId="53B84C6E" w14:textId="77777777" w:rsidR="00F7341C" w:rsidRPr="0031795A" w:rsidRDefault="00F7341C">
          <w:pPr>
            <w:pStyle w:val="Footer"/>
            <w:rPr>
              <w:lang w:val="es-MX"/>
            </w:rPr>
          </w:pPr>
          <w:r w:rsidRPr="0031795A">
            <w:rPr>
              <w:lang w:val="es-MX"/>
            </w:rPr>
            <w:t>Direct Line</w:t>
          </w:r>
        </w:p>
        <w:p w14:paraId="6058FE03" w14:textId="77777777" w:rsidR="00F7341C" w:rsidRPr="0031795A" w:rsidRDefault="00F7341C">
          <w:pPr>
            <w:pStyle w:val="Footer"/>
            <w:rPr>
              <w:lang w:val="es-MX"/>
            </w:rPr>
          </w:pPr>
          <w:r w:rsidRPr="0031795A">
            <w:rPr>
              <w:lang w:val="es-MX"/>
            </w:rPr>
            <w:t>Cell</w:t>
          </w:r>
        </w:p>
        <w:p w14:paraId="5115A210" w14:textId="77777777" w:rsidR="00F7341C" w:rsidRPr="0031795A" w:rsidRDefault="00F7341C">
          <w:pPr>
            <w:pStyle w:val="Footer"/>
            <w:rPr>
              <w:lang w:val="es-MX"/>
            </w:rPr>
          </w:pPr>
          <w:r w:rsidRPr="0031795A">
            <w:rPr>
              <w:lang w:val="es-MX"/>
            </w:rPr>
            <w:t>Fax</w:t>
          </w:r>
        </w:p>
      </w:tc>
      <w:tc>
        <w:tcPr>
          <w:tcW w:w="3177" w:type="dxa"/>
        </w:tcPr>
        <w:p w14:paraId="45F72C02" w14:textId="77777777" w:rsidR="000265CB" w:rsidRPr="0031795A" w:rsidRDefault="000265CB">
          <w:pPr>
            <w:pStyle w:val="Footer"/>
            <w:rPr>
              <w:lang w:val="es-MX"/>
            </w:rPr>
          </w:pPr>
        </w:p>
        <w:p w14:paraId="36602DA8" w14:textId="77777777" w:rsidR="00F7341C" w:rsidRPr="0031795A" w:rsidRDefault="00F7341C">
          <w:pPr>
            <w:pStyle w:val="Footer"/>
            <w:rPr>
              <w:lang w:val="es-MX"/>
            </w:rPr>
          </w:pPr>
          <w:r w:rsidRPr="0031795A">
            <w:rPr>
              <w:lang w:val="es-MX"/>
            </w:rPr>
            <w:t>robert.hassebrock@weatherford.com</w:t>
          </w:r>
        </w:p>
      </w:tc>
    </w:tr>
  </w:tbl>
  <w:p w14:paraId="60B8F58A" w14:textId="77777777" w:rsidR="00F7341C" w:rsidRPr="00467FA0" w:rsidRDefault="00F7341C" w:rsidP="00467FA0">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CA9A" w14:textId="77777777" w:rsidR="0010607D" w:rsidRDefault="0010607D">
      <w:r>
        <w:separator/>
      </w:r>
    </w:p>
  </w:footnote>
  <w:footnote w:type="continuationSeparator" w:id="0">
    <w:p w14:paraId="66641BEE" w14:textId="77777777" w:rsidR="0010607D" w:rsidRDefault="0010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591"/>
      <w:gridCol w:w="4848"/>
      <w:gridCol w:w="1921"/>
    </w:tblGrid>
    <w:tr w:rsidR="00F7341C" w:rsidRPr="0031795A" w14:paraId="4ECC1E4C" w14:textId="77777777" w:rsidTr="0031795A">
      <w:tc>
        <w:tcPr>
          <w:tcW w:w="2160" w:type="dxa"/>
        </w:tcPr>
        <w:p w14:paraId="00A8D827" w14:textId="77777777" w:rsidR="00F7341C" w:rsidRPr="0031795A" w:rsidRDefault="00F7341C" w:rsidP="0031795A">
          <w:pPr>
            <w:pStyle w:val="Header"/>
            <w:tabs>
              <w:tab w:val="clear" w:pos="4320"/>
              <w:tab w:val="clear" w:pos="8640"/>
              <w:tab w:val="right" w:pos="9936"/>
            </w:tabs>
            <w:rPr>
              <w:sz w:val="24"/>
            </w:rPr>
          </w:pPr>
          <w:r w:rsidRPr="0031795A">
            <w:rPr>
              <w:sz w:val="24"/>
            </w:rPr>
            <w:object w:dxaOrig="2375" w:dyaOrig="1010" w14:anchorId="786B1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50.4pt" fillcolor="window">
                <v:imagedata r:id="rId1" o:title=""/>
              </v:shape>
              <o:OLEObject Type="Embed" ProgID="Word.Picture.8" ShapeID="_x0000_i1025" DrawAspect="Content" ObjectID="_1742357303" r:id="rId2"/>
            </w:object>
          </w:r>
        </w:p>
      </w:tc>
      <w:tc>
        <w:tcPr>
          <w:tcW w:w="5400" w:type="dxa"/>
        </w:tcPr>
        <w:p w14:paraId="68790B95" w14:textId="77777777" w:rsidR="00F7341C" w:rsidRPr="0031795A" w:rsidRDefault="00F7341C" w:rsidP="0031795A">
          <w:pPr>
            <w:pStyle w:val="Header"/>
            <w:tabs>
              <w:tab w:val="clear" w:pos="4320"/>
              <w:tab w:val="clear" w:pos="8640"/>
              <w:tab w:val="right" w:pos="9936"/>
            </w:tabs>
            <w:jc w:val="center"/>
            <w:rPr>
              <w:sz w:val="24"/>
            </w:rPr>
          </w:pPr>
        </w:p>
      </w:tc>
      <w:tc>
        <w:tcPr>
          <w:tcW w:w="2124" w:type="dxa"/>
        </w:tcPr>
        <w:p w14:paraId="06BE54E9" w14:textId="77777777" w:rsidR="00F7341C" w:rsidRPr="0031795A" w:rsidRDefault="00F7341C" w:rsidP="0031795A">
          <w:pPr>
            <w:pStyle w:val="Header"/>
            <w:tabs>
              <w:tab w:val="clear" w:pos="4320"/>
              <w:tab w:val="clear" w:pos="8640"/>
              <w:tab w:val="right" w:pos="9936"/>
            </w:tabs>
            <w:jc w:val="right"/>
            <w:rPr>
              <w:sz w:val="24"/>
            </w:rPr>
          </w:pPr>
        </w:p>
      </w:tc>
    </w:tr>
  </w:tbl>
  <w:p w14:paraId="07B33788" w14:textId="77777777" w:rsidR="00F7341C" w:rsidRPr="00467FA0" w:rsidRDefault="00F7341C" w:rsidP="00467FA0">
    <w:pPr>
      <w:pStyle w:val="Header"/>
      <w:tabs>
        <w:tab w:val="clear" w:pos="4320"/>
        <w:tab w:val="clear" w:pos="8640"/>
        <w:tab w:val="right" w:pos="9936"/>
      </w:tabs>
      <w:rPr>
        <w:sz w:val="24"/>
      </w:rPr>
    </w:pP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232"/>
    <w:multiLevelType w:val="hybridMultilevel"/>
    <w:tmpl w:val="594640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FC34BD"/>
    <w:multiLevelType w:val="hybridMultilevel"/>
    <w:tmpl w:val="EF4A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B009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5EE7BAE"/>
    <w:multiLevelType w:val="hybridMultilevel"/>
    <w:tmpl w:val="46689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EA0684"/>
    <w:multiLevelType w:val="hybridMultilevel"/>
    <w:tmpl w:val="C938F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1900">
    <w:abstractNumId w:val="4"/>
  </w:num>
  <w:num w:numId="2" w16cid:durableId="403650659">
    <w:abstractNumId w:val="2"/>
  </w:num>
  <w:num w:numId="3" w16cid:durableId="1433277669">
    <w:abstractNumId w:val="0"/>
  </w:num>
  <w:num w:numId="4" w16cid:durableId="1758018119">
    <w:abstractNumId w:val="1"/>
  </w:num>
  <w:num w:numId="5" w16cid:durableId="1325160323">
    <w:abstractNumId w:val="3"/>
  </w:num>
  <w:num w:numId="6" w16cid:durableId="93771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1F"/>
    <w:rsid w:val="00007AE2"/>
    <w:rsid w:val="000265CB"/>
    <w:rsid w:val="00054D80"/>
    <w:rsid w:val="000A08D5"/>
    <w:rsid w:val="000B20D6"/>
    <w:rsid w:val="000B2435"/>
    <w:rsid w:val="000F5F89"/>
    <w:rsid w:val="0010607D"/>
    <w:rsid w:val="001273AD"/>
    <w:rsid w:val="00146E13"/>
    <w:rsid w:val="00185EED"/>
    <w:rsid w:val="001B4C0C"/>
    <w:rsid w:val="001E6D62"/>
    <w:rsid w:val="00217F85"/>
    <w:rsid w:val="00245848"/>
    <w:rsid w:val="00252ECE"/>
    <w:rsid w:val="0025450F"/>
    <w:rsid w:val="00256955"/>
    <w:rsid w:val="002725C1"/>
    <w:rsid w:val="002A3E2D"/>
    <w:rsid w:val="002A4F43"/>
    <w:rsid w:val="002F0E0A"/>
    <w:rsid w:val="00301F10"/>
    <w:rsid w:val="0031795A"/>
    <w:rsid w:val="00374B8C"/>
    <w:rsid w:val="00394A27"/>
    <w:rsid w:val="0039739F"/>
    <w:rsid w:val="003A233E"/>
    <w:rsid w:val="003C2382"/>
    <w:rsid w:val="00404702"/>
    <w:rsid w:val="00427785"/>
    <w:rsid w:val="00457C23"/>
    <w:rsid w:val="00467FA0"/>
    <w:rsid w:val="004B785B"/>
    <w:rsid w:val="004D46E2"/>
    <w:rsid w:val="004E75F0"/>
    <w:rsid w:val="005451A6"/>
    <w:rsid w:val="005458E5"/>
    <w:rsid w:val="00557339"/>
    <w:rsid w:val="005B1F40"/>
    <w:rsid w:val="005C6A90"/>
    <w:rsid w:val="00612C2C"/>
    <w:rsid w:val="00621B67"/>
    <w:rsid w:val="00634EF9"/>
    <w:rsid w:val="00694C5A"/>
    <w:rsid w:val="006961DD"/>
    <w:rsid w:val="006C3869"/>
    <w:rsid w:val="006D12EF"/>
    <w:rsid w:val="006D6E9D"/>
    <w:rsid w:val="006E3D00"/>
    <w:rsid w:val="006F5623"/>
    <w:rsid w:val="00782211"/>
    <w:rsid w:val="00784384"/>
    <w:rsid w:val="00792C7A"/>
    <w:rsid w:val="007B7F79"/>
    <w:rsid w:val="007E3D6A"/>
    <w:rsid w:val="00824F1F"/>
    <w:rsid w:val="00836015"/>
    <w:rsid w:val="00856FD2"/>
    <w:rsid w:val="00873CE2"/>
    <w:rsid w:val="00877CF9"/>
    <w:rsid w:val="008D5EF0"/>
    <w:rsid w:val="009059FB"/>
    <w:rsid w:val="00917CD0"/>
    <w:rsid w:val="009329D0"/>
    <w:rsid w:val="00951045"/>
    <w:rsid w:val="00970BC7"/>
    <w:rsid w:val="009B63EE"/>
    <w:rsid w:val="00A16461"/>
    <w:rsid w:val="00A269A0"/>
    <w:rsid w:val="00A35269"/>
    <w:rsid w:val="00A50CE6"/>
    <w:rsid w:val="00A67D98"/>
    <w:rsid w:val="00A729BB"/>
    <w:rsid w:val="00A96ADA"/>
    <w:rsid w:val="00AA2638"/>
    <w:rsid w:val="00AD3B62"/>
    <w:rsid w:val="00AD45E7"/>
    <w:rsid w:val="00B06D05"/>
    <w:rsid w:val="00B2418D"/>
    <w:rsid w:val="00B6450B"/>
    <w:rsid w:val="00B73168"/>
    <w:rsid w:val="00BA0F30"/>
    <w:rsid w:val="00C94588"/>
    <w:rsid w:val="00CA3D3A"/>
    <w:rsid w:val="00CB527B"/>
    <w:rsid w:val="00CD402D"/>
    <w:rsid w:val="00CE4BF8"/>
    <w:rsid w:val="00CE62E4"/>
    <w:rsid w:val="00D2653D"/>
    <w:rsid w:val="00D36B06"/>
    <w:rsid w:val="00D51A25"/>
    <w:rsid w:val="00D54CA2"/>
    <w:rsid w:val="00D83943"/>
    <w:rsid w:val="00DC427D"/>
    <w:rsid w:val="00DE0582"/>
    <w:rsid w:val="00E255AC"/>
    <w:rsid w:val="00E367F7"/>
    <w:rsid w:val="00E455B1"/>
    <w:rsid w:val="00E71F48"/>
    <w:rsid w:val="00EB7259"/>
    <w:rsid w:val="00EC3BCE"/>
    <w:rsid w:val="00EC3EA7"/>
    <w:rsid w:val="00EC67A8"/>
    <w:rsid w:val="00ED138D"/>
    <w:rsid w:val="00F069A1"/>
    <w:rsid w:val="00F144D1"/>
    <w:rsid w:val="00F2482A"/>
    <w:rsid w:val="00F7341C"/>
    <w:rsid w:val="00FC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870E5"/>
  <w15:docId w15:val="{0FFCD34B-7E04-40A0-A593-9DD18538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CF9"/>
  </w:style>
  <w:style w:type="paragraph" w:styleId="Heading1">
    <w:name w:val="heading 1"/>
    <w:basedOn w:val="Normal"/>
    <w:next w:val="Normal"/>
    <w:qFormat/>
    <w:rsid w:val="00877CF9"/>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877CF9"/>
  </w:style>
  <w:style w:type="paragraph" w:customStyle="1" w:styleId="InsideAddress">
    <w:name w:val="Inside Address"/>
    <w:basedOn w:val="Normal"/>
    <w:rsid w:val="00877CF9"/>
  </w:style>
  <w:style w:type="paragraph" w:styleId="Date">
    <w:name w:val="Date"/>
    <w:basedOn w:val="Normal"/>
    <w:next w:val="Normal"/>
    <w:rsid w:val="00877CF9"/>
  </w:style>
  <w:style w:type="paragraph" w:styleId="Closing">
    <w:name w:val="Closing"/>
    <w:basedOn w:val="Normal"/>
    <w:rsid w:val="00877CF9"/>
  </w:style>
  <w:style w:type="paragraph" w:styleId="Signature">
    <w:name w:val="Signature"/>
    <w:basedOn w:val="Normal"/>
    <w:rsid w:val="00F7341C"/>
  </w:style>
  <w:style w:type="paragraph" w:styleId="BodyText">
    <w:name w:val="Body Text"/>
    <w:basedOn w:val="Normal"/>
    <w:rsid w:val="00877CF9"/>
    <w:pPr>
      <w:spacing w:after="120"/>
    </w:pPr>
  </w:style>
  <w:style w:type="table" w:styleId="TableGrid">
    <w:name w:val="Table Grid"/>
    <w:basedOn w:val="TableNormal"/>
    <w:rsid w:val="00A1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7FA0"/>
    <w:pPr>
      <w:tabs>
        <w:tab w:val="center" w:pos="4320"/>
        <w:tab w:val="right" w:pos="8640"/>
      </w:tabs>
    </w:pPr>
  </w:style>
  <w:style w:type="paragraph" w:styleId="Footer">
    <w:name w:val="footer"/>
    <w:basedOn w:val="Normal"/>
    <w:rsid w:val="00467FA0"/>
    <w:pPr>
      <w:tabs>
        <w:tab w:val="center" w:pos="4320"/>
        <w:tab w:val="right" w:pos="8640"/>
      </w:tabs>
    </w:pPr>
  </w:style>
  <w:style w:type="paragraph" w:styleId="ListParagraph">
    <w:name w:val="List Paragraph"/>
    <w:basedOn w:val="Normal"/>
    <w:uiPriority w:val="34"/>
    <w:qFormat/>
    <w:rsid w:val="00917CD0"/>
    <w:pPr>
      <w:ind w:left="720"/>
    </w:pPr>
  </w:style>
  <w:style w:type="character" w:styleId="Hyperlink">
    <w:name w:val="Hyperlink"/>
    <w:basedOn w:val="DefaultParagraphFont"/>
    <w:uiPriority w:val="99"/>
    <w:unhideWhenUsed/>
    <w:rsid w:val="00951045"/>
    <w:rPr>
      <w:color w:val="0000FF" w:themeColor="hyperlink"/>
      <w:u w:val="single"/>
    </w:rPr>
  </w:style>
  <w:style w:type="paragraph" w:styleId="BalloonText">
    <w:name w:val="Balloon Text"/>
    <w:basedOn w:val="Normal"/>
    <w:link w:val="BalloonTextChar"/>
    <w:rsid w:val="00951045"/>
    <w:rPr>
      <w:rFonts w:ascii="Tahoma" w:hAnsi="Tahoma" w:cs="Tahoma"/>
      <w:sz w:val="16"/>
      <w:szCs w:val="16"/>
    </w:rPr>
  </w:style>
  <w:style w:type="character" w:customStyle="1" w:styleId="BalloonTextChar">
    <w:name w:val="Balloon Text Char"/>
    <w:basedOn w:val="DefaultParagraphFont"/>
    <w:link w:val="BalloonText"/>
    <w:rsid w:val="00951045"/>
    <w:rPr>
      <w:rFonts w:ascii="Tahoma" w:hAnsi="Tahoma" w:cs="Tahoma"/>
      <w:sz w:val="16"/>
      <w:szCs w:val="16"/>
    </w:rPr>
  </w:style>
  <w:style w:type="paragraph" w:styleId="EndnoteText">
    <w:name w:val="endnote text"/>
    <w:basedOn w:val="Normal"/>
    <w:link w:val="EndnoteTextChar"/>
    <w:rsid w:val="00951045"/>
  </w:style>
  <w:style w:type="character" w:customStyle="1" w:styleId="EndnoteTextChar">
    <w:name w:val="Endnote Text Char"/>
    <w:basedOn w:val="DefaultParagraphFont"/>
    <w:link w:val="EndnoteText"/>
    <w:rsid w:val="00951045"/>
  </w:style>
  <w:style w:type="character" w:styleId="EndnoteReference">
    <w:name w:val="endnote reference"/>
    <w:basedOn w:val="DefaultParagraphFont"/>
    <w:rsid w:val="00951045"/>
    <w:rPr>
      <w:vertAlign w:val="superscript"/>
    </w:rPr>
  </w:style>
  <w:style w:type="paragraph" w:styleId="FootnoteText">
    <w:name w:val="footnote text"/>
    <w:basedOn w:val="Normal"/>
    <w:link w:val="FootnoteTextChar"/>
    <w:rsid w:val="00951045"/>
  </w:style>
  <w:style w:type="character" w:customStyle="1" w:styleId="FootnoteTextChar">
    <w:name w:val="Footnote Text Char"/>
    <w:basedOn w:val="DefaultParagraphFont"/>
    <w:link w:val="FootnoteText"/>
    <w:rsid w:val="00951045"/>
  </w:style>
  <w:style w:type="character" w:styleId="FootnoteReference">
    <w:name w:val="footnote reference"/>
    <w:basedOn w:val="DefaultParagraphFont"/>
    <w:rsid w:val="00951045"/>
    <w:rPr>
      <w:vertAlign w:val="superscript"/>
    </w:rPr>
  </w:style>
  <w:style w:type="paragraph" w:styleId="Revision">
    <w:name w:val="Revision"/>
    <w:hidden/>
    <w:uiPriority w:val="99"/>
    <w:semiHidden/>
    <w:rsid w:val="0018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2759">
      <w:bodyDiv w:val="1"/>
      <w:marLeft w:val="0"/>
      <w:marRight w:val="0"/>
      <w:marTop w:val="0"/>
      <w:marBottom w:val="0"/>
      <w:divBdr>
        <w:top w:val="none" w:sz="0" w:space="0" w:color="auto"/>
        <w:left w:val="none" w:sz="0" w:space="0" w:color="auto"/>
        <w:bottom w:val="none" w:sz="0" w:space="0" w:color="auto"/>
        <w:right w:val="none" w:sz="0" w:space="0" w:color="auto"/>
      </w:divBdr>
    </w:div>
    <w:div w:id="1085112247">
      <w:bodyDiv w:val="1"/>
      <w:marLeft w:val="0"/>
      <w:marRight w:val="0"/>
      <w:marTop w:val="0"/>
      <w:marBottom w:val="0"/>
      <w:divBdr>
        <w:top w:val="none" w:sz="0" w:space="0" w:color="auto"/>
        <w:left w:val="none" w:sz="0" w:space="0" w:color="auto"/>
        <w:bottom w:val="none" w:sz="0" w:space="0" w:color="auto"/>
        <w:right w:val="none" w:sz="0" w:space="0" w:color="auto"/>
      </w:divBdr>
    </w:div>
    <w:div w:id="11436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B662-F7B4-46A4-8007-D81196EA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6482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Weatherford International Inc</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Hassebrock, Robert</cp:lastModifiedBy>
  <cp:revision>2</cp:revision>
  <cp:lastPrinted>2014-11-12T17:29:00Z</cp:lastPrinted>
  <dcterms:created xsi:type="dcterms:W3CDTF">2023-04-07T14:22:00Z</dcterms:created>
  <dcterms:modified xsi:type="dcterms:W3CDTF">2023-04-07T14:22:00Z</dcterms:modified>
</cp:coreProperties>
</file>