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21C97" w14:textId="77777777" w:rsidR="00194679" w:rsidRPr="00E64718" w:rsidRDefault="00194679" w:rsidP="002159F4">
      <w:pPr>
        <w:spacing w:after="0" w:line="240" w:lineRule="auto"/>
        <w:rPr>
          <w:rFonts w:ascii="Times New Roman" w:hAnsi="Times New Roman" w:cs="Times New Roman"/>
          <w:sz w:val="24"/>
          <w:szCs w:val="24"/>
        </w:rPr>
      </w:pPr>
    </w:p>
    <w:p w14:paraId="24568AA5" w14:textId="77777777" w:rsidR="00194679" w:rsidRPr="00E64718" w:rsidRDefault="00194679" w:rsidP="002159F4">
      <w:pPr>
        <w:spacing w:after="0" w:line="240" w:lineRule="auto"/>
        <w:rPr>
          <w:rFonts w:ascii="Times New Roman" w:hAnsi="Times New Roman" w:cs="Times New Roman"/>
          <w:sz w:val="24"/>
          <w:szCs w:val="24"/>
        </w:rPr>
      </w:pPr>
    </w:p>
    <w:p w14:paraId="7D96B958" w14:textId="4F79DC2D" w:rsidR="002159F4" w:rsidRPr="00E64718" w:rsidRDefault="007D5D6D" w:rsidP="002159F4">
      <w:pPr>
        <w:spacing w:after="0" w:line="240" w:lineRule="auto"/>
        <w:rPr>
          <w:rFonts w:ascii="Times New Roman" w:hAnsi="Times New Roman" w:cs="Times New Roman"/>
          <w:sz w:val="24"/>
          <w:szCs w:val="24"/>
        </w:rPr>
      </w:pPr>
      <w:r w:rsidRPr="00E64718">
        <w:rPr>
          <w:rFonts w:ascii="Times New Roman" w:hAnsi="Times New Roman" w:cs="Times New Roman"/>
          <w:sz w:val="24"/>
          <w:szCs w:val="24"/>
        </w:rPr>
        <w:t>January 20, 2017</w:t>
      </w:r>
    </w:p>
    <w:p w14:paraId="1A515F2E" w14:textId="77777777" w:rsidR="002159F4" w:rsidRPr="00E64718" w:rsidRDefault="002159F4" w:rsidP="002159F4">
      <w:pPr>
        <w:spacing w:after="0" w:line="240" w:lineRule="auto"/>
        <w:rPr>
          <w:rFonts w:ascii="Times New Roman" w:hAnsi="Times New Roman" w:cs="Times New Roman"/>
          <w:sz w:val="24"/>
          <w:szCs w:val="24"/>
        </w:rPr>
      </w:pPr>
      <w:bookmarkStart w:id="0" w:name="_GoBack"/>
    </w:p>
    <w:bookmarkEnd w:id="0"/>
    <w:p w14:paraId="3207A34B" w14:textId="77777777" w:rsidR="00194679" w:rsidRPr="00E64718" w:rsidRDefault="00194679" w:rsidP="002159F4">
      <w:pPr>
        <w:spacing w:after="0" w:line="240" w:lineRule="auto"/>
        <w:rPr>
          <w:rFonts w:ascii="Times New Roman" w:hAnsi="Times New Roman" w:cs="Times New Roman"/>
          <w:sz w:val="24"/>
          <w:szCs w:val="24"/>
        </w:rPr>
      </w:pPr>
    </w:p>
    <w:p w14:paraId="79444109" w14:textId="3D882C27" w:rsidR="002159F4" w:rsidRPr="00E64718" w:rsidRDefault="007D5D6D" w:rsidP="002159F4">
      <w:pPr>
        <w:spacing w:after="0" w:line="240" w:lineRule="auto"/>
        <w:rPr>
          <w:rFonts w:ascii="Times New Roman" w:hAnsi="Times New Roman" w:cs="Times New Roman"/>
          <w:sz w:val="24"/>
          <w:szCs w:val="24"/>
        </w:rPr>
      </w:pPr>
      <w:proofErr w:type="spellStart"/>
      <w:r w:rsidRPr="00E64718">
        <w:rPr>
          <w:rFonts w:ascii="Times New Roman" w:hAnsi="Times New Roman" w:cs="Times New Roman"/>
          <w:sz w:val="24"/>
          <w:szCs w:val="24"/>
        </w:rPr>
        <w:t>Brieanne</w:t>
      </w:r>
      <w:proofErr w:type="spellEnd"/>
      <w:r w:rsidRPr="00E64718">
        <w:rPr>
          <w:rFonts w:ascii="Times New Roman" w:hAnsi="Times New Roman" w:cs="Times New Roman"/>
          <w:sz w:val="24"/>
          <w:szCs w:val="24"/>
        </w:rPr>
        <w:t xml:space="preserve"> </w:t>
      </w:r>
      <w:proofErr w:type="spellStart"/>
      <w:r w:rsidR="00FF47B8" w:rsidRPr="00E64718">
        <w:rPr>
          <w:rFonts w:ascii="Times New Roman" w:hAnsi="Times New Roman" w:cs="Times New Roman"/>
          <w:sz w:val="24"/>
          <w:szCs w:val="24"/>
        </w:rPr>
        <w:t>Aguila</w:t>
      </w:r>
      <w:proofErr w:type="spellEnd"/>
    </w:p>
    <w:p w14:paraId="2C12B14E" w14:textId="36F7B2A8" w:rsidR="00FF47B8" w:rsidRPr="00E64718" w:rsidRDefault="00FF47B8" w:rsidP="002159F4">
      <w:pPr>
        <w:spacing w:after="0" w:line="240" w:lineRule="auto"/>
        <w:rPr>
          <w:rFonts w:ascii="Times New Roman" w:hAnsi="Times New Roman" w:cs="Times New Roman"/>
          <w:sz w:val="24"/>
          <w:szCs w:val="24"/>
        </w:rPr>
      </w:pPr>
      <w:r w:rsidRPr="00E64718">
        <w:rPr>
          <w:rFonts w:ascii="Times New Roman" w:hAnsi="Times New Roman" w:cs="Times New Roman"/>
          <w:sz w:val="24"/>
          <w:szCs w:val="24"/>
        </w:rPr>
        <w:t>Manager, Climate Change Reporting Section</w:t>
      </w:r>
    </w:p>
    <w:p w14:paraId="4A7FEF21" w14:textId="77777777" w:rsidR="002159F4" w:rsidRPr="00E64718" w:rsidRDefault="002159F4" w:rsidP="002159F4">
      <w:pPr>
        <w:spacing w:after="0" w:line="240" w:lineRule="auto"/>
        <w:rPr>
          <w:rFonts w:ascii="Times New Roman" w:hAnsi="Times New Roman" w:cs="Times New Roman"/>
          <w:sz w:val="24"/>
          <w:szCs w:val="24"/>
        </w:rPr>
      </w:pPr>
      <w:r w:rsidRPr="00E64718">
        <w:rPr>
          <w:rFonts w:ascii="Times New Roman" w:hAnsi="Times New Roman" w:cs="Times New Roman"/>
          <w:sz w:val="24"/>
          <w:szCs w:val="24"/>
        </w:rPr>
        <w:t>California Air Resources Board</w:t>
      </w:r>
    </w:p>
    <w:p w14:paraId="29059E61" w14:textId="77777777" w:rsidR="002159F4" w:rsidRPr="00E64718" w:rsidRDefault="002159F4" w:rsidP="002159F4">
      <w:pPr>
        <w:spacing w:after="0" w:line="240" w:lineRule="auto"/>
        <w:rPr>
          <w:rFonts w:ascii="Times New Roman" w:hAnsi="Times New Roman" w:cs="Times New Roman"/>
          <w:sz w:val="24"/>
          <w:szCs w:val="24"/>
        </w:rPr>
      </w:pPr>
      <w:r w:rsidRPr="00E64718">
        <w:rPr>
          <w:rFonts w:ascii="Times New Roman" w:hAnsi="Times New Roman" w:cs="Times New Roman"/>
          <w:sz w:val="24"/>
          <w:szCs w:val="24"/>
        </w:rPr>
        <w:t>1001 “I” Street</w:t>
      </w:r>
    </w:p>
    <w:p w14:paraId="4C511486" w14:textId="5ECA1ED4" w:rsidR="00961AF9" w:rsidRPr="00E64718" w:rsidRDefault="002159F4" w:rsidP="00194679">
      <w:pPr>
        <w:spacing w:after="0" w:line="240" w:lineRule="auto"/>
        <w:rPr>
          <w:rFonts w:ascii="Times New Roman" w:hAnsi="Times New Roman" w:cs="Times New Roman"/>
          <w:sz w:val="24"/>
          <w:szCs w:val="24"/>
        </w:rPr>
      </w:pPr>
      <w:r w:rsidRPr="00E64718">
        <w:rPr>
          <w:rFonts w:ascii="Times New Roman" w:hAnsi="Times New Roman" w:cs="Times New Roman"/>
          <w:sz w:val="24"/>
          <w:szCs w:val="24"/>
        </w:rPr>
        <w:t>Sacramento, CA 95814</w:t>
      </w:r>
    </w:p>
    <w:p w14:paraId="0B0D9A83" w14:textId="77777777" w:rsidR="00194679" w:rsidRPr="00E64718" w:rsidRDefault="00194679" w:rsidP="00194679">
      <w:pPr>
        <w:spacing w:after="0" w:line="240" w:lineRule="auto"/>
        <w:rPr>
          <w:rFonts w:ascii="Times New Roman" w:hAnsi="Times New Roman" w:cs="Times New Roman"/>
          <w:sz w:val="24"/>
          <w:szCs w:val="24"/>
        </w:rPr>
      </w:pPr>
    </w:p>
    <w:p w14:paraId="2711AEAA" w14:textId="77777777" w:rsidR="00194679" w:rsidRPr="00E64718" w:rsidRDefault="00194679" w:rsidP="00EA531B">
      <w:pPr>
        <w:ind w:left="1170" w:hanging="450"/>
        <w:rPr>
          <w:rFonts w:ascii="Times New Roman" w:hAnsi="Times New Roman" w:cs="Times New Roman"/>
          <w:i/>
          <w:sz w:val="24"/>
          <w:szCs w:val="24"/>
        </w:rPr>
      </w:pPr>
    </w:p>
    <w:p w14:paraId="5D8D398F" w14:textId="07138C9E" w:rsidR="003337F8" w:rsidRPr="00E64718" w:rsidRDefault="003337F8" w:rsidP="00BE091C">
      <w:pPr>
        <w:ind w:left="1080" w:hanging="450"/>
        <w:rPr>
          <w:rFonts w:ascii="Times New Roman" w:hAnsi="Times New Roman" w:cs="Times New Roman"/>
          <w:i/>
          <w:sz w:val="24"/>
          <w:szCs w:val="24"/>
        </w:rPr>
      </w:pPr>
      <w:r w:rsidRPr="00E64718">
        <w:rPr>
          <w:rFonts w:ascii="Times New Roman" w:hAnsi="Times New Roman" w:cs="Times New Roman"/>
          <w:i/>
          <w:sz w:val="24"/>
          <w:szCs w:val="24"/>
        </w:rPr>
        <w:t xml:space="preserve">RE: </w:t>
      </w:r>
      <w:r w:rsidR="00D13321" w:rsidRPr="00E64718">
        <w:rPr>
          <w:rFonts w:ascii="Times New Roman" w:hAnsi="Times New Roman" w:cs="Times New Roman"/>
          <w:i/>
          <w:sz w:val="24"/>
          <w:szCs w:val="24"/>
        </w:rPr>
        <w:t>T</w:t>
      </w:r>
      <w:r w:rsidR="00FF47B8" w:rsidRPr="00E64718">
        <w:rPr>
          <w:rFonts w:ascii="Times New Roman" w:hAnsi="Times New Roman" w:cs="Times New Roman"/>
          <w:i/>
          <w:sz w:val="24"/>
          <w:szCs w:val="24"/>
        </w:rPr>
        <w:t>ID</w:t>
      </w:r>
      <w:r w:rsidRPr="00E64718">
        <w:rPr>
          <w:rFonts w:ascii="Times New Roman" w:hAnsi="Times New Roman" w:cs="Times New Roman"/>
          <w:i/>
          <w:sz w:val="24"/>
          <w:szCs w:val="24"/>
        </w:rPr>
        <w:t xml:space="preserve"> Comments on the </w:t>
      </w:r>
      <w:r w:rsidR="00FF47B8" w:rsidRPr="00E64718">
        <w:rPr>
          <w:rFonts w:ascii="Times New Roman" w:hAnsi="Times New Roman" w:cs="Times New Roman"/>
          <w:i/>
          <w:sz w:val="24"/>
          <w:szCs w:val="24"/>
        </w:rPr>
        <w:t>December 21</w:t>
      </w:r>
      <w:r w:rsidRPr="00E64718">
        <w:rPr>
          <w:rFonts w:ascii="Times New Roman" w:hAnsi="Times New Roman" w:cs="Times New Roman"/>
          <w:i/>
          <w:sz w:val="24"/>
          <w:szCs w:val="24"/>
        </w:rPr>
        <w:t xml:space="preserve">, 2016 Amendments to the </w:t>
      </w:r>
      <w:r w:rsidR="00BE091C" w:rsidRPr="00E64718">
        <w:rPr>
          <w:rFonts w:ascii="Times New Roman" w:hAnsi="Times New Roman" w:cs="Times New Roman"/>
          <w:i/>
          <w:sz w:val="24"/>
          <w:szCs w:val="24"/>
        </w:rPr>
        <w:t>MRR</w:t>
      </w:r>
    </w:p>
    <w:p w14:paraId="6C66779D" w14:textId="77777777" w:rsidR="00194679" w:rsidRPr="00E64718" w:rsidRDefault="00194679" w:rsidP="00961AF9">
      <w:pPr>
        <w:rPr>
          <w:rFonts w:ascii="Times New Roman" w:hAnsi="Times New Roman" w:cs="Times New Roman"/>
          <w:sz w:val="24"/>
          <w:szCs w:val="24"/>
        </w:rPr>
      </w:pPr>
    </w:p>
    <w:p w14:paraId="0DE61DD6" w14:textId="497EDB98" w:rsidR="003337F8" w:rsidRPr="00E64718" w:rsidRDefault="003337F8" w:rsidP="00961AF9">
      <w:pPr>
        <w:rPr>
          <w:rFonts w:ascii="Times New Roman" w:hAnsi="Times New Roman" w:cs="Times New Roman"/>
          <w:sz w:val="24"/>
          <w:szCs w:val="24"/>
        </w:rPr>
      </w:pPr>
      <w:r w:rsidRPr="00E64718">
        <w:rPr>
          <w:rFonts w:ascii="Times New Roman" w:hAnsi="Times New Roman" w:cs="Times New Roman"/>
          <w:sz w:val="24"/>
          <w:szCs w:val="24"/>
        </w:rPr>
        <w:t>Dear M</w:t>
      </w:r>
      <w:r w:rsidR="006620F2">
        <w:rPr>
          <w:rFonts w:ascii="Times New Roman" w:hAnsi="Times New Roman" w:cs="Times New Roman"/>
          <w:sz w:val="24"/>
          <w:szCs w:val="24"/>
        </w:rPr>
        <w:t>s</w:t>
      </w:r>
      <w:r w:rsidRPr="00E64718">
        <w:rPr>
          <w:rFonts w:ascii="Times New Roman" w:hAnsi="Times New Roman" w:cs="Times New Roman"/>
          <w:sz w:val="24"/>
          <w:szCs w:val="24"/>
        </w:rPr>
        <w:t xml:space="preserve">. </w:t>
      </w:r>
      <w:proofErr w:type="spellStart"/>
      <w:r w:rsidR="006620F2">
        <w:rPr>
          <w:rFonts w:ascii="Times New Roman" w:hAnsi="Times New Roman" w:cs="Times New Roman"/>
          <w:sz w:val="24"/>
          <w:szCs w:val="24"/>
        </w:rPr>
        <w:t>Aguila</w:t>
      </w:r>
      <w:proofErr w:type="spellEnd"/>
      <w:r w:rsidRPr="00E64718">
        <w:rPr>
          <w:rFonts w:ascii="Times New Roman" w:hAnsi="Times New Roman" w:cs="Times New Roman"/>
          <w:sz w:val="24"/>
          <w:szCs w:val="24"/>
        </w:rPr>
        <w:t xml:space="preserve"> </w:t>
      </w:r>
    </w:p>
    <w:p w14:paraId="726D0A64" w14:textId="77777777" w:rsidR="00545260" w:rsidRPr="00E64718" w:rsidRDefault="00D13321" w:rsidP="00961AF9">
      <w:pPr>
        <w:rPr>
          <w:rFonts w:ascii="Times New Roman" w:hAnsi="Times New Roman" w:cs="Times New Roman"/>
          <w:sz w:val="24"/>
          <w:szCs w:val="24"/>
        </w:rPr>
      </w:pPr>
      <w:r w:rsidRPr="00E64718">
        <w:rPr>
          <w:rFonts w:ascii="Times New Roman" w:hAnsi="Times New Roman" w:cs="Times New Roman"/>
          <w:sz w:val="24"/>
          <w:szCs w:val="24"/>
        </w:rPr>
        <w:t>Turlock Irrigation District (“TID”</w:t>
      </w:r>
      <w:r w:rsidR="003337F8" w:rsidRPr="00E64718">
        <w:rPr>
          <w:rFonts w:ascii="Times New Roman" w:hAnsi="Times New Roman" w:cs="Times New Roman"/>
          <w:sz w:val="24"/>
          <w:szCs w:val="24"/>
        </w:rPr>
        <w:t xml:space="preserve"> provides the following comments on the </w:t>
      </w:r>
      <w:r w:rsidR="00545260" w:rsidRPr="00E64718">
        <w:rPr>
          <w:rFonts w:ascii="Times New Roman" w:hAnsi="Times New Roman" w:cs="Times New Roman"/>
          <w:sz w:val="24"/>
          <w:szCs w:val="24"/>
        </w:rPr>
        <w:t>December</w:t>
      </w:r>
      <w:r w:rsidR="00FF47B8" w:rsidRPr="00E64718">
        <w:rPr>
          <w:rFonts w:ascii="Times New Roman" w:hAnsi="Times New Roman" w:cs="Times New Roman"/>
          <w:sz w:val="24"/>
          <w:szCs w:val="24"/>
        </w:rPr>
        <w:t xml:space="preserve"> 20</w:t>
      </w:r>
      <w:r w:rsidR="003337F8" w:rsidRPr="00E64718">
        <w:rPr>
          <w:rFonts w:ascii="Times New Roman" w:hAnsi="Times New Roman" w:cs="Times New Roman"/>
          <w:sz w:val="24"/>
          <w:szCs w:val="24"/>
        </w:rPr>
        <w:t xml:space="preserve">, 2016 </w:t>
      </w:r>
      <w:r w:rsidR="003337F8" w:rsidRPr="00E64718">
        <w:rPr>
          <w:rFonts w:ascii="Times New Roman" w:hAnsi="Times New Roman" w:cs="Times New Roman"/>
          <w:i/>
          <w:sz w:val="24"/>
          <w:szCs w:val="24"/>
        </w:rPr>
        <w:t xml:space="preserve">Proposed Amendments to the </w:t>
      </w:r>
      <w:r w:rsidR="00BE091C" w:rsidRPr="00E64718">
        <w:rPr>
          <w:rFonts w:ascii="Times New Roman" w:hAnsi="Times New Roman" w:cs="Times New Roman"/>
          <w:i/>
          <w:sz w:val="24"/>
          <w:szCs w:val="24"/>
        </w:rPr>
        <w:t xml:space="preserve">Mandatory Reporting Regulation for Greenhouse Gas Emissions </w:t>
      </w:r>
      <w:r w:rsidR="003337F8" w:rsidRPr="00E64718">
        <w:rPr>
          <w:rFonts w:ascii="Times New Roman" w:hAnsi="Times New Roman" w:cs="Times New Roman"/>
          <w:sz w:val="24"/>
          <w:szCs w:val="24"/>
        </w:rPr>
        <w:t xml:space="preserve">(“Proposed Amendments”). </w:t>
      </w:r>
      <w:r w:rsidR="006C5914" w:rsidRPr="00E64718">
        <w:rPr>
          <w:rFonts w:ascii="Times New Roman" w:hAnsi="Times New Roman" w:cs="Times New Roman"/>
          <w:sz w:val="24"/>
          <w:szCs w:val="24"/>
        </w:rPr>
        <w:t xml:space="preserve"> </w:t>
      </w:r>
    </w:p>
    <w:p w14:paraId="4C62A353" w14:textId="77777777" w:rsidR="00545260" w:rsidRPr="00E64718" w:rsidRDefault="00545260" w:rsidP="00545260">
      <w:pPr>
        <w:spacing w:before="100" w:beforeAutospacing="1" w:after="100" w:afterAutospacing="1"/>
        <w:jc w:val="center"/>
        <w:outlineLvl w:val="1"/>
        <w:rPr>
          <w:rFonts w:ascii="Times New Roman" w:eastAsia="Times New Roman" w:hAnsi="Times New Roman" w:cs="Times New Roman"/>
          <w:b/>
          <w:bCs/>
          <w:sz w:val="24"/>
          <w:szCs w:val="24"/>
          <w:u w:val="single"/>
        </w:rPr>
      </w:pPr>
      <w:r w:rsidRPr="00E64718">
        <w:rPr>
          <w:rFonts w:ascii="Times New Roman" w:eastAsia="Times New Roman" w:hAnsi="Times New Roman" w:cs="Times New Roman"/>
          <w:b/>
          <w:bCs/>
          <w:sz w:val="24"/>
          <w:szCs w:val="24"/>
          <w:u w:val="single"/>
        </w:rPr>
        <w:t>TID Background</w:t>
      </w:r>
    </w:p>
    <w:p w14:paraId="7F208CE7" w14:textId="77777777" w:rsidR="00545260" w:rsidRPr="00E64718" w:rsidRDefault="00545260" w:rsidP="00545260">
      <w:pPr>
        <w:spacing w:before="100" w:beforeAutospacing="1" w:after="100" w:afterAutospacing="1"/>
        <w:outlineLvl w:val="1"/>
        <w:rPr>
          <w:rFonts w:ascii="Times New Roman" w:eastAsia="Times New Roman" w:hAnsi="Times New Roman" w:cs="Times New Roman"/>
          <w:bCs/>
          <w:sz w:val="24"/>
          <w:szCs w:val="24"/>
        </w:rPr>
      </w:pPr>
      <w:r w:rsidRPr="00E64718">
        <w:rPr>
          <w:rFonts w:ascii="Times New Roman" w:eastAsia="Times New Roman" w:hAnsi="Times New Roman" w:cs="Times New Roman"/>
          <w:bCs/>
          <w:sz w:val="24"/>
          <w:szCs w:val="24"/>
        </w:rPr>
        <w:t>TID was organized as the first Irrigation District in California on June 6, 1887 and is beginning its 130</w:t>
      </w:r>
      <w:r w:rsidRPr="00E64718">
        <w:rPr>
          <w:rFonts w:ascii="Times New Roman" w:eastAsia="Times New Roman" w:hAnsi="Times New Roman" w:cs="Times New Roman"/>
          <w:bCs/>
          <w:sz w:val="24"/>
          <w:szCs w:val="24"/>
          <w:vertAlign w:val="superscript"/>
        </w:rPr>
        <w:t xml:space="preserve">th </w:t>
      </w:r>
      <w:r w:rsidRPr="00E64718">
        <w:rPr>
          <w:rFonts w:ascii="Times New Roman" w:eastAsia="Times New Roman" w:hAnsi="Times New Roman" w:cs="Times New Roman"/>
          <w:bCs/>
          <w:sz w:val="24"/>
          <w:szCs w:val="24"/>
        </w:rPr>
        <w:t xml:space="preserve">year of operation.  TID currently serves a retail electric customer base of just over 100,000 customers and provides irrigation water to over 5,800 growers and nearly 150,000 acres of farmland.  Of the 11 communities that TID serves, 7 are classified as Disadvantaged. </w:t>
      </w:r>
    </w:p>
    <w:p w14:paraId="1ECA6D63" w14:textId="77777777" w:rsidR="00545260" w:rsidRPr="00E64718" w:rsidRDefault="00545260" w:rsidP="00545260">
      <w:pPr>
        <w:spacing w:before="100" w:beforeAutospacing="1" w:after="100" w:afterAutospacing="1"/>
        <w:outlineLvl w:val="1"/>
        <w:rPr>
          <w:rFonts w:ascii="Times New Roman" w:eastAsia="Times New Roman" w:hAnsi="Times New Roman" w:cs="Times New Roman"/>
          <w:bCs/>
          <w:sz w:val="24"/>
          <w:szCs w:val="24"/>
        </w:rPr>
      </w:pPr>
      <w:r w:rsidRPr="00E64718">
        <w:rPr>
          <w:rFonts w:ascii="Times New Roman" w:eastAsia="Times New Roman" w:hAnsi="Times New Roman" w:cs="Times New Roman"/>
          <w:bCs/>
          <w:sz w:val="24"/>
          <w:szCs w:val="24"/>
        </w:rPr>
        <w:t xml:space="preserve">TID’s mission is to provide stable, reliable, and affordable water and power to its customer owners, be good stewards of our resources, and provide a high level of customer satisfaction.  </w:t>
      </w:r>
    </w:p>
    <w:p w14:paraId="56D31EFE" w14:textId="063273B0" w:rsidR="00545260" w:rsidRPr="00E64718" w:rsidRDefault="00863F62" w:rsidP="0054526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TID is one of only eight</w:t>
      </w:r>
      <w:r w:rsidR="00545260" w:rsidRPr="00E64718">
        <w:rPr>
          <w:rFonts w:ascii="Times New Roman" w:eastAsia="Calibri" w:hAnsi="Times New Roman" w:cs="Times New Roman"/>
          <w:sz w:val="24"/>
          <w:szCs w:val="24"/>
        </w:rPr>
        <w:t xml:space="preserve"> Balancing Authorities in California, tasked with balancing retail demand, generation, and wholesale purchases and sales while providing adequate reserve capacity to maintain reliability.  </w:t>
      </w:r>
    </w:p>
    <w:p w14:paraId="7C58E0AB" w14:textId="77777777" w:rsidR="00545260" w:rsidRPr="00E64718" w:rsidRDefault="00545260" w:rsidP="00545260">
      <w:pPr>
        <w:spacing w:after="200" w:line="276" w:lineRule="auto"/>
        <w:rPr>
          <w:rFonts w:ascii="Times New Roman" w:eastAsia="Calibri" w:hAnsi="Times New Roman" w:cs="Times New Roman"/>
          <w:sz w:val="24"/>
          <w:szCs w:val="24"/>
        </w:rPr>
      </w:pPr>
      <w:r w:rsidRPr="00E64718">
        <w:rPr>
          <w:rFonts w:ascii="Times New Roman" w:eastAsia="Calibri" w:hAnsi="Times New Roman" w:cs="Times New Roman"/>
          <w:sz w:val="24"/>
          <w:szCs w:val="24"/>
        </w:rPr>
        <w:t xml:space="preserve">TID has a long history of environmental stewardship, beginning when the District was formed, </w:t>
      </w:r>
      <w:proofErr w:type="gramStart"/>
      <w:r w:rsidRPr="00E64718">
        <w:rPr>
          <w:rFonts w:ascii="Times New Roman" w:eastAsia="Calibri" w:hAnsi="Times New Roman" w:cs="Times New Roman"/>
          <w:sz w:val="24"/>
          <w:szCs w:val="24"/>
        </w:rPr>
        <w:t>as</w:t>
      </w:r>
      <w:proofErr w:type="gramEnd"/>
      <w:r w:rsidRPr="00E64718">
        <w:rPr>
          <w:rFonts w:ascii="Times New Roman" w:eastAsia="Calibri" w:hAnsi="Times New Roman" w:cs="Times New Roman"/>
          <w:sz w:val="24"/>
          <w:szCs w:val="24"/>
        </w:rPr>
        <w:t xml:space="preserve"> we acquired some of the oldest water rights on the Tuolumne River.  TID has a great track record of caring for natural resources.  TID is the majority owner and project manager of the Don Pedro Dam and powerhouse, providing irrigation water and 203 MW or approximately 400,000 megawatt-hours of emissions free energy to our customers, while providing flood control and environmental benefits for the region.  </w:t>
      </w:r>
    </w:p>
    <w:p w14:paraId="3A40831F" w14:textId="42D6952E" w:rsidR="00545260" w:rsidRPr="00E64718" w:rsidRDefault="00545260" w:rsidP="00545260">
      <w:pPr>
        <w:autoSpaceDE w:val="0"/>
        <w:autoSpaceDN w:val="0"/>
        <w:adjustRightInd w:val="0"/>
        <w:rPr>
          <w:rFonts w:ascii="Times New Roman" w:hAnsi="Times New Roman" w:cs="Times New Roman"/>
          <w:sz w:val="24"/>
          <w:szCs w:val="24"/>
        </w:rPr>
      </w:pPr>
      <w:r w:rsidRPr="00E64718">
        <w:rPr>
          <w:rFonts w:ascii="Times New Roman" w:hAnsi="Times New Roman" w:cs="Times New Roman"/>
          <w:sz w:val="24"/>
          <w:szCs w:val="24"/>
        </w:rPr>
        <w:t xml:space="preserve">TID is currently well positioned to meet the 33% by 2020 Renewable Portfolio Standard (RPS), having procured 136 MW of wind in 2009 in advance of the RPS mandate on POU’s, as well as </w:t>
      </w:r>
      <w:r w:rsidRPr="00E64718">
        <w:rPr>
          <w:rFonts w:ascii="Times New Roman" w:hAnsi="Times New Roman" w:cs="Times New Roman"/>
          <w:sz w:val="24"/>
          <w:szCs w:val="24"/>
        </w:rPr>
        <w:lastRenderedPageBreak/>
        <w:t>recently completing a 20 year purchase power agreement for 54 MW of newly constructed in-state utility scale solar, which should satisfy TID RPS eligible procurement through 2024. TID has a diverse portfolio of RPS eligible resources, including wind, small hydro, geothermal, and solar. TID is actively monitoring the renewable energy markets, and will be layering in another piece of RPS eligible generation at the appropriate time.</w:t>
      </w:r>
    </w:p>
    <w:p w14:paraId="57F2FCD9" w14:textId="77777777" w:rsidR="00545260" w:rsidRPr="00E64718" w:rsidRDefault="00545260" w:rsidP="00545260">
      <w:pPr>
        <w:spacing w:after="200" w:line="276" w:lineRule="auto"/>
        <w:rPr>
          <w:rFonts w:ascii="Times New Roman" w:hAnsi="Times New Roman" w:cs="Times New Roman"/>
          <w:sz w:val="24"/>
          <w:szCs w:val="24"/>
        </w:rPr>
      </w:pPr>
      <w:r w:rsidRPr="00E64718">
        <w:rPr>
          <w:rFonts w:ascii="Times New Roman" w:hAnsi="Times New Roman" w:cs="Times New Roman"/>
          <w:sz w:val="24"/>
          <w:szCs w:val="24"/>
        </w:rPr>
        <w:t xml:space="preserve">TID remains committed to working towards the State’s climate and clean energy goals, and offer the following comments on the recently released Draft Cap &amp; Trade Regulations.  TID endorses the comments from other Utility Orgs, namely the JUG, CMUA, SCPPA, </w:t>
      </w:r>
      <w:proofErr w:type="spellStart"/>
      <w:r w:rsidRPr="00E64718">
        <w:rPr>
          <w:rFonts w:ascii="Times New Roman" w:hAnsi="Times New Roman" w:cs="Times New Roman"/>
          <w:sz w:val="24"/>
          <w:szCs w:val="24"/>
        </w:rPr>
        <w:t>etc</w:t>
      </w:r>
      <w:proofErr w:type="spellEnd"/>
      <w:r w:rsidRPr="00E64718">
        <w:rPr>
          <w:rFonts w:ascii="Times New Roman" w:hAnsi="Times New Roman" w:cs="Times New Roman"/>
          <w:sz w:val="24"/>
          <w:szCs w:val="24"/>
        </w:rPr>
        <w:t>…..</w:t>
      </w:r>
    </w:p>
    <w:p w14:paraId="1FDB00B4" w14:textId="77777777" w:rsidR="00545260" w:rsidRPr="00E64718" w:rsidRDefault="00545260" w:rsidP="00545260">
      <w:pPr>
        <w:spacing w:after="200" w:line="276" w:lineRule="auto"/>
        <w:jc w:val="center"/>
        <w:rPr>
          <w:rFonts w:ascii="Times New Roman" w:hAnsi="Times New Roman" w:cs="Times New Roman"/>
          <w:b/>
          <w:sz w:val="24"/>
          <w:szCs w:val="24"/>
          <w:u w:val="single"/>
        </w:rPr>
      </w:pPr>
      <w:r w:rsidRPr="00E64718">
        <w:rPr>
          <w:rFonts w:ascii="Times New Roman" w:hAnsi="Times New Roman" w:cs="Times New Roman"/>
          <w:b/>
          <w:sz w:val="24"/>
          <w:szCs w:val="24"/>
          <w:u w:val="single"/>
        </w:rPr>
        <w:t>COMMENTS SUMMARY</w:t>
      </w:r>
    </w:p>
    <w:p w14:paraId="2FB6B423" w14:textId="7E42C691" w:rsidR="00545260" w:rsidRPr="00E64718" w:rsidRDefault="00545260" w:rsidP="00545260">
      <w:pPr>
        <w:pStyle w:val="ListParagraph"/>
        <w:numPr>
          <w:ilvl w:val="0"/>
          <w:numId w:val="5"/>
        </w:numPr>
        <w:spacing w:after="200" w:line="276" w:lineRule="auto"/>
        <w:contextualSpacing/>
        <w:rPr>
          <w:rFonts w:ascii="Times New Roman" w:eastAsia="Calibri" w:hAnsi="Times New Roman"/>
          <w:sz w:val="24"/>
          <w:szCs w:val="24"/>
        </w:rPr>
      </w:pPr>
      <w:r w:rsidRPr="00E64718">
        <w:rPr>
          <w:rFonts w:ascii="Times New Roman" w:hAnsi="Times New Roman"/>
          <w:sz w:val="24"/>
          <w:szCs w:val="24"/>
        </w:rPr>
        <w:t>T</w:t>
      </w:r>
      <w:r w:rsidR="00F11DC5">
        <w:rPr>
          <w:rFonts w:ascii="Times New Roman" w:hAnsi="Times New Roman"/>
          <w:sz w:val="24"/>
          <w:szCs w:val="24"/>
        </w:rPr>
        <w:t xml:space="preserve">ID Supports the retention of the REC Serial Number reporting </w:t>
      </w:r>
      <w:r w:rsidR="00977C6C" w:rsidRPr="00E64718">
        <w:rPr>
          <w:rFonts w:ascii="Times New Roman" w:hAnsi="Times New Roman"/>
          <w:sz w:val="24"/>
          <w:szCs w:val="24"/>
        </w:rPr>
        <w:t>requirement in</w:t>
      </w:r>
      <w:r w:rsidR="00F11DC5">
        <w:rPr>
          <w:rFonts w:ascii="Times New Roman" w:hAnsi="Times New Roman"/>
          <w:sz w:val="24"/>
          <w:szCs w:val="24"/>
        </w:rPr>
        <w:t xml:space="preserve"> Section 95111(b</w:t>
      </w:r>
      <w:proofErr w:type="gramStart"/>
      <w:r w:rsidR="00F11DC5">
        <w:rPr>
          <w:rFonts w:ascii="Times New Roman" w:hAnsi="Times New Roman"/>
          <w:sz w:val="24"/>
          <w:szCs w:val="24"/>
        </w:rPr>
        <w:t>)(</w:t>
      </w:r>
      <w:proofErr w:type="gramEnd"/>
      <w:r w:rsidR="00F11DC5">
        <w:rPr>
          <w:rFonts w:ascii="Times New Roman" w:hAnsi="Times New Roman"/>
          <w:sz w:val="24"/>
          <w:szCs w:val="24"/>
        </w:rPr>
        <w:t>1)(m)(3), but believes that the reporting requirement should be enforced as material misstatement</w:t>
      </w:r>
      <w:r w:rsidR="00977C6C" w:rsidRPr="00E64718">
        <w:rPr>
          <w:rFonts w:ascii="Times New Roman" w:hAnsi="Times New Roman"/>
          <w:sz w:val="24"/>
          <w:szCs w:val="24"/>
        </w:rPr>
        <w:t>.</w:t>
      </w:r>
    </w:p>
    <w:p w14:paraId="0F2965C7" w14:textId="77777777" w:rsidR="00545260" w:rsidRPr="00E64718" w:rsidRDefault="00545260" w:rsidP="00545260">
      <w:pPr>
        <w:pStyle w:val="ListParagraph"/>
        <w:spacing w:after="200" w:line="276" w:lineRule="auto"/>
        <w:rPr>
          <w:rFonts w:ascii="Times New Roman" w:eastAsia="Calibri" w:hAnsi="Times New Roman"/>
          <w:sz w:val="24"/>
          <w:szCs w:val="24"/>
        </w:rPr>
      </w:pPr>
    </w:p>
    <w:p w14:paraId="41B019E6" w14:textId="6E7F2BC7" w:rsidR="00545260" w:rsidRDefault="00545260" w:rsidP="00961AF9">
      <w:pPr>
        <w:pStyle w:val="ListParagraph"/>
        <w:numPr>
          <w:ilvl w:val="0"/>
          <w:numId w:val="5"/>
        </w:numPr>
        <w:spacing w:after="200" w:line="276" w:lineRule="auto"/>
        <w:contextualSpacing/>
        <w:rPr>
          <w:rFonts w:ascii="Times New Roman" w:eastAsia="Calibri" w:hAnsi="Times New Roman"/>
          <w:sz w:val="24"/>
          <w:szCs w:val="24"/>
        </w:rPr>
      </w:pPr>
      <w:r w:rsidRPr="00E64718">
        <w:rPr>
          <w:rFonts w:ascii="Times New Roman" w:eastAsia="Calibri" w:hAnsi="Times New Roman"/>
          <w:sz w:val="24"/>
          <w:szCs w:val="24"/>
        </w:rPr>
        <w:t>The ARB should not amend Section 95111(b</w:t>
      </w:r>
      <w:proofErr w:type="gramStart"/>
      <w:r w:rsidRPr="00E64718">
        <w:rPr>
          <w:rFonts w:ascii="Times New Roman" w:eastAsia="Calibri" w:hAnsi="Times New Roman"/>
          <w:sz w:val="24"/>
          <w:szCs w:val="24"/>
        </w:rPr>
        <w:t>)(</w:t>
      </w:r>
      <w:proofErr w:type="gramEnd"/>
      <w:r w:rsidRPr="00E64718">
        <w:rPr>
          <w:rFonts w:ascii="Times New Roman" w:eastAsia="Calibri" w:hAnsi="Times New Roman"/>
          <w:sz w:val="24"/>
          <w:szCs w:val="24"/>
        </w:rPr>
        <w:t xml:space="preserve">2)(E) to impose a meter data comparison obligation on grandfathered resources.  </w:t>
      </w:r>
    </w:p>
    <w:p w14:paraId="52B4C0E3" w14:textId="77777777" w:rsidR="00F11DC5" w:rsidRPr="00F11DC5" w:rsidRDefault="00F11DC5" w:rsidP="00F11DC5">
      <w:pPr>
        <w:pStyle w:val="ListParagraph"/>
        <w:rPr>
          <w:rFonts w:ascii="Times New Roman" w:eastAsia="Calibri" w:hAnsi="Times New Roman"/>
          <w:sz w:val="24"/>
          <w:szCs w:val="24"/>
        </w:rPr>
      </w:pPr>
    </w:p>
    <w:p w14:paraId="1FBF5BFE" w14:textId="77777777" w:rsidR="00F11DC5" w:rsidRPr="00F11DC5" w:rsidRDefault="00F11DC5" w:rsidP="00F11DC5">
      <w:pPr>
        <w:pStyle w:val="ListParagraph"/>
        <w:spacing w:after="200" w:line="276" w:lineRule="auto"/>
        <w:contextualSpacing/>
        <w:rPr>
          <w:rFonts w:ascii="Times New Roman" w:eastAsia="Calibri" w:hAnsi="Times New Roman"/>
          <w:sz w:val="24"/>
          <w:szCs w:val="24"/>
        </w:rPr>
      </w:pPr>
    </w:p>
    <w:p w14:paraId="06A5057C" w14:textId="2CBECF0B" w:rsidR="00EA2B79" w:rsidRPr="00F11DC5" w:rsidRDefault="00545260" w:rsidP="00F11DC5">
      <w:pPr>
        <w:jc w:val="center"/>
        <w:rPr>
          <w:rFonts w:ascii="Times New Roman" w:hAnsi="Times New Roman" w:cs="Times New Roman"/>
          <w:b/>
          <w:sz w:val="24"/>
          <w:szCs w:val="24"/>
          <w:u w:val="single"/>
        </w:rPr>
      </w:pPr>
      <w:r w:rsidRPr="00E64718">
        <w:rPr>
          <w:rFonts w:ascii="Times New Roman" w:hAnsi="Times New Roman" w:cs="Times New Roman"/>
          <w:b/>
          <w:sz w:val="24"/>
          <w:szCs w:val="24"/>
          <w:u w:val="single"/>
        </w:rPr>
        <w:t>DISCUSSION</w:t>
      </w:r>
    </w:p>
    <w:p w14:paraId="4B72845F" w14:textId="23E765AE" w:rsidR="00EA2B79" w:rsidRPr="00E64718" w:rsidRDefault="00EA2B79" w:rsidP="00EA2B79">
      <w:pPr>
        <w:pStyle w:val="ListParagraph"/>
        <w:numPr>
          <w:ilvl w:val="0"/>
          <w:numId w:val="6"/>
        </w:numPr>
        <w:rPr>
          <w:rFonts w:ascii="Times New Roman" w:hAnsi="Times New Roman"/>
          <w:b/>
          <w:sz w:val="24"/>
          <w:szCs w:val="24"/>
        </w:rPr>
      </w:pPr>
      <w:r w:rsidRPr="00E64718">
        <w:rPr>
          <w:rFonts w:ascii="Times New Roman" w:hAnsi="Times New Roman"/>
          <w:b/>
          <w:sz w:val="24"/>
          <w:szCs w:val="24"/>
        </w:rPr>
        <w:t xml:space="preserve">The ARB Should </w:t>
      </w:r>
      <w:r w:rsidR="00F11DC5">
        <w:rPr>
          <w:rFonts w:ascii="Times New Roman" w:hAnsi="Times New Roman"/>
          <w:b/>
          <w:sz w:val="24"/>
          <w:szCs w:val="24"/>
        </w:rPr>
        <w:t>Enforce the REC Serial Number Reporting Requirement</w:t>
      </w:r>
      <w:r w:rsidRPr="00E64718">
        <w:rPr>
          <w:rFonts w:ascii="Times New Roman" w:hAnsi="Times New Roman"/>
          <w:b/>
          <w:sz w:val="24"/>
          <w:szCs w:val="24"/>
        </w:rPr>
        <w:t>.</w:t>
      </w:r>
    </w:p>
    <w:p w14:paraId="73DB5410" w14:textId="77777777" w:rsidR="00EA2B79" w:rsidRPr="00E64718" w:rsidRDefault="00EA2B79" w:rsidP="00EA2B79">
      <w:pPr>
        <w:pStyle w:val="ListParagraph"/>
        <w:rPr>
          <w:rFonts w:ascii="Times New Roman" w:hAnsi="Times New Roman"/>
          <w:sz w:val="24"/>
          <w:szCs w:val="24"/>
        </w:rPr>
      </w:pPr>
    </w:p>
    <w:p w14:paraId="7D40DB44" w14:textId="77777777" w:rsidR="00F11DC5" w:rsidRDefault="00EA2B79" w:rsidP="00961AF9">
      <w:pPr>
        <w:rPr>
          <w:rFonts w:ascii="Times New Roman" w:hAnsi="Times New Roman" w:cs="Times New Roman"/>
          <w:sz w:val="24"/>
          <w:szCs w:val="24"/>
        </w:rPr>
      </w:pPr>
      <w:r w:rsidRPr="00E64718">
        <w:rPr>
          <w:rFonts w:ascii="Times New Roman" w:hAnsi="Times New Roman" w:cs="Times New Roman"/>
          <w:sz w:val="24"/>
          <w:szCs w:val="24"/>
        </w:rPr>
        <w:t xml:space="preserve">The proposed </w:t>
      </w:r>
      <w:r w:rsidR="00F11DC5">
        <w:rPr>
          <w:rFonts w:ascii="Times New Roman" w:hAnsi="Times New Roman" w:cs="Times New Roman"/>
          <w:sz w:val="24"/>
          <w:szCs w:val="24"/>
        </w:rPr>
        <w:t>classification of REC</w:t>
      </w:r>
      <w:r w:rsidRPr="00E64718">
        <w:rPr>
          <w:rFonts w:ascii="Times New Roman" w:hAnsi="Times New Roman" w:cs="Times New Roman"/>
          <w:sz w:val="24"/>
          <w:szCs w:val="24"/>
        </w:rPr>
        <w:t xml:space="preserve"> serial number reporting</w:t>
      </w:r>
      <w:r w:rsidR="00F11DC5">
        <w:rPr>
          <w:rFonts w:ascii="Times New Roman" w:hAnsi="Times New Roman" w:cs="Times New Roman"/>
          <w:sz w:val="24"/>
          <w:szCs w:val="24"/>
        </w:rPr>
        <w:t xml:space="preserve"> as a nonconformance </w:t>
      </w:r>
      <w:r w:rsidR="006C5914" w:rsidRPr="00E64718">
        <w:rPr>
          <w:rFonts w:ascii="Times New Roman" w:hAnsi="Times New Roman" w:cs="Times New Roman"/>
          <w:sz w:val="24"/>
          <w:szCs w:val="24"/>
        </w:rPr>
        <w:t>will undermine California ratepayers’ investments in out of state renewables by sending a signal to the market place that “null power” can be purchased and delivered at a zero emissions factor even though the importing entity did not purchase the RECs, which include all “green attributes”</w:t>
      </w:r>
      <w:r w:rsidR="00906CAB" w:rsidRPr="00E64718">
        <w:rPr>
          <w:rFonts w:ascii="Times New Roman" w:hAnsi="Times New Roman" w:cs="Times New Roman"/>
          <w:sz w:val="24"/>
          <w:szCs w:val="24"/>
        </w:rPr>
        <w:t xml:space="preserve">.  </w:t>
      </w:r>
      <w:r w:rsidR="00A25FF1" w:rsidRPr="00E64718">
        <w:rPr>
          <w:rFonts w:ascii="Times New Roman" w:hAnsi="Times New Roman" w:cs="Times New Roman"/>
          <w:sz w:val="24"/>
          <w:szCs w:val="24"/>
        </w:rPr>
        <w:t xml:space="preserve">The term </w:t>
      </w:r>
      <w:r w:rsidR="00906CAB" w:rsidRPr="00E64718">
        <w:rPr>
          <w:rFonts w:ascii="Times New Roman" w:hAnsi="Times New Roman" w:cs="Times New Roman"/>
          <w:sz w:val="24"/>
          <w:szCs w:val="24"/>
        </w:rPr>
        <w:t>Green Attributes is defined</w:t>
      </w:r>
      <w:r w:rsidR="00A25FF1" w:rsidRPr="00E64718">
        <w:rPr>
          <w:rFonts w:ascii="Times New Roman" w:hAnsi="Times New Roman" w:cs="Times New Roman"/>
          <w:sz w:val="24"/>
          <w:szCs w:val="24"/>
        </w:rPr>
        <w:t xml:space="preserve"> in the WREGIS Operating Rules</w:t>
      </w:r>
      <w:r w:rsidR="00906CAB" w:rsidRPr="00E64718">
        <w:rPr>
          <w:rFonts w:ascii="Times New Roman" w:hAnsi="Times New Roman" w:cs="Times New Roman"/>
          <w:sz w:val="24"/>
          <w:szCs w:val="24"/>
        </w:rPr>
        <w:t xml:space="preserve"> to include the</w:t>
      </w:r>
      <w:r w:rsidR="006C5914" w:rsidRPr="00E64718">
        <w:rPr>
          <w:rFonts w:ascii="Times New Roman" w:hAnsi="Times New Roman" w:cs="Times New Roman"/>
          <w:sz w:val="24"/>
          <w:szCs w:val="24"/>
        </w:rPr>
        <w:t xml:space="preserve"> emissions attributes of renewable resources.</w:t>
      </w:r>
      <w:r w:rsidR="00BA2CE6" w:rsidRPr="00E64718">
        <w:rPr>
          <w:rFonts w:ascii="Times New Roman" w:hAnsi="Times New Roman" w:cs="Times New Roman"/>
          <w:sz w:val="24"/>
          <w:szCs w:val="24"/>
        </w:rPr>
        <w:t xml:space="preserve">  By not recognizing green attributes in the MRR and</w:t>
      </w:r>
      <w:r w:rsidR="00C0364E" w:rsidRPr="00E64718">
        <w:rPr>
          <w:rFonts w:ascii="Times New Roman" w:hAnsi="Times New Roman" w:cs="Times New Roman"/>
          <w:sz w:val="24"/>
          <w:szCs w:val="24"/>
        </w:rPr>
        <w:t xml:space="preserve"> instead</w:t>
      </w:r>
      <w:r w:rsidR="00BA2CE6" w:rsidRPr="00E64718">
        <w:rPr>
          <w:rFonts w:ascii="Times New Roman" w:hAnsi="Times New Roman" w:cs="Times New Roman"/>
          <w:sz w:val="24"/>
          <w:szCs w:val="24"/>
        </w:rPr>
        <w:t xml:space="preserve"> allowing null power to</w:t>
      </w:r>
      <w:r w:rsidR="00C0364E" w:rsidRPr="00E64718">
        <w:rPr>
          <w:rFonts w:ascii="Times New Roman" w:hAnsi="Times New Roman" w:cs="Times New Roman"/>
          <w:sz w:val="24"/>
          <w:szCs w:val="24"/>
        </w:rPr>
        <w:t xml:space="preserve"> be</w:t>
      </w:r>
      <w:r w:rsidR="00BA2CE6" w:rsidRPr="00E64718">
        <w:rPr>
          <w:rFonts w:ascii="Times New Roman" w:hAnsi="Times New Roman" w:cs="Times New Roman"/>
          <w:sz w:val="24"/>
          <w:szCs w:val="24"/>
        </w:rPr>
        <w:t xml:space="preserve"> reported as zero emissions power, the ARB </w:t>
      </w:r>
      <w:r w:rsidR="00C0364E" w:rsidRPr="00E64718">
        <w:rPr>
          <w:rFonts w:ascii="Times New Roman" w:hAnsi="Times New Roman" w:cs="Times New Roman"/>
          <w:sz w:val="24"/>
          <w:szCs w:val="24"/>
        </w:rPr>
        <w:t>has created</w:t>
      </w:r>
      <w:r w:rsidR="00BA2CE6" w:rsidRPr="00E64718">
        <w:rPr>
          <w:rFonts w:ascii="Times New Roman" w:hAnsi="Times New Roman" w:cs="Times New Roman"/>
          <w:sz w:val="24"/>
          <w:szCs w:val="24"/>
        </w:rPr>
        <w:t xml:space="preserve"> </w:t>
      </w:r>
      <w:r w:rsidR="00C0364E" w:rsidRPr="00E64718">
        <w:rPr>
          <w:rFonts w:ascii="Times New Roman" w:hAnsi="Times New Roman" w:cs="Times New Roman"/>
          <w:sz w:val="24"/>
          <w:szCs w:val="24"/>
        </w:rPr>
        <w:t xml:space="preserve">a </w:t>
      </w:r>
      <w:r w:rsidR="00BA2CE6" w:rsidRPr="00E64718">
        <w:rPr>
          <w:rFonts w:ascii="Times New Roman" w:hAnsi="Times New Roman" w:cs="Times New Roman"/>
          <w:sz w:val="24"/>
          <w:szCs w:val="24"/>
        </w:rPr>
        <w:t>fundamental inconsistenc</w:t>
      </w:r>
      <w:r w:rsidR="00C0364E" w:rsidRPr="00E64718">
        <w:rPr>
          <w:rFonts w:ascii="Times New Roman" w:hAnsi="Times New Roman" w:cs="Times New Roman"/>
          <w:sz w:val="24"/>
          <w:szCs w:val="24"/>
        </w:rPr>
        <w:t>y</w:t>
      </w:r>
      <w:r w:rsidR="00BA2CE6" w:rsidRPr="00E64718">
        <w:rPr>
          <w:rFonts w:ascii="Times New Roman" w:hAnsi="Times New Roman" w:cs="Times New Roman"/>
          <w:sz w:val="24"/>
          <w:szCs w:val="24"/>
        </w:rPr>
        <w:t xml:space="preserve"> between the RPS and the </w:t>
      </w:r>
      <w:r w:rsidR="00C0364E" w:rsidRPr="00E64718">
        <w:rPr>
          <w:rFonts w:ascii="Times New Roman" w:hAnsi="Times New Roman" w:cs="Times New Roman"/>
          <w:sz w:val="24"/>
          <w:szCs w:val="24"/>
        </w:rPr>
        <w:t>Cap-and-Trade</w:t>
      </w:r>
      <w:r w:rsidR="00BA2CE6" w:rsidRPr="00E64718">
        <w:rPr>
          <w:rFonts w:ascii="Times New Roman" w:hAnsi="Times New Roman" w:cs="Times New Roman"/>
          <w:sz w:val="24"/>
          <w:szCs w:val="24"/>
        </w:rPr>
        <w:t xml:space="preserve">.  </w:t>
      </w:r>
      <w:r w:rsidR="00C0364E" w:rsidRPr="00E64718">
        <w:rPr>
          <w:rFonts w:ascii="Times New Roman" w:hAnsi="Times New Roman" w:cs="Times New Roman"/>
          <w:sz w:val="24"/>
          <w:szCs w:val="24"/>
        </w:rPr>
        <w:t xml:space="preserve">The ARB’s regulations allow null power to be reported as zero emissions power, effectively transferring </w:t>
      </w:r>
      <w:r w:rsidR="008C463C" w:rsidRPr="00E64718">
        <w:rPr>
          <w:rFonts w:ascii="Times New Roman" w:hAnsi="Times New Roman" w:cs="Times New Roman"/>
          <w:sz w:val="24"/>
          <w:szCs w:val="24"/>
        </w:rPr>
        <w:t>one of the key</w:t>
      </w:r>
      <w:r w:rsidR="00C0364E" w:rsidRPr="00E64718">
        <w:rPr>
          <w:rFonts w:ascii="Times New Roman" w:hAnsi="Times New Roman" w:cs="Times New Roman"/>
          <w:sz w:val="24"/>
          <w:szCs w:val="24"/>
        </w:rPr>
        <w:t xml:space="preserve"> benefit</w:t>
      </w:r>
      <w:r w:rsidR="008C463C" w:rsidRPr="00E64718">
        <w:rPr>
          <w:rFonts w:ascii="Times New Roman" w:hAnsi="Times New Roman" w:cs="Times New Roman"/>
          <w:sz w:val="24"/>
          <w:szCs w:val="24"/>
        </w:rPr>
        <w:t xml:space="preserve">s of </w:t>
      </w:r>
      <w:r w:rsidR="00C0364E" w:rsidRPr="00E64718">
        <w:rPr>
          <w:rFonts w:ascii="Times New Roman" w:hAnsi="Times New Roman" w:cs="Times New Roman"/>
          <w:sz w:val="24"/>
          <w:szCs w:val="24"/>
        </w:rPr>
        <w:t>California ratepayers</w:t>
      </w:r>
      <w:r w:rsidR="004C2B28" w:rsidRPr="00E64718">
        <w:rPr>
          <w:rFonts w:ascii="Times New Roman" w:hAnsi="Times New Roman" w:cs="Times New Roman"/>
          <w:sz w:val="24"/>
          <w:szCs w:val="24"/>
        </w:rPr>
        <w:t xml:space="preserve">’ renewable energy benefits to </w:t>
      </w:r>
      <w:r w:rsidR="00C0364E" w:rsidRPr="00E64718">
        <w:rPr>
          <w:rFonts w:ascii="Times New Roman" w:hAnsi="Times New Roman" w:cs="Times New Roman"/>
          <w:sz w:val="24"/>
          <w:szCs w:val="24"/>
        </w:rPr>
        <w:t>m</w:t>
      </w:r>
      <w:r w:rsidR="004C2B28" w:rsidRPr="00E64718">
        <w:rPr>
          <w:rFonts w:ascii="Times New Roman" w:hAnsi="Times New Roman" w:cs="Times New Roman"/>
          <w:sz w:val="24"/>
          <w:szCs w:val="24"/>
        </w:rPr>
        <w:t>arket participants that acquire</w:t>
      </w:r>
      <w:r w:rsidR="00C0364E" w:rsidRPr="00E64718">
        <w:rPr>
          <w:rFonts w:ascii="Times New Roman" w:hAnsi="Times New Roman" w:cs="Times New Roman"/>
          <w:sz w:val="24"/>
          <w:szCs w:val="24"/>
        </w:rPr>
        <w:t xml:space="preserve"> the null power. </w:t>
      </w:r>
      <w:r w:rsidR="00BA2CE6" w:rsidRPr="00E64718">
        <w:rPr>
          <w:rFonts w:ascii="Times New Roman" w:hAnsi="Times New Roman" w:cs="Times New Roman"/>
          <w:sz w:val="24"/>
          <w:szCs w:val="24"/>
        </w:rPr>
        <w:t xml:space="preserve"> </w:t>
      </w:r>
      <w:r w:rsidR="004C2B28" w:rsidRPr="00E64718">
        <w:rPr>
          <w:rFonts w:ascii="Times New Roman" w:hAnsi="Times New Roman" w:cs="Times New Roman"/>
          <w:sz w:val="24"/>
          <w:szCs w:val="24"/>
        </w:rPr>
        <w:t>The ARB should not send this market signal.  Instead, the ARB should require that null power be reported as unspecified.</w:t>
      </w:r>
      <w:r w:rsidR="00BA2CE6" w:rsidRPr="00E64718">
        <w:rPr>
          <w:rFonts w:ascii="Times New Roman" w:hAnsi="Times New Roman" w:cs="Times New Roman"/>
          <w:sz w:val="24"/>
          <w:szCs w:val="24"/>
        </w:rPr>
        <w:t xml:space="preserve"> </w:t>
      </w:r>
      <w:r w:rsidR="006C5914" w:rsidRPr="00E64718">
        <w:rPr>
          <w:rFonts w:ascii="Times New Roman" w:hAnsi="Times New Roman" w:cs="Times New Roman"/>
          <w:sz w:val="24"/>
          <w:szCs w:val="24"/>
        </w:rPr>
        <w:t xml:space="preserve">  </w:t>
      </w:r>
    </w:p>
    <w:p w14:paraId="361FF857" w14:textId="4C01D478" w:rsidR="006C5914" w:rsidRPr="00E64718" w:rsidRDefault="006C5914" w:rsidP="00961AF9">
      <w:pPr>
        <w:rPr>
          <w:rFonts w:ascii="Times New Roman" w:hAnsi="Times New Roman" w:cs="Times New Roman"/>
          <w:sz w:val="24"/>
          <w:szCs w:val="24"/>
        </w:rPr>
      </w:pPr>
      <w:r w:rsidRPr="00E64718">
        <w:rPr>
          <w:rFonts w:ascii="Times New Roman" w:hAnsi="Times New Roman" w:cs="Times New Roman"/>
          <w:sz w:val="24"/>
          <w:szCs w:val="24"/>
        </w:rPr>
        <w:t xml:space="preserve">  </w:t>
      </w:r>
    </w:p>
    <w:p w14:paraId="79400EEC" w14:textId="77777777" w:rsidR="00FE65E9" w:rsidRPr="00E64718" w:rsidRDefault="00031359" w:rsidP="00031359">
      <w:pPr>
        <w:pStyle w:val="ListParagraph"/>
        <w:numPr>
          <w:ilvl w:val="0"/>
          <w:numId w:val="6"/>
        </w:numPr>
        <w:spacing w:after="200" w:line="276" w:lineRule="auto"/>
        <w:contextualSpacing/>
        <w:rPr>
          <w:rFonts w:ascii="Times New Roman" w:eastAsia="Calibri" w:hAnsi="Times New Roman"/>
          <w:b/>
          <w:sz w:val="24"/>
          <w:szCs w:val="24"/>
        </w:rPr>
      </w:pPr>
      <w:r w:rsidRPr="00E64718">
        <w:rPr>
          <w:rFonts w:ascii="Times New Roman" w:eastAsia="Calibri" w:hAnsi="Times New Roman"/>
          <w:b/>
          <w:sz w:val="24"/>
          <w:szCs w:val="24"/>
        </w:rPr>
        <w:t>The ARB Should Not Amend Section 95111(b</w:t>
      </w:r>
      <w:proofErr w:type="gramStart"/>
      <w:r w:rsidRPr="00E64718">
        <w:rPr>
          <w:rFonts w:ascii="Times New Roman" w:eastAsia="Calibri" w:hAnsi="Times New Roman"/>
          <w:b/>
          <w:sz w:val="24"/>
          <w:szCs w:val="24"/>
        </w:rPr>
        <w:t>)(</w:t>
      </w:r>
      <w:proofErr w:type="gramEnd"/>
      <w:r w:rsidRPr="00E64718">
        <w:rPr>
          <w:rFonts w:ascii="Times New Roman" w:eastAsia="Calibri" w:hAnsi="Times New Roman"/>
          <w:b/>
          <w:sz w:val="24"/>
          <w:szCs w:val="24"/>
        </w:rPr>
        <w:t>2)(E) to Impose a Meter Data Comparison Obligation on Grandfathered Resources.</w:t>
      </w:r>
    </w:p>
    <w:p w14:paraId="00413A99" w14:textId="77777777" w:rsidR="00AC7693" w:rsidRPr="00E64718" w:rsidRDefault="00FE65E9" w:rsidP="00FE65E9">
      <w:pPr>
        <w:spacing w:after="200" w:line="276" w:lineRule="auto"/>
        <w:contextualSpacing/>
        <w:rPr>
          <w:rFonts w:ascii="Times New Roman" w:eastAsia="Calibri" w:hAnsi="Times New Roman"/>
          <w:sz w:val="24"/>
          <w:szCs w:val="24"/>
        </w:rPr>
      </w:pPr>
      <w:r w:rsidRPr="00E64718">
        <w:rPr>
          <w:rFonts w:ascii="Times New Roman" w:eastAsia="Calibri" w:hAnsi="Times New Roman"/>
          <w:sz w:val="24"/>
          <w:szCs w:val="24"/>
        </w:rPr>
        <w:t xml:space="preserve">The proposed revisions to the MRR would </w:t>
      </w:r>
      <w:r w:rsidR="00AC7693" w:rsidRPr="00E64718">
        <w:rPr>
          <w:rFonts w:ascii="Times New Roman" w:eastAsia="Calibri" w:hAnsi="Times New Roman"/>
          <w:sz w:val="24"/>
          <w:szCs w:val="24"/>
        </w:rPr>
        <w:t>remove grandfathered resources from the list of sources that are not subject to a lesser-of meter data comparison</w:t>
      </w:r>
      <w:r w:rsidRPr="00E64718">
        <w:rPr>
          <w:rFonts w:ascii="Times New Roman" w:eastAsia="Calibri" w:hAnsi="Times New Roman"/>
          <w:sz w:val="24"/>
          <w:szCs w:val="24"/>
        </w:rPr>
        <w:t>.</w:t>
      </w:r>
      <w:r w:rsidR="00AC7693" w:rsidRPr="00E64718">
        <w:rPr>
          <w:rFonts w:ascii="Times New Roman" w:eastAsia="Calibri" w:hAnsi="Times New Roman"/>
          <w:sz w:val="24"/>
          <w:szCs w:val="24"/>
        </w:rPr>
        <w:t xml:space="preserve">  2013 MRR Rulemaking </w:t>
      </w:r>
      <w:r w:rsidR="00AC7693" w:rsidRPr="00E64718">
        <w:rPr>
          <w:rFonts w:ascii="Times New Roman" w:eastAsia="Calibri" w:hAnsi="Times New Roman"/>
          <w:sz w:val="24"/>
          <w:szCs w:val="24"/>
        </w:rPr>
        <w:lastRenderedPageBreak/>
        <w:t xml:space="preserve">documents do not explicitly address the rationale for the original exclusion of the grandfathered resources, but it is our understanding from discussions with ARB staff at the time that the exclusion was intended to create consistency with the RPS program. </w:t>
      </w:r>
    </w:p>
    <w:p w14:paraId="2B47A715" w14:textId="77777777" w:rsidR="00AC7693" w:rsidRPr="00E64718" w:rsidRDefault="00AC7693" w:rsidP="00FE65E9">
      <w:pPr>
        <w:spacing w:after="200" w:line="276" w:lineRule="auto"/>
        <w:contextualSpacing/>
        <w:rPr>
          <w:rFonts w:ascii="Times New Roman" w:eastAsia="Calibri" w:hAnsi="Times New Roman"/>
          <w:sz w:val="24"/>
          <w:szCs w:val="24"/>
        </w:rPr>
      </w:pPr>
    </w:p>
    <w:p w14:paraId="1B6D5EF6" w14:textId="188A77E0" w:rsidR="00CA734B" w:rsidRDefault="00FE65E9" w:rsidP="00E64718">
      <w:pPr>
        <w:spacing w:after="200" w:line="276" w:lineRule="auto"/>
        <w:contextualSpacing/>
        <w:rPr>
          <w:rFonts w:ascii="Times New Roman" w:eastAsia="Calibri" w:hAnsi="Times New Roman" w:cs="Times New Roman"/>
          <w:sz w:val="24"/>
          <w:szCs w:val="24"/>
        </w:rPr>
      </w:pPr>
      <w:r w:rsidRPr="00E64718">
        <w:rPr>
          <w:rFonts w:ascii="Times New Roman" w:eastAsia="Calibri" w:hAnsi="Times New Roman"/>
          <w:sz w:val="24"/>
          <w:szCs w:val="24"/>
        </w:rPr>
        <w:t>TID currently meets the majority of its RPS obligations through the Tuolumne Wind Project (“TWP”), which is an owned, grandfathered resource.  TWP is both directly delivered and firmed and shaped.  We are concerned that a lesser of analysis would create an inconsistency with the RPS verification requirements for this resource.  CEC Regulations only require a meter data/</w:t>
      </w:r>
      <w:r w:rsidR="00E64718">
        <w:rPr>
          <w:rFonts w:ascii="Times New Roman" w:eastAsia="Calibri" w:hAnsi="Times New Roman"/>
          <w:sz w:val="24"/>
          <w:szCs w:val="24"/>
        </w:rPr>
        <w:t>e-</w:t>
      </w:r>
      <w:r w:rsidRPr="00E64718">
        <w:rPr>
          <w:rFonts w:ascii="Times New Roman" w:eastAsia="Calibri" w:hAnsi="Times New Roman"/>
          <w:sz w:val="24"/>
          <w:szCs w:val="24"/>
        </w:rPr>
        <w:t>tag comparison for PCC-1 resources (i.e., resources that were procured after 2010).  Grandfathered resources are not subject to a meter</w:t>
      </w:r>
      <w:r w:rsidR="00E64718">
        <w:rPr>
          <w:rFonts w:ascii="Times New Roman" w:eastAsia="Calibri" w:hAnsi="Times New Roman"/>
          <w:sz w:val="24"/>
          <w:szCs w:val="24"/>
        </w:rPr>
        <w:t xml:space="preserve"> data</w:t>
      </w:r>
      <w:r w:rsidRPr="00E64718">
        <w:rPr>
          <w:rFonts w:ascii="Times New Roman" w:eastAsia="Calibri" w:hAnsi="Times New Roman"/>
          <w:sz w:val="24"/>
          <w:szCs w:val="24"/>
        </w:rPr>
        <w:t>/e-tag comparison.</w:t>
      </w:r>
      <w:r w:rsidRPr="00E64718">
        <w:rPr>
          <w:rStyle w:val="FootnoteReference"/>
          <w:rFonts w:ascii="Times New Roman" w:eastAsia="Calibri" w:hAnsi="Times New Roman"/>
          <w:sz w:val="24"/>
          <w:szCs w:val="24"/>
        </w:rPr>
        <w:footnoteReference w:id="1"/>
      </w:r>
      <w:r w:rsidR="00E64718">
        <w:rPr>
          <w:rFonts w:ascii="Times New Roman" w:eastAsia="Calibri" w:hAnsi="Times New Roman"/>
          <w:sz w:val="24"/>
          <w:szCs w:val="24"/>
        </w:rPr>
        <w:t xml:space="preserve"> We are concerned that by requiring a meter data comparison, there will be inconsistencies in the amount of renewable generation that counts towards our RPS obligation and the amount of renewable generation that is counted as unspecified in the MRR.  We are also concerned that it is not clear in the explicit language of the MRR that the RPS adjustment can be claimed when there is a reclassification of a specified import to an unspecified import.  We therefore request that the ARB retain the exclusion of grandfathered resources from the meter data comparison requirement. </w:t>
      </w:r>
      <w:r w:rsidRPr="00E64718">
        <w:rPr>
          <w:rFonts w:ascii="Times New Roman" w:eastAsia="Calibri" w:hAnsi="Times New Roman"/>
          <w:sz w:val="24"/>
          <w:szCs w:val="24"/>
        </w:rPr>
        <w:t xml:space="preserve"> </w:t>
      </w:r>
    </w:p>
    <w:p w14:paraId="13259968" w14:textId="77777777" w:rsidR="00E64718" w:rsidRPr="00E64718" w:rsidRDefault="00E64718" w:rsidP="00E64718">
      <w:pPr>
        <w:spacing w:after="200" w:line="276" w:lineRule="auto"/>
        <w:contextualSpacing/>
        <w:rPr>
          <w:rFonts w:ascii="Times New Roman" w:eastAsia="Calibri" w:hAnsi="Times New Roman" w:cs="Times New Roman"/>
          <w:sz w:val="24"/>
          <w:szCs w:val="24"/>
        </w:rPr>
      </w:pPr>
    </w:p>
    <w:p w14:paraId="03D12338" w14:textId="13D2452E" w:rsidR="00364CF5" w:rsidRPr="00E64718" w:rsidRDefault="00E64718" w:rsidP="00E64718">
      <w:pPr>
        <w:rPr>
          <w:rFonts w:ascii="Times New Roman" w:hAnsi="Times New Roman"/>
          <w:sz w:val="24"/>
          <w:szCs w:val="24"/>
        </w:rPr>
      </w:pPr>
      <w:r w:rsidRPr="00E64718">
        <w:rPr>
          <w:rFonts w:ascii="Times New Roman" w:hAnsi="Times New Roman"/>
          <w:sz w:val="24"/>
          <w:szCs w:val="24"/>
        </w:rPr>
        <w:t>TID appreciates the opportunity to submit these comments.</w:t>
      </w:r>
    </w:p>
    <w:p w14:paraId="3D2AA155" w14:textId="77777777" w:rsidR="00681875" w:rsidRPr="00E64718" w:rsidRDefault="00681875" w:rsidP="000052EC">
      <w:pPr>
        <w:ind w:firstLine="720"/>
        <w:rPr>
          <w:rFonts w:ascii="Times New Roman" w:hAnsi="Times New Roman" w:cs="Times New Roman"/>
          <w:sz w:val="24"/>
          <w:szCs w:val="24"/>
        </w:rPr>
      </w:pPr>
    </w:p>
    <w:p w14:paraId="277C118C" w14:textId="77777777" w:rsidR="000052EC" w:rsidRPr="00E64718" w:rsidRDefault="000052EC" w:rsidP="000052EC">
      <w:pPr>
        <w:ind w:firstLine="720"/>
        <w:rPr>
          <w:rFonts w:ascii="Times New Roman" w:hAnsi="Times New Roman" w:cs="Times New Roman"/>
          <w:sz w:val="24"/>
          <w:szCs w:val="24"/>
        </w:rPr>
      </w:pPr>
      <w:r w:rsidRPr="00E64718">
        <w:rPr>
          <w:rFonts w:ascii="Times New Roman" w:hAnsi="Times New Roman" w:cs="Times New Roman"/>
          <w:sz w:val="24"/>
          <w:szCs w:val="24"/>
        </w:rPr>
        <w:t>Respectfully Submitted,</w:t>
      </w:r>
    </w:p>
    <w:p w14:paraId="5DB9EF44" w14:textId="77777777" w:rsidR="000052EC" w:rsidRPr="00E64718" w:rsidRDefault="000052EC" w:rsidP="000052EC">
      <w:pPr>
        <w:ind w:firstLine="720"/>
        <w:rPr>
          <w:rFonts w:ascii="Times New Roman" w:hAnsi="Times New Roman" w:cs="Times New Roman"/>
          <w:sz w:val="24"/>
          <w:szCs w:val="24"/>
        </w:rPr>
      </w:pPr>
    </w:p>
    <w:p w14:paraId="6F67AA56" w14:textId="19396E9A" w:rsidR="00F11DC5" w:rsidRDefault="00F11DC5" w:rsidP="000052EC">
      <w:pPr>
        <w:spacing w:line="240" w:lineRule="auto"/>
        <w:ind w:firstLine="720"/>
        <w:rPr>
          <w:rFonts w:ascii="Times New Roman" w:hAnsi="Times New Roman" w:cs="Times New Roman"/>
          <w:sz w:val="24"/>
          <w:szCs w:val="24"/>
        </w:rPr>
      </w:pPr>
    </w:p>
    <w:p w14:paraId="4B54C669" w14:textId="48F05F1A" w:rsidR="00F11DC5" w:rsidRDefault="00F11DC5" w:rsidP="000052EC">
      <w:pPr>
        <w:spacing w:line="240" w:lineRule="auto"/>
        <w:ind w:firstLine="72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t>
      </w:r>
    </w:p>
    <w:p w14:paraId="411CE183" w14:textId="358133CC" w:rsidR="000052EC" w:rsidRPr="00E64718" w:rsidRDefault="00F11DC5" w:rsidP="00F11DC5">
      <w:pPr>
        <w:spacing w:line="240" w:lineRule="auto"/>
        <w:ind w:firstLine="720"/>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52EC" w:rsidRPr="00E64718">
        <w:rPr>
          <w:rFonts w:ascii="Times New Roman" w:hAnsi="Times New Roman" w:cs="Times New Roman"/>
          <w:sz w:val="24"/>
          <w:szCs w:val="24"/>
        </w:rPr>
        <w:t>__________________________</w:t>
      </w:r>
    </w:p>
    <w:p w14:paraId="0C044851" w14:textId="7B8450FA" w:rsidR="000052EC" w:rsidRPr="00E64718" w:rsidRDefault="00F11DC5" w:rsidP="000052E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Ken R. </w:t>
      </w:r>
      <w:proofErr w:type="spellStart"/>
      <w:r>
        <w:rPr>
          <w:rFonts w:ascii="Times New Roman" w:hAnsi="Times New Roman" w:cs="Times New Roman"/>
          <w:sz w:val="24"/>
          <w:szCs w:val="24"/>
        </w:rPr>
        <w:t>Nold</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 B Severson</w:t>
      </w:r>
    </w:p>
    <w:p w14:paraId="752FC20F" w14:textId="6A69B3E8" w:rsidR="000052EC" w:rsidRPr="00E64718" w:rsidRDefault="00F845F0" w:rsidP="000052EC">
      <w:pPr>
        <w:spacing w:after="0" w:line="240" w:lineRule="auto"/>
        <w:ind w:firstLine="720"/>
        <w:rPr>
          <w:rFonts w:ascii="Times New Roman" w:hAnsi="Times New Roman" w:cs="Times New Roman"/>
          <w:sz w:val="24"/>
          <w:szCs w:val="24"/>
        </w:rPr>
      </w:pPr>
      <w:r w:rsidRPr="00E64718">
        <w:rPr>
          <w:rFonts w:ascii="Times New Roman" w:hAnsi="Times New Roman" w:cs="Times New Roman"/>
          <w:sz w:val="24"/>
          <w:szCs w:val="24"/>
        </w:rPr>
        <w:t xml:space="preserve">Turlock Irrigation District </w:t>
      </w:r>
      <w:r w:rsidR="00F11DC5">
        <w:rPr>
          <w:rFonts w:ascii="Times New Roman" w:hAnsi="Times New Roman" w:cs="Times New Roman"/>
          <w:sz w:val="24"/>
          <w:szCs w:val="24"/>
        </w:rPr>
        <w:tab/>
      </w:r>
      <w:r w:rsidR="00F11DC5">
        <w:rPr>
          <w:rFonts w:ascii="Times New Roman" w:hAnsi="Times New Roman" w:cs="Times New Roman"/>
          <w:sz w:val="24"/>
          <w:szCs w:val="24"/>
        </w:rPr>
        <w:tab/>
      </w:r>
      <w:r w:rsidR="00F11DC5">
        <w:rPr>
          <w:rFonts w:ascii="Times New Roman" w:hAnsi="Times New Roman" w:cs="Times New Roman"/>
          <w:sz w:val="24"/>
          <w:szCs w:val="24"/>
        </w:rPr>
        <w:tab/>
      </w:r>
      <w:r w:rsidR="00F11DC5">
        <w:rPr>
          <w:rFonts w:ascii="Times New Roman" w:hAnsi="Times New Roman" w:cs="Times New Roman"/>
          <w:sz w:val="24"/>
          <w:szCs w:val="24"/>
        </w:rPr>
        <w:tab/>
        <w:t>Turlock Irrigation District</w:t>
      </w:r>
    </w:p>
    <w:sectPr w:rsidR="000052EC" w:rsidRPr="00E647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36F58" w14:textId="77777777" w:rsidR="000162DC" w:rsidRDefault="000162DC" w:rsidP="009512A9">
      <w:pPr>
        <w:spacing w:after="0" w:line="240" w:lineRule="auto"/>
      </w:pPr>
      <w:r>
        <w:separator/>
      </w:r>
    </w:p>
  </w:endnote>
  <w:endnote w:type="continuationSeparator" w:id="0">
    <w:p w14:paraId="3C496300" w14:textId="77777777" w:rsidR="000162DC" w:rsidRDefault="000162DC" w:rsidP="0095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9322F" w14:textId="77777777" w:rsidR="004B7F12" w:rsidRDefault="004B7F12" w:rsidP="008E146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915909" w14:textId="77777777" w:rsidR="004B7F12" w:rsidRDefault="004B7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7192F" w14:textId="4BC2FDE4" w:rsidR="004B7F12" w:rsidRPr="00901933" w:rsidRDefault="00F11DC5" w:rsidP="00901933">
    <w:pPr>
      <w:pStyle w:val="Footer"/>
      <w:framePr w:wrap="none" w:vAnchor="text" w:hAnchor="margin" w:xAlign="center" w:y="1"/>
      <w:rPr>
        <w:rStyle w:val="PageNumber"/>
        <w:rFonts w:ascii="Times New Roman" w:hAnsi="Times New Roman" w:cs="Times New Roman"/>
      </w:rPr>
    </w:pPr>
    <w:r w:rsidRPr="00F11DC5">
      <w:rPr>
        <w:rStyle w:val="PageNumber"/>
        <w:rFonts w:ascii="Times New Roman" w:hAnsi="Times New Roman" w:cs="Times New Roman"/>
        <w:noProof/>
        <w:sz w:val="16"/>
      </w:rPr>
      <w:t>{00385930;1}</w:t>
    </w:r>
    <w:r w:rsidR="00901933">
      <w:rPr>
        <w:rStyle w:val="PageNumber"/>
        <w:rFonts w:ascii="Times New Roman" w:hAnsi="Times New Roman" w:cs="Times New Roman"/>
      </w:rPr>
      <w:tab/>
    </w:r>
    <w:r w:rsidR="004B7F12" w:rsidRPr="00901933">
      <w:rPr>
        <w:rStyle w:val="PageNumber"/>
        <w:rFonts w:ascii="Times New Roman" w:hAnsi="Times New Roman" w:cs="Times New Roman"/>
      </w:rPr>
      <w:fldChar w:fldCharType="begin"/>
    </w:r>
    <w:r w:rsidR="004B7F12" w:rsidRPr="00901933">
      <w:rPr>
        <w:rStyle w:val="PageNumber"/>
        <w:rFonts w:ascii="Times New Roman" w:hAnsi="Times New Roman" w:cs="Times New Roman"/>
      </w:rPr>
      <w:instrText xml:space="preserve">PAGE  </w:instrText>
    </w:r>
    <w:r w:rsidR="004B7F12" w:rsidRPr="00901933">
      <w:rPr>
        <w:rStyle w:val="PageNumber"/>
        <w:rFonts w:ascii="Times New Roman" w:hAnsi="Times New Roman" w:cs="Times New Roman"/>
      </w:rPr>
      <w:fldChar w:fldCharType="separate"/>
    </w:r>
    <w:r w:rsidR="00F46022">
      <w:rPr>
        <w:rStyle w:val="PageNumber"/>
        <w:rFonts w:ascii="Times New Roman" w:hAnsi="Times New Roman" w:cs="Times New Roman"/>
        <w:noProof/>
      </w:rPr>
      <w:t>1</w:t>
    </w:r>
    <w:r w:rsidR="004B7F12" w:rsidRPr="00901933">
      <w:rPr>
        <w:rStyle w:val="PageNumber"/>
        <w:rFonts w:ascii="Times New Roman" w:hAnsi="Times New Roman" w:cs="Times New Roman"/>
      </w:rPr>
      <w:fldChar w:fldCharType="end"/>
    </w:r>
  </w:p>
  <w:p w14:paraId="263B52D3" w14:textId="105F77BD" w:rsidR="009512A9" w:rsidRPr="00901933" w:rsidRDefault="009512A9" w:rsidP="009512A9">
    <w:pPr>
      <w:pStyle w:val="Footer"/>
    </w:pPr>
    <w:r w:rsidRPr="00901933">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74348" w14:textId="77777777" w:rsidR="00901933" w:rsidRDefault="00901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784E0" w14:textId="77777777" w:rsidR="000162DC" w:rsidRDefault="000162DC" w:rsidP="009512A9">
      <w:pPr>
        <w:spacing w:after="0" w:line="240" w:lineRule="auto"/>
        <w:rPr>
          <w:noProof/>
        </w:rPr>
      </w:pPr>
      <w:r>
        <w:rPr>
          <w:noProof/>
        </w:rPr>
        <w:separator/>
      </w:r>
    </w:p>
  </w:footnote>
  <w:footnote w:type="continuationSeparator" w:id="0">
    <w:p w14:paraId="7988D2E8" w14:textId="77777777" w:rsidR="000162DC" w:rsidRDefault="000162DC" w:rsidP="009512A9">
      <w:pPr>
        <w:spacing w:after="0" w:line="240" w:lineRule="auto"/>
      </w:pPr>
      <w:r>
        <w:continuationSeparator/>
      </w:r>
    </w:p>
  </w:footnote>
  <w:footnote w:id="1">
    <w:p w14:paraId="475A63F3" w14:textId="4BEF0456" w:rsidR="00FE65E9" w:rsidRDefault="00FE65E9" w:rsidP="00D66403">
      <w:r w:rsidRPr="00E64718">
        <w:rPr>
          <w:rStyle w:val="FootnoteReference"/>
          <w:rFonts w:ascii="Times New Roman" w:hAnsi="Times New Roman" w:cs="Times New Roman"/>
        </w:rPr>
        <w:footnoteRef/>
      </w:r>
      <w:r w:rsidRPr="00E64718">
        <w:rPr>
          <w:rFonts w:ascii="Times New Roman" w:hAnsi="Times New Roman" w:cs="Times New Roman"/>
        </w:rPr>
        <w:t xml:space="preserve"> See description of grandfathered resources at 20 Cal. Code Reg. Sec 3202(a); </w:t>
      </w:r>
      <w:r w:rsidR="00D66403" w:rsidRPr="00E64718">
        <w:rPr>
          <w:rFonts w:ascii="Times New Roman" w:hAnsi="Times New Roman" w:cs="Times New Roman"/>
        </w:rPr>
        <w:t xml:space="preserve">See also, CEC </w:t>
      </w:r>
      <w:r w:rsidRPr="00E64718">
        <w:rPr>
          <w:rFonts w:ascii="Times New Roman" w:hAnsi="Times New Roman" w:cs="Times New Roman"/>
        </w:rPr>
        <w:t xml:space="preserve">Draft RPS </w:t>
      </w:r>
      <w:r w:rsidR="00D66403" w:rsidRPr="00E64718">
        <w:rPr>
          <w:rFonts w:ascii="Times New Roman" w:hAnsi="Times New Roman" w:cs="Times New Roman"/>
        </w:rPr>
        <w:t xml:space="preserve">Verification Methodology Report, pp. 17-20, available at: </w:t>
      </w:r>
      <w:hyperlink r:id="rId1" w:history="1">
        <w:r w:rsidRPr="00E64718">
          <w:rPr>
            <w:rStyle w:val="Hyperlink"/>
            <w:rFonts w:ascii="Times New Roman" w:hAnsi="Times New Roman" w:cs="Times New Roman"/>
          </w:rPr>
          <w:t>http://docketpublic.energy.ca.gov/PublicDocuments/11-RPS-01/TN215142_20170103T150023_RPS_Verification_Method_Report.pdf</w:t>
        </w:r>
      </w:hyperlink>
      <w:r w:rsidRPr="00E64718">
        <w:rPr>
          <w:rFonts w:ascii="Times New Roman" w:hAnsi="Times New Roman" w:cs="Times New Roman"/>
        </w:rPr>
        <w:t>)</w:t>
      </w:r>
      <w:r w:rsidR="00D66403" w:rsidRPr="00E64718">
        <w:rPr>
          <w:rFonts w:ascii="Times New Roman" w:hAnsi="Times New Roman" w:cs="Times New Roman"/>
        </w:rPr>
        <w:t xml:space="preserve">; See also, </w:t>
      </w:r>
      <w:r w:rsidRPr="00E64718">
        <w:rPr>
          <w:rFonts w:ascii="Times New Roman" w:hAnsi="Times New Roman" w:cs="Times New Roman"/>
        </w:rPr>
        <w:t xml:space="preserve"> RPS Eligibility Guidebook Section VI</w:t>
      </w:r>
      <w:r w:rsidR="00D66403" w:rsidRPr="00E64718">
        <w:rPr>
          <w:rFonts w:ascii="Times New Roman" w:hAnsi="Times New Roman" w:cs="Times New Roman"/>
        </w:rPr>
        <w:t>, pp. 64-67, which does not set forth an e-tag requirement for grandfathered resources, available at:</w:t>
      </w:r>
      <w:r w:rsidRPr="00E64718">
        <w:rPr>
          <w:rFonts w:ascii="Times New Roman" w:hAnsi="Times New Roman" w:cs="Times New Roman"/>
        </w:rPr>
        <w:t xml:space="preserve"> </w:t>
      </w:r>
      <w:hyperlink r:id="rId2" w:history="1">
        <w:r w:rsidRPr="00E64718">
          <w:rPr>
            <w:rStyle w:val="Hyperlink"/>
            <w:rFonts w:ascii="Times New Roman" w:hAnsi="Times New Roman" w:cs="Times New Roman"/>
          </w:rPr>
          <w:t>http://www.energy.ca.gov/2015publications/CEC-300-2015-001/CEC-300-2015-001-ED8-CMF.pdf</w:t>
        </w:r>
      </w:hyperlink>
      <w:r w:rsidR="00D6640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AF159" w14:textId="77777777" w:rsidR="00901933" w:rsidRDefault="009019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CFF7E" w14:textId="0FD47D9F" w:rsidR="009512A9" w:rsidRDefault="004B7F12" w:rsidP="002159F4">
    <w:pPr>
      <w:pStyle w:val="Header"/>
      <w:jc w:val="center"/>
    </w:pPr>
    <w:r w:rsidRPr="003D09B7">
      <w:rPr>
        <w:rFonts w:ascii="Times New Roman" w:hAnsi="Times New Roman" w:cs="Times New Roman"/>
        <w:noProof/>
      </w:rPr>
      <w:drawing>
        <wp:anchor distT="0" distB="0" distL="114300" distR="114300" simplePos="0" relativeHeight="251659264" behindDoc="1" locked="0" layoutInCell="1" allowOverlap="1" wp14:anchorId="65E408E3" wp14:editId="6DBE19D8">
          <wp:simplePos x="0" y="0"/>
          <wp:positionH relativeFrom="column">
            <wp:posOffset>1880235</wp:posOffset>
          </wp:positionH>
          <wp:positionV relativeFrom="paragraph">
            <wp:posOffset>-111760</wp:posOffset>
          </wp:positionV>
          <wp:extent cx="2256155" cy="488950"/>
          <wp:effectExtent l="0" t="0" r="0" b="6350"/>
          <wp:wrapNone/>
          <wp:docPr id="1" name="Picture 1" descr="TID logo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D logo 3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48895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AC60A" w14:textId="77777777" w:rsidR="00901933" w:rsidRDefault="009019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5F0"/>
    <w:multiLevelType w:val="hybridMultilevel"/>
    <w:tmpl w:val="8CFACC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4957AC"/>
    <w:multiLevelType w:val="hybridMultilevel"/>
    <w:tmpl w:val="20326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76095"/>
    <w:multiLevelType w:val="hybridMultilevel"/>
    <w:tmpl w:val="20326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746EF3"/>
    <w:multiLevelType w:val="hybridMultilevel"/>
    <w:tmpl w:val="9196CDD0"/>
    <w:lvl w:ilvl="0" w:tplc="BCBC0914">
      <w:start w:val="1"/>
      <w:numFmt w:val="decimal"/>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A85232"/>
    <w:multiLevelType w:val="hybridMultilevel"/>
    <w:tmpl w:val="3B8A845A"/>
    <w:lvl w:ilvl="0" w:tplc="04090013">
      <w:start w:val="1"/>
      <w:numFmt w:val="upperRoman"/>
      <w:lvlText w:val="%1."/>
      <w:lvlJc w:val="righ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F130D1"/>
    <w:multiLevelType w:val="hybridMultilevel"/>
    <w:tmpl w:val="A18AC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FC288E"/>
    <w:multiLevelType w:val="hybridMultilevel"/>
    <w:tmpl w:val="21DAEEF2"/>
    <w:lvl w:ilvl="0" w:tplc="F09897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95"/>
    <w:rsid w:val="000052EC"/>
    <w:rsid w:val="00015C1B"/>
    <w:rsid w:val="000162DC"/>
    <w:rsid w:val="00027F75"/>
    <w:rsid w:val="00031359"/>
    <w:rsid w:val="00046826"/>
    <w:rsid w:val="00096E78"/>
    <w:rsid w:val="00113582"/>
    <w:rsid w:val="00120B53"/>
    <w:rsid w:val="00187B85"/>
    <w:rsid w:val="0019067B"/>
    <w:rsid w:val="00194679"/>
    <w:rsid w:val="001D0F9D"/>
    <w:rsid w:val="002159F4"/>
    <w:rsid w:val="002271E5"/>
    <w:rsid w:val="00280B88"/>
    <w:rsid w:val="002B0A70"/>
    <w:rsid w:val="003337F8"/>
    <w:rsid w:val="00364CF5"/>
    <w:rsid w:val="00374B6B"/>
    <w:rsid w:val="003A2942"/>
    <w:rsid w:val="003A66E7"/>
    <w:rsid w:val="003A7867"/>
    <w:rsid w:val="003D2FAE"/>
    <w:rsid w:val="003E24E0"/>
    <w:rsid w:val="004179CD"/>
    <w:rsid w:val="004A0996"/>
    <w:rsid w:val="004B7F12"/>
    <w:rsid w:val="004C2B28"/>
    <w:rsid w:val="005334A6"/>
    <w:rsid w:val="0053765C"/>
    <w:rsid w:val="00545260"/>
    <w:rsid w:val="00550CB4"/>
    <w:rsid w:val="005E31BA"/>
    <w:rsid w:val="00621EDA"/>
    <w:rsid w:val="006620F2"/>
    <w:rsid w:val="00681875"/>
    <w:rsid w:val="006C5914"/>
    <w:rsid w:val="0071479C"/>
    <w:rsid w:val="007564B2"/>
    <w:rsid w:val="007B4CF2"/>
    <w:rsid w:val="007D5842"/>
    <w:rsid w:val="007D5D6D"/>
    <w:rsid w:val="007E0CDA"/>
    <w:rsid w:val="00801B21"/>
    <w:rsid w:val="00863F62"/>
    <w:rsid w:val="008C463C"/>
    <w:rsid w:val="00901933"/>
    <w:rsid w:val="00906CAB"/>
    <w:rsid w:val="00930DEB"/>
    <w:rsid w:val="009512A9"/>
    <w:rsid w:val="00955014"/>
    <w:rsid w:val="00961AF9"/>
    <w:rsid w:val="00962A62"/>
    <w:rsid w:val="00966A8A"/>
    <w:rsid w:val="00977C6C"/>
    <w:rsid w:val="00983772"/>
    <w:rsid w:val="009C4E7C"/>
    <w:rsid w:val="00A25FF1"/>
    <w:rsid w:val="00AC7693"/>
    <w:rsid w:val="00B1199C"/>
    <w:rsid w:val="00B66A36"/>
    <w:rsid w:val="00B77FE6"/>
    <w:rsid w:val="00B81BA8"/>
    <w:rsid w:val="00BA2CE6"/>
    <w:rsid w:val="00BE091C"/>
    <w:rsid w:val="00BE31DE"/>
    <w:rsid w:val="00BF0B36"/>
    <w:rsid w:val="00C0364E"/>
    <w:rsid w:val="00C21EC0"/>
    <w:rsid w:val="00C53C8C"/>
    <w:rsid w:val="00CA734B"/>
    <w:rsid w:val="00CB6770"/>
    <w:rsid w:val="00CC2AE0"/>
    <w:rsid w:val="00CD3536"/>
    <w:rsid w:val="00D13321"/>
    <w:rsid w:val="00D5344F"/>
    <w:rsid w:val="00D66403"/>
    <w:rsid w:val="00DB4916"/>
    <w:rsid w:val="00DE0AD3"/>
    <w:rsid w:val="00E64718"/>
    <w:rsid w:val="00E81119"/>
    <w:rsid w:val="00E95271"/>
    <w:rsid w:val="00EA0EA2"/>
    <w:rsid w:val="00EA2B79"/>
    <w:rsid w:val="00EA531B"/>
    <w:rsid w:val="00EB4495"/>
    <w:rsid w:val="00EF1C31"/>
    <w:rsid w:val="00F11DC5"/>
    <w:rsid w:val="00F2763A"/>
    <w:rsid w:val="00F30E13"/>
    <w:rsid w:val="00F46022"/>
    <w:rsid w:val="00F845F0"/>
    <w:rsid w:val="00FD30C0"/>
    <w:rsid w:val="00FE65E9"/>
    <w:rsid w:val="00FF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2A9"/>
  </w:style>
  <w:style w:type="paragraph" w:styleId="Footer">
    <w:name w:val="footer"/>
    <w:basedOn w:val="Normal"/>
    <w:link w:val="FooterChar"/>
    <w:uiPriority w:val="99"/>
    <w:unhideWhenUsed/>
    <w:rsid w:val="00951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2A9"/>
  </w:style>
  <w:style w:type="paragraph" w:styleId="ListParagraph">
    <w:name w:val="List Paragraph"/>
    <w:basedOn w:val="Normal"/>
    <w:uiPriority w:val="34"/>
    <w:qFormat/>
    <w:rsid w:val="00961AF9"/>
    <w:pPr>
      <w:spacing w:after="0" w:line="240" w:lineRule="auto"/>
      <w:ind w:left="720"/>
    </w:pPr>
    <w:rPr>
      <w:rFonts w:ascii="Calibri" w:hAnsi="Calibri" w:cs="Times New Roman"/>
    </w:rPr>
  </w:style>
  <w:style w:type="paragraph" w:styleId="FootnoteText">
    <w:name w:val="footnote text"/>
    <w:basedOn w:val="Normal"/>
    <w:link w:val="FootnoteTextChar"/>
    <w:uiPriority w:val="99"/>
    <w:unhideWhenUsed/>
    <w:rsid w:val="00364CF5"/>
    <w:pPr>
      <w:spacing w:after="0" w:line="240" w:lineRule="auto"/>
    </w:pPr>
    <w:rPr>
      <w:sz w:val="20"/>
      <w:szCs w:val="20"/>
    </w:rPr>
  </w:style>
  <w:style w:type="character" w:customStyle="1" w:styleId="FootnoteTextChar">
    <w:name w:val="Footnote Text Char"/>
    <w:basedOn w:val="DefaultParagraphFont"/>
    <w:link w:val="FootnoteText"/>
    <w:uiPriority w:val="99"/>
    <w:rsid w:val="00364CF5"/>
    <w:rPr>
      <w:sz w:val="20"/>
      <w:szCs w:val="20"/>
    </w:rPr>
  </w:style>
  <w:style w:type="character" w:styleId="FootnoteReference">
    <w:name w:val="footnote reference"/>
    <w:basedOn w:val="DefaultParagraphFont"/>
    <w:uiPriority w:val="99"/>
    <w:unhideWhenUsed/>
    <w:rsid w:val="00364CF5"/>
    <w:rPr>
      <w:vertAlign w:val="superscript"/>
    </w:rPr>
  </w:style>
  <w:style w:type="character" w:styleId="Hyperlink">
    <w:name w:val="Hyperlink"/>
    <w:basedOn w:val="DefaultParagraphFont"/>
    <w:uiPriority w:val="99"/>
    <w:unhideWhenUsed/>
    <w:rsid w:val="00955014"/>
    <w:rPr>
      <w:color w:val="0563C1" w:themeColor="hyperlink"/>
      <w:u w:val="single"/>
    </w:rPr>
  </w:style>
  <w:style w:type="character" w:styleId="PageNumber">
    <w:name w:val="page number"/>
    <w:basedOn w:val="DefaultParagraphFont"/>
    <w:uiPriority w:val="99"/>
    <w:semiHidden/>
    <w:unhideWhenUsed/>
    <w:rsid w:val="004B7F12"/>
  </w:style>
  <w:style w:type="character" w:styleId="FollowedHyperlink">
    <w:name w:val="FollowedHyperlink"/>
    <w:basedOn w:val="DefaultParagraphFont"/>
    <w:uiPriority w:val="99"/>
    <w:semiHidden/>
    <w:unhideWhenUsed/>
    <w:rsid w:val="00FE65E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2A9"/>
  </w:style>
  <w:style w:type="paragraph" w:styleId="Footer">
    <w:name w:val="footer"/>
    <w:basedOn w:val="Normal"/>
    <w:link w:val="FooterChar"/>
    <w:uiPriority w:val="99"/>
    <w:unhideWhenUsed/>
    <w:rsid w:val="00951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2A9"/>
  </w:style>
  <w:style w:type="paragraph" w:styleId="ListParagraph">
    <w:name w:val="List Paragraph"/>
    <w:basedOn w:val="Normal"/>
    <w:uiPriority w:val="34"/>
    <w:qFormat/>
    <w:rsid w:val="00961AF9"/>
    <w:pPr>
      <w:spacing w:after="0" w:line="240" w:lineRule="auto"/>
      <w:ind w:left="720"/>
    </w:pPr>
    <w:rPr>
      <w:rFonts w:ascii="Calibri" w:hAnsi="Calibri" w:cs="Times New Roman"/>
    </w:rPr>
  </w:style>
  <w:style w:type="paragraph" w:styleId="FootnoteText">
    <w:name w:val="footnote text"/>
    <w:basedOn w:val="Normal"/>
    <w:link w:val="FootnoteTextChar"/>
    <w:uiPriority w:val="99"/>
    <w:unhideWhenUsed/>
    <w:rsid w:val="00364CF5"/>
    <w:pPr>
      <w:spacing w:after="0" w:line="240" w:lineRule="auto"/>
    </w:pPr>
    <w:rPr>
      <w:sz w:val="20"/>
      <w:szCs w:val="20"/>
    </w:rPr>
  </w:style>
  <w:style w:type="character" w:customStyle="1" w:styleId="FootnoteTextChar">
    <w:name w:val="Footnote Text Char"/>
    <w:basedOn w:val="DefaultParagraphFont"/>
    <w:link w:val="FootnoteText"/>
    <w:uiPriority w:val="99"/>
    <w:rsid w:val="00364CF5"/>
    <w:rPr>
      <w:sz w:val="20"/>
      <w:szCs w:val="20"/>
    </w:rPr>
  </w:style>
  <w:style w:type="character" w:styleId="FootnoteReference">
    <w:name w:val="footnote reference"/>
    <w:basedOn w:val="DefaultParagraphFont"/>
    <w:uiPriority w:val="99"/>
    <w:unhideWhenUsed/>
    <w:rsid w:val="00364CF5"/>
    <w:rPr>
      <w:vertAlign w:val="superscript"/>
    </w:rPr>
  </w:style>
  <w:style w:type="character" w:styleId="Hyperlink">
    <w:name w:val="Hyperlink"/>
    <w:basedOn w:val="DefaultParagraphFont"/>
    <w:uiPriority w:val="99"/>
    <w:unhideWhenUsed/>
    <w:rsid w:val="00955014"/>
    <w:rPr>
      <w:color w:val="0563C1" w:themeColor="hyperlink"/>
      <w:u w:val="single"/>
    </w:rPr>
  </w:style>
  <w:style w:type="character" w:styleId="PageNumber">
    <w:name w:val="page number"/>
    <w:basedOn w:val="DefaultParagraphFont"/>
    <w:uiPriority w:val="99"/>
    <w:semiHidden/>
    <w:unhideWhenUsed/>
    <w:rsid w:val="004B7F12"/>
  </w:style>
  <w:style w:type="character" w:styleId="FollowedHyperlink">
    <w:name w:val="FollowedHyperlink"/>
    <w:basedOn w:val="DefaultParagraphFont"/>
    <w:uiPriority w:val="99"/>
    <w:semiHidden/>
    <w:unhideWhenUsed/>
    <w:rsid w:val="00FE6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14264">
      <w:bodyDiv w:val="1"/>
      <w:marLeft w:val="0"/>
      <w:marRight w:val="0"/>
      <w:marTop w:val="0"/>
      <w:marBottom w:val="0"/>
      <w:divBdr>
        <w:top w:val="none" w:sz="0" w:space="0" w:color="auto"/>
        <w:left w:val="none" w:sz="0" w:space="0" w:color="auto"/>
        <w:bottom w:val="none" w:sz="0" w:space="0" w:color="auto"/>
        <w:right w:val="none" w:sz="0" w:space="0" w:color="auto"/>
      </w:divBdr>
    </w:div>
    <w:div w:id="794564353">
      <w:bodyDiv w:val="1"/>
      <w:marLeft w:val="0"/>
      <w:marRight w:val="0"/>
      <w:marTop w:val="0"/>
      <w:marBottom w:val="0"/>
      <w:divBdr>
        <w:top w:val="none" w:sz="0" w:space="0" w:color="auto"/>
        <w:left w:val="none" w:sz="0" w:space="0" w:color="auto"/>
        <w:bottom w:val="none" w:sz="0" w:space="0" w:color="auto"/>
        <w:right w:val="none" w:sz="0" w:space="0" w:color="auto"/>
      </w:divBdr>
      <w:divsChild>
        <w:div w:id="1493570814">
          <w:marLeft w:val="0"/>
          <w:marRight w:val="0"/>
          <w:marTop w:val="0"/>
          <w:marBottom w:val="0"/>
          <w:divBdr>
            <w:top w:val="none" w:sz="0" w:space="0" w:color="auto"/>
            <w:left w:val="none" w:sz="0" w:space="0" w:color="auto"/>
            <w:bottom w:val="none" w:sz="0" w:space="0" w:color="auto"/>
            <w:right w:val="none" w:sz="0" w:space="0" w:color="auto"/>
          </w:divBdr>
        </w:div>
        <w:div w:id="1914925216">
          <w:marLeft w:val="0"/>
          <w:marRight w:val="0"/>
          <w:marTop w:val="0"/>
          <w:marBottom w:val="0"/>
          <w:divBdr>
            <w:top w:val="none" w:sz="0" w:space="0" w:color="auto"/>
            <w:left w:val="none" w:sz="0" w:space="0" w:color="auto"/>
            <w:bottom w:val="none" w:sz="0" w:space="0" w:color="auto"/>
            <w:right w:val="none" w:sz="0" w:space="0" w:color="auto"/>
          </w:divBdr>
        </w:div>
        <w:div w:id="1645114334">
          <w:marLeft w:val="0"/>
          <w:marRight w:val="0"/>
          <w:marTop w:val="0"/>
          <w:marBottom w:val="0"/>
          <w:divBdr>
            <w:top w:val="none" w:sz="0" w:space="0" w:color="auto"/>
            <w:left w:val="none" w:sz="0" w:space="0" w:color="auto"/>
            <w:bottom w:val="none" w:sz="0" w:space="0" w:color="auto"/>
            <w:right w:val="none" w:sz="0" w:space="0" w:color="auto"/>
          </w:divBdr>
        </w:div>
        <w:div w:id="734356946">
          <w:marLeft w:val="0"/>
          <w:marRight w:val="0"/>
          <w:marTop w:val="0"/>
          <w:marBottom w:val="0"/>
          <w:divBdr>
            <w:top w:val="none" w:sz="0" w:space="0" w:color="auto"/>
            <w:left w:val="none" w:sz="0" w:space="0" w:color="auto"/>
            <w:bottom w:val="none" w:sz="0" w:space="0" w:color="auto"/>
            <w:right w:val="none" w:sz="0" w:space="0" w:color="auto"/>
          </w:divBdr>
        </w:div>
        <w:div w:id="1260875398">
          <w:marLeft w:val="0"/>
          <w:marRight w:val="0"/>
          <w:marTop w:val="0"/>
          <w:marBottom w:val="0"/>
          <w:divBdr>
            <w:top w:val="none" w:sz="0" w:space="0" w:color="auto"/>
            <w:left w:val="none" w:sz="0" w:space="0" w:color="auto"/>
            <w:bottom w:val="none" w:sz="0" w:space="0" w:color="auto"/>
            <w:right w:val="none" w:sz="0" w:space="0" w:color="auto"/>
          </w:divBdr>
        </w:div>
        <w:div w:id="561453306">
          <w:marLeft w:val="0"/>
          <w:marRight w:val="0"/>
          <w:marTop w:val="0"/>
          <w:marBottom w:val="0"/>
          <w:divBdr>
            <w:top w:val="none" w:sz="0" w:space="0" w:color="auto"/>
            <w:left w:val="none" w:sz="0" w:space="0" w:color="auto"/>
            <w:bottom w:val="none" w:sz="0" w:space="0" w:color="auto"/>
            <w:right w:val="none" w:sz="0" w:space="0" w:color="auto"/>
          </w:divBdr>
        </w:div>
      </w:divsChild>
    </w:div>
    <w:div w:id="828405101">
      <w:bodyDiv w:val="1"/>
      <w:marLeft w:val="0"/>
      <w:marRight w:val="0"/>
      <w:marTop w:val="0"/>
      <w:marBottom w:val="0"/>
      <w:divBdr>
        <w:top w:val="none" w:sz="0" w:space="0" w:color="auto"/>
        <w:left w:val="none" w:sz="0" w:space="0" w:color="auto"/>
        <w:bottom w:val="none" w:sz="0" w:space="0" w:color="auto"/>
        <w:right w:val="none" w:sz="0" w:space="0" w:color="auto"/>
      </w:divBdr>
    </w:div>
    <w:div w:id="1328440081">
      <w:bodyDiv w:val="1"/>
      <w:marLeft w:val="0"/>
      <w:marRight w:val="0"/>
      <w:marTop w:val="0"/>
      <w:marBottom w:val="0"/>
      <w:divBdr>
        <w:top w:val="none" w:sz="0" w:space="0" w:color="auto"/>
        <w:left w:val="none" w:sz="0" w:space="0" w:color="auto"/>
        <w:bottom w:val="none" w:sz="0" w:space="0" w:color="auto"/>
        <w:right w:val="none" w:sz="0" w:space="0" w:color="auto"/>
      </w:divBdr>
    </w:div>
    <w:div w:id="1429958771">
      <w:bodyDiv w:val="1"/>
      <w:marLeft w:val="0"/>
      <w:marRight w:val="0"/>
      <w:marTop w:val="0"/>
      <w:marBottom w:val="0"/>
      <w:divBdr>
        <w:top w:val="none" w:sz="0" w:space="0" w:color="auto"/>
        <w:left w:val="none" w:sz="0" w:space="0" w:color="auto"/>
        <w:bottom w:val="none" w:sz="0" w:space="0" w:color="auto"/>
        <w:right w:val="none" w:sz="0" w:space="0" w:color="auto"/>
      </w:divBdr>
      <w:divsChild>
        <w:div w:id="1040009585">
          <w:marLeft w:val="0"/>
          <w:marRight w:val="0"/>
          <w:marTop w:val="0"/>
          <w:marBottom w:val="0"/>
          <w:divBdr>
            <w:top w:val="none" w:sz="0" w:space="0" w:color="auto"/>
            <w:left w:val="none" w:sz="0" w:space="0" w:color="auto"/>
            <w:bottom w:val="none" w:sz="0" w:space="0" w:color="auto"/>
            <w:right w:val="none" w:sz="0" w:space="0" w:color="auto"/>
          </w:divBdr>
        </w:div>
        <w:div w:id="437061915">
          <w:marLeft w:val="0"/>
          <w:marRight w:val="0"/>
          <w:marTop w:val="0"/>
          <w:marBottom w:val="0"/>
          <w:divBdr>
            <w:top w:val="none" w:sz="0" w:space="0" w:color="auto"/>
            <w:left w:val="none" w:sz="0" w:space="0" w:color="auto"/>
            <w:bottom w:val="none" w:sz="0" w:space="0" w:color="auto"/>
            <w:right w:val="none" w:sz="0" w:space="0" w:color="auto"/>
          </w:divBdr>
        </w:div>
        <w:div w:id="1393239173">
          <w:marLeft w:val="0"/>
          <w:marRight w:val="0"/>
          <w:marTop w:val="0"/>
          <w:marBottom w:val="0"/>
          <w:divBdr>
            <w:top w:val="none" w:sz="0" w:space="0" w:color="auto"/>
            <w:left w:val="none" w:sz="0" w:space="0" w:color="auto"/>
            <w:bottom w:val="none" w:sz="0" w:space="0" w:color="auto"/>
            <w:right w:val="none" w:sz="0" w:space="0" w:color="auto"/>
          </w:divBdr>
        </w:div>
        <w:div w:id="502623340">
          <w:marLeft w:val="0"/>
          <w:marRight w:val="0"/>
          <w:marTop w:val="0"/>
          <w:marBottom w:val="0"/>
          <w:divBdr>
            <w:top w:val="none" w:sz="0" w:space="0" w:color="auto"/>
            <w:left w:val="none" w:sz="0" w:space="0" w:color="auto"/>
            <w:bottom w:val="none" w:sz="0" w:space="0" w:color="auto"/>
            <w:right w:val="none" w:sz="0" w:space="0" w:color="auto"/>
          </w:divBdr>
        </w:div>
        <w:div w:id="640311437">
          <w:marLeft w:val="0"/>
          <w:marRight w:val="0"/>
          <w:marTop w:val="0"/>
          <w:marBottom w:val="0"/>
          <w:divBdr>
            <w:top w:val="none" w:sz="0" w:space="0" w:color="auto"/>
            <w:left w:val="none" w:sz="0" w:space="0" w:color="auto"/>
            <w:bottom w:val="none" w:sz="0" w:space="0" w:color="auto"/>
            <w:right w:val="none" w:sz="0" w:space="0" w:color="auto"/>
          </w:divBdr>
        </w:div>
        <w:div w:id="570585351">
          <w:marLeft w:val="0"/>
          <w:marRight w:val="0"/>
          <w:marTop w:val="0"/>
          <w:marBottom w:val="0"/>
          <w:divBdr>
            <w:top w:val="none" w:sz="0" w:space="0" w:color="auto"/>
            <w:left w:val="none" w:sz="0" w:space="0" w:color="auto"/>
            <w:bottom w:val="none" w:sz="0" w:space="0" w:color="auto"/>
            <w:right w:val="none" w:sz="0" w:space="0" w:color="auto"/>
          </w:divBdr>
        </w:div>
      </w:divsChild>
    </w:div>
    <w:div w:id="187211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nergy.ca.gov/2015publications/CEC-300-2015-001/CEC-300-2015-001-ED8-CMF.pdf" TargetMode="External"/><Relationship Id="rId1" Type="http://schemas.openxmlformats.org/officeDocument/2006/relationships/hyperlink" Target="http://docketpublic.energy.ca.gov/PublicDocuments/11-RPS-01/TN215142_20170103T150023_RPS_Verification_Method_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5117</Characters>
  <Application>Microsoft Office Word</Application>
  <DocSecurity>0</DocSecurity>
  <PresentationFormat/>
  <Lines>42</Lines>
  <Paragraphs>12</Paragraphs>
  <ScaleCrop>false</ScaleCrop>
  <HeadingPairs>
    <vt:vector size="2" baseType="variant">
      <vt:variant>
        <vt:lpstr>Title</vt:lpstr>
      </vt:variant>
      <vt:variant>
        <vt:i4>1</vt:i4>
      </vt:variant>
    </vt:vector>
  </HeadingPairs>
  <TitlesOfParts>
    <vt:vector size="1" baseType="lpstr">
      <vt:lpstr/>
    </vt:vector>
  </TitlesOfParts>
  <Company>Turlock Irrigation District</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00385930;1</dc:subject>
  <dc:creator>Brian Biering</dc:creator>
  <cp:lastModifiedBy>Ken R. Nold</cp:lastModifiedBy>
  <cp:revision>3</cp:revision>
  <cp:lastPrinted>2017-01-20T23:38:00Z</cp:lastPrinted>
  <dcterms:created xsi:type="dcterms:W3CDTF">2017-01-20T23:51:00Z</dcterms:created>
  <dcterms:modified xsi:type="dcterms:W3CDTF">2017-01-20T23:53:00Z</dcterms:modified>
</cp:coreProperties>
</file>