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42" w:rsidRPr="00C113E7" w:rsidRDefault="00615D42" w:rsidP="001C3FE0">
      <w:pPr>
        <w:jc w:val="center"/>
        <w:rPr>
          <w:rFonts w:ascii="Arial" w:hAnsi="Arial"/>
          <w:b/>
        </w:rPr>
      </w:pPr>
      <w:bookmarkStart w:id="0" w:name="_GoBack"/>
      <w:bookmarkEnd w:id="0"/>
      <w:r w:rsidRPr="00C113E7">
        <w:rPr>
          <w:rFonts w:ascii="Arial" w:hAnsi="Arial"/>
          <w:b/>
        </w:rPr>
        <w:t>Cap-and-Trade Regulation Amendment Request</w:t>
      </w:r>
    </w:p>
    <w:p w:rsidR="00615D42" w:rsidRPr="00C113E7" w:rsidRDefault="00615D42">
      <w:pPr>
        <w:rPr>
          <w:rFonts w:ascii="Arial" w:hAnsi="Arial"/>
        </w:rPr>
      </w:pPr>
    </w:p>
    <w:p w:rsidR="00615D42" w:rsidRPr="00C113E7" w:rsidRDefault="00615D42"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aids staff in tracking requests and </w:t>
      </w:r>
      <w:r w:rsidRPr="00C113E7">
        <w:rPr>
          <w:rFonts w:ascii="Arial" w:hAnsi="Arial"/>
          <w:b/>
        </w:rPr>
        <w:t>does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 xml:space="preserve">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615D42" w:rsidRPr="00C113E7" w:rsidRDefault="00615D42" w:rsidP="00CB4EE8">
      <w:pPr>
        <w:rPr>
          <w:rFonts w:ascii="Arial" w:hAnsi="Arial"/>
        </w:rPr>
      </w:pPr>
    </w:p>
    <w:p w:rsidR="00615D42" w:rsidRPr="00C113E7" w:rsidRDefault="00615D42" w:rsidP="00CB4EE8">
      <w:pPr>
        <w:jc w:val="center"/>
        <w:rPr>
          <w:rFonts w:ascii="Arial" w:hAnsi="Arial"/>
        </w:rPr>
      </w:pPr>
      <w:r w:rsidRPr="00C113E7">
        <w:rPr>
          <w:rFonts w:ascii="Arial" w:hAnsi="Arial"/>
        </w:rPr>
        <w:t>David Allgood (</w:t>
      </w:r>
      <w:hyperlink r:id="rId7" w:history="1">
        <w:r w:rsidRPr="003B260B">
          <w:rPr>
            <w:rStyle w:val="Hyperlink"/>
            <w:rFonts w:ascii="Arial" w:hAnsi="Arial"/>
          </w:rPr>
          <w:t>dallgood@arb.ca.gov</w:t>
        </w:r>
      </w:hyperlink>
      <w:r w:rsidRPr="00C113E7">
        <w:rPr>
          <w:rFonts w:ascii="Arial" w:hAnsi="Arial"/>
        </w:rPr>
        <w:t>)</w:t>
      </w:r>
    </w:p>
    <w:p w:rsidR="00615D42" w:rsidRPr="00C113E7" w:rsidRDefault="00615D42" w:rsidP="00CB4EE8">
      <w:pPr>
        <w:jc w:val="center"/>
        <w:rPr>
          <w:rFonts w:ascii="Arial" w:hAnsi="Arial"/>
        </w:rPr>
      </w:pPr>
      <w:r w:rsidRPr="00C113E7">
        <w:rPr>
          <w:rFonts w:ascii="Arial" w:hAnsi="Arial"/>
        </w:rPr>
        <w:t>Stationary Source Division</w:t>
      </w:r>
    </w:p>
    <w:p w:rsidR="00615D42" w:rsidRPr="00C113E7" w:rsidRDefault="00615D42" w:rsidP="00CB4EE8">
      <w:pPr>
        <w:jc w:val="center"/>
        <w:rPr>
          <w:rFonts w:ascii="Arial" w:hAnsi="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113E7">
                <w:rPr>
                  <w:rFonts w:ascii="Arial" w:hAnsi="Arial"/>
                </w:rPr>
                <w:t>P.O. Box</w:t>
              </w:r>
            </w:smartTag>
          </w:smartTag>
          <w:r w:rsidRPr="00C113E7">
            <w:rPr>
              <w:rFonts w:ascii="Arial" w:hAnsi="Arial"/>
            </w:rPr>
            <w:t xml:space="preserve"> </w:t>
          </w:r>
          <w:r>
            <w:rPr>
              <w:rFonts w:ascii="Arial" w:hAnsi="Arial"/>
            </w:rPr>
            <w:t>2815</w:t>
          </w:r>
        </w:smartTag>
      </w:smartTag>
    </w:p>
    <w:p w:rsidR="00615D42" w:rsidRPr="00C113E7" w:rsidRDefault="00615D42" w:rsidP="00CB4EE8">
      <w:pPr>
        <w:jc w:val="center"/>
        <w:rPr>
          <w:rFonts w:ascii="Arial" w:hAnsi="Arial"/>
        </w:rPr>
      </w:pPr>
      <w:smartTag w:uri="urn:schemas-microsoft-com:office:smarttags" w:element="City">
        <w:smartTag w:uri="urn:schemas-microsoft-com:office:smarttags" w:element="place">
          <w:r w:rsidRPr="00C113E7">
            <w:rPr>
              <w:rFonts w:ascii="Arial" w:hAnsi="Arial"/>
            </w:rPr>
            <w:t>Sacramento</w:t>
          </w:r>
        </w:smartTag>
        <w:r w:rsidRPr="00C113E7">
          <w:rPr>
            <w:rFonts w:ascii="Arial" w:hAnsi="Arial"/>
          </w:rPr>
          <w:t xml:space="preserve">, </w:t>
        </w:r>
        <w:smartTag w:uri="urn:schemas-microsoft-com:office:smarttags" w:element="PostalCode">
          <w:smartTag w:uri="urn:schemas-microsoft-com:office:smarttags" w:element="State">
            <w:r w:rsidRPr="00C113E7">
              <w:rPr>
                <w:rFonts w:ascii="Arial" w:hAnsi="Arial"/>
              </w:rPr>
              <w:t>CA</w:t>
            </w:r>
          </w:smartTag>
        </w:smartTag>
        <w:r w:rsidRPr="00C113E7">
          <w:rPr>
            <w:rFonts w:ascii="Arial" w:hAnsi="Arial"/>
          </w:rPr>
          <w:t xml:space="preserve">  </w:t>
        </w:r>
        <w:smartTag w:uri="urn:schemas-microsoft-com:office:smarttags" w:element="place">
          <w:r w:rsidRPr="00C113E7">
            <w:rPr>
              <w:rFonts w:ascii="Arial" w:hAnsi="Arial"/>
            </w:rPr>
            <w:t>95812</w:t>
          </w:r>
        </w:smartTag>
      </w:smartTag>
    </w:p>
    <w:p w:rsidR="00615D42" w:rsidRDefault="00615D42">
      <w:pPr>
        <w:rPr>
          <w:rFonts w:ascii="Arial" w:hAnsi="Arial"/>
          <w:b/>
          <w:u w:val="single"/>
        </w:rPr>
      </w:pPr>
      <w:r>
        <w:rPr>
          <w:rFonts w:ascii="Arial" w:hAnsi="Arial"/>
          <w:b/>
          <w:u w:val="single"/>
        </w:rPr>
        <w:t>General Information</w:t>
      </w:r>
    </w:p>
    <w:p w:rsidR="00615D42" w:rsidRDefault="00615D42">
      <w:pPr>
        <w:rPr>
          <w:rFonts w:ascii="Arial" w:hAnsi="Arial"/>
          <w:b/>
          <w:u w:val="single"/>
        </w:rPr>
      </w:pPr>
    </w:p>
    <w:tbl>
      <w:tblPr>
        <w:tblpPr w:leftFromText="180" w:rightFromText="180" w:vertAnchor="text" w:horzAnchor="page" w:tblpX="242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615D42" w:rsidRPr="00C1367E" w:rsidTr="00C1367E">
        <w:trPr>
          <w:trHeight w:val="319"/>
        </w:trPr>
        <w:tc>
          <w:tcPr>
            <w:tcW w:w="2447" w:type="dxa"/>
            <w:shd w:val="clear" w:color="auto" w:fill="BFBFBF"/>
          </w:tcPr>
          <w:p w:rsidR="00615D42" w:rsidRPr="00C1367E" w:rsidRDefault="00615D42" w:rsidP="00C1367E">
            <w:pPr>
              <w:rPr>
                <w:rFonts w:ascii="Arial" w:hAnsi="Arial"/>
              </w:rPr>
            </w:pPr>
            <w:r>
              <w:rPr>
                <w:rFonts w:ascii="Arial" w:hAnsi="Arial"/>
              </w:rPr>
              <w:t>August 2, 2013</w:t>
            </w:r>
          </w:p>
        </w:tc>
      </w:tr>
    </w:tbl>
    <w:p w:rsidR="00615D42" w:rsidRDefault="00615D42">
      <w:pPr>
        <w:rPr>
          <w:rFonts w:ascii="Arial" w:hAnsi="Arial"/>
        </w:rPr>
      </w:pPr>
      <w:r w:rsidRPr="00C113E7">
        <w:rPr>
          <w:rFonts w:ascii="Arial" w:hAnsi="Arial"/>
        </w:rPr>
        <w:t>Date:</w:t>
      </w:r>
      <w:r>
        <w:rPr>
          <w:rFonts w:ascii="Arial" w:hAnsi="Arial"/>
        </w:rPr>
        <w:t xml:space="preserve"> </w:t>
      </w:r>
    </w:p>
    <w:p w:rsidR="00615D42" w:rsidRDefault="00615D42">
      <w:pPr>
        <w:rPr>
          <w:rFonts w:ascii="Arial" w:hAnsi="Arial"/>
        </w:rPr>
      </w:pPr>
    </w:p>
    <w:tbl>
      <w:tblPr>
        <w:tblpPr w:leftFromText="180" w:rightFromText="180" w:vertAnchor="text" w:horzAnchor="page" w:tblpX="3493"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615D42" w:rsidRPr="00C1367E" w:rsidTr="00C1367E">
        <w:trPr>
          <w:trHeight w:val="319"/>
        </w:trPr>
        <w:tc>
          <w:tcPr>
            <w:tcW w:w="2447" w:type="dxa"/>
            <w:shd w:val="clear" w:color="auto" w:fill="BFBFBF"/>
          </w:tcPr>
          <w:p w:rsidR="00615D42" w:rsidRPr="00C1367E" w:rsidRDefault="00615D42" w:rsidP="00C1367E">
            <w:pPr>
              <w:rPr>
                <w:rFonts w:ascii="Arial" w:hAnsi="Arial"/>
              </w:rPr>
            </w:pPr>
            <w:r>
              <w:rPr>
                <w:rFonts w:ascii="Arial" w:hAnsi="Arial"/>
              </w:rPr>
              <w:t>Bill Buchan, Market Potential, Inc.</w:t>
            </w:r>
          </w:p>
        </w:tc>
      </w:tr>
    </w:tbl>
    <w:tbl>
      <w:tblPr>
        <w:tblpPr w:leftFromText="180" w:rightFromText="180" w:vertAnchor="text" w:horzAnchor="page" w:tblpX="754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615D42" w:rsidRPr="00C1367E" w:rsidTr="00C1367E">
        <w:trPr>
          <w:trHeight w:val="319"/>
        </w:trPr>
        <w:tc>
          <w:tcPr>
            <w:tcW w:w="2447" w:type="dxa"/>
            <w:shd w:val="clear" w:color="auto" w:fill="BFBFBF"/>
          </w:tcPr>
          <w:p w:rsidR="00615D42" w:rsidRPr="00C1367E" w:rsidRDefault="00615D42" w:rsidP="00C1367E">
            <w:pPr>
              <w:rPr>
                <w:rFonts w:ascii="Arial" w:hAnsi="Arial"/>
              </w:rPr>
            </w:pPr>
            <w:r>
              <w:rPr>
                <w:rFonts w:ascii="Arial" w:hAnsi="Arial"/>
              </w:rPr>
              <w:t>Graphic Packaging International, Inc.</w:t>
            </w:r>
          </w:p>
        </w:tc>
      </w:tr>
    </w:tbl>
    <w:p w:rsidR="00615D42" w:rsidRDefault="00615D42">
      <w:pPr>
        <w:rPr>
          <w:rFonts w:ascii="Arial" w:hAnsi="Arial"/>
        </w:rPr>
      </w:pPr>
      <w:r w:rsidRPr="00C113E7">
        <w:rPr>
          <w:rFonts w:ascii="Arial" w:hAnsi="Arial"/>
        </w:rPr>
        <w:t>Submitted by</w:t>
      </w:r>
      <w:r>
        <w:rPr>
          <w:rFonts w:ascii="Arial" w:hAnsi="Arial"/>
        </w:rPr>
        <w:t>:      A</w:t>
      </w:r>
      <w:r w:rsidRPr="00C113E7">
        <w:rPr>
          <w:rFonts w:ascii="Arial" w:hAnsi="Arial"/>
        </w:rPr>
        <w:t>ffiliation:</w:t>
      </w:r>
      <w:r>
        <w:rPr>
          <w:rFonts w:ascii="Arial" w:hAnsi="Arial"/>
        </w:rPr>
        <w:t xml:space="preserve">                </w:t>
      </w:r>
    </w:p>
    <w:tbl>
      <w:tblPr>
        <w:tblpPr w:leftFromText="180" w:rightFromText="180" w:vertAnchor="text" w:horzAnchor="margin" w:tblpXSpec="right" w:tblpY="241"/>
        <w:tblOverlap w:val="neve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tblGrid>
      <w:tr w:rsidR="00615D42" w:rsidRPr="00C1367E" w:rsidTr="00C1367E">
        <w:trPr>
          <w:trHeight w:val="317"/>
        </w:trPr>
        <w:tc>
          <w:tcPr>
            <w:tcW w:w="2448" w:type="dxa"/>
            <w:shd w:val="clear" w:color="auto" w:fill="BFBFBF"/>
          </w:tcPr>
          <w:p w:rsidR="00615D42" w:rsidRPr="00C1367E" w:rsidRDefault="00615D42" w:rsidP="00C1367E">
            <w:pPr>
              <w:rPr>
                <w:rFonts w:ascii="Arial" w:hAnsi="Arial"/>
              </w:rPr>
            </w:pPr>
            <w:r>
              <w:rPr>
                <w:rFonts w:ascii="Arial" w:hAnsi="Arial"/>
              </w:rPr>
              <w:t>Buchan@mktpotential.com</w:t>
            </w:r>
          </w:p>
        </w:tc>
      </w:tr>
    </w:tbl>
    <w:p w:rsidR="00615D42" w:rsidRDefault="00615D42">
      <w:pPr>
        <w:rPr>
          <w:rFonts w:ascii="Arial" w:hAnsi="Arial"/>
        </w:rPr>
      </w:pPr>
    </w:p>
    <w:tbl>
      <w:tblPr>
        <w:tblpPr w:leftFromText="180" w:rightFromText="180" w:vertAnchor="text" w:horzAnchor="page" w:tblpX="352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615D42" w:rsidRPr="00C1367E" w:rsidTr="00C1367E">
        <w:trPr>
          <w:trHeight w:val="319"/>
        </w:trPr>
        <w:tc>
          <w:tcPr>
            <w:tcW w:w="2447" w:type="dxa"/>
            <w:shd w:val="clear" w:color="auto" w:fill="BFBFBF"/>
          </w:tcPr>
          <w:p w:rsidR="00615D42" w:rsidRPr="00C1367E" w:rsidRDefault="00615D42" w:rsidP="00C1367E">
            <w:pPr>
              <w:rPr>
                <w:rFonts w:ascii="Arial" w:hAnsi="Arial"/>
              </w:rPr>
            </w:pPr>
            <w:r>
              <w:rPr>
                <w:rFonts w:ascii="Arial" w:hAnsi="Arial"/>
              </w:rPr>
              <w:t>510 928 5786</w:t>
            </w:r>
          </w:p>
        </w:tc>
      </w:tr>
    </w:tbl>
    <w:p w:rsidR="00615D42" w:rsidRPr="00C113E7" w:rsidRDefault="00615D42">
      <w:pPr>
        <w:rPr>
          <w:rFonts w:ascii="Arial" w:hAnsi="Arial"/>
        </w:rPr>
      </w:pPr>
      <w:r>
        <w:rPr>
          <w:rFonts w:ascii="Arial" w:hAnsi="Arial"/>
        </w:rPr>
        <w:t xml:space="preserve">Contact Phone:               E-mail: </w:t>
      </w:r>
    </w:p>
    <w:p w:rsidR="00615D42" w:rsidRDefault="00615D42">
      <w:pPr>
        <w:rPr>
          <w:rFonts w:ascii="Arial" w:hAnsi="Arial"/>
          <w:b/>
          <w:u w:val="single"/>
        </w:rPr>
      </w:pPr>
    </w:p>
    <w:p w:rsidR="00615D42" w:rsidRDefault="00615D42">
      <w:pPr>
        <w:rPr>
          <w:rFonts w:ascii="Arial" w:hAnsi="Arial"/>
          <w:b/>
          <w:u w:val="single"/>
        </w:rPr>
      </w:pPr>
      <w:r w:rsidRPr="003541BF">
        <w:rPr>
          <w:rFonts w:ascii="Arial" w:hAnsi="Arial"/>
          <w:b/>
          <w:u w:val="single"/>
        </w:rPr>
        <w:t xml:space="preserve">Section </w:t>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6"/>
      </w:tblGrid>
      <w:tr w:rsidR="00615D42" w:rsidRPr="00C1367E" w:rsidTr="00C1367E">
        <w:trPr>
          <w:trHeight w:val="317"/>
        </w:trPr>
        <w:tc>
          <w:tcPr>
            <w:tcW w:w="4636" w:type="dxa"/>
            <w:shd w:val="clear" w:color="auto" w:fill="BFBFBF"/>
          </w:tcPr>
          <w:p w:rsidR="00615D42" w:rsidRPr="00C1367E" w:rsidRDefault="00615D42" w:rsidP="00C1367E">
            <w:pPr>
              <w:rPr>
                <w:rFonts w:ascii="Arial" w:hAnsi="Arial"/>
              </w:rPr>
            </w:pPr>
            <w:r>
              <w:rPr>
                <w:rFonts w:ascii="Arial" w:hAnsi="Arial"/>
              </w:rPr>
              <w:t>95856(h)(1)(c) and (2)(c)</w:t>
            </w:r>
          </w:p>
        </w:tc>
      </w:tr>
    </w:tbl>
    <w:p w:rsidR="00615D42" w:rsidRPr="003541BF" w:rsidRDefault="00615D42">
      <w:pPr>
        <w:rPr>
          <w:rFonts w:ascii="Arial" w:hAnsi="Arial"/>
          <w:b/>
          <w:u w:val="single"/>
        </w:rPr>
      </w:pPr>
    </w:p>
    <w:p w:rsidR="00615D42" w:rsidRDefault="00615D42">
      <w:pPr>
        <w:rPr>
          <w:rFonts w:ascii="Arial" w:hAnsi="Arial"/>
        </w:rPr>
      </w:pPr>
      <w:r w:rsidRPr="00C113E7">
        <w:rPr>
          <w:rFonts w:ascii="Arial" w:hAnsi="Arial"/>
        </w:rPr>
        <w:t>Primary section</w:t>
      </w:r>
      <w:r>
        <w:rPr>
          <w:rFonts w:ascii="Arial" w:hAnsi="Arial"/>
        </w:rPr>
        <w:t xml:space="preserve">(s): </w:t>
      </w:r>
    </w:p>
    <w:p w:rsidR="00615D42" w:rsidRDefault="00615D42">
      <w:pPr>
        <w:rPr>
          <w:rFonts w:ascii="Arial" w:hAnsi="Arial"/>
        </w:rPr>
      </w:pPr>
    </w:p>
    <w:p w:rsidR="00615D42" w:rsidRDefault="00615D42">
      <w:pPr>
        <w:rPr>
          <w:rFonts w:ascii="Arial" w:hAnsi="Arial"/>
        </w:rPr>
      </w:pP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7"/>
      </w:tblGrid>
      <w:tr w:rsidR="00615D42" w:rsidRPr="00C1367E" w:rsidTr="00C1367E">
        <w:trPr>
          <w:trHeight w:val="317"/>
        </w:trPr>
        <w:tc>
          <w:tcPr>
            <w:tcW w:w="4637" w:type="dxa"/>
            <w:shd w:val="clear" w:color="auto" w:fill="BFBFBF"/>
          </w:tcPr>
          <w:p w:rsidR="00615D42" w:rsidRPr="00C1367E" w:rsidRDefault="00615D42" w:rsidP="00C1367E">
            <w:pPr>
              <w:rPr>
                <w:rFonts w:ascii="Arial" w:hAnsi="Arial"/>
              </w:rPr>
            </w:pPr>
          </w:p>
        </w:tc>
      </w:tr>
    </w:tbl>
    <w:p w:rsidR="00615D42" w:rsidRDefault="00615D42">
      <w:pPr>
        <w:rPr>
          <w:rFonts w:ascii="Arial" w:hAnsi="Arial"/>
        </w:rPr>
      </w:pPr>
      <w:r>
        <w:rPr>
          <w:rFonts w:ascii="Arial" w:hAnsi="Arial"/>
        </w:rPr>
        <w:t xml:space="preserve">Related section(s): </w:t>
      </w:r>
    </w:p>
    <w:p w:rsidR="00615D42" w:rsidRDefault="00615D42">
      <w:pPr>
        <w:rPr>
          <w:rFonts w:ascii="Arial" w:hAnsi="Arial"/>
        </w:rPr>
      </w:pPr>
    </w:p>
    <w:p w:rsidR="00615D42" w:rsidRDefault="00615D42">
      <w:pPr>
        <w:rPr>
          <w:rFonts w:ascii="Arial" w:hAnsi="Arial"/>
          <w:b/>
          <w:u w:val="single"/>
        </w:rPr>
      </w:pPr>
    </w:p>
    <w:p w:rsidR="00615D42" w:rsidRPr="003541BF" w:rsidRDefault="00615D42">
      <w:pPr>
        <w:rPr>
          <w:rFonts w:ascii="Arial" w:hAnsi="Arial"/>
          <w:b/>
          <w:u w:val="single"/>
        </w:rPr>
      </w:pPr>
      <w:r w:rsidRPr="003541BF">
        <w:rPr>
          <w:rFonts w:ascii="Arial" w:hAnsi="Arial"/>
          <w:b/>
          <w:u w:val="single"/>
        </w:rPr>
        <w:t>Amendment Request</w:t>
      </w:r>
    </w:p>
    <w:p w:rsidR="00615D42" w:rsidRDefault="00615D42">
      <w:pPr>
        <w:rPr>
          <w:rFonts w:ascii="Arial" w:hAnsi="Arial"/>
        </w:rPr>
      </w:pPr>
    </w:p>
    <w:p w:rsidR="00615D42" w:rsidRDefault="00615D42">
      <w:pPr>
        <w:rPr>
          <w:rFonts w:ascii="Arial" w:hAnsi="Arial"/>
        </w:rPr>
      </w:pPr>
      <w:r>
        <w:rPr>
          <w:rFonts w:ascii="Arial" w:hAnsi="Arial"/>
        </w:rPr>
        <w:t xml:space="preserve">Type of amendment:  </w:t>
      </w:r>
      <w:r>
        <w:rPr>
          <w:rFonts w:ascii="OCR A Extended" w:eastAsia="MS Gothic" w:hAnsi="OCR A Extended" w:cs="OCR A Extended"/>
        </w:rPr>
        <w:t>x</w:t>
      </w:r>
      <w:r>
        <w:rPr>
          <w:rFonts w:ascii="Arial" w:hAnsi="Arial"/>
        </w:rPr>
        <w:t>Policy</w:t>
      </w:r>
      <w:r>
        <w:rPr>
          <w:rFonts w:ascii="Arial" w:hAnsi="Arial"/>
        </w:rPr>
        <w:tab/>
      </w:r>
      <w:r>
        <w:rPr>
          <w:rFonts w:ascii="OCR A Extended" w:eastAsia="MS Gothic" w:hAnsi="OCR A Extended" w:cs="OCR A Extended"/>
        </w:rPr>
        <w:t>☐</w:t>
      </w:r>
      <w:r>
        <w:rPr>
          <w:rFonts w:ascii="Arial" w:hAnsi="Arial"/>
        </w:rPr>
        <w:t>Error</w:t>
      </w:r>
      <w:r>
        <w:rPr>
          <w:rFonts w:ascii="Arial" w:hAnsi="Arial"/>
        </w:rPr>
        <w:tab/>
      </w:r>
      <w:r>
        <w:rPr>
          <w:rFonts w:ascii="OCR A Extended" w:eastAsia="MS Gothic" w:hAnsi="OCR A Extended" w:cs="OCR A Extended"/>
        </w:rPr>
        <w:t>☐</w:t>
      </w:r>
      <w:r>
        <w:rPr>
          <w:rFonts w:ascii="Arial" w:hAnsi="Arial"/>
        </w:rPr>
        <w:t>Clarity</w:t>
      </w:r>
    </w:p>
    <w:p w:rsidR="00615D42" w:rsidRDefault="00615D42">
      <w:pPr>
        <w:rPr>
          <w:rFonts w:ascii="Arial" w:hAnsi="Arial"/>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615D42" w:rsidRPr="00C1367E" w:rsidTr="00C1367E">
        <w:trPr>
          <w:trHeight w:val="980"/>
        </w:trPr>
        <w:tc>
          <w:tcPr>
            <w:tcW w:w="6472" w:type="dxa"/>
            <w:shd w:val="clear" w:color="auto" w:fill="BFBFBF"/>
          </w:tcPr>
          <w:p w:rsidR="00615D42" w:rsidRPr="00C1367E" w:rsidRDefault="00615D42" w:rsidP="00C1367E">
            <w:pPr>
              <w:rPr>
                <w:rFonts w:ascii="Arial" w:hAnsi="Arial"/>
              </w:rPr>
            </w:pPr>
            <w:r>
              <w:rPr>
                <w:rFonts w:ascii="Arial" w:hAnsi="Arial"/>
              </w:rPr>
              <w:t xml:space="preserve">Graphic Packaging International supports the ARBs proposed change  under 95856 (h)(1)(c) and (2)(c) to allow current year vintage allowances up to the true-up amount for prior year compliance for facilities with leakage risk as identified in Table 9-1 of section 95891(b).   We ask that ARB consider enhancing this provision by removing the true-up amount limitation.   Allowing facilities to use current year vintage for prior year compliance can provide a strong cost containment benefit to EITE facilities.  Facilities could now delay purchases of allowances if they thought future prices of allowances would be cheaper.  As a facility with leakage risk, we see our proposed change as a significant means for cost – containment of cap and trade costs, a very important consideration for all EITE facilities.   </w:t>
            </w:r>
          </w:p>
        </w:tc>
      </w:tr>
    </w:tbl>
    <w:p w:rsidR="00615D42" w:rsidRDefault="00615D42">
      <w:pPr>
        <w:rPr>
          <w:rFonts w:ascii="Arial" w:hAnsi="Arial"/>
        </w:rPr>
      </w:pPr>
      <w:r>
        <w:rPr>
          <w:rFonts w:ascii="Arial" w:hAnsi="Arial"/>
        </w:rPr>
        <w:t xml:space="preserve">Reason for amendment: </w:t>
      </w:r>
    </w:p>
    <w:p w:rsidR="00615D42" w:rsidRDefault="00615D42">
      <w:pPr>
        <w:rPr>
          <w:rFonts w:ascii="Arial" w:hAnsi="Arial"/>
        </w:rPr>
      </w:pPr>
    </w:p>
    <w:p w:rsidR="00615D42" w:rsidRDefault="00615D42">
      <w:pPr>
        <w:rPr>
          <w:rFonts w:ascii="Arial" w:hAnsi="Arial"/>
        </w:rPr>
      </w:pPr>
    </w:p>
    <w:p w:rsidR="00615D42" w:rsidRDefault="00615D42">
      <w:pPr>
        <w:rPr>
          <w:rFonts w:ascii="Arial" w:hAnsi="Arial"/>
        </w:rPr>
      </w:pP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615D42" w:rsidRPr="00C1367E" w:rsidTr="00C1367E">
        <w:trPr>
          <w:trHeight w:val="980"/>
        </w:trPr>
        <w:tc>
          <w:tcPr>
            <w:tcW w:w="6472" w:type="dxa"/>
            <w:shd w:val="clear" w:color="auto" w:fill="BFBFBF"/>
          </w:tcPr>
          <w:p w:rsidR="00615D42" w:rsidRDefault="00615D42" w:rsidP="000245A8">
            <w:pPr>
              <w:numPr>
                <w:ilvl w:val="0"/>
                <w:numId w:val="1"/>
              </w:numPr>
              <w:rPr>
                <w:rFonts w:ascii="Arial" w:hAnsi="Arial"/>
              </w:rPr>
            </w:pPr>
            <w:r>
              <w:rPr>
                <w:rFonts w:ascii="Arial" w:hAnsi="Arial"/>
              </w:rPr>
              <w:t>We support the proposed change to 95856(h)(1)(c) and 95856(h)(2)(c) to allow the use of current year allowances for prior year compliance.</w:t>
            </w:r>
          </w:p>
          <w:p w:rsidR="00615D42" w:rsidRDefault="00615D42" w:rsidP="000245A8">
            <w:pPr>
              <w:numPr>
                <w:ilvl w:val="0"/>
                <w:numId w:val="1"/>
              </w:numPr>
              <w:rPr>
                <w:rFonts w:ascii="Arial" w:hAnsi="Arial"/>
              </w:rPr>
            </w:pPr>
            <w:r>
              <w:rPr>
                <w:rFonts w:ascii="Arial" w:hAnsi="Arial"/>
              </w:rPr>
              <w:t xml:space="preserve">We further ask that this concept be expanded by removing the true-up amount limitation so that the regulation can provide industry added cost-containment.  </w:t>
            </w:r>
          </w:p>
          <w:p w:rsidR="00615D42" w:rsidRPr="00C1367E" w:rsidRDefault="00615D42" w:rsidP="00C1367E">
            <w:pPr>
              <w:rPr>
                <w:rFonts w:ascii="Arial" w:hAnsi="Arial"/>
              </w:rPr>
            </w:pPr>
          </w:p>
        </w:tc>
      </w:tr>
    </w:tbl>
    <w:p w:rsidR="00615D42" w:rsidRDefault="00615D42">
      <w:pPr>
        <w:rPr>
          <w:rFonts w:ascii="Arial" w:hAnsi="Arial"/>
        </w:rPr>
      </w:pPr>
      <w:r>
        <w:rPr>
          <w:rFonts w:ascii="Arial" w:hAnsi="Arial"/>
        </w:rPr>
        <w:t xml:space="preserve">Additional information: </w:t>
      </w:r>
    </w:p>
    <w:p w:rsidR="00615D42" w:rsidRPr="00C113E7" w:rsidRDefault="00615D42">
      <w:pPr>
        <w:rPr>
          <w:rFonts w:ascii="Arial" w:hAnsi="Arial"/>
        </w:rPr>
      </w:pPr>
    </w:p>
    <w:sectPr w:rsidR="00615D42" w:rsidRPr="00C113E7" w:rsidSect="00E733F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42" w:rsidRDefault="00615D42" w:rsidP="00C113E7">
      <w:r>
        <w:separator/>
      </w:r>
    </w:p>
  </w:endnote>
  <w:endnote w:type="continuationSeparator" w:id="0">
    <w:p w:rsidR="00615D42" w:rsidRDefault="00615D42" w:rsidP="00C1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42" w:rsidRDefault="00615D42" w:rsidP="00C113E7">
      <w:r>
        <w:separator/>
      </w:r>
    </w:p>
  </w:footnote>
  <w:footnote w:type="continuationSeparator" w:id="0">
    <w:p w:rsidR="00615D42" w:rsidRDefault="00615D42" w:rsidP="00C1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42" w:rsidRDefault="00615D42" w:rsidP="00C113E7">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684B"/>
    <w:multiLevelType w:val="hybridMultilevel"/>
    <w:tmpl w:val="27DA6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FE0"/>
    <w:rsid w:val="00022420"/>
    <w:rsid w:val="000245A8"/>
    <w:rsid w:val="00096A45"/>
    <w:rsid w:val="00116058"/>
    <w:rsid w:val="00120A31"/>
    <w:rsid w:val="001253C9"/>
    <w:rsid w:val="00150996"/>
    <w:rsid w:val="00175906"/>
    <w:rsid w:val="001C3FE0"/>
    <w:rsid w:val="0020597A"/>
    <w:rsid w:val="002073DF"/>
    <w:rsid w:val="0021007D"/>
    <w:rsid w:val="002C2284"/>
    <w:rsid w:val="002C6003"/>
    <w:rsid w:val="003541BF"/>
    <w:rsid w:val="003B260B"/>
    <w:rsid w:val="00492E45"/>
    <w:rsid w:val="004C5F60"/>
    <w:rsid w:val="00514117"/>
    <w:rsid w:val="005350E6"/>
    <w:rsid w:val="00535EF8"/>
    <w:rsid w:val="005C2E7B"/>
    <w:rsid w:val="006037D7"/>
    <w:rsid w:val="00615D42"/>
    <w:rsid w:val="006512AF"/>
    <w:rsid w:val="00655CF3"/>
    <w:rsid w:val="00696723"/>
    <w:rsid w:val="006D68E3"/>
    <w:rsid w:val="0073190F"/>
    <w:rsid w:val="007411A0"/>
    <w:rsid w:val="00854220"/>
    <w:rsid w:val="008626B8"/>
    <w:rsid w:val="008C71C5"/>
    <w:rsid w:val="008D194C"/>
    <w:rsid w:val="008E2C5C"/>
    <w:rsid w:val="008F0C3D"/>
    <w:rsid w:val="00900231"/>
    <w:rsid w:val="00907CF9"/>
    <w:rsid w:val="00963A47"/>
    <w:rsid w:val="009F062A"/>
    <w:rsid w:val="00A404AD"/>
    <w:rsid w:val="00A42A4E"/>
    <w:rsid w:val="00A47E05"/>
    <w:rsid w:val="00A7657F"/>
    <w:rsid w:val="00AF1697"/>
    <w:rsid w:val="00AF6DF2"/>
    <w:rsid w:val="00B20E09"/>
    <w:rsid w:val="00C113E7"/>
    <w:rsid w:val="00C1367E"/>
    <w:rsid w:val="00C438CF"/>
    <w:rsid w:val="00C53939"/>
    <w:rsid w:val="00C625C7"/>
    <w:rsid w:val="00C75371"/>
    <w:rsid w:val="00C92F61"/>
    <w:rsid w:val="00CA3DE6"/>
    <w:rsid w:val="00CB4EE8"/>
    <w:rsid w:val="00CE14C1"/>
    <w:rsid w:val="00D51746"/>
    <w:rsid w:val="00DB1808"/>
    <w:rsid w:val="00DD1D51"/>
    <w:rsid w:val="00E733FF"/>
    <w:rsid w:val="00EA06FE"/>
    <w:rsid w:val="00EA3E00"/>
    <w:rsid w:val="00EE03BD"/>
    <w:rsid w:val="00F17CFF"/>
    <w:rsid w:val="00F64464"/>
    <w:rsid w:val="00F9426F"/>
    <w:rsid w:val="00FB48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3FE0"/>
    <w:rPr>
      <w:rFonts w:cs="Times New Roman"/>
      <w:color w:val="0000FF"/>
      <w:u w:val="single"/>
    </w:rPr>
  </w:style>
  <w:style w:type="paragraph" w:styleId="Header">
    <w:name w:val="header"/>
    <w:basedOn w:val="Normal"/>
    <w:link w:val="HeaderChar"/>
    <w:uiPriority w:val="99"/>
    <w:rsid w:val="00C113E7"/>
    <w:pPr>
      <w:tabs>
        <w:tab w:val="center" w:pos="4320"/>
        <w:tab w:val="right" w:pos="8640"/>
      </w:tabs>
    </w:pPr>
  </w:style>
  <w:style w:type="character" w:customStyle="1" w:styleId="HeaderChar">
    <w:name w:val="Header Char"/>
    <w:basedOn w:val="DefaultParagraphFont"/>
    <w:link w:val="Header"/>
    <w:uiPriority w:val="99"/>
    <w:locked/>
    <w:rsid w:val="00C113E7"/>
    <w:rPr>
      <w:rFonts w:cs="Times New Roman"/>
    </w:rPr>
  </w:style>
  <w:style w:type="paragraph" w:styleId="Footer">
    <w:name w:val="footer"/>
    <w:basedOn w:val="Normal"/>
    <w:link w:val="FooterChar"/>
    <w:uiPriority w:val="99"/>
    <w:rsid w:val="00C113E7"/>
    <w:pPr>
      <w:tabs>
        <w:tab w:val="center" w:pos="4320"/>
        <w:tab w:val="right" w:pos="8640"/>
      </w:tabs>
    </w:pPr>
  </w:style>
  <w:style w:type="character" w:customStyle="1" w:styleId="FooterChar">
    <w:name w:val="Footer Char"/>
    <w:basedOn w:val="DefaultParagraphFont"/>
    <w:link w:val="Footer"/>
    <w:uiPriority w:val="99"/>
    <w:locked/>
    <w:rsid w:val="00C113E7"/>
    <w:rPr>
      <w:rFonts w:cs="Times New Roman"/>
    </w:rPr>
  </w:style>
  <w:style w:type="character" w:styleId="CommentReference">
    <w:name w:val="annotation reference"/>
    <w:basedOn w:val="DefaultParagraphFont"/>
    <w:uiPriority w:val="99"/>
    <w:semiHidden/>
    <w:rsid w:val="00EE03BD"/>
    <w:rPr>
      <w:rFonts w:cs="Times New Roman"/>
      <w:sz w:val="18"/>
      <w:szCs w:val="18"/>
    </w:rPr>
  </w:style>
  <w:style w:type="paragraph" w:styleId="CommentText">
    <w:name w:val="annotation text"/>
    <w:basedOn w:val="Normal"/>
    <w:link w:val="CommentTextChar"/>
    <w:uiPriority w:val="99"/>
    <w:semiHidden/>
    <w:rsid w:val="00EE03BD"/>
  </w:style>
  <w:style w:type="character" w:customStyle="1" w:styleId="CommentTextChar">
    <w:name w:val="Comment Text Char"/>
    <w:basedOn w:val="DefaultParagraphFont"/>
    <w:link w:val="CommentText"/>
    <w:uiPriority w:val="99"/>
    <w:semiHidden/>
    <w:locked/>
    <w:rsid w:val="00EE03BD"/>
    <w:rPr>
      <w:rFonts w:cs="Times New Roman"/>
    </w:rPr>
  </w:style>
  <w:style w:type="paragraph" w:styleId="CommentSubject">
    <w:name w:val="annotation subject"/>
    <w:basedOn w:val="CommentText"/>
    <w:next w:val="CommentText"/>
    <w:link w:val="CommentSubjectChar"/>
    <w:uiPriority w:val="99"/>
    <w:semiHidden/>
    <w:rsid w:val="00EE03BD"/>
    <w:rPr>
      <w:b/>
      <w:bCs/>
      <w:sz w:val="20"/>
      <w:szCs w:val="20"/>
    </w:rPr>
  </w:style>
  <w:style w:type="character" w:customStyle="1" w:styleId="CommentSubjectChar">
    <w:name w:val="Comment Subject Char"/>
    <w:basedOn w:val="CommentTextChar"/>
    <w:link w:val="CommentSubject"/>
    <w:uiPriority w:val="99"/>
    <w:semiHidden/>
    <w:locked/>
    <w:rsid w:val="00EE03BD"/>
    <w:rPr>
      <w:b/>
      <w:bCs/>
      <w:sz w:val="20"/>
      <w:szCs w:val="20"/>
    </w:rPr>
  </w:style>
  <w:style w:type="paragraph" w:styleId="BalloonText">
    <w:name w:val="Balloon Text"/>
    <w:basedOn w:val="Normal"/>
    <w:link w:val="BalloonTextChar"/>
    <w:uiPriority w:val="99"/>
    <w:semiHidden/>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E03BD"/>
    <w:rPr>
      <w:rFonts w:ascii="Lucida Grande" w:hAnsi="Lucida Grande" w:cs="Times New Roman"/>
      <w:sz w:val="18"/>
      <w:szCs w:val="18"/>
    </w:rPr>
  </w:style>
  <w:style w:type="character" w:styleId="PlaceholderText">
    <w:name w:val="Placeholder Text"/>
    <w:basedOn w:val="DefaultParagraphFont"/>
    <w:uiPriority w:val="99"/>
    <w:semiHidden/>
    <w:rsid w:val="006512AF"/>
    <w:rPr>
      <w:rFonts w:cs="Times New Roman"/>
      <w:color w:val="808080"/>
    </w:rPr>
  </w:style>
  <w:style w:type="table" w:styleId="TableGrid">
    <w:name w:val="Table Grid"/>
    <w:basedOn w:val="TableNormal"/>
    <w:uiPriority w:val="99"/>
    <w:rsid w:val="001160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llgood@arb.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407</Words>
  <Characters>2324</Characters>
  <Application>Microsoft Office Outlook</Application>
  <DocSecurity>0</DocSecurity>
  <Lines>0</Lines>
  <Paragraphs>0</Paragraphs>
  <ScaleCrop>false</ScaleCrop>
  <Company>University of California,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Cap-and-Trade Regulation Amendment Request</dc:title>
  <dc:subject/>
  <dc:creator>Steven Cliff</dc:creator>
  <cp:keywords/>
  <dc:description/>
  <cp:lastModifiedBy>William Buchan</cp:lastModifiedBy>
  <cp:revision>4</cp:revision>
  <cp:lastPrinted>2013-07-15T17:50:00Z</cp:lastPrinted>
  <dcterms:created xsi:type="dcterms:W3CDTF">2013-08-01T20:57:00Z</dcterms:created>
  <dcterms:modified xsi:type="dcterms:W3CDTF">2013-08-02T20:23:00Z</dcterms:modified>
</cp:coreProperties>
</file>