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B3D" w:rsidRDefault="00060B3D" w:rsidP="003C2926">
      <w:pPr>
        <w:jc w:val="center"/>
        <w:rPr>
          <w:b/>
          <w:sz w:val="40"/>
          <w:szCs w:val="40"/>
        </w:rPr>
      </w:pPr>
      <w:bookmarkStart w:id="0" w:name="_GoBack"/>
      <w:bookmarkEnd w:id="0"/>
      <w:r>
        <w:rPr>
          <w:noProof/>
        </w:rPr>
        <w:drawing>
          <wp:inline distT="0" distB="0" distL="0" distR="0" wp14:anchorId="39CF7101" wp14:editId="662EFDD7">
            <wp:extent cx="1457325" cy="504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504825"/>
                    </a:xfrm>
                    <a:prstGeom prst="rect">
                      <a:avLst/>
                    </a:prstGeom>
                    <a:noFill/>
                    <a:ln>
                      <a:noFill/>
                    </a:ln>
                  </pic:spPr>
                </pic:pic>
              </a:graphicData>
            </a:graphic>
          </wp:inline>
        </w:drawing>
      </w:r>
    </w:p>
    <w:p w:rsidR="00060B3D" w:rsidRPr="0041278A" w:rsidRDefault="00060B3D" w:rsidP="00060B3D">
      <w:pPr>
        <w:keepNext/>
        <w:spacing w:after="0" w:line="240" w:lineRule="auto"/>
        <w:jc w:val="center"/>
        <w:outlineLvl w:val="3"/>
        <w:rPr>
          <w:rFonts w:ascii="Arial" w:eastAsia="Times New Roman" w:hAnsi="Arial" w:cs="Arial"/>
          <w:b/>
          <w:color w:val="808080"/>
        </w:rPr>
      </w:pPr>
      <w:r w:rsidRPr="0041278A">
        <w:rPr>
          <w:rFonts w:ascii="Arial" w:eastAsia="Times New Roman" w:hAnsi="Arial" w:cs="Arial"/>
          <w:b/>
          <w:color w:val="808080"/>
        </w:rPr>
        <w:t>Western States Petroleum Association</w:t>
      </w:r>
    </w:p>
    <w:p w:rsidR="00060B3D" w:rsidRPr="0041278A" w:rsidRDefault="00060B3D" w:rsidP="00060B3D">
      <w:pPr>
        <w:spacing w:after="0" w:line="240" w:lineRule="auto"/>
        <w:jc w:val="center"/>
        <w:rPr>
          <w:rFonts w:ascii="Arial" w:eastAsia="Times New Roman" w:hAnsi="Arial" w:cs="Arial"/>
          <w:color w:val="336699"/>
        </w:rPr>
      </w:pPr>
      <w:r w:rsidRPr="0041278A">
        <w:rPr>
          <w:rFonts w:ascii="Arial" w:eastAsia="Times New Roman" w:hAnsi="Arial" w:cs="Arial"/>
          <w:color w:val="336699"/>
        </w:rPr>
        <w:t xml:space="preserve">Credible Solutions </w:t>
      </w:r>
      <w:r w:rsidRPr="0041278A">
        <w:rPr>
          <w:rFonts w:ascii="Arial" w:eastAsia="Times New Roman" w:hAnsi="Arial" w:cs="Arial"/>
          <w:color w:val="336699"/>
        </w:rPr>
        <w:sym w:font="Symbol" w:char="F0B7"/>
      </w:r>
      <w:r w:rsidRPr="0041278A">
        <w:rPr>
          <w:rFonts w:ascii="Arial" w:eastAsia="Times New Roman" w:hAnsi="Arial" w:cs="Arial"/>
          <w:color w:val="336699"/>
        </w:rPr>
        <w:t xml:space="preserve"> Responsive Service </w:t>
      </w:r>
      <w:r w:rsidRPr="0041278A">
        <w:rPr>
          <w:rFonts w:ascii="Arial" w:eastAsia="Times New Roman" w:hAnsi="Arial" w:cs="Arial"/>
          <w:color w:val="336699"/>
        </w:rPr>
        <w:sym w:font="Symbol" w:char="F0B7"/>
      </w:r>
      <w:r w:rsidRPr="0041278A">
        <w:rPr>
          <w:rFonts w:ascii="Arial" w:eastAsia="Times New Roman" w:hAnsi="Arial" w:cs="Arial"/>
          <w:color w:val="336699"/>
        </w:rPr>
        <w:t xml:space="preserve"> Since 1907</w:t>
      </w:r>
    </w:p>
    <w:p w:rsidR="00060B3D" w:rsidRPr="0041278A" w:rsidRDefault="00060B3D" w:rsidP="00060B3D">
      <w:pPr>
        <w:spacing w:after="0" w:line="240" w:lineRule="auto"/>
        <w:rPr>
          <w:rFonts w:ascii="Arial" w:eastAsia="Times New Roman" w:hAnsi="Arial" w:cs="Arial"/>
          <w:color w:val="336699"/>
        </w:rPr>
      </w:pPr>
    </w:p>
    <w:p w:rsidR="007766C1" w:rsidRDefault="007766C1" w:rsidP="00060B3D">
      <w:pPr>
        <w:keepNext/>
        <w:spacing w:after="0" w:line="240" w:lineRule="auto"/>
        <w:jc w:val="both"/>
        <w:outlineLvl w:val="0"/>
        <w:rPr>
          <w:rFonts w:ascii="Arial" w:eastAsia="Times New Roman" w:hAnsi="Arial" w:cs="Arial"/>
          <w:b/>
          <w:color w:val="336699"/>
          <w:lang w:eastAsia="x-none"/>
        </w:rPr>
      </w:pPr>
    </w:p>
    <w:p w:rsidR="00060B3D" w:rsidRPr="0041278A" w:rsidRDefault="00060B3D" w:rsidP="00060B3D">
      <w:pPr>
        <w:keepNext/>
        <w:spacing w:after="0" w:line="240" w:lineRule="auto"/>
        <w:jc w:val="both"/>
        <w:outlineLvl w:val="0"/>
        <w:rPr>
          <w:rFonts w:ascii="Arial" w:eastAsia="Times New Roman" w:hAnsi="Arial" w:cs="Arial"/>
          <w:b/>
          <w:color w:val="0000FF"/>
          <w:lang w:val="x-none" w:eastAsia="x-none"/>
        </w:rPr>
      </w:pPr>
      <w:r w:rsidRPr="0041278A">
        <w:rPr>
          <w:rFonts w:ascii="Arial" w:eastAsia="Times New Roman" w:hAnsi="Arial" w:cs="Arial"/>
          <w:b/>
          <w:color w:val="336699"/>
          <w:lang w:val="x-none" w:eastAsia="x-none"/>
        </w:rPr>
        <w:t>Catherine Reheis-Boyd</w:t>
      </w:r>
    </w:p>
    <w:p w:rsidR="00060B3D" w:rsidRPr="0041278A" w:rsidRDefault="00060B3D" w:rsidP="00060B3D">
      <w:pPr>
        <w:spacing w:after="0" w:line="240" w:lineRule="auto"/>
        <w:jc w:val="both"/>
        <w:rPr>
          <w:rFonts w:ascii="Arial" w:eastAsia="Times New Roman" w:hAnsi="Arial" w:cs="Arial"/>
          <w:color w:val="808080"/>
        </w:rPr>
      </w:pPr>
      <w:r w:rsidRPr="0041278A">
        <w:rPr>
          <w:rFonts w:ascii="Arial" w:eastAsia="Times New Roman" w:hAnsi="Arial" w:cs="Arial"/>
          <w:color w:val="808080"/>
        </w:rPr>
        <w:t>President</w:t>
      </w:r>
    </w:p>
    <w:p w:rsidR="00060B3D" w:rsidRPr="0041278A" w:rsidRDefault="00060B3D" w:rsidP="00060B3D">
      <w:pPr>
        <w:spacing w:after="0" w:line="240" w:lineRule="auto"/>
        <w:jc w:val="both"/>
        <w:rPr>
          <w:rFonts w:ascii="Arial" w:eastAsia="Times New Roman" w:hAnsi="Arial" w:cs="Arial"/>
          <w:b/>
          <w:color w:val="FF0000"/>
        </w:rPr>
      </w:pPr>
    </w:p>
    <w:p w:rsidR="00060B3D" w:rsidRPr="00C93934" w:rsidRDefault="00060B3D" w:rsidP="00892229">
      <w:pPr>
        <w:spacing w:after="0" w:line="240" w:lineRule="auto"/>
        <w:jc w:val="both"/>
        <w:rPr>
          <w:rFonts w:ascii="Times New Roman" w:eastAsia="Times New Roman" w:hAnsi="Times New Roman" w:cs="Times New Roman"/>
          <w:b/>
          <w:color w:val="FF0000"/>
        </w:rPr>
      </w:pPr>
      <w:r>
        <w:rPr>
          <w:rFonts w:ascii="Times New Roman" w:eastAsia="Times New Roman" w:hAnsi="Times New Roman" w:cs="Times New Roman"/>
        </w:rPr>
        <w:t xml:space="preserve">November </w:t>
      </w:r>
      <w:r w:rsidR="00FE5E85">
        <w:rPr>
          <w:rFonts w:ascii="Times New Roman" w:eastAsia="Times New Roman" w:hAnsi="Times New Roman" w:cs="Times New Roman"/>
        </w:rPr>
        <w:t>2</w:t>
      </w:r>
      <w:r w:rsidR="00AF58C7">
        <w:rPr>
          <w:rFonts w:ascii="Times New Roman" w:eastAsia="Times New Roman" w:hAnsi="Times New Roman" w:cs="Times New Roman"/>
        </w:rPr>
        <w:t>8</w:t>
      </w:r>
      <w:r w:rsidRPr="00C93934">
        <w:rPr>
          <w:rFonts w:ascii="Times New Roman" w:eastAsia="Times New Roman" w:hAnsi="Times New Roman" w:cs="Times New Roman"/>
        </w:rPr>
        <w:t xml:space="preserve">, 2016 </w:t>
      </w:r>
      <w:r w:rsidRPr="00C93934">
        <w:rPr>
          <w:rFonts w:ascii="Times New Roman" w:eastAsia="Times New Roman" w:hAnsi="Times New Roman" w:cs="Times New Roman"/>
        </w:rPr>
        <w:tab/>
      </w:r>
      <w:r w:rsidRPr="00C93934">
        <w:rPr>
          <w:rFonts w:ascii="Times New Roman" w:eastAsia="Times New Roman" w:hAnsi="Times New Roman" w:cs="Times New Roman"/>
        </w:rPr>
        <w:tab/>
      </w:r>
    </w:p>
    <w:p w:rsidR="00060B3D" w:rsidRPr="00C93934" w:rsidRDefault="00060B3D" w:rsidP="00892229">
      <w:pPr>
        <w:spacing w:after="0" w:line="240" w:lineRule="auto"/>
        <w:jc w:val="both"/>
        <w:rPr>
          <w:rFonts w:ascii="Times New Roman" w:eastAsia="Times New Roman" w:hAnsi="Times New Roman" w:cs="Times New Roman"/>
          <w:b/>
          <w:color w:val="FF0000"/>
        </w:rPr>
      </w:pPr>
    </w:p>
    <w:p w:rsidR="00060B3D" w:rsidRPr="00C93934" w:rsidRDefault="00060B3D" w:rsidP="00892229">
      <w:pPr>
        <w:spacing w:after="0" w:line="240" w:lineRule="auto"/>
        <w:jc w:val="both"/>
        <w:rPr>
          <w:rFonts w:ascii="Times New Roman" w:eastAsia="Times New Roman" w:hAnsi="Times New Roman" w:cs="Times New Roman"/>
        </w:rPr>
      </w:pPr>
      <w:r w:rsidRPr="00C93934">
        <w:rPr>
          <w:rFonts w:ascii="Times New Roman" w:eastAsia="Times New Roman" w:hAnsi="Times New Roman" w:cs="Times New Roman"/>
        </w:rPr>
        <w:t>Ms. Rajinder Sahota</w:t>
      </w:r>
      <w:r w:rsidRPr="00C93934">
        <w:rPr>
          <w:rFonts w:ascii="Times New Roman" w:eastAsia="Times New Roman" w:hAnsi="Times New Roman" w:cs="Times New Roman"/>
        </w:rPr>
        <w:tab/>
      </w:r>
      <w:r w:rsidRPr="00C93934">
        <w:rPr>
          <w:rFonts w:ascii="Times New Roman" w:eastAsia="Times New Roman" w:hAnsi="Times New Roman" w:cs="Times New Roman"/>
        </w:rPr>
        <w:tab/>
      </w:r>
      <w:r w:rsidRPr="00C93934">
        <w:rPr>
          <w:rFonts w:ascii="Times New Roman" w:eastAsia="Times New Roman" w:hAnsi="Times New Roman" w:cs="Times New Roman"/>
        </w:rPr>
        <w:tab/>
      </w:r>
      <w:r w:rsidRPr="00C93934">
        <w:rPr>
          <w:rFonts w:ascii="Times New Roman" w:eastAsia="Times New Roman" w:hAnsi="Times New Roman" w:cs="Times New Roman"/>
        </w:rPr>
        <w:tab/>
      </w:r>
      <w:r w:rsidRPr="00C93934">
        <w:rPr>
          <w:rFonts w:ascii="Times New Roman" w:eastAsia="Times New Roman" w:hAnsi="Times New Roman" w:cs="Times New Roman"/>
        </w:rPr>
        <w:tab/>
      </w:r>
      <w:r w:rsidRPr="00C93934">
        <w:rPr>
          <w:rFonts w:ascii="Times New Roman" w:eastAsia="Times New Roman" w:hAnsi="Times New Roman" w:cs="Times New Roman"/>
        </w:rPr>
        <w:tab/>
        <w:t>via e-mail at: rsahota@arb.ca.gov</w:t>
      </w:r>
    </w:p>
    <w:p w:rsidR="00060B3D" w:rsidRPr="00C93934" w:rsidRDefault="00060B3D" w:rsidP="00892229">
      <w:pPr>
        <w:spacing w:after="0" w:line="240" w:lineRule="auto"/>
        <w:jc w:val="both"/>
        <w:rPr>
          <w:rFonts w:ascii="Times New Roman" w:eastAsia="Times New Roman" w:hAnsi="Times New Roman" w:cs="Times New Roman"/>
        </w:rPr>
      </w:pPr>
      <w:r w:rsidRPr="00C93934">
        <w:rPr>
          <w:rFonts w:ascii="Times New Roman" w:eastAsia="Times New Roman" w:hAnsi="Times New Roman" w:cs="Times New Roman"/>
        </w:rPr>
        <w:t>California Air Resources Board</w:t>
      </w:r>
    </w:p>
    <w:p w:rsidR="00060B3D" w:rsidRPr="00C93934" w:rsidRDefault="00060B3D" w:rsidP="00892229">
      <w:pPr>
        <w:spacing w:after="0" w:line="240" w:lineRule="auto"/>
        <w:jc w:val="both"/>
        <w:rPr>
          <w:rFonts w:ascii="Times New Roman" w:eastAsia="Times New Roman" w:hAnsi="Times New Roman" w:cs="Times New Roman"/>
        </w:rPr>
      </w:pPr>
      <w:r w:rsidRPr="00C93934">
        <w:rPr>
          <w:rFonts w:ascii="Times New Roman" w:eastAsia="Times New Roman" w:hAnsi="Times New Roman" w:cs="Times New Roman"/>
        </w:rPr>
        <w:t>1001 I Street</w:t>
      </w:r>
    </w:p>
    <w:p w:rsidR="00060B3D" w:rsidRPr="00C93934" w:rsidRDefault="00060B3D" w:rsidP="00892229">
      <w:pPr>
        <w:spacing w:after="0" w:line="240" w:lineRule="auto"/>
        <w:jc w:val="both"/>
        <w:rPr>
          <w:rFonts w:ascii="Times New Roman" w:eastAsia="Times New Roman" w:hAnsi="Times New Roman" w:cs="Times New Roman"/>
        </w:rPr>
      </w:pPr>
      <w:r w:rsidRPr="00C93934">
        <w:rPr>
          <w:rFonts w:ascii="Times New Roman" w:eastAsia="Times New Roman" w:hAnsi="Times New Roman" w:cs="Times New Roman"/>
        </w:rPr>
        <w:t xml:space="preserve">Sacramento, CA 95814 </w:t>
      </w:r>
    </w:p>
    <w:p w:rsidR="00060B3D" w:rsidRPr="00C93934" w:rsidRDefault="00060B3D" w:rsidP="00892229">
      <w:pPr>
        <w:autoSpaceDE w:val="0"/>
        <w:autoSpaceDN w:val="0"/>
        <w:adjustRightInd w:val="0"/>
        <w:spacing w:after="0" w:line="240" w:lineRule="auto"/>
        <w:jc w:val="both"/>
        <w:rPr>
          <w:rFonts w:ascii="Times New Roman" w:hAnsi="Times New Roman" w:cs="Times New Roman"/>
          <w:color w:val="000000"/>
        </w:rPr>
      </w:pPr>
    </w:p>
    <w:p w:rsidR="00060B3D" w:rsidRPr="00074980" w:rsidRDefault="00060B3D" w:rsidP="00892229">
      <w:pPr>
        <w:tabs>
          <w:tab w:val="left" w:pos="720"/>
        </w:tabs>
        <w:autoSpaceDE w:val="0"/>
        <w:autoSpaceDN w:val="0"/>
        <w:adjustRightInd w:val="0"/>
        <w:spacing w:after="0" w:line="240" w:lineRule="auto"/>
        <w:ind w:left="720" w:hanging="720"/>
        <w:jc w:val="both"/>
        <w:rPr>
          <w:rFonts w:ascii="Times New Roman" w:hAnsi="Times New Roman" w:cs="Times New Roman"/>
          <w:b/>
        </w:rPr>
      </w:pPr>
      <w:r w:rsidRPr="00074980">
        <w:rPr>
          <w:rFonts w:ascii="Times New Roman" w:hAnsi="Times New Roman" w:cs="Times New Roman"/>
          <w:b/>
        </w:rPr>
        <w:t>Re:</w:t>
      </w:r>
      <w:r w:rsidRPr="00074980">
        <w:rPr>
          <w:rFonts w:ascii="Times New Roman" w:hAnsi="Times New Roman" w:cs="Times New Roman"/>
          <w:b/>
        </w:rPr>
        <w:tab/>
        <w:t>WSPA Comments on ARB’s informal draft concepts for AB 197 Implementation, Proposed Post-2020 Assistance Factors and Market Data Disclosure</w:t>
      </w:r>
    </w:p>
    <w:p w:rsidR="00060B3D" w:rsidRPr="00074980" w:rsidRDefault="00060B3D" w:rsidP="00892229">
      <w:pPr>
        <w:spacing w:after="0"/>
        <w:jc w:val="both"/>
        <w:rPr>
          <w:rFonts w:ascii="Times New Roman" w:hAnsi="Times New Roman" w:cs="Times New Roman"/>
          <w:b/>
        </w:rPr>
      </w:pPr>
    </w:p>
    <w:p w:rsidR="00060B3D" w:rsidRPr="00074980" w:rsidRDefault="00060B3D" w:rsidP="00892229">
      <w:pPr>
        <w:autoSpaceDE w:val="0"/>
        <w:autoSpaceDN w:val="0"/>
        <w:adjustRightInd w:val="0"/>
        <w:spacing w:after="0" w:line="240" w:lineRule="auto"/>
        <w:jc w:val="both"/>
        <w:rPr>
          <w:rFonts w:ascii="Times New Roman" w:hAnsi="Times New Roman" w:cs="Times New Roman"/>
          <w:color w:val="000000"/>
        </w:rPr>
      </w:pPr>
    </w:p>
    <w:p w:rsidR="00060B3D" w:rsidRPr="00074980" w:rsidRDefault="00060B3D" w:rsidP="00892229">
      <w:pPr>
        <w:autoSpaceDE w:val="0"/>
        <w:autoSpaceDN w:val="0"/>
        <w:adjustRightInd w:val="0"/>
        <w:spacing w:after="0" w:line="240" w:lineRule="auto"/>
        <w:jc w:val="both"/>
        <w:rPr>
          <w:rFonts w:ascii="Times New Roman" w:hAnsi="Times New Roman" w:cs="Times New Roman"/>
          <w:color w:val="000000"/>
        </w:rPr>
      </w:pPr>
      <w:r w:rsidRPr="00074980">
        <w:rPr>
          <w:rFonts w:ascii="Times New Roman" w:hAnsi="Times New Roman" w:cs="Times New Roman"/>
          <w:color w:val="000000"/>
        </w:rPr>
        <w:t>Dear Ms. Sahota:</w:t>
      </w:r>
    </w:p>
    <w:p w:rsidR="00060B3D" w:rsidRPr="00074980" w:rsidRDefault="00060B3D" w:rsidP="00892229">
      <w:pPr>
        <w:autoSpaceDE w:val="0"/>
        <w:autoSpaceDN w:val="0"/>
        <w:adjustRightInd w:val="0"/>
        <w:spacing w:after="0" w:line="240" w:lineRule="auto"/>
        <w:jc w:val="both"/>
        <w:rPr>
          <w:rFonts w:ascii="Times New Roman" w:hAnsi="Times New Roman" w:cs="Times New Roman"/>
          <w:color w:val="000000"/>
        </w:rPr>
      </w:pPr>
    </w:p>
    <w:p w:rsidR="00060B3D" w:rsidRPr="00C158F9" w:rsidRDefault="00060B3D" w:rsidP="00892229">
      <w:pPr>
        <w:jc w:val="both"/>
        <w:rPr>
          <w:rFonts w:ascii="Times New Roman" w:hAnsi="Times New Roman" w:cs="Times New Roman"/>
        </w:rPr>
      </w:pPr>
      <w:r w:rsidRPr="00074980">
        <w:rPr>
          <w:rFonts w:ascii="Times New Roman" w:hAnsi="Times New Roman" w:cs="Times New Roman"/>
        </w:rPr>
        <w:t xml:space="preserve">The Western States Petroleum Association (WSPA) is a non-profit trade association representing companies that explore for, produce, refine, transport and market petroleum, petroleum products, natural gas and other energy supplies in California and four other western states. WSPA appreciates this opportunity to provide comments on the Air Resources Board’s (ARB) informal draft concepts for further changes to the proposed </w:t>
      </w:r>
      <w:r w:rsidR="005B67A3">
        <w:rPr>
          <w:rFonts w:ascii="Times New Roman" w:hAnsi="Times New Roman" w:cs="Times New Roman"/>
        </w:rPr>
        <w:t>Cap-and-Trade</w:t>
      </w:r>
      <w:r w:rsidRPr="00074980">
        <w:rPr>
          <w:rFonts w:ascii="Times New Roman" w:hAnsi="Times New Roman" w:cs="Times New Roman"/>
        </w:rPr>
        <w:t xml:space="preserve"> regulation amendments to address</w:t>
      </w:r>
      <w:r w:rsidR="00BE1069" w:rsidRPr="00074980">
        <w:rPr>
          <w:rFonts w:ascii="Times New Roman" w:hAnsi="Times New Roman" w:cs="Times New Roman"/>
        </w:rPr>
        <w:t xml:space="preserve">: 1) </w:t>
      </w:r>
      <w:r w:rsidRPr="00074980">
        <w:rPr>
          <w:rFonts w:ascii="Times New Roman" w:hAnsi="Times New Roman" w:cs="Times New Roman"/>
        </w:rPr>
        <w:t>AB 197 implementation</w:t>
      </w:r>
      <w:r w:rsidR="006B44A2">
        <w:rPr>
          <w:rFonts w:ascii="Times New Roman" w:hAnsi="Times New Roman" w:cs="Times New Roman"/>
        </w:rPr>
        <w:t>;</w:t>
      </w:r>
      <w:r w:rsidR="00BE1069" w:rsidRPr="00074980">
        <w:rPr>
          <w:rFonts w:ascii="Times New Roman" w:hAnsi="Times New Roman" w:cs="Times New Roman"/>
        </w:rPr>
        <w:t xml:space="preserve"> 2) p</w:t>
      </w:r>
      <w:r w:rsidRPr="00074980">
        <w:rPr>
          <w:rFonts w:ascii="Times New Roman" w:hAnsi="Times New Roman" w:cs="Times New Roman"/>
        </w:rPr>
        <w:t>ost-2020 assistance factors</w:t>
      </w:r>
      <w:r w:rsidR="006B44A2">
        <w:rPr>
          <w:rFonts w:ascii="Times New Roman" w:hAnsi="Times New Roman" w:cs="Times New Roman"/>
        </w:rPr>
        <w:t>;</w:t>
      </w:r>
      <w:r w:rsidR="00BE1069" w:rsidRPr="00074980">
        <w:rPr>
          <w:rFonts w:ascii="Times New Roman" w:hAnsi="Times New Roman" w:cs="Times New Roman"/>
        </w:rPr>
        <w:t xml:space="preserve"> and 3) m</w:t>
      </w:r>
      <w:r w:rsidRPr="00074980">
        <w:rPr>
          <w:rFonts w:ascii="Times New Roman" w:hAnsi="Times New Roman" w:cs="Times New Roman"/>
        </w:rPr>
        <w:t>arket data disclosures</w:t>
      </w:r>
      <w:r w:rsidR="00BE1069" w:rsidRPr="00074980">
        <w:rPr>
          <w:rFonts w:ascii="Times New Roman" w:hAnsi="Times New Roman" w:cs="Times New Roman"/>
        </w:rPr>
        <w:t xml:space="preserve">, </w:t>
      </w:r>
      <w:r w:rsidRPr="00074980">
        <w:rPr>
          <w:rFonts w:ascii="Times New Roman" w:hAnsi="Times New Roman" w:cs="Times New Roman"/>
        </w:rPr>
        <w:t xml:space="preserve">discussed during ARB’s October 21, 2016 </w:t>
      </w:r>
      <w:r w:rsidRPr="00C158F9">
        <w:rPr>
          <w:rFonts w:ascii="Times New Roman" w:hAnsi="Times New Roman" w:cs="Times New Roman"/>
        </w:rPr>
        <w:t>public workshop.</w:t>
      </w:r>
    </w:p>
    <w:p w:rsidR="001F4C49" w:rsidRDefault="00C158F9" w:rsidP="00892229">
      <w:pPr>
        <w:jc w:val="both"/>
        <w:rPr>
          <w:rFonts w:ascii="Times New Roman" w:hAnsi="Times New Roman" w:cs="Times New Roman"/>
        </w:rPr>
      </w:pPr>
      <w:r w:rsidRPr="00C158F9">
        <w:rPr>
          <w:rFonts w:ascii="Times New Roman" w:hAnsi="Times New Roman" w:cs="Times New Roman"/>
        </w:rPr>
        <w:t xml:space="preserve">In addition to the following </w:t>
      </w:r>
      <w:r w:rsidR="00AB6EBB" w:rsidRPr="00C158F9">
        <w:rPr>
          <w:rFonts w:ascii="Times New Roman" w:hAnsi="Times New Roman" w:cs="Times New Roman"/>
        </w:rPr>
        <w:t xml:space="preserve">comments </w:t>
      </w:r>
      <w:r w:rsidRPr="00C158F9">
        <w:rPr>
          <w:rFonts w:ascii="Times New Roman" w:hAnsi="Times New Roman" w:cs="Times New Roman"/>
        </w:rPr>
        <w:t xml:space="preserve">on the above noted policy </w:t>
      </w:r>
      <w:r w:rsidR="00670D90">
        <w:rPr>
          <w:rFonts w:ascii="Times New Roman" w:hAnsi="Times New Roman" w:cs="Times New Roman"/>
        </w:rPr>
        <w:t>issues</w:t>
      </w:r>
      <w:r w:rsidRPr="00C158F9">
        <w:rPr>
          <w:rFonts w:ascii="Times New Roman" w:hAnsi="Times New Roman" w:cs="Times New Roman"/>
        </w:rPr>
        <w:t>, WSPA recommends that ARB take several specific actions consistent with its stated policy positions and statutory obligations.  These recommendations are summarized here by topic area for ease of reference.</w:t>
      </w:r>
    </w:p>
    <w:p w:rsidR="002C0B2D" w:rsidRDefault="00C158F9" w:rsidP="00C158F9">
      <w:pPr>
        <w:pStyle w:val="ListParagraph"/>
        <w:numPr>
          <w:ilvl w:val="0"/>
          <w:numId w:val="29"/>
        </w:numPr>
        <w:jc w:val="both"/>
        <w:rPr>
          <w:rFonts w:ascii="Times New Roman" w:hAnsi="Times New Roman" w:cs="Times New Roman"/>
          <w:b/>
        </w:rPr>
      </w:pPr>
      <w:r>
        <w:rPr>
          <w:rFonts w:ascii="Times New Roman" w:hAnsi="Times New Roman" w:cs="Times New Roman"/>
          <w:b/>
        </w:rPr>
        <w:t xml:space="preserve">AB 197 </w:t>
      </w:r>
      <w:r w:rsidR="002C0B2D">
        <w:rPr>
          <w:rFonts w:ascii="Times New Roman" w:hAnsi="Times New Roman" w:cs="Times New Roman"/>
          <w:b/>
        </w:rPr>
        <w:t>Implementation Concepts</w:t>
      </w:r>
    </w:p>
    <w:p w:rsidR="00CE1997" w:rsidRDefault="00CE1997" w:rsidP="00CE1997">
      <w:pPr>
        <w:pStyle w:val="ListParagraph"/>
        <w:jc w:val="both"/>
        <w:rPr>
          <w:rFonts w:ascii="Times New Roman" w:hAnsi="Times New Roman" w:cs="Times New Roman"/>
          <w:b/>
        </w:rPr>
      </w:pPr>
    </w:p>
    <w:p w:rsidR="0072427A" w:rsidRPr="00B01A7C" w:rsidRDefault="0072427A" w:rsidP="006B44A2">
      <w:pPr>
        <w:pStyle w:val="ListParagraph"/>
        <w:numPr>
          <w:ilvl w:val="1"/>
          <w:numId w:val="32"/>
        </w:numPr>
        <w:jc w:val="both"/>
        <w:rPr>
          <w:rFonts w:ascii="Times New Roman" w:hAnsi="Times New Roman" w:cs="Times New Roman"/>
          <w:b/>
        </w:rPr>
      </w:pPr>
      <w:r w:rsidRPr="0072427A">
        <w:rPr>
          <w:rFonts w:ascii="Times New Roman" w:hAnsi="Times New Roman" w:cs="Times New Roman"/>
          <w:b/>
          <w:iCs/>
        </w:rPr>
        <w:t>“Cost Burden” Allocation</w:t>
      </w:r>
      <w:r w:rsidRPr="0072427A">
        <w:rPr>
          <w:rFonts w:ascii="Times New Roman" w:hAnsi="Times New Roman" w:cs="Times New Roman"/>
          <w:iCs/>
        </w:rPr>
        <w:t xml:space="preserve"> –The staff presentation </w:t>
      </w:r>
      <w:r w:rsidRPr="00D44D7F">
        <w:rPr>
          <w:rFonts w:ascii="Times New Roman" w:hAnsi="Times New Roman" w:cs="Times New Roman"/>
          <w:iCs/>
        </w:rPr>
        <w:t>suggests greater reliance on on-si</w:t>
      </w:r>
      <w:r w:rsidRPr="00EE6349">
        <w:rPr>
          <w:rFonts w:ascii="Times New Roman" w:hAnsi="Times New Roman" w:cs="Times New Roman"/>
          <w:iCs/>
        </w:rPr>
        <w:t xml:space="preserve">te emissions reductions in lieu of </w:t>
      </w:r>
      <w:r w:rsidR="005B67A3">
        <w:rPr>
          <w:rFonts w:ascii="Times New Roman" w:hAnsi="Times New Roman" w:cs="Times New Roman"/>
          <w:iCs/>
        </w:rPr>
        <w:t>Cap-and-Trade</w:t>
      </w:r>
      <w:r w:rsidRPr="00EE6349">
        <w:rPr>
          <w:rFonts w:ascii="Times New Roman" w:hAnsi="Times New Roman" w:cs="Times New Roman"/>
          <w:iCs/>
        </w:rPr>
        <w:t xml:space="preserve"> as a rationale for reducing allocation, disregarding recommendations from ARB’</w:t>
      </w:r>
      <w:r w:rsidRPr="009469ED">
        <w:rPr>
          <w:rFonts w:ascii="Times New Roman" w:hAnsi="Times New Roman" w:cs="Times New Roman"/>
          <w:iCs/>
        </w:rPr>
        <w:t xml:space="preserve">s Executive Officer </w:t>
      </w:r>
      <w:r w:rsidRPr="00290CC1">
        <w:rPr>
          <w:rFonts w:ascii="Times New Roman" w:hAnsi="Times New Roman" w:cs="Times New Roman"/>
          <w:iCs/>
        </w:rPr>
        <w:t xml:space="preserve">to </w:t>
      </w:r>
      <w:r w:rsidRPr="00767D9C">
        <w:rPr>
          <w:rFonts w:ascii="Times New Roman" w:hAnsi="Times New Roman" w:cs="Times New Roman"/>
          <w:iCs/>
        </w:rPr>
        <w:t>the contrary</w:t>
      </w:r>
      <w:r w:rsidRPr="00B01A7C">
        <w:rPr>
          <w:rFonts w:ascii="Times New Roman" w:hAnsi="Times New Roman" w:cs="Times New Roman"/>
          <w:iCs/>
        </w:rPr>
        <w:t>.</w:t>
      </w:r>
      <w:r w:rsidR="006B44A2" w:rsidRPr="006B44A2">
        <w:t xml:space="preserve"> </w:t>
      </w:r>
      <w:r w:rsidR="006B44A2" w:rsidRPr="006B44A2">
        <w:rPr>
          <w:rFonts w:ascii="Times New Roman" w:hAnsi="Times New Roman" w:cs="Times New Roman"/>
          <w:iCs/>
        </w:rPr>
        <w:t xml:space="preserve">ARB should abandon this concept.  </w:t>
      </w:r>
    </w:p>
    <w:p w:rsidR="00C158F9" w:rsidRPr="00C158F9" w:rsidRDefault="00C158F9" w:rsidP="00467D30">
      <w:pPr>
        <w:pStyle w:val="ListParagraph"/>
        <w:numPr>
          <w:ilvl w:val="1"/>
          <w:numId w:val="32"/>
        </w:numPr>
        <w:jc w:val="both"/>
        <w:rPr>
          <w:rFonts w:ascii="Times New Roman" w:hAnsi="Times New Roman" w:cs="Times New Roman"/>
          <w:b/>
        </w:rPr>
      </w:pPr>
      <w:r>
        <w:rPr>
          <w:rFonts w:ascii="Times New Roman" w:hAnsi="Times New Roman" w:cs="Times New Roman"/>
          <w:b/>
        </w:rPr>
        <w:t>Offsets</w:t>
      </w:r>
      <w:r w:rsidRPr="00C158F9">
        <w:rPr>
          <w:rFonts w:ascii="Times New Roman" w:hAnsi="Times New Roman" w:cs="Times New Roman"/>
          <w:b/>
        </w:rPr>
        <w:t xml:space="preserve"> – </w:t>
      </w:r>
      <w:r w:rsidR="006B44A2">
        <w:rPr>
          <w:rFonts w:ascii="Times New Roman" w:hAnsi="Times New Roman" w:cs="Times New Roman"/>
        </w:rPr>
        <w:t>If ARB were to</w:t>
      </w:r>
      <w:r w:rsidRPr="00DF2981">
        <w:rPr>
          <w:rFonts w:ascii="Times New Roman" w:hAnsi="Times New Roman" w:cs="Times New Roman"/>
        </w:rPr>
        <w:t xml:space="preserve"> reduce the current 8% offset use limit</w:t>
      </w:r>
      <w:r w:rsidR="006B44A2">
        <w:rPr>
          <w:rFonts w:ascii="Times New Roman" w:hAnsi="Times New Roman" w:cs="Times New Roman"/>
        </w:rPr>
        <w:t xml:space="preserve">, it would </w:t>
      </w:r>
      <w:r w:rsidR="006B44A2" w:rsidRPr="00DF2981">
        <w:rPr>
          <w:rFonts w:ascii="Times New Roman" w:hAnsi="Times New Roman" w:cs="Times New Roman"/>
        </w:rPr>
        <w:t>undermin</w:t>
      </w:r>
      <w:r w:rsidR="006B44A2">
        <w:rPr>
          <w:rFonts w:ascii="Times New Roman" w:hAnsi="Times New Roman" w:cs="Times New Roman"/>
        </w:rPr>
        <w:t>e</w:t>
      </w:r>
      <w:r w:rsidR="006B44A2" w:rsidRPr="00DF2981">
        <w:rPr>
          <w:rFonts w:ascii="Times New Roman" w:hAnsi="Times New Roman" w:cs="Times New Roman"/>
        </w:rPr>
        <w:t xml:space="preserve"> </w:t>
      </w:r>
      <w:r w:rsidR="006B44A2">
        <w:rPr>
          <w:rFonts w:ascii="Times New Roman" w:hAnsi="Times New Roman" w:cs="Times New Roman"/>
        </w:rPr>
        <w:t>p</w:t>
      </w:r>
      <w:r w:rsidR="00DF2981" w:rsidRPr="00DF2981">
        <w:rPr>
          <w:rFonts w:ascii="Times New Roman" w:hAnsi="Times New Roman" w:cs="Times New Roman"/>
        </w:rPr>
        <w:t>rogram cost containment.</w:t>
      </w:r>
      <w:r w:rsidR="00DF2981">
        <w:rPr>
          <w:rFonts w:ascii="Times New Roman" w:hAnsi="Times New Roman" w:cs="Times New Roman"/>
          <w:b/>
        </w:rPr>
        <w:t xml:space="preserve">  </w:t>
      </w:r>
      <w:r w:rsidRPr="00C158F9">
        <w:rPr>
          <w:rFonts w:ascii="Times New Roman" w:hAnsi="Times New Roman" w:cs="Times New Roman"/>
        </w:rPr>
        <w:t xml:space="preserve">WSPA recommends </w:t>
      </w:r>
      <w:r w:rsidRPr="00C158F9">
        <w:rPr>
          <w:rFonts w:ascii="Times New Roman" w:hAnsi="Times New Roman" w:cs="Times New Roman"/>
          <w:bCs/>
          <w:iCs/>
        </w:rPr>
        <w:t>that ARB accelerate its current timetable for adoption of sector-based offsets</w:t>
      </w:r>
      <w:r w:rsidR="00DF2981">
        <w:rPr>
          <w:rFonts w:ascii="Times New Roman" w:hAnsi="Times New Roman" w:cs="Times New Roman"/>
          <w:bCs/>
          <w:iCs/>
        </w:rPr>
        <w:t xml:space="preserve"> and couple this</w:t>
      </w:r>
      <w:r w:rsidRPr="00C158F9">
        <w:rPr>
          <w:rFonts w:ascii="Times New Roman" w:hAnsi="Times New Roman" w:cs="Times New Roman"/>
        </w:rPr>
        <w:t xml:space="preserve"> </w:t>
      </w:r>
      <w:r w:rsidR="002C1460">
        <w:rPr>
          <w:rFonts w:ascii="Times New Roman" w:hAnsi="Times New Roman" w:cs="Times New Roman"/>
        </w:rPr>
        <w:t>action</w:t>
      </w:r>
      <w:r w:rsidRPr="00C158F9">
        <w:rPr>
          <w:rFonts w:ascii="Times New Roman" w:hAnsi="Times New Roman" w:cs="Times New Roman"/>
        </w:rPr>
        <w:t xml:space="preserve"> with an expansion of the current use limit from 8% to 16%</w:t>
      </w:r>
      <w:r w:rsidR="00DF2981">
        <w:rPr>
          <w:rFonts w:ascii="Times New Roman" w:hAnsi="Times New Roman" w:cs="Times New Roman"/>
        </w:rPr>
        <w:t xml:space="preserve"> in the post-2020 timeframe </w:t>
      </w:r>
      <w:r w:rsidRPr="00C158F9">
        <w:rPr>
          <w:rFonts w:ascii="Times New Roman" w:hAnsi="Times New Roman" w:cs="Times New Roman"/>
        </w:rPr>
        <w:t xml:space="preserve">as a means of balancing the </w:t>
      </w:r>
      <w:r w:rsidRPr="00C158F9">
        <w:rPr>
          <w:rFonts w:ascii="Times New Roman" w:hAnsi="Times New Roman" w:cs="Times New Roman"/>
        </w:rPr>
        <w:lastRenderedPageBreak/>
        <w:t xml:space="preserve">additional cost pressure that will result from </w:t>
      </w:r>
      <w:r w:rsidR="00DF2981">
        <w:rPr>
          <w:rFonts w:ascii="Times New Roman" w:hAnsi="Times New Roman" w:cs="Times New Roman"/>
        </w:rPr>
        <w:t>ARB’s</w:t>
      </w:r>
      <w:r w:rsidRPr="00C158F9">
        <w:rPr>
          <w:rFonts w:ascii="Times New Roman" w:hAnsi="Times New Roman" w:cs="Times New Roman"/>
        </w:rPr>
        <w:t xml:space="preserve"> proposed increase in the cap decline rate.</w:t>
      </w:r>
    </w:p>
    <w:p w:rsidR="00C13072" w:rsidRPr="00C13072" w:rsidRDefault="00C13072" w:rsidP="00467D30">
      <w:pPr>
        <w:pStyle w:val="ListParagraph"/>
        <w:numPr>
          <w:ilvl w:val="1"/>
          <w:numId w:val="32"/>
        </w:numPr>
        <w:jc w:val="both"/>
        <w:rPr>
          <w:rFonts w:ascii="Times New Roman" w:hAnsi="Times New Roman" w:cs="Times New Roman"/>
        </w:rPr>
      </w:pPr>
      <w:r w:rsidRPr="00C13072">
        <w:rPr>
          <w:rFonts w:ascii="Times New Roman" w:hAnsi="Times New Roman" w:cs="Times New Roman"/>
          <w:b/>
        </w:rPr>
        <w:t>A</w:t>
      </w:r>
      <w:r w:rsidR="002C0B2D">
        <w:rPr>
          <w:rFonts w:ascii="Times New Roman" w:hAnsi="Times New Roman" w:cs="Times New Roman"/>
          <w:b/>
        </w:rPr>
        <w:t xml:space="preserve">llowance </w:t>
      </w:r>
      <w:r w:rsidRPr="00C13072">
        <w:rPr>
          <w:rFonts w:ascii="Times New Roman" w:hAnsi="Times New Roman" w:cs="Times New Roman"/>
          <w:b/>
        </w:rPr>
        <w:t>P</w:t>
      </w:r>
      <w:r w:rsidR="002C0B2D">
        <w:rPr>
          <w:rFonts w:ascii="Times New Roman" w:hAnsi="Times New Roman" w:cs="Times New Roman"/>
          <w:b/>
        </w:rPr>
        <w:t xml:space="preserve">rice </w:t>
      </w:r>
      <w:r w:rsidRPr="00C13072">
        <w:rPr>
          <w:rFonts w:ascii="Times New Roman" w:hAnsi="Times New Roman" w:cs="Times New Roman"/>
          <w:b/>
        </w:rPr>
        <w:t>C</w:t>
      </w:r>
      <w:r w:rsidR="002C0B2D">
        <w:rPr>
          <w:rFonts w:ascii="Times New Roman" w:hAnsi="Times New Roman" w:cs="Times New Roman"/>
          <w:b/>
        </w:rPr>
        <w:t xml:space="preserve">ontainment </w:t>
      </w:r>
      <w:r w:rsidRPr="00C13072">
        <w:rPr>
          <w:rFonts w:ascii="Times New Roman" w:hAnsi="Times New Roman" w:cs="Times New Roman"/>
          <w:b/>
        </w:rPr>
        <w:t>R</w:t>
      </w:r>
      <w:r w:rsidR="002C0B2D">
        <w:rPr>
          <w:rFonts w:ascii="Times New Roman" w:hAnsi="Times New Roman" w:cs="Times New Roman"/>
          <w:b/>
        </w:rPr>
        <w:t>eserve</w:t>
      </w:r>
      <w:r>
        <w:rPr>
          <w:rFonts w:ascii="Times New Roman" w:hAnsi="Times New Roman" w:cs="Times New Roman"/>
        </w:rPr>
        <w:t xml:space="preserve"> - </w:t>
      </w:r>
      <w:r w:rsidRPr="00C13072">
        <w:rPr>
          <w:rFonts w:ascii="Times New Roman" w:hAnsi="Times New Roman" w:cs="Times New Roman"/>
          <w:bCs/>
          <w:iCs/>
        </w:rPr>
        <w:t xml:space="preserve">ARB </w:t>
      </w:r>
      <w:r w:rsidR="00DF2981">
        <w:rPr>
          <w:rFonts w:ascii="Times New Roman" w:hAnsi="Times New Roman" w:cs="Times New Roman"/>
          <w:bCs/>
          <w:iCs/>
        </w:rPr>
        <w:t xml:space="preserve">should </w:t>
      </w:r>
      <w:r w:rsidRPr="00C13072">
        <w:rPr>
          <w:rFonts w:ascii="Times New Roman" w:hAnsi="Times New Roman" w:cs="Times New Roman"/>
          <w:bCs/>
          <w:iCs/>
        </w:rPr>
        <w:t>quantify</w:t>
      </w:r>
      <w:r w:rsidR="00DF2981">
        <w:rPr>
          <w:rFonts w:ascii="Times New Roman" w:hAnsi="Times New Roman" w:cs="Times New Roman"/>
          <w:bCs/>
          <w:iCs/>
        </w:rPr>
        <w:t xml:space="preserve"> the potential impact of its current APCR proposals and the concept of retiring unsold pre-2021 APCR allowances on</w:t>
      </w:r>
      <w:r w:rsidRPr="00C13072">
        <w:rPr>
          <w:rFonts w:ascii="Times New Roman" w:hAnsi="Times New Roman" w:cs="Times New Roman"/>
          <w:bCs/>
          <w:iCs/>
        </w:rPr>
        <w:t xml:space="preserve"> market liquidity and program costs.  ARB should also allow more transparent public discussion of these issues through </w:t>
      </w:r>
      <w:r w:rsidR="00DF2981">
        <w:rPr>
          <w:rFonts w:ascii="Times New Roman" w:hAnsi="Times New Roman" w:cs="Times New Roman"/>
          <w:bCs/>
          <w:iCs/>
        </w:rPr>
        <w:t xml:space="preserve">a </w:t>
      </w:r>
      <w:r w:rsidRPr="00C13072">
        <w:rPr>
          <w:rFonts w:ascii="Times New Roman" w:hAnsi="Times New Roman" w:cs="Times New Roman"/>
          <w:bCs/>
          <w:iCs/>
        </w:rPr>
        <w:t xml:space="preserve">full 45-day public notice and comment period.  Pending this review, ARB </w:t>
      </w:r>
      <w:r w:rsidR="00DF2981">
        <w:rPr>
          <w:rFonts w:ascii="Times New Roman" w:hAnsi="Times New Roman" w:cs="Times New Roman"/>
          <w:bCs/>
          <w:iCs/>
        </w:rPr>
        <w:t xml:space="preserve">should </w:t>
      </w:r>
      <w:r w:rsidRPr="00C13072">
        <w:rPr>
          <w:rFonts w:ascii="Times New Roman" w:hAnsi="Times New Roman" w:cs="Times New Roman"/>
          <w:bCs/>
          <w:iCs/>
        </w:rPr>
        <w:t>continue to return unsold allowances to auction.</w:t>
      </w:r>
    </w:p>
    <w:p w:rsidR="00C13072" w:rsidRDefault="00C13072" w:rsidP="00467D30">
      <w:pPr>
        <w:pStyle w:val="ListParagraph"/>
        <w:numPr>
          <w:ilvl w:val="1"/>
          <w:numId w:val="32"/>
        </w:numPr>
        <w:jc w:val="both"/>
        <w:rPr>
          <w:rFonts w:ascii="Times New Roman" w:hAnsi="Times New Roman" w:cs="Times New Roman"/>
        </w:rPr>
      </w:pPr>
      <w:r w:rsidRPr="00C13072">
        <w:rPr>
          <w:rFonts w:ascii="Times New Roman" w:hAnsi="Times New Roman" w:cs="Times New Roman"/>
          <w:b/>
        </w:rPr>
        <w:t xml:space="preserve">Scope of the Current </w:t>
      </w:r>
      <w:r w:rsidR="005B67A3">
        <w:rPr>
          <w:rFonts w:ascii="Times New Roman" w:hAnsi="Times New Roman" w:cs="Times New Roman"/>
          <w:b/>
        </w:rPr>
        <w:t>Cap-and-Trade</w:t>
      </w:r>
      <w:r w:rsidRPr="00C13072">
        <w:rPr>
          <w:rFonts w:ascii="Times New Roman" w:hAnsi="Times New Roman" w:cs="Times New Roman"/>
          <w:b/>
        </w:rPr>
        <w:t xml:space="preserve"> Rulemaking</w:t>
      </w:r>
      <w:r>
        <w:rPr>
          <w:rFonts w:ascii="Times New Roman" w:hAnsi="Times New Roman" w:cs="Times New Roman"/>
        </w:rPr>
        <w:t xml:space="preserve"> </w:t>
      </w:r>
      <w:r w:rsidR="00DF2981">
        <w:rPr>
          <w:rFonts w:ascii="Times New Roman" w:hAnsi="Times New Roman" w:cs="Times New Roman"/>
        </w:rPr>
        <w:t>–</w:t>
      </w:r>
      <w:r w:rsidRPr="00C13072">
        <w:rPr>
          <w:rFonts w:ascii="Times New Roman" w:hAnsi="Times New Roman" w:cs="Times New Roman"/>
        </w:rPr>
        <w:t xml:space="preserve"> </w:t>
      </w:r>
      <w:r w:rsidR="00DF2981">
        <w:rPr>
          <w:rFonts w:ascii="Times New Roman" w:hAnsi="Times New Roman" w:cs="Times New Roman"/>
        </w:rPr>
        <w:t xml:space="preserve">The AB 197 concepts </w:t>
      </w:r>
      <w:r w:rsidRPr="00C13072">
        <w:rPr>
          <w:rFonts w:ascii="Times New Roman" w:hAnsi="Times New Roman" w:cs="Times New Roman"/>
        </w:rPr>
        <w:t xml:space="preserve">are not sufficiently related to </w:t>
      </w:r>
      <w:r w:rsidR="00DF2981">
        <w:rPr>
          <w:rFonts w:ascii="Times New Roman" w:hAnsi="Times New Roman" w:cs="Times New Roman"/>
        </w:rPr>
        <w:t>ARB’s</w:t>
      </w:r>
      <w:r w:rsidRPr="00C13072">
        <w:rPr>
          <w:rFonts w:ascii="Times New Roman" w:hAnsi="Times New Roman" w:cs="Times New Roman"/>
        </w:rPr>
        <w:t xml:space="preserve"> current proposals and therefore should not be included in 15-day changes to the current rulemaking.</w:t>
      </w:r>
    </w:p>
    <w:p w:rsidR="00CE1997" w:rsidRPr="00CE1997" w:rsidRDefault="00CE1997" w:rsidP="00CE1997">
      <w:pPr>
        <w:pStyle w:val="ListParagraph"/>
        <w:jc w:val="both"/>
        <w:rPr>
          <w:rFonts w:ascii="Times New Roman" w:hAnsi="Times New Roman" w:cs="Times New Roman"/>
        </w:rPr>
      </w:pPr>
    </w:p>
    <w:p w:rsidR="002C0B2D" w:rsidRDefault="002C0B2D" w:rsidP="009A2C87">
      <w:pPr>
        <w:pStyle w:val="ListParagraph"/>
        <w:numPr>
          <w:ilvl w:val="0"/>
          <w:numId w:val="29"/>
        </w:numPr>
        <w:jc w:val="both"/>
        <w:rPr>
          <w:rFonts w:ascii="Times New Roman" w:hAnsi="Times New Roman" w:cs="Times New Roman"/>
        </w:rPr>
      </w:pPr>
      <w:r>
        <w:rPr>
          <w:rFonts w:ascii="Times New Roman" w:hAnsi="Times New Roman" w:cs="Times New Roman"/>
          <w:b/>
        </w:rPr>
        <w:t xml:space="preserve">Allowance Allocation </w:t>
      </w:r>
      <w:r w:rsidR="002C1460">
        <w:rPr>
          <w:rFonts w:ascii="Times New Roman" w:hAnsi="Times New Roman" w:cs="Times New Roman"/>
          <w:b/>
        </w:rPr>
        <w:t>Concepts</w:t>
      </w:r>
      <w:r w:rsidR="00CE1997">
        <w:rPr>
          <w:rFonts w:ascii="Times New Roman" w:hAnsi="Times New Roman" w:cs="Times New Roman"/>
          <w:b/>
        </w:rPr>
        <w:t xml:space="preserve"> and </w:t>
      </w:r>
      <w:r>
        <w:rPr>
          <w:rFonts w:ascii="Times New Roman" w:hAnsi="Times New Roman" w:cs="Times New Roman"/>
          <w:b/>
        </w:rPr>
        <w:t>Issues</w:t>
      </w:r>
      <w:r w:rsidRPr="002C0B2D">
        <w:rPr>
          <w:rFonts w:ascii="Times New Roman" w:hAnsi="Times New Roman" w:cs="Times New Roman"/>
        </w:rPr>
        <w:t>:</w:t>
      </w:r>
    </w:p>
    <w:p w:rsidR="00CE1997" w:rsidRPr="00C13072" w:rsidRDefault="00CE1997" w:rsidP="00CE1997">
      <w:pPr>
        <w:pStyle w:val="ListParagraph"/>
        <w:jc w:val="both"/>
        <w:rPr>
          <w:rFonts w:ascii="Times New Roman" w:hAnsi="Times New Roman" w:cs="Times New Roman"/>
        </w:rPr>
      </w:pPr>
    </w:p>
    <w:p w:rsidR="00C13072" w:rsidRPr="00C13072" w:rsidRDefault="00C13072" w:rsidP="00467D30">
      <w:pPr>
        <w:pStyle w:val="ListParagraph"/>
        <w:numPr>
          <w:ilvl w:val="1"/>
          <w:numId w:val="33"/>
        </w:numPr>
        <w:jc w:val="both"/>
        <w:rPr>
          <w:rFonts w:ascii="Times New Roman" w:hAnsi="Times New Roman" w:cs="Times New Roman"/>
        </w:rPr>
      </w:pPr>
      <w:r w:rsidRPr="00C13072">
        <w:rPr>
          <w:rFonts w:ascii="Times New Roman" w:hAnsi="Times New Roman" w:cs="Times New Roman"/>
          <w:b/>
        </w:rPr>
        <w:t>Limitations of Foundational Research</w:t>
      </w:r>
      <w:r>
        <w:rPr>
          <w:rFonts w:ascii="Times New Roman" w:hAnsi="Times New Roman" w:cs="Times New Roman"/>
        </w:rPr>
        <w:t xml:space="preserve"> - </w:t>
      </w:r>
      <w:r w:rsidR="00DF2981">
        <w:rPr>
          <w:rFonts w:ascii="Times New Roman" w:hAnsi="Times New Roman" w:cs="Times New Roman"/>
        </w:rPr>
        <w:t>T</w:t>
      </w:r>
      <w:r w:rsidRPr="00C13072">
        <w:rPr>
          <w:rFonts w:ascii="Times New Roman" w:hAnsi="Times New Roman" w:cs="Times New Roman"/>
        </w:rPr>
        <w:t xml:space="preserve">he leakage risk studies conducted by UC Berkeley and Resources </w:t>
      </w:r>
      <w:r w:rsidR="006B44A2" w:rsidRPr="00C13072">
        <w:rPr>
          <w:rFonts w:ascii="Times New Roman" w:hAnsi="Times New Roman" w:cs="Times New Roman"/>
        </w:rPr>
        <w:t>for</w:t>
      </w:r>
      <w:r w:rsidRPr="00C13072">
        <w:rPr>
          <w:rFonts w:ascii="Times New Roman" w:hAnsi="Times New Roman" w:cs="Times New Roman"/>
        </w:rPr>
        <w:t xml:space="preserve"> the Future (RFF)</w:t>
      </w:r>
      <w:r w:rsidR="00DF2981">
        <w:rPr>
          <w:rFonts w:ascii="Times New Roman" w:hAnsi="Times New Roman" w:cs="Times New Roman"/>
        </w:rPr>
        <w:t xml:space="preserve"> </w:t>
      </w:r>
      <w:r w:rsidR="006B44A2">
        <w:rPr>
          <w:rFonts w:ascii="Times New Roman" w:hAnsi="Times New Roman" w:cs="Times New Roman"/>
        </w:rPr>
        <w:t xml:space="preserve">contain </w:t>
      </w:r>
      <w:r w:rsidR="00DF2981">
        <w:rPr>
          <w:rFonts w:ascii="Times New Roman" w:hAnsi="Times New Roman" w:cs="Times New Roman"/>
        </w:rPr>
        <w:t xml:space="preserve">data irregularities and methodological uncertainties </w:t>
      </w:r>
      <w:r w:rsidR="002C0B2D">
        <w:rPr>
          <w:rFonts w:ascii="Times New Roman" w:hAnsi="Times New Roman" w:cs="Times New Roman"/>
        </w:rPr>
        <w:t xml:space="preserve">acknowledged by the study authors.  They </w:t>
      </w:r>
      <w:r w:rsidR="00DF2981" w:rsidRPr="00C13072">
        <w:rPr>
          <w:rFonts w:ascii="Times New Roman" w:hAnsi="Times New Roman" w:cs="Times New Roman"/>
        </w:rPr>
        <w:t xml:space="preserve">should not </w:t>
      </w:r>
      <w:r w:rsidR="00DF2981">
        <w:rPr>
          <w:rFonts w:ascii="Times New Roman" w:hAnsi="Times New Roman" w:cs="Times New Roman"/>
        </w:rPr>
        <w:t>be used as the basis for</w:t>
      </w:r>
      <w:r w:rsidR="00DF2981" w:rsidRPr="00C13072">
        <w:rPr>
          <w:rFonts w:ascii="Times New Roman" w:hAnsi="Times New Roman" w:cs="Times New Roman"/>
        </w:rPr>
        <w:t xml:space="preserve"> </w:t>
      </w:r>
      <w:r w:rsidR="00DF2981">
        <w:rPr>
          <w:rFonts w:ascii="Times New Roman" w:hAnsi="Times New Roman" w:cs="Times New Roman"/>
        </w:rPr>
        <w:t xml:space="preserve">ARB’s </w:t>
      </w:r>
      <w:r w:rsidR="00DF2981" w:rsidRPr="00C13072">
        <w:rPr>
          <w:rFonts w:ascii="Times New Roman" w:hAnsi="Times New Roman" w:cs="Times New Roman"/>
        </w:rPr>
        <w:t>post-202</w:t>
      </w:r>
      <w:r w:rsidR="00DF2981">
        <w:rPr>
          <w:rFonts w:ascii="Times New Roman" w:hAnsi="Times New Roman" w:cs="Times New Roman"/>
        </w:rPr>
        <w:t>0 allocation policy decisions.</w:t>
      </w:r>
    </w:p>
    <w:p w:rsidR="000774B3" w:rsidRPr="000774B3" w:rsidRDefault="00CE1997" w:rsidP="00467D30">
      <w:pPr>
        <w:pStyle w:val="ListParagraph"/>
        <w:numPr>
          <w:ilvl w:val="1"/>
          <w:numId w:val="33"/>
        </w:numPr>
        <w:jc w:val="both"/>
        <w:rPr>
          <w:rFonts w:ascii="Times New Roman" w:hAnsi="Times New Roman" w:cs="Times New Roman"/>
        </w:rPr>
      </w:pPr>
      <w:r>
        <w:rPr>
          <w:rFonts w:ascii="Times New Roman" w:hAnsi="Times New Roman" w:cs="Times New Roman"/>
          <w:b/>
        </w:rPr>
        <w:t>Use of Sector-Specific Data</w:t>
      </w:r>
      <w:r w:rsidR="000774B3">
        <w:rPr>
          <w:rFonts w:ascii="Times New Roman" w:hAnsi="Times New Roman" w:cs="Times New Roman"/>
        </w:rPr>
        <w:t xml:space="preserve"> </w:t>
      </w:r>
      <w:r w:rsidR="00C13072">
        <w:rPr>
          <w:rFonts w:ascii="Times New Roman" w:hAnsi="Times New Roman" w:cs="Times New Roman"/>
        </w:rPr>
        <w:t>–</w:t>
      </w:r>
      <w:r w:rsidR="000774B3">
        <w:rPr>
          <w:rFonts w:ascii="Times New Roman" w:hAnsi="Times New Roman" w:cs="Times New Roman"/>
        </w:rPr>
        <w:t xml:space="preserve"> </w:t>
      </w:r>
      <w:r w:rsidR="00C13072">
        <w:rPr>
          <w:rFonts w:ascii="Times New Roman" w:hAnsi="Times New Roman" w:cs="Times New Roman"/>
        </w:rPr>
        <w:t xml:space="preserve">ARB’s </w:t>
      </w:r>
      <w:r w:rsidR="002C1460">
        <w:rPr>
          <w:rFonts w:ascii="Times New Roman" w:hAnsi="Times New Roman" w:cs="Times New Roman"/>
        </w:rPr>
        <w:t>conceptual</w:t>
      </w:r>
      <w:r w:rsidR="00C13072">
        <w:rPr>
          <w:rFonts w:ascii="Times New Roman" w:hAnsi="Times New Roman" w:cs="Times New Roman"/>
        </w:rPr>
        <w:t xml:space="preserve"> assistance factor adjustment for refining is at odds with readily available refining-specific </w:t>
      </w:r>
      <w:r w:rsidR="000774B3" w:rsidRPr="000774B3">
        <w:rPr>
          <w:rFonts w:ascii="Times New Roman" w:hAnsi="Times New Roman" w:cs="Times New Roman"/>
        </w:rPr>
        <w:t>data</w:t>
      </w:r>
      <w:r w:rsidR="00C13072">
        <w:rPr>
          <w:rFonts w:ascii="Times New Roman" w:hAnsi="Times New Roman" w:cs="Times New Roman"/>
        </w:rPr>
        <w:t xml:space="preserve">.  ARB should use Energy Information Administration data to determine the </w:t>
      </w:r>
      <w:r w:rsidR="002C0B2D">
        <w:rPr>
          <w:rFonts w:ascii="Times New Roman" w:hAnsi="Times New Roman" w:cs="Times New Roman"/>
        </w:rPr>
        <w:t xml:space="preserve">actual </w:t>
      </w:r>
      <w:r w:rsidR="00C13072">
        <w:rPr>
          <w:rFonts w:ascii="Times New Roman" w:hAnsi="Times New Roman" w:cs="Times New Roman"/>
        </w:rPr>
        <w:t xml:space="preserve">percentage of refinery energy </w:t>
      </w:r>
      <w:r w:rsidR="000774B3" w:rsidRPr="000774B3">
        <w:rPr>
          <w:rFonts w:ascii="Times New Roman" w:hAnsi="Times New Roman" w:cs="Times New Roman"/>
        </w:rPr>
        <w:t>produced onsite.</w:t>
      </w:r>
    </w:p>
    <w:p w:rsidR="000774B3" w:rsidRPr="000774B3" w:rsidRDefault="000774B3" w:rsidP="00467D30">
      <w:pPr>
        <w:pStyle w:val="ListParagraph"/>
        <w:numPr>
          <w:ilvl w:val="1"/>
          <w:numId w:val="33"/>
        </w:numPr>
        <w:jc w:val="both"/>
        <w:rPr>
          <w:rFonts w:ascii="Times New Roman" w:hAnsi="Times New Roman" w:cs="Times New Roman"/>
        </w:rPr>
      </w:pPr>
      <w:r w:rsidRPr="000774B3">
        <w:rPr>
          <w:rFonts w:ascii="Times New Roman" w:hAnsi="Times New Roman" w:cs="Times New Roman"/>
          <w:b/>
        </w:rPr>
        <w:t>Non-Manufacturing Sectors</w:t>
      </w:r>
      <w:r>
        <w:rPr>
          <w:rFonts w:ascii="Times New Roman" w:hAnsi="Times New Roman" w:cs="Times New Roman"/>
        </w:rPr>
        <w:t xml:space="preserve"> - </w:t>
      </w:r>
      <w:r w:rsidRPr="000774B3">
        <w:rPr>
          <w:rFonts w:ascii="Times New Roman" w:hAnsi="Times New Roman" w:cs="Times New Roman"/>
        </w:rPr>
        <w:t>ARB should not attempt to apply the UC Berkeley and RFF manufacturing sector studies, nor any regression analysis, to non-manufacturing sectors</w:t>
      </w:r>
      <w:r w:rsidR="00EF5EA0">
        <w:rPr>
          <w:rFonts w:ascii="Times New Roman" w:hAnsi="Times New Roman" w:cs="Times New Roman"/>
        </w:rPr>
        <w:t>,</w:t>
      </w:r>
      <w:r w:rsidR="00CE1997">
        <w:rPr>
          <w:rFonts w:ascii="Times New Roman" w:hAnsi="Times New Roman" w:cs="Times New Roman"/>
        </w:rPr>
        <w:t xml:space="preserve"> </w:t>
      </w:r>
      <w:r w:rsidR="00767D9C">
        <w:rPr>
          <w:rFonts w:ascii="Times New Roman" w:hAnsi="Times New Roman" w:cs="Times New Roman"/>
        </w:rPr>
        <w:t>as was done in the November 10, 2016 addendum to staff’s informal allocation proposals</w:t>
      </w:r>
      <w:r w:rsidRPr="000774B3">
        <w:rPr>
          <w:rFonts w:ascii="Times New Roman" w:hAnsi="Times New Roman" w:cs="Times New Roman"/>
        </w:rPr>
        <w:t>.</w:t>
      </w:r>
    </w:p>
    <w:p w:rsidR="000774B3" w:rsidRPr="000774B3" w:rsidRDefault="000774B3" w:rsidP="00467D30">
      <w:pPr>
        <w:pStyle w:val="ListParagraph"/>
        <w:numPr>
          <w:ilvl w:val="1"/>
          <w:numId w:val="33"/>
        </w:numPr>
        <w:jc w:val="both"/>
        <w:rPr>
          <w:rFonts w:ascii="Times New Roman" w:hAnsi="Times New Roman" w:cs="Times New Roman"/>
        </w:rPr>
      </w:pPr>
      <w:r w:rsidRPr="000774B3">
        <w:rPr>
          <w:rFonts w:ascii="Times New Roman" w:hAnsi="Times New Roman" w:cs="Times New Roman"/>
          <w:b/>
        </w:rPr>
        <w:t>Alternative Methodologies for Non-Studied Sectors</w:t>
      </w:r>
      <w:r>
        <w:rPr>
          <w:rFonts w:ascii="Times New Roman" w:hAnsi="Times New Roman" w:cs="Times New Roman"/>
        </w:rPr>
        <w:t xml:space="preserve"> - </w:t>
      </w:r>
      <w:r w:rsidRPr="000774B3">
        <w:rPr>
          <w:rFonts w:ascii="Times New Roman" w:hAnsi="Times New Roman" w:cs="Times New Roman"/>
        </w:rPr>
        <w:t xml:space="preserve">ARB </w:t>
      </w:r>
      <w:r w:rsidR="00CE1997">
        <w:rPr>
          <w:rFonts w:ascii="Times New Roman" w:hAnsi="Times New Roman" w:cs="Times New Roman"/>
        </w:rPr>
        <w:t xml:space="preserve">should consider prior recommendations from </w:t>
      </w:r>
      <w:r w:rsidRPr="000774B3">
        <w:rPr>
          <w:rFonts w:ascii="Times New Roman" w:hAnsi="Times New Roman" w:cs="Times New Roman"/>
        </w:rPr>
        <w:t>N</w:t>
      </w:r>
      <w:r w:rsidR="00CE1997">
        <w:rPr>
          <w:rFonts w:ascii="Times New Roman" w:hAnsi="Times New Roman" w:cs="Times New Roman"/>
        </w:rPr>
        <w:t xml:space="preserve">ational </w:t>
      </w:r>
      <w:r w:rsidRPr="000774B3">
        <w:rPr>
          <w:rFonts w:ascii="Times New Roman" w:hAnsi="Times New Roman" w:cs="Times New Roman"/>
        </w:rPr>
        <w:t>E</w:t>
      </w:r>
      <w:r w:rsidR="00CE1997">
        <w:rPr>
          <w:rFonts w:ascii="Times New Roman" w:hAnsi="Times New Roman" w:cs="Times New Roman"/>
        </w:rPr>
        <w:t xml:space="preserve">conomic </w:t>
      </w:r>
      <w:r w:rsidRPr="000774B3">
        <w:rPr>
          <w:rFonts w:ascii="Times New Roman" w:hAnsi="Times New Roman" w:cs="Times New Roman"/>
        </w:rPr>
        <w:t>R</w:t>
      </w:r>
      <w:r w:rsidR="00CE1997">
        <w:rPr>
          <w:rFonts w:ascii="Times New Roman" w:hAnsi="Times New Roman" w:cs="Times New Roman"/>
        </w:rPr>
        <w:t xml:space="preserve">esearch </w:t>
      </w:r>
      <w:r w:rsidRPr="000774B3">
        <w:rPr>
          <w:rFonts w:ascii="Times New Roman" w:hAnsi="Times New Roman" w:cs="Times New Roman"/>
        </w:rPr>
        <w:t>A</w:t>
      </w:r>
      <w:r w:rsidR="00CE1997">
        <w:rPr>
          <w:rFonts w:ascii="Times New Roman" w:hAnsi="Times New Roman" w:cs="Times New Roman"/>
        </w:rPr>
        <w:t>ssociates (NERA)</w:t>
      </w:r>
      <w:r w:rsidRPr="000774B3">
        <w:rPr>
          <w:rFonts w:ascii="Times New Roman" w:hAnsi="Times New Roman" w:cs="Times New Roman"/>
        </w:rPr>
        <w:t xml:space="preserve"> to use a computable general equilibrium (CGE) model which can actually address sector-specific circumstances</w:t>
      </w:r>
      <w:r w:rsidR="002C0B2D">
        <w:rPr>
          <w:rFonts w:ascii="Times New Roman" w:hAnsi="Times New Roman" w:cs="Times New Roman"/>
        </w:rPr>
        <w:t>.</w:t>
      </w:r>
    </w:p>
    <w:p w:rsidR="000774B3" w:rsidRDefault="00670D90" w:rsidP="00467D30">
      <w:pPr>
        <w:pStyle w:val="ListParagraph"/>
        <w:numPr>
          <w:ilvl w:val="1"/>
          <w:numId w:val="33"/>
        </w:numPr>
        <w:jc w:val="both"/>
        <w:rPr>
          <w:rFonts w:ascii="Times New Roman" w:hAnsi="Times New Roman" w:cs="Times New Roman"/>
        </w:rPr>
      </w:pPr>
      <w:r>
        <w:rPr>
          <w:rFonts w:ascii="Times New Roman" w:hAnsi="Times New Roman" w:cs="Times New Roman"/>
          <w:b/>
        </w:rPr>
        <w:t>Cal</w:t>
      </w:r>
      <w:r w:rsidR="000774B3" w:rsidRPr="000774B3">
        <w:rPr>
          <w:rFonts w:ascii="Times New Roman" w:hAnsi="Times New Roman" w:cs="Times New Roman"/>
          <w:b/>
        </w:rPr>
        <w:t>culation of Assistance Factors</w:t>
      </w:r>
      <w:r w:rsidR="000774B3">
        <w:rPr>
          <w:rFonts w:ascii="Times New Roman" w:hAnsi="Times New Roman" w:cs="Times New Roman"/>
        </w:rPr>
        <w:t xml:space="preserve"> - </w:t>
      </w:r>
      <w:r w:rsidR="000774B3" w:rsidRPr="000774B3">
        <w:rPr>
          <w:rFonts w:ascii="Times New Roman" w:hAnsi="Times New Roman" w:cs="Times New Roman"/>
        </w:rPr>
        <w:t xml:space="preserve">ARB </w:t>
      </w:r>
      <w:r>
        <w:rPr>
          <w:rFonts w:ascii="Times New Roman" w:hAnsi="Times New Roman" w:cs="Times New Roman"/>
        </w:rPr>
        <w:t>should provide sufficient d</w:t>
      </w:r>
      <w:r w:rsidR="000774B3" w:rsidRPr="000774B3">
        <w:rPr>
          <w:rFonts w:ascii="Times New Roman" w:hAnsi="Times New Roman" w:cs="Times New Roman"/>
        </w:rPr>
        <w:t xml:space="preserve">ocumentation to </w:t>
      </w:r>
      <w:r>
        <w:rPr>
          <w:rFonts w:ascii="Times New Roman" w:hAnsi="Times New Roman" w:cs="Times New Roman"/>
        </w:rPr>
        <w:t xml:space="preserve">allow stakeholders to reproduce the calculations supporting its </w:t>
      </w:r>
      <w:r w:rsidR="002C1460">
        <w:rPr>
          <w:rFonts w:ascii="Times New Roman" w:hAnsi="Times New Roman" w:cs="Times New Roman"/>
        </w:rPr>
        <w:t>conceptual</w:t>
      </w:r>
      <w:r>
        <w:rPr>
          <w:rFonts w:ascii="Times New Roman" w:hAnsi="Times New Roman" w:cs="Times New Roman"/>
        </w:rPr>
        <w:t xml:space="preserve"> assistance factors</w:t>
      </w:r>
      <w:r w:rsidR="00B01A7C">
        <w:rPr>
          <w:rFonts w:ascii="Times New Roman" w:hAnsi="Times New Roman" w:cs="Times New Roman"/>
        </w:rPr>
        <w:t xml:space="preserve"> for all sectors</w:t>
      </w:r>
      <w:r w:rsidR="000774B3" w:rsidRPr="000774B3">
        <w:rPr>
          <w:rFonts w:ascii="Times New Roman" w:hAnsi="Times New Roman" w:cs="Times New Roman"/>
        </w:rPr>
        <w:t>.</w:t>
      </w:r>
    </w:p>
    <w:p w:rsidR="00CE1997" w:rsidRPr="000774B3" w:rsidRDefault="00CE1997" w:rsidP="00CE1997">
      <w:pPr>
        <w:pStyle w:val="ListParagraph"/>
        <w:ind w:left="1440"/>
        <w:jc w:val="both"/>
        <w:rPr>
          <w:rFonts w:ascii="Times New Roman" w:hAnsi="Times New Roman" w:cs="Times New Roman"/>
        </w:rPr>
      </w:pPr>
    </w:p>
    <w:p w:rsidR="009A2C87" w:rsidRPr="009A2C87" w:rsidRDefault="000774B3" w:rsidP="009A2C87">
      <w:pPr>
        <w:pStyle w:val="ListParagraph"/>
        <w:numPr>
          <w:ilvl w:val="0"/>
          <w:numId w:val="29"/>
        </w:numPr>
        <w:jc w:val="both"/>
        <w:rPr>
          <w:rFonts w:ascii="Times New Roman" w:hAnsi="Times New Roman" w:cs="Times New Roman"/>
        </w:rPr>
      </w:pPr>
      <w:r w:rsidRPr="000774B3">
        <w:rPr>
          <w:rFonts w:ascii="Times New Roman" w:hAnsi="Times New Roman" w:cs="Times New Roman"/>
          <w:b/>
          <w:u w:val="single"/>
        </w:rPr>
        <w:t>Market Data Disclosure</w:t>
      </w:r>
      <w:r w:rsidRPr="000774B3">
        <w:rPr>
          <w:rFonts w:ascii="Times New Roman" w:hAnsi="Times New Roman" w:cs="Times New Roman"/>
        </w:rPr>
        <w:t xml:space="preserve"> - All data pertaining to the market positions of individual entities should be designated as confidential business information (CBI) and </w:t>
      </w:r>
      <w:r w:rsidR="006B44A2">
        <w:rPr>
          <w:rFonts w:ascii="Times New Roman" w:hAnsi="Times New Roman" w:cs="Times New Roman"/>
        </w:rPr>
        <w:t xml:space="preserve">should be </w:t>
      </w:r>
      <w:r w:rsidRPr="000774B3">
        <w:rPr>
          <w:rFonts w:ascii="Times New Roman" w:hAnsi="Times New Roman" w:cs="Times New Roman"/>
        </w:rPr>
        <w:t>protected from public disclosure.</w:t>
      </w:r>
    </w:p>
    <w:p w:rsidR="00E14784" w:rsidRPr="00D969FB" w:rsidRDefault="00E14784" w:rsidP="00892229">
      <w:pPr>
        <w:jc w:val="both"/>
        <w:rPr>
          <w:rFonts w:ascii="Times New Roman" w:hAnsi="Times New Roman" w:cs="Times New Roman"/>
          <w:b/>
        </w:rPr>
      </w:pPr>
      <w:r w:rsidRPr="00D969FB">
        <w:rPr>
          <w:rFonts w:ascii="Times New Roman" w:hAnsi="Times New Roman" w:cs="Times New Roman"/>
          <w:b/>
        </w:rPr>
        <w:t xml:space="preserve">AB 197 Implementation </w:t>
      </w:r>
      <w:r w:rsidR="00C82BE9" w:rsidRPr="00D969FB">
        <w:rPr>
          <w:rFonts w:ascii="Times New Roman" w:hAnsi="Times New Roman" w:cs="Times New Roman"/>
          <w:b/>
        </w:rPr>
        <w:t>Concepts</w:t>
      </w:r>
    </w:p>
    <w:p w:rsidR="00741061" w:rsidRDefault="00B87635" w:rsidP="00892229">
      <w:pPr>
        <w:jc w:val="both"/>
        <w:rPr>
          <w:rFonts w:ascii="Times New Roman" w:hAnsi="Times New Roman" w:cs="Times New Roman"/>
          <w:highlight w:val="yellow"/>
        </w:rPr>
      </w:pPr>
      <w:r w:rsidRPr="00EE1BDF">
        <w:rPr>
          <w:rFonts w:ascii="Times New Roman" w:hAnsi="Times New Roman" w:cs="Times New Roman"/>
          <w:iCs/>
        </w:rPr>
        <w:t>W</w:t>
      </w:r>
      <w:r w:rsidR="00C82BE9" w:rsidRPr="00EE1BDF">
        <w:rPr>
          <w:rFonts w:ascii="Times New Roman" w:hAnsi="Times New Roman" w:cs="Times New Roman"/>
          <w:iCs/>
        </w:rPr>
        <w:t>SPA</w:t>
      </w:r>
      <w:r w:rsidRPr="00EE1BDF">
        <w:rPr>
          <w:rFonts w:ascii="Times New Roman" w:hAnsi="Times New Roman" w:cs="Times New Roman"/>
          <w:iCs/>
        </w:rPr>
        <w:t xml:space="preserve"> oppose</w:t>
      </w:r>
      <w:r w:rsidR="00C82BE9" w:rsidRPr="00EE1BDF">
        <w:rPr>
          <w:rFonts w:ascii="Times New Roman" w:hAnsi="Times New Roman" w:cs="Times New Roman"/>
          <w:iCs/>
        </w:rPr>
        <w:t>s</w:t>
      </w:r>
      <w:r w:rsidRPr="00EE1BDF">
        <w:rPr>
          <w:rFonts w:ascii="Times New Roman" w:hAnsi="Times New Roman" w:cs="Times New Roman"/>
          <w:iCs/>
        </w:rPr>
        <w:t xml:space="preserve"> </w:t>
      </w:r>
      <w:r w:rsidR="00C82BE9" w:rsidRPr="00EE1BDF">
        <w:rPr>
          <w:rFonts w:ascii="Times New Roman" w:hAnsi="Times New Roman" w:cs="Times New Roman"/>
          <w:iCs/>
        </w:rPr>
        <w:t xml:space="preserve">further modifications to </w:t>
      </w:r>
      <w:r w:rsidRPr="00EE1BDF">
        <w:rPr>
          <w:rFonts w:ascii="Times New Roman" w:hAnsi="Times New Roman" w:cs="Times New Roman"/>
          <w:iCs/>
        </w:rPr>
        <w:t xml:space="preserve">the </w:t>
      </w:r>
      <w:r w:rsidR="005B67A3">
        <w:rPr>
          <w:rFonts w:ascii="Times New Roman" w:hAnsi="Times New Roman" w:cs="Times New Roman"/>
          <w:iCs/>
        </w:rPr>
        <w:t>Cap-and-Trade</w:t>
      </w:r>
      <w:r w:rsidRPr="00EE1BDF">
        <w:rPr>
          <w:rFonts w:ascii="Times New Roman" w:hAnsi="Times New Roman" w:cs="Times New Roman"/>
          <w:iCs/>
        </w:rPr>
        <w:t xml:space="preserve"> program </w:t>
      </w:r>
      <w:r w:rsidR="00C82BE9" w:rsidRPr="00EE1BDF">
        <w:rPr>
          <w:rFonts w:ascii="Times New Roman" w:hAnsi="Times New Roman" w:cs="Times New Roman"/>
          <w:iCs/>
        </w:rPr>
        <w:t>in</w:t>
      </w:r>
      <w:r w:rsidRPr="00EE1BDF">
        <w:rPr>
          <w:rFonts w:ascii="Times New Roman" w:hAnsi="Times New Roman" w:cs="Times New Roman"/>
          <w:iCs/>
        </w:rPr>
        <w:t xml:space="preserve"> </w:t>
      </w:r>
      <w:r w:rsidR="00C82BE9" w:rsidRPr="00EE1BDF">
        <w:rPr>
          <w:rFonts w:ascii="Times New Roman" w:hAnsi="Times New Roman" w:cs="Times New Roman"/>
          <w:iCs/>
        </w:rPr>
        <w:t>response to</w:t>
      </w:r>
      <w:r w:rsidRPr="00EE1BDF">
        <w:rPr>
          <w:rFonts w:ascii="Times New Roman" w:hAnsi="Times New Roman" w:cs="Times New Roman"/>
          <w:iCs/>
        </w:rPr>
        <w:t xml:space="preserve"> AB 197</w:t>
      </w:r>
      <w:r w:rsidR="00C82BE9" w:rsidRPr="00EE1BDF">
        <w:rPr>
          <w:rFonts w:ascii="Times New Roman" w:hAnsi="Times New Roman" w:cs="Times New Roman"/>
          <w:iCs/>
        </w:rPr>
        <w:t xml:space="preserve"> (Garcia, 2016)</w:t>
      </w:r>
      <w:r w:rsidRPr="00EE1BDF">
        <w:rPr>
          <w:rFonts w:ascii="Times New Roman" w:hAnsi="Times New Roman" w:cs="Times New Roman"/>
          <w:iCs/>
        </w:rPr>
        <w:t xml:space="preserve">.  </w:t>
      </w:r>
      <w:r w:rsidR="00EE1BDF" w:rsidRPr="00EE1BDF">
        <w:rPr>
          <w:rFonts w:ascii="Times New Roman" w:hAnsi="Times New Roman" w:cs="Times New Roman"/>
          <w:iCs/>
        </w:rPr>
        <w:t xml:space="preserve">California climate law </w:t>
      </w:r>
      <w:r w:rsidR="00EE1BDF">
        <w:rPr>
          <w:rFonts w:ascii="Times New Roman" w:hAnsi="Times New Roman" w:cs="Times New Roman"/>
          <w:iCs/>
        </w:rPr>
        <w:t xml:space="preserve">specifically </w:t>
      </w:r>
      <w:r w:rsidR="00EE1BDF" w:rsidRPr="00EE1BDF">
        <w:rPr>
          <w:rFonts w:ascii="Times New Roman" w:hAnsi="Times New Roman" w:cs="Times New Roman"/>
          <w:iCs/>
        </w:rPr>
        <w:t>requires ARB to “</w:t>
      </w:r>
      <w:r w:rsidR="00AF58C7">
        <w:rPr>
          <w:rFonts w:ascii="Times New Roman" w:hAnsi="Times New Roman" w:cs="Times New Roman"/>
          <w:iCs/>
        </w:rPr>
        <w:t>d</w:t>
      </w:r>
      <w:r w:rsidR="00EE1BDF" w:rsidRPr="00EE1BDF">
        <w:rPr>
          <w:rFonts w:ascii="Times New Roman" w:hAnsi="Times New Roman" w:cs="Times New Roman"/>
          <w:iCs/>
        </w:rPr>
        <w:t xml:space="preserve">esign any market-based compliance mechanism to </w:t>
      </w:r>
      <w:r w:rsidR="00EE1BDF" w:rsidRPr="00EE1BDF">
        <w:rPr>
          <w:rFonts w:ascii="Times New Roman" w:hAnsi="Times New Roman" w:cs="Times New Roman"/>
          <w:color w:val="000000"/>
        </w:rPr>
        <w:t>prevent any increase in the emissions of toxic air contaminants or criteria air pollutants.”</w:t>
      </w:r>
      <w:r w:rsidR="00EE1BDF" w:rsidRPr="00EE1BDF">
        <w:rPr>
          <w:rStyle w:val="FootnoteReference"/>
          <w:rFonts w:ascii="Times New Roman" w:hAnsi="Times New Roman" w:cs="Times New Roman"/>
          <w:iCs/>
        </w:rPr>
        <w:footnoteReference w:id="1"/>
      </w:r>
      <w:r w:rsidR="00EE1BDF" w:rsidRPr="00D969FB">
        <w:rPr>
          <w:rFonts w:ascii="Times New Roman" w:hAnsi="Times New Roman" w:cs="Times New Roman"/>
          <w:iCs/>
        </w:rPr>
        <w:t xml:space="preserve"> </w:t>
      </w:r>
      <w:r w:rsidR="00C82BE9" w:rsidRPr="00D969FB">
        <w:rPr>
          <w:rFonts w:ascii="Times New Roman" w:hAnsi="Times New Roman" w:cs="Times New Roman"/>
          <w:iCs/>
        </w:rPr>
        <w:lastRenderedPageBreak/>
        <w:t xml:space="preserve">As staff stated during the October 21 workshop, </w:t>
      </w:r>
      <w:r w:rsidR="00AF7EB9">
        <w:rPr>
          <w:rFonts w:ascii="Times New Roman" w:hAnsi="Times New Roman" w:cs="Times New Roman"/>
          <w:iCs/>
        </w:rPr>
        <w:t xml:space="preserve">ARB designed </w:t>
      </w:r>
      <w:r w:rsidR="00C82BE9" w:rsidRPr="00D969FB">
        <w:rPr>
          <w:rFonts w:ascii="Times New Roman" w:hAnsi="Times New Roman" w:cs="Times New Roman"/>
          <w:iCs/>
        </w:rPr>
        <w:t xml:space="preserve">the </w:t>
      </w:r>
      <w:r w:rsidR="005B67A3">
        <w:rPr>
          <w:rFonts w:ascii="Times New Roman" w:hAnsi="Times New Roman" w:cs="Times New Roman"/>
          <w:iCs/>
        </w:rPr>
        <w:t>Cap-and-Trade</w:t>
      </w:r>
      <w:r w:rsidR="00C82BE9" w:rsidRPr="00D969FB">
        <w:rPr>
          <w:rFonts w:ascii="Times New Roman" w:hAnsi="Times New Roman" w:cs="Times New Roman"/>
          <w:iCs/>
        </w:rPr>
        <w:t xml:space="preserve"> program to prioritize direct emissions reductions at regulated fac</w:t>
      </w:r>
      <w:r w:rsidR="000A1DFC" w:rsidRPr="00D969FB">
        <w:rPr>
          <w:rFonts w:ascii="Times New Roman" w:hAnsi="Times New Roman" w:cs="Times New Roman"/>
          <w:iCs/>
        </w:rPr>
        <w:t>ilities.</w:t>
      </w:r>
      <w:r w:rsidR="00EE1BDF">
        <w:rPr>
          <w:rFonts w:ascii="Times New Roman" w:hAnsi="Times New Roman" w:cs="Times New Roman"/>
          <w:iCs/>
        </w:rPr>
        <w:t xml:space="preserve">  </w:t>
      </w:r>
      <w:r w:rsidR="000A1DFC" w:rsidRPr="00D969FB">
        <w:rPr>
          <w:rFonts w:ascii="Times New Roman" w:hAnsi="Times New Roman" w:cs="Times New Roman"/>
          <w:iCs/>
        </w:rPr>
        <w:t xml:space="preserve">In fact, current limitations on emissions trading are so stringent that the state is likely to sacrifice </w:t>
      </w:r>
      <w:r w:rsidR="00D969FB" w:rsidRPr="00D969FB">
        <w:rPr>
          <w:rFonts w:ascii="Times New Roman" w:hAnsi="Times New Roman" w:cs="Times New Roman"/>
          <w:iCs/>
        </w:rPr>
        <w:t xml:space="preserve">future </w:t>
      </w:r>
      <w:r w:rsidR="000A1DFC" w:rsidRPr="00D969FB">
        <w:rPr>
          <w:rFonts w:ascii="Times New Roman" w:hAnsi="Times New Roman" w:cs="Times New Roman"/>
          <w:iCs/>
        </w:rPr>
        <w:t>opportunities for greater greenhouse gas (GHG) emissions reductions</w:t>
      </w:r>
      <w:r w:rsidR="00D969FB" w:rsidRPr="00D969FB">
        <w:rPr>
          <w:rFonts w:ascii="Times New Roman" w:hAnsi="Times New Roman" w:cs="Times New Roman"/>
          <w:iCs/>
        </w:rPr>
        <w:t xml:space="preserve"> as this back-loaded program matures</w:t>
      </w:r>
      <w:r w:rsidR="000A1DFC" w:rsidRPr="00D969FB">
        <w:rPr>
          <w:rFonts w:ascii="Times New Roman" w:hAnsi="Times New Roman" w:cs="Times New Roman"/>
          <w:iCs/>
        </w:rPr>
        <w:t xml:space="preserve">.  Further restrictions along the lines </w:t>
      </w:r>
      <w:r w:rsidR="00B95A58" w:rsidRPr="00D969FB">
        <w:rPr>
          <w:rFonts w:ascii="Times New Roman" w:hAnsi="Times New Roman" w:cs="Times New Roman"/>
          <w:iCs/>
        </w:rPr>
        <w:t xml:space="preserve">of staff’s implementation concepts </w:t>
      </w:r>
      <w:r w:rsidR="006B44A2">
        <w:rPr>
          <w:rFonts w:ascii="Times New Roman" w:hAnsi="Times New Roman" w:cs="Times New Roman"/>
          <w:iCs/>
        </w:rPr>
        <w:t>–</w:t>
      </w:r>
      <w:r w:rsidR="00B95A58" w:rsidRPr="00D969FB">
        <w:rPr>
          <w:rFonts w:ascii="Times New Roman" w:hAnsi="Times New Roman" w:cs="Times New Roman"/>
          <w:iCs/>
        </w:rPr>
        <w:t xml:space="preserve"> 1) reducing the offset use limit (currently 8% of compliance obligation), 2) shifting allocation methodology to a “cost burden” approach (effectively reducing industry assistance) and 3) retiring unsold pre-2021 vintage allowances from the Allowance Price Containment Reserve (APCR) </w:t>
      </w:r>
      <w:r w:rsidR="006B44A2">
        <w:rPr>
          <w:rFonts w:ascii="Times New Roman" w:hAnsi="Times New Roman" w:cs="Times New Roman"/>
          <w:iCs/>
        </w:rPr>
        <w:t>–</w:t>
      </w:r>
      <w:r w:rsidR="00B95A58" w:rsidRPr="00D969FB">
        <w:rPr>
          <w:rFonts w:ascii="Times New Roman" w:hAnsi="Times New Roman" w:cs="Times New Roman"/>
          <w:iCs/>
        </w:rPr>
        <w:t xml:space="preserve"> </w:t>
      </w:r>
      <w:r w:rsidR="000A1DFC" w:rsidRPr="00D969FB">
        <w:rPr>
          <w:rFonts w:ascii="Times New Roman" w:hAnsi="Times New Roman" w:cs="Times New Roman"/>
          <w:iCs/>
        </w:rPr>
        <w:t xml:space="preserve">would only serve to undermine </w:t>
      </w:r>
      <w:r w:rsidR="00AF7EB9">
        <w:rPr>
          <w:rFonts w:ascii="Times New Roman" w:hAnsi="Times New Roman" w:cs="Times New Roman"/>
          <w:iCs/>
        </w:rPr>
        <w:t xml:space="preserve">a </w:t>
      </w:r>
      <w:r w:rsidR="000A1DFC" w:rsidRPr="00D969FB">
        <w:rPr>
          <w:rFonts w:ascii="Times New Roman" w:hAnsi="Times New Roman" w:cs="Times New Roman"/>
          <w:iCs/>
        </w:rPr>
        <w:t xml:space="preserve">primary </w:t>
      </w:r>
      <w:r w:rsidR="007766C1">
        <w:rPr>
          <w:rFonts w:ascii="Times New Roman" w:hAnsi="Times New Roman" w:cs="Times New Roman"/>
          <w:iCs/>
        </w:rPr>
        <w:t xml:space="preserve">purpose </w:t>
      </w:r>
      <w:r w:rsidR="000A1DFC" w:rsidRPr="00D969FB">
        <w:rPr>
          <w:rFonts w:ascii="Times New Roman" w:hAnsi="Times New Roman" w:cs="Times New Roman"/>
          <w:iCs/>
        </w:rPr>
        <w:t>of the program to reduce GHG emissions</w:t>
      </w:r>
      <w:r w:rsidR="00AF7EB9">
        <w:rPr>
          <w:rFonts w:ascii="Times New Roman" w:hAnsi="Times New Roman" w:cs="Times New Roman"/>
          <w:iCs/>
        </w:rPr>
        <w:t xml:space="preserve"> in the most cost-effective manner</w:t>
      </w:r>
      <w:r w:rsidR="000A1DFC" w:rsidRPr="00D969FB">
        <w:rPr>
          <w:rFonts w:ascii="Times New Roman" w:hAnsi="Times New Roman" w:cs="Times New Roman"/>
          <w:iCs/>
        </w:rPr>
        <w:t xml:space="preserve">.  </w:t>
      </w:r>
      <w:r w:rsidR="005C73D6" w:rsidRPr="00D969FB">
        <w:rPr>
          <w:rFonts w:ascii="Times New Roman" w:hAnsi="Times New Roman" w:cs="Times New Roman"/>
          <w:iCs/>
        </w:rPr>
        <w:t>S</w:t>
      </w:r>
      <w:r w:rsidR="00805D48" w:rsidRPr="00D969FB">
        <w:rPr>
          <w:rFonts w:ascii="Times New Roman" w:hAnsi="Times New Roman" w:cs="Times New Roman"/>
          <w:iCs/>
        </w:rPr>
        <w:t>taff’s</w:t>
      </w:r>
      <w:r w:rsidR="000A1DFC" w:rsidRPr="00D969FB">
        <w:rPr>
          <w:rFonts w:ascii="Times New Roman" w:hAnsi="Times New Roman" w:cs="Times New Roman"/>
          <w:iCs/>
        </w:rPr>
        <w:t xml:space="preserve"> AB 197 implementation concepts </w:t>
      </w:r>
      <w:r w:rsidR="00805D48" w:rsidRPr="00D969FB">
        <w:rPr>
          <w:rFonts w:ascii="Times New Roman" w:hAnsi="Times New Roman" w:cs="Times New Roman"/>
          <w:iCs/>
        </w:rPr>
        <w:t xml:space="preserve">are </w:t>
      </w:r>
      <w:r w:rsidR="005C73D6" w:rsidRPr="00D969FB">
        <w:rPr>
          <w:rFonts w:ascii="Times New Roman" w:hAnsi="Times New Roman" w:cs="Times New Roman"/>
          <w:iCs/>
        </w:rPr>
        <w:t xml:space="preserve">also </w:t>
      </w:r>
      <w:r w:rsidR="00805D48" w:rsidRPr="00D969FB">
        <w:rPr>
          <w:rFonts w:ascii="Times New Roman" w:hAnsi="Times New Roman" w:cs="Times New Roman"/>
          <w:iCs/>
        </w:rPr>
        <w:t>in direct conflict with AB 32 requirements to ensure that emission reduction measures are as cost-effective as possible</w:t>
      </w:r>
      <w:r w:rsidR="00DC4C7A" w:rsidRPr="00D969FB">
        <w:rPr>
          <w:rFonts w:ascii="Times New Roman" w:hAnsi="Times New Roman" w:cs="Times New Roman"/>
          <w:iCs/>
        </w:rPr>
        <w:t>.</w:t>
      </w:r>
      <w:r w:rsidR="00DC4C7A" w:rsidRPr="00D969FB">
        <w:rPr>
          <w:rStyle w:val="FootnoteReference"/>
          <w:rFonts w:ascii="Times New Roman" w:hAnsi="Times New Roman" w:cs="Times New Roman"/>
          <w:iCs/>
        </w:rPr>
        <w:footnoteReference w:id="2"/>
      </w:r>
    </w:p>
    <w:p w:rsidR="00741061" w:rsidRPr="006B09F3" w:rsidRDefault="00741061" w:rsidP="00892229">
      <w:pPr>
        <w:jc w:val="both"/>
        <w:rPr>
          <w:rFonts w:ascii="Times New Roman" w:hAnsi="Times New Roman" w:cs="Times New Roman"/>
        </w:rPr>
      </w:pPr>
      <w:r w:rsidRPr="006B09F3">
        <w:rPr>
          <w:rFonts w:ascii="Times New Roman" w:hAnsi="Times New Roman" w:cs="Times New Roman"/>
        </w:rPr>
        <w:t xml:space="preserve">ARB is already on record asserting that limits on GHG emissions at individual facilities already subject to the </w:t>
      </w:r>
      <w:r w:rsidR="005B67A3">
        <w:rPr>
          <w:rFonts w:ascii="Times New Roman" w:hAnsi="Times New Roman" w:cs="Times New Roman"/>
        </w:rPr>
        <w:t>Cap-and-Trade</w:t>
      </w:r>
      <w:r w:rsidRPr="006B09F3">
        <w:rPr>
          <w:rFonts w:ascii="Times New Roman" w:hAnsi="Times New Roman" w:cs="Times New Roman"/>
        </w:rPr>
        <w:t xml:space="preserve"> program could result in a number of undesirable consequences</w:t>
      </w:r>
      <w:r w:rsidR="006B09F3" w:rsidRPr="006B09F3">
        <w:rPr>
          <w:rStyle w:val="FootnoteReference"/>
          <w:rFonts w:ascii="Times New Roman" w:hAnsi="Times New Roman" w:cs="Times New Roman"/>
        </w:rPr>
        <w:footnoteReference w:id="3"/>
      </w:r>
      <w:r w:rsidR="006B09F3" w:rsidRPr="006B09F3">
        <w:rPr>
          <w:rFonts w:ascii="Times New Roman" w:hAnsi="Times New Roman" w:cs="Times New Roman"/>
        </w:rPr>
        <w:t>,</w:t>
      </w:r>
      <w:r w:rsidRPr="006B09F3">
        <w:rPr>
          <w:rFonts w:ascii="Times New Roman" w:hAnsi="Times New Roman" w:cs="Times New Roman"/>
        </w:rPr>
        <w:t xml:space="preserve"> including:</w:t>
      </w:r>
    </w:p>
    <w:p w:rsidR="00741061" w:rsidRPr="006B09F3" w:rsidRDefault="00741061" w:rsidP="00892229">
      <w:pPr>
        <w:pStyle w:val="ListParagraph"/>
        <w:numPr>
          <w:ilvl w:val="0"/>
          <w:numId w:val="10"/>
        </w:numPr>
        <w:jc w:val="both"/>
        <w:rPr>
          <w:rFonts w:ascii="Times New Roman" w:hAnsi="Times New Roman" w:cs="Times New Roman"/>
        </w:rPr>
      </w:pPr>
      <w:r w:rsidRPr="006B09F3">
        <w:rPr>
          <w:rFonts w:ascii="Times New Roman" w:hAnsi="Times New Roman" w:cs="Times New Roman"/>
        </w:rPr>
        <w:t>Failing to reduce statewide GHG emissions,</w:t>
      </w:r>
    </w:p>
    <w:p w:rsidR="00741061" w:rsidRPr="006B09F3" w:rsidRDefault="00741061" w:rsidP="00892229">
      <w:pPr>
        <w:pStyle w:val="ListParagraph"/>
        <w:numPr>
          <w:ilvl w:val="0"/>
          <w:numId w:val="10"/>
        </w:numPr>
        <w:jc w:val="both"/>
        <w:rPr>
          <w:rFonts w:ascii="Times New Roman" w:hAnsi="Times New Roman" w:cs="Times New Roman"/>
        </w:rPr>
      </w:pPr>
      <w:r w:rsidRPr="006B09F3">
        <w:rPr>
          <w:rFonts w:ascii="Times New Roman" w:hAnsi="Times New Roman" w:cs="Times New Roman"/>
        </w:rPr>
        <w:t>Increasing GHG emissions outside of the local jurisdiction,</w:t>
      </w:r>
    </w:p>
    <w:p w:rsidR="00741061" w:rsidRPr="006B09F3" w:rsidRDefault="00741061" w:rsidP="00892229">
      <w:pPr>
        <w:pStyle w:val="ListParagraph"/>
        <w:numPr>
          <w:ilvl w:val="0"/>
          <w:numId w:val="10"/>
        </w:numPr>
        <w:jc w:val="both"/>
        <w:rPr>
          <w:rFonts w:ascii="Times New Roman" w:hAnsi="Times New Roman" w:cs="Times New Roman"/>
        </w:rPr>
      </w:pPr>
      <w:r w:rsidRPr="006B09F3">
        <w:rPr>
          <w:rFonts w:ascii="Times New Roman" w:hAnsi="Times New Roman" w:cs="Times New Roman"/>
        </w:rPr>
        <w:t>Increasing the cost of statewide GHG emission reductions, and</w:t>
      </w:r>
    </w:p>
    <w:p w:rsidR="00741061" w:rsidRPr="006B09F3" w:rsidRDefault="00741061" w:rsidP="00892229">
      <w:pPr>
        <w:pStyle w:val="ListParagraph"/>
        <w:numPr>
          <w:ilvl w:val="0"/>
          <w:numId w:val="10"/>
        </w:numPr>
        <w:jc w:val="both"/>
        <w:rPr>
          <w:rFonts w:ascii="Times New Roman" w:hAnsi="Times New Roman" w:cs="Times New Roman"/>
        </w:rPr>
      </w:pPr>
      <w:r w:rsidRPr="006B09F3">
        <w:rPr>
          <w:rFonts w:ascii="Times New Roman" w:hAnsi="Times New Roman" w:cs="Times New Roman"/>
        </w:rPr>
        <w:t>Shifting business activity to outside of the local jurisdiction</w:t>
      </w:r>
      <w:r w:rsidR="006B09F3" w:rsidRPr="006B09F3">
        <w:rPr>
          <w:rFonts w:ascii="Times New Roman" w:hAnsi="Times New Roman" w:cs="Times New Roman"/>
        </w:rPr>
        <w:t>.</w:t>
      </w:r>
    </w:p>
    <w:p w:rsidR="00741061" w:rsidRPr="004B286F" w:rsidRDefault="006B09F3" w:rsidP="00892229">
      <w:pPr>
        <w:jc w:val="both"/>
        <w:rPr>
          <w:rFonts w:ascii="Times New Roman" w:hAnsi="Times New Roman" w:cs="Times New Roman"/>
          <w:iCs/>
        </w:rPr>
      </w:pPr>
      <w:r w:rsidRPr="004B286F">
        <w:rPr>
          <w:rFonts w:ascii="Times New Roman" w:hAnsi="Times New Roman" w:cs="Times New Roman"/>
          <w:iCs/>
        </w:rPr>
        <w:t xml:space="preserve">It is </w:t>
      </w:r>
      <w:r w:rsidR="006B44A2">
        <w:rPr>
          <w:rFonts w:ascii="Times New Roman" w:hAnsi="Times New Roman" w:cs="Times New Roman"/>
          <w:iCs/>
        </w:rPr>
        <w:t xml:space="preserve">unclear why </w:t>
      </w:r>
      <w:r w:rsidRPr="004B286F">
        <w:rPr>
          <w:rFonts w:ascii="Times New Roman" w:hAnsi="Times New Roman" w:cs="Times New Roman"/>
          <w:iCs/>
        </w:rPr>
        <w:t xml:space="preserve">ARB would </w:t>
      </w:r>
      <w:r w:rsidR="006B44A2">
        <w:rPr>
          <w:rFonts w:ascii="Times New Roman" w:hAnsi="Times New Roman" w:cs="Times New Roman"/>
          <w:iCs/>
        </w:rPr>
        <w:t>consider</w:t>
      </w:r>
      <w:r w:rsidRPr="004B286F">
        <w:rPr>
          <w:rFonts w:ascii="Times New Roman" w:hAnsi="Times New Roman" w:cs="Times New Roman"/>
          <w:iCs/>
        </w:rPr>
        <w:t xml:space="preserve"> the</w:t>
      </w:r>
      <w:r w:rsidR="007766C1" w:rsidRPr="004B286F">
        <w:rPr>
          <w:rFonts w:ascii="Times New Roman" w:hAnsi="Times New Roman" w:cs="Times New Roman"/>
          <w:iCs/>
        </w:rPr>
        <w:t xml:space="preserve"> above noted </w:t>
      </w:r>
      <w:r w:rsidRPr="004B286F">
        <w:rPr>
          <w:rFonts w:ascii="Times New Roman" w:hAnsi="Times New Roman" w:cs="Times New Roman"/>
          <w:iCs/>
        </w:rPr>
        <w:t xml:space="preserve">changes as part of a </w:t>
      </w:r>
      <w:r w:rsidR="005B67A3">
        <w:rPr>
          <w:rFonts w:ascii="Times New Roman" w:hAnsi="Times New Roman" w:cs="Times New Roman"/>
          <w:iCs/>
        </w:rPr>
        <w:t>Cap-and-Trade</w:t>
      </w:r>
      <w:r w:rsidRPr="004B286F">
        <w:rPr>
          <w:rFonts w:ascii="Times New Roman" w:hAnsi="Times New Roman" w:cs="Times New Roman"/>
          <w:iCs/>
        </w:rPr>
        <w:t xml:space="preserve"> rulemaking process when they </w:t>
      </w:r>
      <w:r w:rsidR="00AF7EB9">
        <w:rPr>
          <w:rFonts w:ascii="Times New Roman" w:hAnsi="Times New Roman" w:cs="Times New Roman"/>
          <w:iCs/>
        </w:rPr>
        <w:t xml:space="preserve">contradict </w:t>
      </w:r>
      <w:r w:rsidRPr="004B286F">
        <w:rPr>
          <w:rFonts w:ascii="Times New Roman" w:hAnsi="Times New Roman" w:cs="Times New Roman"/>
          <w:iCs/>
        </w:rPr>
        <w:t xml:space="preserve">the core principles of existing California climate law and are not needed to </w:t>
      </w:r>
      <w:r w:rsidR="00AF7EB9">
        <w:rPr>
          <w:rFonts w:ascii="Times New Roman" w:hAnsi="Times New Roman" w:cs="Times New Roman"/>
          <w:iCs/>
        </w:rPr>
        <w:t>align</w:t>
      </w:r>
      <w:r w:rsidR="00AF7EB9" w:rsidRPr="004B286F">
        <w:rPr>
          <w:rFonts w:ascii="Times New Roman" w:hAnsi="Times New Roman" w:cs="Times New Roman"/>
          <w:iCs/>
        </w:rPr>
        <w:t xml:space="preserve"> </w:t>
      </w:r>
      <w:r w:rsidRPr="004B286F">
        <w:rPr>
          <w:rFonts w:ascii="Times New Roman" w:hAnsi="Times New Roman" w:cs="Times New Roman"/>
          <w:iCs/>
        </w:rPr>
        <w:t xml:space="preserve">the </w:t>
      </w:r>
      <w:r w:rsidR="005B67A3">
        <w:rPr>
          <w:rFonts w:ascii="Times New Roman" w:hAnsi="Times New Roman" w:cs="Times New Roman"/>
          <w:iCs/>
        </w:rPr>
        <w:t>Cap-and-Trade</w:t>
      </w:r>
      <w:r w:rsidRPr="004B286F">
        <w:rPr>
          <w:rFonts w:ascii="Times New Roman" w:hAnsi="Times New Roman" w:cs="Times New Roman"/>
          <w:iCs/>
        </w:rPr>
        <w:t xml:space="preserve"> program with </w:t>
      </w:r>
      <w:r w:rsidR="00AF7EB9">
        <w:rPr>
          <w:rFonts w:ascii="Times New Roman" w:hAnsi="Times New Roman" w:cs="Times New Roman"/>
          <w:iCs/>
        </w:rPr>
        <w:t>AB 197</w:t>
      </w:r>
      <w:r w:rsidRPr="004B286F">
        <w:rPr>
          <w:rFonts w:ascii="Times New Roman" w:hAnsi="Times New Roman" w:cs="Times New Roman"/>
          <w:iCs/>
        </w:rPr>
        <w:t>.</w:t>
      </w:r>
    </w:p>
    <w:p w:rsidR="009A2C87" w:rsidRDefault="009A2C87" w:rsidP="008366F8">
      <w:pPr>
        <w:jc w:val="both"/>
        <w:rPr>
          <w:rFonts w:ascii="Times New Roman" w:hAnsi="Times New Roman" w:cs="Times New Roman"/>
          <w:b/>
        </w:rPr>
      </w:pPr>
      <w:r>
        <w:rPr>
          <w:rFonts w:ascii="Times New Roman" w:hAnsi="Times New Roman" w:cs="Times New Roman"/>
          <w:b/>
        </w:rPr>
        <w:t>Offsets Proposals</w:t>
      </w:r>
    </w:p>
    <w:p w:rsidR="004E1DF6" w:rsidRPr="004E1DF6" w:rsidRDefault="009A2C87" w:rsidP="00CA4191">
      <w:pPr>
        <w:jc w:val="both"/>
        <w:rPr>
          <w:rFonts w:ascii="Times New Roman" w:hAnsi="Times New Roman" w:cs="Times New Roman"/>
        </w:rPr>
      </w:pPr>
      <w:r w:rsidRPr="004E1DF6">
        <w:rPr>
          <w:rFonts w:ascii="Times New Roman" w:hAnsi="Times New Roman" w:cs="Times New Roman"/>
        </w:rPr>
        <w:t xml:space="preserve">As WSPA indicated in our September 19, 2016 comments on ARB’s proposed amendments to the </w:t>
      </w:r>
      <w:r w:rsidR="005B67A3">
        <w:rPr>
          <w:rFonts w:ascii="Times New Roman" w:hAnsi="Times New Roman" w:cs="Times New Roman"/>
        </w:rPr>
        <w:t>Cap-and-Trade</w:t>
      </w:r>
      <w:r w:rsidRPr="004E1DF6">
        <w:rPr>
          <w:rFonts w:ascii="Times New Roman" w:hAnsi="Times New Roman" w:cs="Times New Roman"/>
        </w:rPr>
        <w:t xml:space="preserve"> regulation, offsets are a proven, cost-effective means of meeting AB 32 compliance obligations. </w:t>
      </w:r>
      <w:r w:rsidR="004E1DF6">
        <w:rPr>
          <w:rFonts w:ascii="Times New Roman" w:hAnsi="Times New Roman" w:cs="Times New Roman"/>
        </w:rPr>
        <w:t xml:space="preserve"> </w:t>
      </w:r>
      <w:r w:rsidRPr="004E1DF6">
        <w:rPr>
          <w:rFonts w:ascii="Times New Roman" w:hAnsi="Times New Roman" w:cs="Times New Roman"/>
        </w:rPr>
        <w:t xml:space="preserve">The current offset use limit should be expanded, not reduced, and such action would be entirely consistent with ARB’s statutory obligation to achieve “the maximum technologically feasible and cost effective GHG emissions reductions.”  </w:t>
      </w:r>
      <w:r w:rsidR="004E1DF6">
        <w:rPr>
          <w:rFonts w:ascii="Times New Roman" w:hAnsi="Times New Roman" w:cs="Times New Roman"/>
        </w:rPr>
        <w:t xml:space="preserve">In the near term, one of the most critical changes needed in the </w:t>
      </w:r>
      <w:r w:rsidR="005B67A3">
        <w:rPr>
          <w:rFonts w:ascii="Times New Roman" w:hAnsi="Times New Roman" w:cs="Times New Roman"/>
        </w:rPr>
        <w:t>Cap-and-Trade</w:t>
      </w:r>
      <w:r w:rsidR="004E1DF6">
        <w:rPr>
          <w:rFonts w:ascii="Times New Roman" w:hAnsi="Times New Roman" w:cs="Times New Roman"/>
        </w:rPr>
        <w:t xml:space="preserve"> regulation is</w:t>
      </w:r>
      <w:r w:rsidRPr="004E1DF6">
        <w:rPr>
          <w:rFonts w:ascii="Times New Roman" w:hAnsi="Times New Roman" w:cs="Times New Roman"/>
        </w:rPr>
        <w:t xml:space="preserve"> authorization of sector-based offsets to ensure adequate offset supply in future compliance periods. </w:t>
      </w:r>
      <w:r w:rsidR="004E1DF6" w:rsidRPr="004E1DF6">
        <w:rPr>
          <w:rFonts w:ascii="Times New Roman" w:hAnsi="Times New Roman" w:cs="Times New Roman"/>
        </w:rPr>
        <w:t xml:space="preserve"> </w:t>
      </w:r>
      <w:r w:rsidRPr="004E1DF6">
        <w:rPr>
          <w:rFonts w:ascii="Times New Roman" w:hAnsi="Times New Roman" w:cs="Times New Roman"/>
        </w:rPr>
        <w:t xml:space="preserve">As ARB has observed, sector-based offsets should be incorporated into the </w:t>
      </w:r>
      <w:r w:rsidR="005B67A3">
        <w:rPr>
          <w:rFonts w:ascii="Times New Roman" w:hAnsi="Times New Roman" w:cs="Times New Roman"/>
        </w:rPr>
        <w:t>Cap-and-Trade</w:t>
      </w:r>
      <w:r w:rsidRPr="004E1DF6">
        <w:rPr>
          <w:rFonts w:ascii="Times New Roman" w:hAnsi="Times New Roman" w:cs="Times New Roman"/>
        </w:rPr>
        <w:t xml:space="preserve"> regulation in advance of the third compliance period.</w:t>
      </w:r>
      <w:r w:rsidR="00FE5E85">
        <w:rPr>
          <w:rFonts w:ascii="Times New Roman" w:hAnsi="Times New Roman" w:cs="Times New Roman"/>
        </w:rPr>
        <w:t xml:space="preserve">  This action, along with a measured increase in the offset use limit, would send a clear signal to jurisdictions </w:t>
      </w:r>
      <w:r w:rsidR="007E3925">
        <w:rPr>
          <w:rFonts w:ascii="Times New Roman" w:hAnsi="Times New Roman" w:cs="Times New Roman"/>
        </w:rPr>
        <w:t xml:space="preserve">weighing </w:t>
      </w:r>
      <w:r w:rsidR="00FE5E85">
        <w:rPr>
          <w:rFonts w:ascii="Times New Roman" w:hAnsi="Times New Roman" w:cs="Times New Roman"/>
        </w:rPr>
        <w:t xml:space="preserve">climate action </w:t>
      </w:r>
      <w:r w:rsidR="007E3925">
        <w:rPr>
          <w:rFonts w:ascii="Times New Roman" w:hAnsi="Times New Roman" w:cs="Times New Roman"/>
        </w:rPr>
        <w:t xml:space="preserve">against economic prosperity </w:t>
      </w:r>
      <w:r w:rsidR="00FE5E85">
        <w:rPr>
          <w:rFonts w:ascii="Times New Roman" w:hAnsi="Times New Roman" w:cs="Times New Roman"/>
        </w:rPr>
        <w:t>that ARB is committed to a robust</w:t>
      </w:r>
      <w:r w:rsidR="007E3925">
        <w:rPr>
          <w:rFonts w:ascii="Times New Roman" w:hAnsi="Times New Roman" w:cs="Times New Roman"/>
        </w:rPr>
        <w:t xml:space="preserve"> and cost-effective </w:t>
      </w:r>
      <w:r w:rsidR="00FE5E85">
        <w:rPr>
          <w:rFonts w:ascii="Times New Roman" w:hAnsi="Times New Roman" w:cs="Times New Roman"/>
        </w:rPr>
        <w:t>market-based program over the long term.</w:t>
      </w:r>
    </w:p>
    <w:p w:rsidR="009A2C87" w:rsidRPr="00C158F9" w:rsidRDefault="004E1DF6" w:rsidP="00583153">
      <w:pPr>
        <w:jc w:val="both"/>
        <w:rPr>
          <w:rFonts w:ascii="Times New Roman" w:hAnsi="Times New Roman" w:cs="Times New Roman"/>
        </w:rPr>
      </w:pPr>
      <w:r w:rsidRPr="00C158F9">
        <w:rPr>
          <w:rFonts w:ascii="Times New Roman" w:hAnsi="Times New Roman" w:cs="Times New Roman"/>
        </w:rPr>
        <w:t xml:space="preserve">WSPA recommends </w:t>
      </w:r>
      <w:r w:rsidRPr="00C158F9">
        <w:rPr>
          <w:rFonts w:ascii="Times New Roman" w:hAnsi="Times New Roman" w:cs="Times New Roman"/>
          <w:bCs/>
          <w:iCs/>
        </w:rPr>
        <w:t xml:space="preserve">that ARB accelerate its current timetable for adoption of sector-based offsets and any other offset protocols it may be considering.  WSPA further recommends </w:t>
      </w:r>
      <w:r w:rsidRPr="00C158F9">
        <w:rPr>
          <w:rFonts w:ascii="Times New Roman" w:hAnsi="Times New Roman" w:cs="Times New Roman"/>
        </w:rPr>
        <w:t xml:space="preserve">that these proposals be coupled </w:t>
      </w:r>
      <w:r w:rsidRPr="00C158F9">
        <w:rPr>
          <w:rFonts w:ascii="Times New Roman" w:hAnsi="Times New Roman" w:cs="Times New Roman"/>
        </w:rPr>
        <w:lastRenderedPageBreak/>
        <w:t>with an expansion of the current use limit from 8% to 16%, to take effect in 2021 as a means of balancing the additional cost pressure that will result from ARB’s proposed increase in the cap decline rate.</w:t>
      </w:r>
    </w:p>
    <w:p w:rsidR="009A2C87" w:rsidRDefault="009A2C87" w:rsidP="00583153">
      <w:pPr>
        <w:jc w:val="both"/>
        <w:rPr>
          <w:rFonts w:ascii="Times New Roman" w:hAnsi="Times New Roman" w:cs="Times New Roman"/>
          <w:b/>
        </w:rPr>
      </w:pPr>
      <w:r>
        <w:rPr>
          <w:rFonts w:ascii="Times New Roman" w:hAnsi="Times New Roman" w:cs="Times New Roman"/>
          <w:b/>
        </w:rPr>
        <w:t>APCR Proposals</w:t>
      </w:r>
    </w:p>
    <w:p w:rsidR="009A2C87" w:rsidRPr="00330B59" w:rsidRDefault="009A2C87" w:rsidP="00FF7CD8">
      <w:pPr>
        <w:jc w:val="both"/>
        <w:rPr>
          <w:rFonts w:ascii="Times New Roman" w:hAnsi="Times New Roman" w:cs="Times New Roman"/>
        </w:rPr>
      </w:pPr>
      <w:r w:rsidRPr="00330B59">
        <w:rPr>
          <w:rFonts w:ascii="Times New Roman" w:hAnsi="Times New Roman" w:cs="Times New Roman"/>
        </w:rPr>
        <w:t>ARB</w:t>
      </w:r>
      <w:r w:rsidR="008366F8" w:rsidRPr="00330B59">
        <w:rPr>
          <w:rFonts w:ascii="Times New Roman" w:hAnsi="Times New Roman" w:cs="Times New Roman"/>
        </w:rPr>
        <w:t xml:space="preserve">’s current APCR </w:t>
      </w:r>
      <w:r w:rsidRPr="00330B59">
        <w:rPr>
          <w:rFonts w:ascii="Times New Roman" w:hAnsi="Times New Roman" w:cs="Times New Roman"/>
        </w:rPr>
        <w:t>propos</w:t>
      </w:r>
      <w:r w:rsidR="008366F8" w:rsidRPr="00330B59">
        <w:rPr>
          <w:rFonts w:ascii="Times New Roman" w:hAnsi="Times New Roman" w:cs="Times New Roman"/>
        </w:rPr>
        <w:t>als</w:t>
      </w:r>
      <w:r w:rsidRPr="00330B59">
        <w:rPr>
          <w:rFonts w:ascii="Times New Roman" w:hAnsi="Times New Roman" w:cs="Times New Roman"/>
        </w:rPr>
        <w:t xml:space="preserve"> </w:t>
      </w:r>
      <w:r w:rsidR="008366F8" w:rsidRPr="00330B59">
        <w:rPr>
          <w:rFonts w:ascii="Times New Roman" w:hAnsi="Times New Roman" w:cs="Times New Roman"/>
        </w:rPr>
        <w:t xml:space="preserve">involve </w:t>
      </w:r>
      <w:r w:rsidR="005D1581" w:rsidRPr="00330B59">
        <w:rPr>
          <w:rFonts w:ascii="Times New Roman" w:hAnsi="Times New Roman" w:cs="Times New Roman"/>
        </w:rPr>
        <w:t xml:space="preserve">increasing the </w:t>
      </w:r>
      <w:r w:rsidRPr="00330B59">
        <w:rPr>
          <w:rFonts w:ascii="Times New Roman" w:hAnsi="Times New Roman" w:cs="Times New Roman"/>
        </w:rPr>
        <w:t xml:space="preserve">120 million allowances </w:t>
      </w:r>
      <w:r w:rsidR="005D1581" w:rsidRPr="00330B59">
        <w:rPr>
          <w:rFonts w:ascii="Times New Roman" w:hAnsi="Times New Roman" w:cs="Times New Roman"/>
        </w:rPr>
        <w:t xml:space="preserve">that will exist </w:t>
      </w:r>
      <w:r w:rsidRPr="00330B59">
        <w:rPr>
          <w:rFonts w:ascii="Times New Roman" w:hAnsi="Times New Roman" w:cs="Times New Roman"/>
        </w:rPr>
        <w:t>in the APCR</w:t>
      </w:r>
      <w:r w:rsidR="005D1581" w:rsidRPr="00330B59">
        <w:rPr>
          <w:rFonts w:ascii="Times New Roman" w:hAnsi="Times New Roman" w:cs="Times New Roman"/>
        </w:rPr>
        <w:t xml:space="preserve"> at the end of 2020</w:t>
      </w:r>
      <w:r w:rsidRPr="00330B59">
        <w:rPr>
          <w:rFonts w:ascii="Times New Roman" w:hAnsi="Times New Roman" w:cs="Times New Roman"/>
        </w:rPr>
        <w:t xml:space="preserve"> by at least 54 million </w:t>
      </w:r>
      <w:r w:rsidR="003513B0" w:rsidRPr="00330B59">
        <w:rPr>
          <w:rFonts w:ascii="Times New Roman" w:hAnsi="Times New Roman" w:cs="Times New Roman"/>
        </w:rPr>
        <w:t xml:space="preserve">through continued diversion from annual budgets, </w:t>
      </w:r>
      <w:r w:rsidRPr="00330B59">
        <w:rPr>
          <w:rFonts w:ascii="Times New Roman" w:hAnsi="Times New Roman" w:cs="Times New Roman"/>
        </w:rPr>
        <w:t xml:space="preserve">and adding </w:t>
      </w:r>
      <w:r w:rsidR="00192F10" w:rsidRPr="00330B59">
        <w:rPr>
          <w:rFonts w:ascii="Times New Roman" w:hAnsi="Times New Roman" w:cs="Times New Roman"/>
        </w:rPr>
        <w:t>u</w:t>
      </w:r>
      <w:r w:rsidRPr="00330B59">
        <w:rPr>
          <w:rFonts w:ascii="Times New Roman" w:hAnsi="Times New Roman" w:cs="Times New Roman"/>
        </w:rPr>
        <w:t xml:space="preserve">nsold allowances to this total. </w:t>
      </w:r>
      <w:r w:rsidR="008366F8" w:rsidRPr="00330B59">
        <w:rPr>
          <w:rFonts w:ascii="Times New Roman" w:hAnsi="Times New Roman" w:cs="Times New Roman"/>
        </w:rPr>
        <w:t xml:space="preserve"> </w:t>
      </w:r>
      <w:r w:rsidR="00192F10" w:rsidRPr="00330B59">
        <w:rPr>
          <w:rFonts w:ascii="Times New Roman" w:hAnsi="Times New Roman" w:cs="Times New Roman"/>
        </w:rPr>
        <w:t>WSPA previously commented that t</w:t>
      </w:r>
      <w:r w:rsidR="008366F8" w:rsidRPr="00330B59">
        <w:rPr>
          <w:rFonts w:ascii="Times New Roman" w:hAnsi="Times New Roman" w:cs="Times New Roman"/>
        </w:rPr>
        <w:t xml:space="preserve">hese proposals </w:t>
      </w:r>
      <w:r w:rsidR="003513B0" w:rsidRPr="00330B59">
        <w:rPr>
          <w:rFonts w:ascii="Times New Roman" w:hAnsi="Times New Roman" w:cs="Times New Roman"/>
        </w:rPr>
        <w:t xml:space="preserve">will </w:t>
      </w:r>
      <w:r w:rsidRPr="00330B59">
        <w:rPr>
          <w:rFonts w:ascii="Times New Roman" w:hAnsi="Times New Roman" w:cs="Times New Roman"/>
        </w:rPr>
        <w:t>artificial</w:t>
      </w:r>
      <w:r w:rsidR="008366F8" w:rsidRPr="00330B59">
        <w:rPr>
          <w:rFonts w:ascii="Times New Roman" w:hAnsi="Times New Roman" w:cs="Times New Roman"/>
        </w:rPr>
        <w:t>ly</w:t>
      </w:r>
      <w:r w:rsidRPr="00330B59">
        <w:rPr>
          <w:rFonts w:ascii="Times New Roman" w:hAnsi="Times New Roman" w:cs="Times New Roman"/>
        </w:rPr>
        <w:t xml:space="preserve"> </w:t>
      </w:r>
      <w:r w:rsidR="003513B0" w:rsidRPr="00330B59">
        <w:rPr>
          <w:rFonts w:ascii="Times New Roman" w:hAnsi="Times New Roman" w:cs="Times New Roman"/>
        </w:rPr>
        <w:t xml:space="preserve">constrain the allowance market by reducing the volume of allowances in circulation and are likely to </w:t>
      </w:r>
      <w:r w:rsidR="008366F8" w:rsidRPr="00330B59">
        <w:rPr>
          <w:rFonts w:ascii="Times New Roman" w:hAnsi="Times New Roman" w:cs="Times New Roman"/>
        </w:rPr>
        <w:t xml:space="preserve">inflate </w:t>
      </w:r>
      <w:r w:rsidRPr="00330B59">
        <w:rPr>
          <w:rFonts w:ascii="Times New Roman" w:hAnsi="Times New Roman" w:cs="Times New Roman"/>
        </w:rPr>
        <w:t xml:space="preserve">program cost. </w:t>
      </w:r>
      <w:r w:rsidR="008366F8" w:rsidRPr="00330B59">
        <w:rPr>
          <w:rFonts w:ascii="Times New Roman" w:hAnsi="Times New Roman" w:cs="Times New Roman"/>
        </w:rPr>
        <w:t xml:space="preserve"> </w:t>
      </w:r>
      <w:r w:rsidR="00330B59" w:rsidRPr="00330B59">
        <w:rPr>
          <w:rFonts w:ascii="Times New Roman" w:hAnsi="Times New Roman" w:cs="Times New Roman"/>
        </w:rPr>
        <w:t xml:space="preserve">Layering in a policy to </w:t>
      </w:r>
      <w:r w:rsidR="00836CC6" w:rsidRPr="00330B59">
        <w:rPr>
          <w:rFonts w:ascii="Times New Roman" w:hAnsi="Times New Roman" w:cs="Times New Roman"/>
        </w:rPr>
        <w:t>retir</w:t>
      </w:r>
      <w:r w:rsidR="00330B59" w:rsidRPr="00330B59">
        <w:rPr>
          <w:rFonts w:ascii="Times New Roman" w:hAnsi="Times New Roman" w:cs="Times New Roman"/>
        </w:rPr>
        <w:t>e</w:t>
      </w:r>
      <w:r w:rsidR="00836CC6" w:rsidRPr="00330B59">
        <w:rPr>
          <w:rFonts w:ascii="Times New Roman" w:hAnsi="Times New Roman" w:cs="Times New Roman"/>
        </w:rPr>
        <w:t xml:space="preserve"> unsold allowances</w:t>
      </w:r>
      <w:r w:rsidR="00192F10" w:rsidRPr="00330B59">
        <w:rPr>
          <w:rFonts w:ascii="Times New Roman" w:hAnsi="Times New Roman" w:cs="Times New Roman"/>
        </w:rPr>
        <w:t xml:space="preserve"> </w:t>
      </w:r>
      <w:r w:rsidR="00330B59" w:rsidRPr="00330B59">
        <w:rPr>
          <w:rFonts w:ascii="Times New Roman" w:hAnsi="Times New Roman" w:cs="Times New Roman"/>
        </w:rPr>
        <w:t>would a</w:t>
      </w:r>
      <w:r w:rsidR="00836CC6" w:rsidRPr="00330B59">
        <w:rPr>
          <w:rFonts w:ascii="Times New Roman" w:hAnsi="Times New Roman" w:cs="Times New Roman"/>
        </w:rPr>
        <w:t xml:space="preserve">mount to </w:t>
      </w:r>
      <w:r w:rsidR="00330B59" w:rsidRPr="00330B59">
        <w:rPr>
          <w:rFonts w:ascii="Times New Roman" w:hAnsi="Times New Roman" w:cs="Times New Roman"/>
        </w:rPr>
        <w:t>a</w:t>
      </w:r>
      <w:r w:rsidR="00836CC6" w:rsidRPr="00330B59">
        <w:rPr>
          <w:rFonts w:ascii="Times New Roman" w:hAnsi="Times New Roman" w:cs="Times New Roman"/>
        </w:rPr>
        <w:t xml:space="preserve"> step-down reset of the cap</w:t>
      </w:r>
      <w:r w:rsidR="00192F10" w:rsidRPr="00330B59">
        <w:rPr>
          <w:rFonts w:ascii="Times New Roman" w:hAnsi="Times New Roman" w:cs="Times New Roman"/>
        </w:rPr>
        <w:t xml:space="preserve">. </w:t>
      </w:r>
      <w:r w:rsidR="00836CC6" w:rsidRPr="00330B59">
        <w:rPr>
          <w:rFonts w:ascii="Times New Roman" w:hAnsi="Times New Roman" w:cs="Times New Roman"/>
        </w:rPr>
        <w:t xml:space="preserve"> ARB previously workshopped </w:t>
      </w:r>
      <w:r w:rsidR="00192F10" w:rsidRPr="00330B59">
        <w:rPr>
          <w:rFonts w:ascii="Times New Roman" w:hAnsi="Times New Roman" w:cs="Times New Roman"/>
        </w:rPr>
        <w:t xml:space="preserve">this </w:t>
      </w:r>
      <w:r w:rsidR="00330B59" w:rsidRPr="00330B59">
        <w:rPr>
          <w:rFonts w:ascii="Times New Roman" w:hAnsi="Times New Roman" w:cs="Times New Roman"/>
        </w:rPr>
        <w:t>concept</w:t>
      </w:r>
      <w:r w:rsidR="00192F10" w:rsidRPr="00330B59">
        <w:rPr>
          <w:rFonts w:ascii="Times New Roman" w:hAnsi="Times New Roman" w:cs="Times New Roman"/>
        </w:rPr>
        <w:t xml:space="preserve"> </w:t>
      </w:r>
      <w:r w:rsidR="00836CC6" w:rsidRPr="00330B59">
        <w:rPr>
          <w:rFonts w:ascii="Times New Roman" w:hAnsi="Times New Roman" w:cs="Times New Roman"/>
        </w:rPr>
        <w:t>but ultimately dismissed</w:t>
      </w:r>
      <w:r w:rsidR="00192F10" w:rsidRPr="00330B59">
        <w:rPr>
          <w:rFonts w:ascii="Times New Roman" w:hAnsi="Times New Roman" w:cs="Times New Roman"/>
        </w:rPr>
        <w:t xml:space="preserve"> it</w:t>
      </w:r>
      <w:r w:rsidR="00836CC6" w:rsidRPr="00330B59">
        <w:rPr>
          <w:rFonts w:ascii="Times New Roman" w:hAnsi="Times New Roman" w:cs="Times New Roman"/>
        </w:rPr>
        <w:t xml:space="preserve"> in developing its proposed amendments to the </w:t>
      </w:r>
      <w:r w:rsidR="005B67A3">
        <w:rPr>
          <w:rFonts w:ascii="Times New Roman" w:hAnsi="Times New Roman" w:cs="Times New Roman"/>
        </w:rPr>
        <w:t>Cap-and-Trade</w:t>
      </w:r>
      <w:r w:rsidR="00836CC6" w:rsidRPr="00330B59">
        <w:rPr>
          <w:rFonts w:ascii="Times New Roman" w:hAnsi="Times New Roman" w:cs="Times New Roman"/>
        </w:rPr>
        <w:t xml:space="preserve"> regulation</w:t>
      </w:r>
      <w:r w:rsidRPr="00330B59">
        <w:rPr>
          <w:rFonts w:ascii="Times New Roman" w:hAnsi="Times New Roman" w:cs="Times New Roman"/>
        </w:rPr>
        <w:t>.</w:t>
      </w:r>
      <w:r w:rsidR="00CA4191" w:rsidRPr="00330B59">
        <w:rPr>
          <w:rFonts w:ascii="Times New Roman" w:hAnsi="Times New Roman" w:cs="Times New Roman"/>
        </w:rPr>
        <w:t xml:space="preserve"> </w:t>
      </w:r>
      <w:r w:rsidR="005D1581" w:rsidRPr="00330B59">
        <w:rPr>
          <w:rFonts w:ascii="Times New Roman" w:hAnsi="Times New Roman" w:cs="Times New Roman"/>
        </w:rPr>
        <w:t xml:space="preserve">Moreover </w:t>
      </w:r>
      <w:r w:rsidR="00CA4191" w:rsidRPr="00330B59">
        <w:rPr>
          <w:rFonts w:ascii="Times New Roman" w:hAnsi="Times New Roman" w:cs="Times New Roman"/>
        </w:rPr>
        <w:t xml:space="preserve">ARB </w:t>
      </w:r>
      <w:r w:rsidR="006B44A2">
        <w:rPr>
          <w:rFonts w:ascii="Times New Roman" w:hAnsi="Times New Roman" w:cs="Times New Roman"/>
        </w:rPr>
        <w:t>should not</w:t>
      </w:r>
      <w:r w:rsidR="00192F10" w:rsidRPr="00330B59">
        <w:rPr>
          <w:rFonts w:ascii="Times New Roman" w:hAnsi="Times New Roman" w:cs="Times New Roman"/>
        </w:rPr>
        <w:t xml:space="preserve"> assert</w:t>
      </w:r>
      <w:r w:rsidR="00CA4191" w:rsidRPr="00330B59">
        <w:rPr>
          <w:rFonts w:ascii="Times New Roman" w:hAnsi="Times New Roman" w:cs="Times New Roman"/>
        </w:rPr>
        <w:t xml:space="preserve"> that </w:t>
      </w:r>
      <w:r w:rsidR="00192F10" w:rsidRPr="00330B59">
        <w:rPr>
          <w:rFonts w:ascii="Times New Roman" w:hAnsi="Times New Roman" w:cs="Times New Roman"/>
        </w:rPr>
        <w:t xml:space="preserve">the accumulated volume of allowances in the APCR under its </w:t>
      </w:r>
      <w:r w:rsidR="007E3925">
        <w:rPr>
          <w:rFonts w:ascii="Times New Roman" w:hAnsi="Times New Roman" w:cs="Times New Roman"/>
        </w:rPr>
        <w:t>pending</w:t>
      </w:r>
      <w:r w:rsidR="00192F10" w:rsidRPr="00330B59">
        <w:rPr>
          <w:rFonts w:ascii="Times New Roman" w:hAnsi="Times New Roman" w:cs="Times New Roman"/>
        </w:rPr>
        <w:t xml:space="preserve"> </w:t>
      </w:r>
      <w:r w:rsidR="007E3925">
        <w:rPr>
          <w:rFonts w:ascii="Times New Roman" w:hAnsi="Times New Roman" w:cs="Times New Roman"/>
        </w:rPr>
        <w:t xml:space="preserve">regulatory </w:t>
      </w:r>
      <w:r w:rsidR="00192F10" w:rsidRPr="00330B59">
        <w:rPr>
          <w:rFonts w:ascii="Times New Roman" w:hAnsi="Times New Roman" w:cs="Times New Roman"/>
        </w:rPr>
        <w:t xml:space="preserve">proposals “is sufficient to meet the cost containment needs of the </w:t>
      </w:r>
      <w:r w:rsidR="006B44A2">
        <w:rPr>
          <w:rFonts w:ascii="Times New Roman" w:hAnsi="Times New Roman" w:cs="Times New Roman"/>
        </w:rPr>
        <w:t>p</w:t>
      </w:r>
      <w:r w:rsidR="00192F10" w:rsidRPr="00330B59">
        <w:rPr>
          <w:rFonts w:ascii="Times New Roman" w:hAnsi="Times New Roman" w:cs="Times New Roman"/>
        </w:rPr>
        <w:t>rogram through 2031”</w:t>
      </w:r>
      <w:r w:rsidR="00192F10" w:rsidRPr="00330B59">
        <w:rPr>
          <w:rStyle w:val="FootnoteReference"/>
        </w:rPr>
        <w:footnoteReference w:id="4"/>
      </w:r>
      <w:r w:rsidR="00192F10" w:rsidRPr="00330B59">
        <w:rPr>
          <w:rFonts w:ascii="Times New Roman" w:hAnsi="Times New Roman" w:cs="Times New Roman"/>
        </w:rPr>
        <w:t xml:space="preserve">, and then extract a significant portion of those allowances from the cap without knowingly undermining </w:t>
      </w:r>
      <w:r w:rsidR="006B44A2">
        <w:rPr>
          <w:rFonts w:ascii="Times New Roman" w:hAnsi="Times New Roman" w:cs="Times New Roman"/>
        </w:rPr>
        <w:t>p</w:t>
      </w:r>
      <w:r w:rsidR="00FF7CD8">
        <w:rPr>
          <w:rFonts w:ascii="Times New Roman" w:hAnsi="Times New Roman" w:cs="Times New Roman"/>
        </w:rPr>
        <w:t>rogram cost containment.  This rationale alone should be a sufficient basis for rejecting the APCR unsold allowance retirement concept.</w:t>
      </w:r>
    </w:p>
    <w:p w:rsidR="009A2C87" w:rsidRPr="00C158F9" w:rsidRDefault="009A2C87" w:rsidP="00FF7CD8">
      <w:pPr>
        <w:jc w:val="both"/>
        <w:rPr>
          <w:rFonts w:ascii="Times New Roman" w:hAnsi="Times New Roman" w:cs="Times New Roman"/>
        </w:rPr>
      </w:pPr>
      <w:r w:rsidRPr="00C158F9">
        <w:rPr>
          <w:rFonts w:ascii="Times New Roman" w:hAnsi="Times New Roman" w:cs="Times New Roman"/>
          <w:bCs/>
          <w:iCs/>
        </w:rPr>
        <w:t xml:space="preserve">WSPA recommends that ARB </w:t>
      </w:r>
      <w:r w:rsidR="00330B59" w:rsidRPr="00C158F9">
        <w:rPr>
          <w:rFonts w:ascii="Times New Roman" w:hAnsi="Times New Roman" w:cs="Times New Roman"/>
          <w:bCs/>
          <w:iCs/>
        </w:rPr>
        <w:t>quantify</w:t>
      </w:r>
      <w:r w:rsidRPr="00C158F9">
        <w:rPr>
          <w:rFonts w:ascii="Times New Roman" w:hAnsi="Times New Roman" w:cs="Times New Roman"/>
          <w:bCs/>
          <w:iCs/>
        </w:rPr>
        <w:t xml:space="preserve"> the potential for </w:t>
      </w:r>
      <w:r w:rsidR="00330B59" w:rsidRPr="00C158F9">
        <w:rPr>
          <w:rFonts w:ascii="Times New Roman" w:hAnsi="Times New Roman" w:cs="Times New Roman"/>
          <w:bCs/>
          <w:iCs/>
        </w:rPr>
        <w:t>its current proposals and this AB 197 APCR concept</w:t>
      </w:r>
      <w:r w:rsidRPr="00C158F9">
        <w:rPr>
          <w:rFonts w:ascii="Times New Roman" w:hAnsi="Times New Roman" w:cs="Times New Roman"/>
          <w:bCs/>
          <w:iCs/>
        </w:rPr>
        <w:t xml:space="preserve"> to </w:t>
      </w:r>
      <w:r w:rsidR="00330B59" w:rsidRPr="00C158F9">
        <w:rPr>
          <w:rFonts w:ascii="Times New Roman" w:hAnsi="Times New Roman" w:cs="Times New Roman"/>
          <w:bCs/>
          <w:iCs/>
        </w:rPr>
        <w:t xml:space="preserve">diminish market liquidity and </w:t>
      </w:r>
      <w:r w:rsidRPr="00C158F9">
        <w:rPr>
          <w:rFonts w:ascii="Times New Roman" w:hAnsi="Times New Roman" w:cs="Times New Roman"/>
          <w:bCs/>
          <w:iCs/>
        </w:rPr>
        <w:t>increase program costs</w:t>
      </w:r>
      <w:r w:rsidR="00330B59" w:rsidRPr="00C158F9">
        <w:rPr>
          <w:rFonts w:ascii="Times New Roman" w:hAnsi="Times New Roman" w:cs="Times New Roman"/>
          <w:bCs/>
          <w:iCs/>
        </w:rPr>
        <w:t xml:space="preserve">.  ARB should also </w:t>
      </w:r>
      <w:r w:rsidRPr="00C158F9">
        <w:rPr>
          <w:rFonts w:ascii="Times New Roman" w:hAnsi="Times New Roman" w:cs="Times New Roman"/>
          <w:bCs/>
          <w:iCs/>
        </w:rPr>
        <w:t xml:space="preserve">allow more transparent public discussion of these issues through full 45-day </w:t>
      </w:r>
      <w:r w:rsidR="00330B59" w:rsidRPr="00C158F9">
        <w:rPr>
          <w:rFonts w:ascii="Times New Roman" w:hAnsi="Times New Roman" w:cs="Times New Roman"/>
          <w:bCs/>
          <w:iCs/>
        </w:rPr>
        <w:t xml:space="preserve">public </w:t>
      </w:r>
      <w:r w:rsidRPr="00C158F9">
        <w:rPr>
          <w:rFonts w:ascii="Times New Roman" w:hAnsi="Times New Roman" w:cs="Times New Roman"/>
          <w:bCs/>
          <w:iCs/>
        </w:rPr>
        <w:t xml:space="preserve">notice and comment periods. </w:t>
      </w:r>
      <w:r w:rsidR="00330B59" w:rsidRPr="00C158F9">
        <w:rPr>
          <w:rFonts w:ascii="Times New Roman" w:hAnsi="Times New Roman" w:cs="Times New Roman"/>
          <w:bCs/>
          <w:iCs/>
        </w:rPr>
        <w:t xml:space="preserve"> </w:t>
      </w:r>
      <w:r w:rsidRPr="00C158F9">
        <w:rPr>
          <w:rFonts w:ascii="Times New Roman" w:hAnsi="Times New Roman" w:cs="Times New Roman"/>
          <w:bCs/>
          <w:iCs/>
        </w:rPr>
        <w:t>Pending this review, WSPA recommends that ARB continue to return unsold allowances to auction.</w:t>
      </w:r>
    </w:p>
    <w:p w:rsidR="00892229" w:rsidRPr="00892229" w:rsidRDefault="00892229" w:rsidP="00D80909">
      <w:pPr>
        <w:jc w:val="both"/>
        <w:rPr>
          <w:rFonts w:ascii="Times New Roman" w:hAnsi="Times New Roman" w:cs="Times New Roman"/>
          <w:b/>
        </w:rPr>
      </w:pPr>
      <w:r w:rsidRPr="00892229">
        <w:rPr>
          <w:rFonts w:ascii="Times New Roman" w:hAnsi="Times New Roman" w:cs="Times New Roman"/>
          <w:b/>
        </w:rPr>
        <w:t xml:space="preserve">Scope of </w:t>
      </w:r>
      <w:r w:rsidR="00AF7EB9">
        <w:rPr>
          <w:rFonts w:ascii="Times New Roman" w:hAnsi="Times New Roman" w:cs="Times New Roman"/>
          <w:b/>
        </w:rPr>
        <w:t xml:space="preserve">the Current </w:t>
      </w:r>
      <w:r w:rsidR="005B67A3">
        <w:rPr>
          <w:rFonts w:ascii="Times New Roman" w:hAnsi="Times New Roman" w:cs="Times New Roman"/>
          <w:b/>
        </w:rPr>
        <w:t>Cap-and-Trade</w:t>
      </w:r>
      <w:r w:rsidR="00AF7EB9">
        <w:rPr>
          <w:rFonts w:ascii="Times New Roman" w:hAnsi="Times New Roman" w:cs="Times New Roman"/>
          <w:b/>
        </w:rPr>
        <w:t xml:space="preserve"> Rulemaking</w:t>
      </w:r>
    </w:p>
    <w:p w:rsidR="00892229" w:rsidRPr="004B286F" w:rsidRDefault="00D969FB" w:rsidP="00D44D7F">
      <w:pPr>
        <w:jc w:val="both"/>
        <w:rPr>
          <w:rFonts w:ascii="Times New Roman" w:hAnsi="Times New Roman" w:cs="Times New Roman"/>
        </w:rPr>
      </w:pPr>
      <w:r w:rsidRPr="00892229">
        <w:rPr>
          <w:rFonts w:ascii="Times New Roman" w:hAnsi="Times New Roman" w:cs="Times New Roman"/>
        </w:rPr>
        <w:t>WSPA also</w:t>
      </w:r>
      <w:r w:rsidR="00007A8D">
        <w:rPr>
          <w:rFonts w:ascii="Times New Roman" w:hAnsi="Times New Roman" w:cs="Times New Roman"/>
        </w:rPr>
        <w:t xml:space="preserve"> maintains</w:t>
      </w:r>
      <w:r w:rsidRPr="00892229">
        <w:rPr>
          <w:rFonts w:ascii="Times New Roman" w:hAnsi="Times New Roman" w:cs="Times New Roman"/>
        </w:rPr>
        <w:t xml:space="preserve"> that the scope of the changes envisioned in these concepts falls </w:t>
      </w:r>
      <w:r w:rsidR="00D676C8" w:rsidRPr="00892229">
        <w:rPr>
          <w:rFonts w:ascii="Times New Roman" w:hAnsi="Times New Roman" w:cs="Times New Roman"/>
        </w:rPr>
        <w:t xml:space="preserve">well </w:t>
      </w:r>
      <w:r w:rsidRPr="00892229">
        <w:rPr>
          <w:rFonts w:ascii="Times New Roman" w:hAnsi="Times New Roman" w:cs="Times New Roman"/>
        </w:rPr>
        <w:t>outside of the changes identified by ARB in its August 3, 2016 Notice of Proposed Rulemaking</w:t>
      </w:r>
      <w:r w:rsidR="00D676C8" w:rsidRPr="00892229">
        <w:rPr>
          <w:rFonts w:ascii="Times New Roman" w:hAnsi="Times New Roman" w:cs="Times New Roman"/>
        </w:rPr>
        <w:t xml:space="preserve">. The 45-day notice is silent on the offset use limit.  ARB’s current proposal for unsold pre-2021 allowances is to divert them to the post-2020 APCR.  While </w:t>
      </w:r>
      <w:r w:rsidR="00294EAD" w:rsidRPr="00892229">
        <w:rPr>
          <w:rFonts w:ascii="Times New Roman" w:hAnsi="Times New Roman" w:cs="Times New Roman"/>
        </w:rPr>
        <w:t xml:space="preserve">we oppose </w:t>
      </w:r>
      <w:r w:rsidR="00D676C8" w:rsidRPr="00892229">
        <w:rPr>
          <w:rFonts w:ascii="Times New Roman" w:hAnsi="Times New Roman" w:cs="Times New Roman"/>
        </w:rPr>
        <w:t xml:space="preserve">the current staff proposal </w:t>
      </w:r>
      <w:r w:rsidR="00294EAD" w:rsidRPr="00892229">
        <w:rPr>
          <w:rFonts w:ascii="Times New Roman" w:hAnsi="Times New Roman" w:cs="Times New Roman"/>
        </w:rPr>
        <w:t xml:space="preserve">on the basis that it </w:t>
      </w:r>
      <w:r w:rsidR="00D676C8" w:rsidRPr="00892229">
        <w:rPr>
          <w:rFonts w:ascii="Times New Roman" w:hAnsi="Times New Roman" w:cs="Times New Roman"/>
        </w:rPr>
        <w:t>may lead to a more restricted market, retiring these allowances would likely have a much greater negative impact on market liquidity and</w:t>
      </w:r>
      <w:r w:rsidR="00741061" w:rsidRPr="00892229">
        <w:rPr>
          <w:rFonts w:ascii="Times New Roman" w:hAnsi="Times New Roman" w:cs="Times New Roman"/>
        </w:rPr>
        <w:t xml:space="preserve"> program</w:t>
      </w:r>
      <w:r w:rsidR="00D676C8" w:rsidRPr="00892229">
        <w:rPr>
          <w:rFonts w:ascii="Times New Roman" w:hAnsi="Times New Roman" w:cs="Times New Roman"/>
        </w:rPr>
        <w:t xml:space="preserve"> cost containment.  </w:t>
      </w:r>
      <w:r w:rsidR="00294EAD" w:rsidRPr="00892229">
        <w:rPr>
          <w:rFonts w:ascii="Times New Roman" w:hAnsi="Times New Roman" w:cs="Times New Roman"/>
        </w:rPr>
        <w:t xml:space="preserve">ARB’s “cost-burden” concept for allowance allocation is still largely undefined, but appears on its face to depart from the leakage risk methodology currently proposed for allowance allocation. </w:t>
      </w:r>
      <w:r w:rsidR="00D676C8" w:rsidRPr="00892229">
        <w:rPr>
          <w:rFonts w:ascii="Times New Roman" w:hAnsi="Times New Roman" w:cs="Times New Roman"/>
        </w:rPr>
        <w:t xml:space="preserve"> </w:t>
      </w:r>
      <w:r w:rsidR="00294EAD" w:rsidRPr="00C13072">
        <w:rPr>
          <w:rFonts w:ascii="Times New Roman" w:hAnsi="Times New Roman" w:cs="Times New Roman"/>
        </w:rPr>
        <w:t xml:space="preserve">A reasonable interpretation of the Administrative Procedures Act </w:t>
      </w:r>
      <w:r w:rsidR="002C1460">
        <w:rPr>
          <w:rFonts w:ascii="Times New Roman" w:hAnsi="Times New Roman" w:cs="Times New Roman"/>
        </w:rPr>
        <w:t xml:space="preserve">(APA) </w:t>
      </w:r>
      <w:r w:rsidR="00294EAD" w:rsidRPr="00C13072">
        <w:rPr>
          <w:rFonts w:ascii="Times New Roman" w:hAnsi="Times New Roman" w:cs="Times New Roman"/>
        </w:rPr>
        <w:t xml:space="preserve">suggests that these </w:t>
      </w:r>
      <w:r w:rsidR="002C1460">
        <w:rPr>
          <w:rFonts w:ascii="Times New Roman" w:hAnsi="Times New Roman" w:cs="Times New Roman"/>
        </w:rPr>
        <w:t>concepts</w:t>
      </w:r>
      <w:r w:rsidR="002C1460" w:rsidRPr="00C13072">
        <w:rPr>
          <w:rFonts w:ascii="Times New Roman" w:hAnsi="Times New Roman" w:cs="Times New Roman"/>
        </w:rPr>
        <w:t xml:space="preserve"> </w:t>
      </w:r>
      <w:r w:rsidR="00294EAD" w:rsidRPr="00C13072">
        <w:rPr>
          <w:rFonts w:ascii="Times New Roman" w:hAnsi="Times New Roman" w:cs="Times New Roman"/>
        </w:rPr>
        <w:t>are not sufficiently related to the current proposals</w:t>
      </w:r>
      <w:r w:rsidR="00AF7EB9" w:rsidRPr="00C13072">
        <w:rPr>
          <w:rFonts w:ascii="Times New Roman" w:hAnsi="Times New Roman" w:cs="Times New Roman"/>
        </w:rPr>
        <w:t xml:space="preserve"> and therefore should not </w:t>
      </w:r>
      <w:r w:rsidR="00294EAD" w:rsidRPr="00C13072">
        <w:rPr>
          <w:rFonts w:ascii="Times New Roman" w:hAnsi="Times New Roman" w:cs="Times New Roman"/>
        </w:rPr>
        <w:t>be included in 15-day changes to the current rulemaking.</w:t>
      </w:r>
      <w:r w:rsidR="00294EAD" w:rsidRPr="00892229">
        <w:rPr>
          <w:rFonts w:ascii="Times New Roman" w:hAnsi="Times New Roman" w:cs="Times New Roman"/>
        </w:rPr>
        <w:t xml:space="preserve">  Rather, if ARB chooses to pursue them, it would need to </w:t>
      </w:r>
      <w:r w:rsidR="002C1460">
        <w:rPr>
          <w:rFonts w:ascii="Times New Roman" w:hAnsi="Times New Roman" w:cs="Times New Roman"/>
        </w:rPr>
        <w:t xml:space="preserve">issue a new 45-day notice for </w:t>
      </w:r>
      <w:r w:rsidR="00294EAD" w:rsidRPr="00892229">
        <w:rPr>
          <w:rFonts w:ascii="Times New Roman" w:hAnsi="Times New Roman" w:cs="Times New Roman"/>
        </w:rPr>
        <w:t>a separate</w:t>
      </w:r>
      <w:r w:rsidR="002C1460">
        <w:rPr>
          <w:rFonts w:ascii="Times New Roman" w:hAnsi="Times New Roman" w:cs="Times New Roman"/>
        </w:rPr>
        <w:t xml:space="preserve"> </w:t>
      </w:r>
      <w:r w:rsidR="005B67A3">
        <w:rPr>
          <w:rFonts w:ascii="Times New Roman" w:hAnsi="Times New Roman" w:cs="Times New Roman"/>
        </w:rPr>
        <w:t>Cap-and-Trade</w:t>
      </w:r>
      <w:r w:rsidR="00294EAD" w:rsidRPr="00892229">
        <w:rPr>
          <w:rFonts w:ascii="Times New Roman" w:hAnsi="Times New Roman" w:cs="Times New Roman"/>
        </w:rPr>
        <w:t xml:space="preserve"> rulemaking</w:t>
      </w:r>
      <w:r w:rsidR="002C1460">
        <w:rPr>
          <w:rFonts w:ascii="Times New Roman" w:hAnsi="Times New Roman" w:cs="Times New Roman"/>
        </w:rPr>
        <w:t xml:space="preserve"> consistent with APA requirements</w:t>
      </w:r>
      <w:r w:rsidR="00294EAD" w:rsidRPr="00892229">
        <w:rPr>
          <w:rFonts w:ascii="Times New Roman" w:hAnsi="Times New Roman" w:cs="Times New Roman"/>
        </w:rPr>
        <w:t>.</w:t>
      </w:r>
    </w:p>
    <w:p w:rsidR="00086309" w:rsidRPr="00892229" w:rsidRDefault="00086309" w:rsidP="00EE6349">
      <w:pPr>
        <w:jc w:val="both"/>
        <w:rPr>
          <w:rFonts w:ascii="Times New Roman" w:hAnsi="Times New Roman" w:cs="Times New Roman"/>
          <w:b/>
        </w:rPr>
      </w:pPr>
      <w:r w:rsidRPr="00892229">
        <w:rPr>
          <w:rFonts w:ascii="Times New Roman" w:hAnsi="Times New Roman" w:cs="Times New Roman"/>
          <w:b/>
        </w:rPr>
        <w:t>Direct Reductions at Petroleum Refineries</w:t>
      </w:r>
    </w:p>
    <w:p w:rsidR="00F60749" w:rsidRDefault="00086309" w:rsidP="00D80909">
      <w:pPr>
        <w:jc w:val="both"/>
        <w:rPr>
          <w:rFonts w:ascii="Times New Roman" w:hAnsi="Times New Roman" w:cs="Times New Roman"/>
        </w:rPr>
      </w:pPr>
      <w:r w:rsidRPr="00F56B2A">
        <w:rPr>
          <w:rFonts w:ascii="Times New Roman" w:hAnsi="Times New Roman" w:cs="Times New Roman"/>
        </w:rPr>
        <w:t>ARB published a</w:t>
      </w:r>
      <w:r w:rsidR="00F82EF7">
        <w:rPr>
          <w:rFonts w:ascii="Times New Roman" w:hAnsi="Times New Roman" w:cs="Times New Roman"/>
        </w:rPr>
        <w:t xml:space="preserve"> </w:t>
      </w:r>
      <w:r w:rsidRPr="00F56B2A">
        <w:rPr>
          <w:rFonts w:ascii="Times New Roman" w:hAnsi="Times New Roman" w:cs="Times New Roman"/>
        </w:rPr>
        <w:t xml:space="preserve">summary report </w:t>
      </w:r>
      <w:r w:rsidR="00F56B2A">
        <w:rPr>
          <w:rFonts w:ascii="Times New Roman" w:hAnsi="Times New Roman" w:cs="Times New Roman"/>
        </w:rPr>
        <w:t xml:space="preserve">in mid-2013 </w:t>
      </w:r>
      <w:r w:rsidRPr="00F56B2A">
        <w:rPr>
          <w:rFonts w:ascii="Times New Roman" w:hAnsi="Times New Roman" w:cs="Times New Roman"/>
        </w:rPr>
        <w:t>showing that</w:t>
      </w:r>
      <w:r w:rsidR="00FF6C15">
        <w:rPr>
          <w:rFonts w:ascii="Times New Roman" w:hAnsi="Times New Roman" w:cs="Times New Roman"/>
        </w:rPr>
        <w:t xml:space="preserve"> the 12</w:t>
      </w:r>
      <w:r w:rsidRPr="00F56B2A">
        <w:rPr>
          <w:rFonts w:ascii="Times New Roman" w:hAnsi="Times New Roman" w:cs="Times New Roman"/>
        </w:rPr>
        <w:t xml:space="preserve"> refineries</w:t>
      </w:r>
      <w:r w:rsidR="00FF6C15">
        <w:rPr>
          <w:rFonts w:ascii="Times New Roman" w:hAnsi="Times New Roman" w:cs="Times New Roman"/>
        </w:rPr>
        <w:t xml:space="preserve"> subject to ARB’s </w:t>
      </w:r>
      <w:r w:rsidR="00FF6C15" w:rsidRPr="00467D30">
        <w:rPr>
          <w:rFonts w:ascii="Times New Roman" w:hAnsi="Times New Roman" w:cs="Times New Roman"/>
        </w:rPr>
        <w:t>“R</w:t>
      </w:r>
      <w:r w:rsidR="00FF6C15" w:rsidRPr="00467D30">
        <w:rPr>
          <w:rStyle w:val="Emphasis"/>
          <w:rFonts w:ascii="Times New Roman" w:hAnsi="Times New Roman" w:cs="Times New Roman"/>
          <w:bCs/>
          <w:i w:val="0"/>
          <w:iCs w:val="0"/>
          <w:shd w:val="clear" w:color="auto" w:fill="FFFFFF"/>
        </w:rPr>
        <w:t>egulation</w:t>
      </w:r>
      <w:r w:rsidR="00FF6C15" w:rsidRPr="00467D30">
        <w:rPr>
          <w:rStyle w:val="apple-converted-space"/>
          <w:rFonts w:ascii="Times New Roman" w:hAnsi="Times New Roman" w:cs="Times New Roman"/>
          <w:shd w:val="clear" w:color="auto" w:fill="FFFFFF"/>
        </w:rPr>
        <w:t> </w:t>
      </w:r>
      <w:r w:rsidR="00FF6C15" w:rsidRPr="00467D30">
        <w:rPr>
          <w:rFonts w:ascii="Times New Roman" w:hAnsi="Times New Roman" w:cs="Times New Roman"/>
          <w:shd w:val="clear" w:color="auto" w:fill="FFFFFF"/>
        </w:rPr>
        <w:t>for</w:t>
      </w:r>
      <w:r w:rsidR="00FF6C15" w:rsidRPr="00467D30">
        <w:rPr>
          <w:rStyle w:val="apple-converted-space"/>
          <w:rFonts w:ascii="Times New Roman" w:hAnsi="Times New Roman" w:cs="Times New Roman"/>
          <w:shd w:val="clear" w:color="auto" w:fill="FFFFFF"/>
        </w:rPr>
        <w:t> </w:t>
      </w:r>
      <w:r w:rsidR="00FF6C15" w:rsidRPr="00467D30">
        <w:rPr>
          <w:rStyle w:val="Emphasis"/>
          <w:rFonts w:ascii="Times New Roman" w:hAnsi="Times New Roman" w:cs="Times New Roman"/>
          <w:bCs/>
          <w:i w:val="0"/>
          <w:iCs w:val="0"/>
          <w:shd w:val="clear" w:color="auto" w:fill="FFFFFF"/>
        </w:rPr>
        <w:t>Energy Efficiency and Co</w:t>
      </w:r>
      <w:r w:rsidR="00FF6C15" w:rsidRPr="00467D30">
        <w:rPr>
          <w:rFonts w:ascii="Times New Roman" w:hAnsi="Times New Roman" w:cs="Times New Roman"/>
          <w:shd w:val="clear" w:color="auto" w:fill="FFFFFF"/>
        </w:rPr>
        <w:t>-</w:t>
      </w:r>
      <w:r w:rsidR="00FF6C15" w:rsidRPr="00467D30">
        <w:rPr>
          <w:rStyle w:val="Emphasis"/>
          <w:rFonts w:ascii="Times New Roman" w:hAnsi="Times New Roman" w:cs="Times New Roman"/>
          <w:bCs/>
          <w:i w:val="0"/>
          <w:iCs w:val="0"/>
          <w:shd w:val="clear" w:color="auto" w:fill="FFFFFF"/>
        </w:rPr>
        <w:t>Benefits</w:t>
      </w:r>
      <w:r w:rsidR="00FF6C15" w:rsidRPr="00467D30">
        <w:rPr>
          <w:rStyle w:val="apple-converted-space"/>
          <w:rFonts w:ascii="Times New Roman" w:hAnsi="Times New Roman" w:cs="Times New Roman"/>
          <w:shd w:val="clear" w:color="auto" w:fill="FFFFFF"/>
        </w:rPr>
        <w:t> </w:t>
      </w:r>
      <w:r w:rsidR="00FF6C15" w:rsidRPr="00467D30">
        <w:rPr>
          <w:rFonts w:ascii="Times New Roman" w:hAnsi="Times New Roman" w:cs="Times New Roman"/>
          <w:shd w:val="clear" w:color="auto" w:fill="FFFFFF"/>
        </w:rPr>
        <w:t>Assessment of Large Industrial Facilities”</w:t>
      </w:r>
      <w:r w:rsidRPr="00467D30">
        <w:rPr>
          <w:rFonts w:ascii="Times New Roman" w:hAnsi="Times New Roman" w:cs="Times New Roman"/>
        </w:rPr>
        <w:t xml:space="preserve"> </w:t>
      </w:r>
      <w:r w:rsidR="00FF6C15">
        <w:rPr>
          <w:rFonts w:ascii="Times New Roman" w:hAnsi="Times New Roman" w:cs="Times New Roman"/>
        </w:rPr>
        <w:t xml:space="preserve">have implemented </w:t>
      </w:r>
      <w:r w:rsidR="00007A8D">
        <w:rPr>
          <w:rFonts w:ascii="Times New Roman" w:hAnsi="Times New Roman" w:cs="Times New Roman"/>
        </w:rPr>
        <w:t>over four hundred projects</w:t>
      </w:r>
      <w:r w:rsidR="00F56B2A" w:rsidRPr="00912124">
        <w:rPr>
          <w:rFonts w:ascii="Times New Roman" w:hAnsi="Times New Roman" w:cs="Times New Roman"/>
        </w:rPr>
        <w:t xml:space="preserve"> to reduce </w:t>
      </w:r>
      <w:r w:rsidR="00F56B2A">
        <w:rPr>
          <w:rFonts w:ascii="Times New Roman" w:hAnsi="Times New Roman" w:cs="Times New Roman"/>
        </w:rPr>
        <w:t xml:space="preserve">GHG </w:t>
      </w:r>
      <w:r w:rsidR="00F56B2A" w:rsidRPr="00912124">
        <w:rPr>
          <w:rFonts w:ascii="Times New Roman" w:hAnsi="Times New Roman" w:cs="Times New Roman"/>
        </w:rPr>
        <w:t>emissions</w:t>
      </w:r>
      <w:r w:rsidR="00F56B2A">
        <w:rPr>
          <w:rFonts w:ascii="Times New Roman" w:hAnsi="Times New Roman" w:cs="Times New Roman"/>
        </w:rPr>
        <w:t xml:space="preserve">. </w:t>
      </w:r>
      <w:r w:rsidR="00FF6C15">
        <w:rPr>
          <w:rFonts w:ascii="Times New Roman" w:hAnsi="Times New Roman" w:cs="Times New Roman"/>
        </w:rPr>
        <w:t xml:space="preserve">The </w:t>
      </w:r>
      <w:r w:rsidR="00FF6C15" w:rsidRPr="00912124">
        <w:rPr>
          <w:rFonts w:ascii="Times New Roman" w:hAnsi="Times New Roman" w:cs="Times New Roman"/>
        </w:rPr>
        <w:t>A</w:t>
      </w:r>
      <w:r w:rsidR="00FF6C15">
        <w:rPr>
          <w:rFonts w:ascii="Times New Roman" w:hAnsi="Times New Roman" w:cs="Times New Roman"/>
        </w:rPr>
        <w:t>RB report states that a</w:t>
      </w:r>
      <w:r w:rsidR="00FF6C15" w:rsidRPr="00912124">
        <w:rPr>
          <w:rFonts w:ascii="Times New Roman" w:hAnsi="Times New Roman" w:cs="Times New Roman"/>
        </w:rPr>
        <w:t xml:space="preserve">pproximately 78 percent of the estimated </w:t>
      </w:r>
      <w:r w:rsidR="00FF6C15">
        <w:rPr>
          <w:rFonts w:ascii="Times New Roman" w:hAnsi="Times New Roman" w:cs="Times New Roman"/>
        </w:rPr>
        <w:t xml:space="preserve">2.8 million metric tonnes per year of </w:t>
      </w:r>
      <w:r w:rsidR="00FF6C15" w:rsidRPr="00912124">
        <w:rPr>
          <w:rFonts w:ascii="Times New Roman" w:hAnsi="Times New Roman" w:cs="Times New Roman"/>
        </w:rPr>
        <w:t>GHG reductions</w:t>
      </w:r>
      <w:r w:rsidR="00FF6C15">
        <w:rPr>
          <w:rFonts w:ascii="Times New Roman" w:hAnsi="Times New Roman" w:cs="Times New Roman"/>
        </w:rPr>
        <w:t xml:space="preserve"> </w:t>
      </w:r>
      <w:r w:rsidR="00FF6C15">
        <w:rPr>
          <w:rFonts w:ascii="Times New Roman" w:hAnsi="Times New Roman" w:cs="Times New Roman"/>
        </w:rPr>
        <w:lastRenderedPageBreak/>
        <w:t>associated with these projects have already been achieved</w:t>
      </w:r>
      <w:r w:rsidR="00F56B2A" w:rsidRPr="00912124">
        <w:rPr>
          <w:rFonts w:ascii="Times New Roman" w:hAnsi="Times New Roman" w:cs="Times New Roman"/>
        </w:rPr>
        <w:t>.</w:t>
      </w:r>
      <w:r w:rsidRPr="00F56B2A">
        <w:rPr>
          <w:rStyle w:val="FootnoteReference"/>
          <w:rFonts w:ascii="Times New Roman" w:hAnsi="Times New Roman" w:cs="Times New Roman"/>
        </w:rPr>
        <w:footnoteReference w:id="5"/>
      </w:r>
      <w:r w:rsidR="00A31F7A">
        <w:rPr>
          <w:rFonts w:ascii="Times New Roman" w:hAnsi="Times New Roman" w:cs="Times New Roman"/>
        </w:rPr>
        <w:t xml:space="preserve">  </w:t>
      </w:r>
      <w:r w:rsidR="007C1F40">
        <w:rPr>
          <w:rFonts w:ascii="Times New Roman" w:hAnsi="Times New Roman" w:cs="Times New Roman"/>
        </w:rPr>
        <w:t xml:space="preserve"> </w:t>
      </w:r>
      <w:r w:rsidR="00A31F7A">
        <w:rPr>
          <w:rFonts w:ascii="Times New Roman" w:hAnsi="Times New Roman" w:cs="Times New Roman"/>
        </w:rPr>
        <w:t xml:space="preserve">A third party review by </w:t>
      </w:r>
      <w:r w:rsidR="00D2351F">
        <w:rPr>
          <w:rFonts w:ascii="Times New Roman" w:hAnsi="Times New Roman" w:cs="Times New Roman"/>
        </w:rPr>
        <w:t xml:space="preserve">San Francisco State University </w:t>
      </w:r>
      <w:r w:rsidR="00A31F7A">
        <w:rPr>
          <w:rFonts w:ascii="Times New Roman" w:hAnsi="Times New Roman" w:cs="Times New Roman"/>
        </w:rPr>
        <w:t>concluded that the refinery project reports demonstrated</w:t>
      </w:r>
      <w:r w:rsidR="00F82EF7">
        <w:rPr>
          <w:rFonts w:ascii="Times New Roman" w:hAnsi="Times New Roman" w:cs="Times New Roman"/>
        </w:rPr>
        <w:t xml:space="preserve"> “a thorough effort.”</w:t>
      </w:r>
      <w:r w:rsidR="00F82EF7">
        <w:rPr>
          <w:rStyle w:val="FootnoteReference"/>
          <w:rFonts w:ascii="Times New Roman" w:hAnsi="Times New Roman" w:cs="Times New Roman"/>
        </w:rPr>
        <w:footnoteReference w:id="6"/>
      </w:r>
      <w:r w:rsidR="00A31F7A">
        <w:rPr>
          <w:rFonts w:ascii="Times New Roman" w:hAnsi="Times New Roman" w:cs="Times New Roman"/>
        </w:rPr>
        <w:t xml:space="preserve"> </w:t>
      </w:r>
      <w:r w:rsidR="00F82EF7">
        <w:rPr>
          <w:rFonts w:ascii="Times New Roman" w:hAnsi="Times New Roman" w:cs="Times New Roman"/>
        </w:rPr>
        <w:t xml:space="preserve"> The results of </w:t>
      </w:r>
      <w:r w:rsidR="007C1F40">
        <w:rPr>
          <w:rFonts w:ascii="Times New Roman" w:hAnsi="Times New Roman" w:cs="Times New Roman"/>
        </w:rPr>
        <w:t>ARB’s</w:t>
      </w:r>
      <w:r w:rsidR="00F82EF7">
        <w:rPr>
          <w:rFonts w:ascii="Times New Roman" w:hAnsi="Times New Roman" w:cs="Times New Roman"/>
        </w:rPr>
        <w:t xml:space="preserve"> refinery energy efficiency audits </w:t>
      </w:r>
      <w:r w:rsidR="00802758">
        <w:rPr>
          <w:rFonts w:ascii="Times New Roman" w:hAnsi="Times New Roman" w:cs="Times New Roman"/>
        </w:rPr>
        <w:t xml:space="preserve">strongly </w:t>
      </w:r>
      <w:r w:rsidR="00F82EF7">
        <w:rPr>
          <w:rFonts w:ascii="Times New Roman" w:hAnsi="Times New Roman" w:cs="Times New Roman"/>
        </w:rPr>
        <w:t xml:space="preserve">suggest that </w:t>
      </w:r>
      <w:r w:rsidR="007C1F40">
        <w:rPr>
          <w:rFonts w:ascii="Times New Roman" w:hAnsi="Times New Roman" w:cs="Times New Roman"/>
        </w:rPr>
        <w:t xml:space="preserve">opportunities for </w:t>
      </w:r>
      <w:r w:rsidR="00802758">
        <w:rPr>
          <w:rFonts w:ascii="Times New Roman" w:hAnsi="Times New Roman" w:cs="Times New Roman"/>
        </w:rPr>
        <w:t xml:space="preserve">significant </w:t>
      </w:r>
      <w:r w:rsidR="00F82EF7">
        <w:rPr>
          <w:rFonts w:ascii="Times New Roman" w:hAnsi="Times New Roman" w:cs="Times New Roman"/>
        </w:rPr>
        <w:t xml:space="preserve">energy efficiency </w:t>
      </w:r>
      <w:r w:rsidR="00802758">
        <w:rPr>
          <w:rFonts w:ascii="Times New Roman" w:hAnsi="Times New Roman" w:cs="Times New Roman"/>
        </w:rPr>
        <w:t>gains in</w:t>
      </w:r>
      <w:r w:rsidR="007C1F40">
        <w:rPr>
          <w:rFonts w:ascii="Times New Roman" w:hAnsi="Times New Roman" w:cs="Times New Roman"/>
        </w:rPr>
        <w:t xml:space="preserve"> this sector are limited at best</w:t>
      </w:r>
      <w:r w:rsidR="00802758">
        <w:rPr>
          <w:rFonts w:ascii="Times New Roman" w:hAnsi="Times New Roman" w:cs="Times New Roman"/>
        </w:rPr>
        <w:t>.  Efforts to implement direct GHG reductions at petroleum refineries above and beyond the reductions that will be driven by the declining cap are likely to result in the “undesirable consequences” previously identified by ARB’s Executive Officer.</w:t>
      </w:r>
    </w:p>
    <w:p w:rsidR="00C70F54" w:rsidRDefault="00E14784" w:rsidP="00D80909">
      <w:pPr>
        <w:jc w:val="both"/>
        <w:rPr>
          <w:rFonts w:ascii="Times New Roman" w:hAnsi="Times New Roman" w:cs="Times New Roman"/>
          <w:highlight w:val="yellow"/>
        </w:rPr>
      </w:pPr>
      <w:r w:rsidRPr="00074980">
        <w:rPr>
          <w:rFonts w:ascii="Times New Roman" w:hAnsi="Times New Roman" w:cs="Times New Roman"/>
          <w:b/>
        </w:rPr>
        <w:t xml:space="preserve">Post-2020 </w:t>
      </w:r>
      <w:r w:rsidR="00B94F4E">
        <w:rPr>
          <w:rFonts w:ascii="Times New Roman" w:hAnsi="Times New Roman" w:cs="Times New Roman"/>
          <w:b/>
        </w:rPr>
        <w:t>Allowance Allocation</w:t>
      </w:r>
      <w:r w:rsidR="00B11595">
        <w:rPr>
          <w:rFonts w:ascii="Times New Roman" w:hAnsi="Times New Roman" w:cs="Times New Roman"/>
          <w:b/>
        </w:rPr>
        <w:t xml:space="preserve"> </w:t>
      </w:r>
      <w:r w:rsidR="00735C1B">
        <w:rPr>
          <w:rFonts w:ascii="Times New Roman" w:hAnsi="Times New Roman" w:cs="Times New Roman"/>
          <w:b/>
        </w:rPr>
        <w:t>Policy</w:t>
      </w:r>
    </w:p>
    <w:p w:rsidR="00C70F54" w:rsidRPr="002E3F79" w:rsidRDefault="00735C1B" w:rsidP="00D44D7F">
      <w:pPr>
        <w:jc w:val="both"/>
        <w:rPr>
          <w:rFonts w:ascii="Times New Roman" w:hAnsi="Times New Roman" w:cs="Times New Roman"/>
        </w:rPr>
      </w:pPr>
      <w:r w:rsidRPr="002E3F79">
        <w:rPr>
          <w:rFonts w:ascii="Times New Roman" w:hAnsi="Times New Roman" w:cs="Times New Roman"/>
        </w:rPr>
        <w:t>ARB</w:t>
      </w:r>
      <w:r w:rsidR="00C70F54" w:rsidRPr="002E3F79">
        <w:rPr>
          <w:rFonts w:ascii="Times New Roman" w:hAnsi="Times New Roman" w:cs="Times New Roman"/>
        </w:rPr>
        <w:t xml:space="preserve"> </w:t>
      </w:r>
      <w:r w:rsidR="00505BA5" w:rsidRPr="002E3F79">
        <w:rPr>
          <w:rFonts w:ascii="Times New Roman" w:hAnsi="Times New Roman" w:cs="Times New Roman"/>
        </w:rPr>
        <w:t xml:space="preserve">and some </w:t>
      </w:r>
      <w:r w:rsidR="005B67A3">
        <w:rPr>
          <w:rFonts w:ascii="Times New Roman" w:hAnsi="Times New Roman" w:cs="Times New Roman"/>
        </w:rPr>
        <w:t>Cap-and-Trade</w:t>
      </w:r>
      <w:r w:rsidR="00505BA5" w:rsidRPr="002E3F79">
        <w:rPr>
          <w:rFonts w:ascii="Times New Roman" w:hAnsi="Times New Roman" w:cs="Times New Roman"/>
        </w:rPr>
        <w:t xml:space="preserve"> stakeholders are</w:t>
      </w:r>
      <w:r w:rsidR="00C70F54" w:rsidRPr="002E3F79">
        <w:rPr>
          <w:rFonts w:ascii="Times New Roman" w:hAnsi="Times New Roman" w:cs="Times New Roman"/>
        </w:rPr>
        <w:t xml:space="preserve"> </w:t>
      </w:r>
      <w:r w:rsidR="00505BA5" w:rsidRPr="002E3F79">
        <w:rPr>
          <w:rFonts w:ascii="Times New Roman" w:hAnsi="Times New Roman" w:cs="Times New Roman"/>
        </w:rPr>
        <w:t>pushing for changes in allowance allocation</w:t>
      </w:r>
      <w:r w:rsidR="00C70F54" w:rsidRPr="002E3F79">
        <w:rPr>
          <w:rFonts w:ascii="Times New Roman" w:hAnsi="Times New Roman" w:cs="Times New Roman"/>
        </w:rPr>
        <w:t xml:space="preserve"> </w:t>
      </w:r>
      <w:r w:rsidR="00505BA5" w:rsidRPr="002E3F79">
        <w:rPr>
          <w:rFonts w:ascii="Times New Roman" w:hAnsi="Times New Roman" w:cs="Times New Roman"/>
        </w:rPr>
        <w:t>based on the concern that the current methodology might</w:t>
      </w:r>
      <w:r w:rsidR="00C70F54" w:rsidRPr="002E3F79">
        <w:rPr>
          <w:rFonts w:ascii="Times New Roman" w:hAnsi="Times New Roman" w:cs="Times New Roman"/>
        </w:rPr>
        <w:t xml:space="preserve"> </w:t>
      </w:r>
      <w:r w:rsidR="00505BA5" w:rsidRPr="002E3F79">
        <w:rPr>
          <w:rFonts w:ascii="Times New Roman" w:hAnsi="Times New Roman" w:cs="Times New Roman"/>
        </w:rPr>
        <w:t xml:space="preserve">allow regulated entities to </w:t>
      </w:r>
      <w:r w:rsidR="00245361">
        <w:rPr>
          <w:rFonts w:ascii="Times New Roman" w:hAnsi="Times New Roman" w:cs="Times New Roman"/>
        </w:rPr>
        <w:t xml:space="preserve">avoid an economic penalty for their emissions and will not generate sufficient revenue to support </w:t>
      </w:r>
      <w:r w:rsidR="004A7178" w:rsidRPr="002E3F79">
        <w:rPr>
          <w:rFonts w:ascii="Times New Roman" w:hAnsi="Times New Roman" w:cs="Times New Roman"/>
        </w:rPr>
        <w:t xml:space="preserve">the </w:t>
      </w:r>
      <w:r w:rsidR="00442B27">
        <w:rPr>
          <w:rFonts w:ascii="Times New Roman" w:hAnsi="Times New Roman" w:cs="Times New Roman"/>
        </w:rPr>
        <w:t>A</w:t>
      </w:r>
      <w:r w:rsidR="004A7178" w:rsidRPr="002E3F79">
        <w:rPr>
          <w:rFonts w:ascii="Times New Roman" w:hAnsi="Times New Roman" w:cs="Times New Roman"/>
        </w:rPr>
        <w:t>dministration’s</w:t>
      </w:r>
      <w:r w:rsidR="00C70F54" w:rsidRPr="002E3F79">
        <w:rPr>
          <w:rFonts w:ascii="Times New Roman" w:hAnsi="Times New Roman" w:cs="Times New Roman"/>
        </w:rPr>
        <w:t xml:space="preserve"> </w:t>
      </w:r>
      <w:r w:rsidR="00505BA5" w:rsidRPr="002E3F79">
        <w:rPr>
          <w:rFonts w:ascii="Times New Roman" w:hAnsi="Times New Roman" w:cs="Times New Roman"/>
        </w:rPr>
        <w:t xml:space="preserve">climate policy </w:t>
      </w:r>
      <w:r w:rsidR="00C70F54" w:rsidRPr="002E3F79">
        <w:rPr>
          <w:rFonts w:ascii="Times New Roman" w:hAnsi="Times New Roman" w:cs="Times New Roman"/>
        </w:rPr>
        <w:t xml:space="preserve">goals. </w:t>
      </w:r>
      <w:r w:rsidR="00505BA5" w:rsidRPr="002E3F79">
        <w:rPr>
          <w:rFonts w:ascii="Times New Roman" w:hAnsi="Times New Roman" w:cs="Times New Roman"/>
        </w:rPr>
        <w:t>While s</w:t>
      </w:r>
      <w:r w:rsidR="00C70F54" w:rsidRPr="002E3F79">
        <w:rPr>
          <w:rFonts w:ascii="Times New Roman" w:hAnsi="Times New Roman" w:cs="Times New Roman"/>
        </w:rPr>
        <w:t xml:space="preserve">ome </w:t>
      </w:r>
      <w:r w:rsidR="00505BA5" w:rsidRPr="002E3F79">
        <w:rPr>
          <w:rFonts w:ascii="Times New Roman" w:hAnsi="Times New Roman" w:cs="Times New Roman"/>
        </w:rPr>
        <w:t xml:space="preserve">stakeholders continue to advocate for </w:t>
      </w:r>
      <w:r w:rsidR="004A7178" w:rsidRPr="002E3F79">
        <w:rPr>
          <w:rFonts w:ascii="Times New Roman" w:hAnsi="Times New Roman" w:cs="Times New Roman"/>
        </w:rPr>
        <w:t xml:space="preserve">a </w:t>
      </w:r>
      <w:r w:rsidR="00505BA5" w:rsidRPr="002E3F79">
        <w:rPr>
          <w:rFonts w:ascii="Times New Roman" w:hAnsi="Times New Roman" w:cs="Times New Roman"/>
        </w:rPr>
        <w:t>zero</w:t>
      </w:r>
      <w:r w:rsidR="00C70F54" w:rsidRPr="002E3F79">
        <w:rPr>
          <w:rFonts w:ascii="Times New Roman" w:hAnsi="Times New Roman" w:cs="Times New Roman"/>
        </w:rPr>
        <w:t xml:space="preserve"> allocation, </w:t>
      </w:r>
      <w:r w:rsidR="004A7178" w:rsidRPr="002E3F79">
        <w:rPr>
          <w:rFonts w:ascii="Times New Roman" w:hAnsi="Times New Roman" w:cs="Times New Roman"/>
        </w:rPr>
        <w:t>under</w:t>
      </w:r>
      <w:r w:rsidR="00C70F54" w:rsidRPr="002E3F79">
        <w:rPr>
          <w:rFonts w:ascii="Times New Roman" w:hAnsi="Times New Roman" w:cs="Times New Roman"/>
        </w:rPr>
        <w:t xml:space="preserve"> such a scenario California producers </w:t>
      </w:r>
      <w:r w:rsidR="004A7178" w:rsidRPr="002E3F79">
        <w:rPr>
          <w:rFonts w:ascii="Times New Roman" w:hAnsi="Times New Roman" w:cs="Times New Roman"/>
        </w:rPr>
        <w:t>would</w:t>
      </w:r>
      <w:r w:rsidR="00C70F54" w:rsidRPr="002E3F79">
        <w:rPr>
          <w:rFonts w:ascii="Times New Roman" w:hAnsi="Times New Roman" w:cs="Times New Roman"/>
        </w:rPr>
        <w:t xml:space="preserve"> face competitiveness </w:t>
      </w:r>
      <w:r w:rsidR="00505BA5" w:rsidRPr="002E3F79">
        <w:rPr>
          <w:rFonts w:ascii="Times New Roman" w:hAnsi="Times New Roman" w:cs="Times New Roman"/>
        </w:rPr>
        <w:t>challenges</w:t>
      </w:r>
      <w:r w:rsidR="00C70F54" w:rsidRPr="002E3F79">
        <w:rPr>
          <w:rFonts w:ascii="Times New Roman" w:hAnsi="Times New Roman" w:cs="Times New Roman"/>
        </w:rPr>
        <w:t xml:space="preserve"> that </w:t>
      </w:r>
      <w:r w:rsidR="004A7178" w:rsidRPr="002E3F79">
        <w:rPr>
          <w:rFonts w:ascii="Times New Roman" w:hAnsi="Times New Roman" w:cs="Times New Roman"/>
        </w:rPr>
        <w:t>would</w:t>
      </w:r>
      <w:r w:rsidR="00C70F54" w:rsidRPr="002E3F79">
        <w:rPr>
          <w:rFonts w:ascii="Times New Roman" w:hAnsi="Times New Roman" w:cs="Times New Roman"/>
        </w:rPr>
        <w:t xml:space="preserve"> lead to economic and emissions leakage.  As California producers lose sales to producers outside California, the </w:t>
      </w:r>
      <w:r w:rsidR="00007A8D">
        <w:rPr>
          <w:rFonts w:ascii="Times New Roman" w:hAnsi="Times New Roman" w:cs="Times New Roman"/>
        </w:rPr>
        <w:t>s</w:t>
      </w:r>
      <w:r w:rsidR="00C70F54" w:rsidRPr="002E3F79">
        <w:rPr>
          <w:rFonts w:ascii="Times New Roman" w:hAnsi="Times New Roman" w:cs="Times New Roman"/>
        </w:rPr>
        <w:t>tate’s economy suffer</w:t>
      </w:r>
      <w:r w:rsidR="00E721F4" w:rsidRPr="002E3F79">
        <w:rPr>
          <w:rFonts w:ascii="Times New Roman" w:hAnsi="Times New Roman" w:cs="Times New Roman"/>
        </w:rPr>
        <w:t>s</w:t>
      </w:r>
      <w:r w:rsidR="00C70F54" w:rsidRPr="002E3F79">
        <w:rPr>
          <w:rFonts w:ascii="Times New Roman" w:hAnsi="Times New Roman" w:cs="Times New Roman"/>
        </w:rPr>
        <w:t xml:space="preserve"> and greenhouse gas (GHG) emissions transfer from California to other states.</w:t>
      </w:r>
      <w:r w:rsidR="00505BA5" w:rsidRPr="002E3F79">
        <w:rPr>
          <w:rFonts w:ascii="Times New Roman" w:hAnsi="Times New Roman" w:cs="Times New Roman"/>
        </w:rPr>
        <w:t xml:space="preserve">  Thus the challenge facing ARB is to design an allocation policy that </w:t>
      </w:r>
      <w:r w:rsidR="00E721F4" w:rsidRPr="002E3F79">
        <w:rPr>
          <w:rFonts w:ascii="Times New Roman" w:hAnsi="Times New Roman" w:cs="Times New Roman"/>
        </w:rPr>
        <w:t>is most likely to</w:t>
      </w:r>
      <w:r w:rsidR="00505BA5" w:rsidRPr="002E3F79">
        <w:rPr>
          <w:rFonts w:ascii="Times New Roman" w:hAnsi="Times New Roman" w:cs="Times New Roman"/>
        </w:rPr>
        <w:t xml:space="preserve"> </w:t>
      </w:r>
      <w:r w:rsidR="00C70F54" w:rsidRPr="002E3F79">
        <w:rPr>
          <w:rFonts w:ascii="Times New Roman" w:hAnsi="Times New Roman" w:cs="Times New Roman"/>
        </w:rPr>
        <w:t xml:space="preserve">minimize the adverse impact of trade exposure </w:t>
      </w:r>
      <w:r w:rsidR="00505BA5" w:rsidRPr="002E3F79">
        <w:rPr>
          <w:rFonts w:ascii="Times New Roman" w:hAnsi="Times New Roman" w:cs="Times New Roman"/>
        </w:rPr>
        <w:t>on</w:t>
      </w:r>
      <w:r w:rsidR="00C70F54" w:rsidRPr="002E3F79">
        <w:rPr>
          <w:rFonts w:ascii="Times New Roman" w:hAnsi="Times New Roman" w:cs="Times New Roman"/>
        </w:rPr>
        <w:t xml:space="preserve"> energy intensive,</w:t>
      </w:r>
      <w:r w:rsidR="00505BA5" w:rsidRPr="002E3F79">
        <w:rPr>
          <w:rFonts w:ascii="Times New Roman" w:hAnsi="Times New Roman" w:cs="Times New Roman"/>
        </w:rPr>
        <w:t xml:space="preserve"> trade exposed (EITE) industries.</w:t>
      </w:r>
    </w:p>
    <w:p w:rsidR="00C70F54" w:rsidRPr="002E3F79" w:rsidRDefault="004A7178" w:rsidP="00EE6349">
      <w:pPr>
        <w:jc w:val="both"/>
        <w:rPr>
          <w:rFonts w:ascii="Times New Roman" w:hAnsi="Times New Roman" w:cs="Times New Roman"/>
        </w:rPr>
      </w:pPr>
      <w:r w:rsidRPr="002E3F79">
        <w:rPr>
          <w:rFonts w:ascii="Times New Roman" w:hAnsi="Times New Roman" w:cs="Times New Roman"/>
        </w:rPr>
        <w:t xml:space="preserve">The question at the heart of this challenge is how </w:t>
      </w:r>
      <w:r w:rsidR="00C70F54" w:rsidRPr="002E3F79">
        <w:rPr>
          <w:rFonts w:ascii="Times New Roman" w:hAnsi="Times New Roman" w:cs="Times New Roman"/>
        </w:rPr>
        <w:t xml:space="preserve">many allowances </w:t>
      </w:r>
      <w:r w:rsidRPr="002E3F79">
        <w:rPr>
          <w:rFonts w:ascii="Times New Roman" w:hAnsi="Times New Roman" w:cs="Times New Roman"/>
        </w:rPr>
        <w:t>ARB</w:t>
      </w:r>
      <w:r w:rsidR="00C70F54" w:rsidRPr="002E3F79">
        <w:rPr>
          <w:rFonts w:ascii="Times New Roman" w:hAnsi="Times New Roman" w:cs="Times New Roman"/>
        </w:rPr>
        <w:t xml:space="preserve"> </w:t>
      </w:r>
      <w:r w:rsidRPr="002E3F79">
        <w:rPr>
          <w:rFonts w:ascii="Times New Roman" w:hAnsi="Times New Roman" w:cs="Times New Roman"/>
        </w:rPr>
        <w:t xml:space="preserve">should </w:t>
      </w:r>
      <w:r w:rsidR="00C70F54" w:rsidRPr="002E3F79">
        <w:rPr>
          <w:rFonts w:ascii="Times New Roman" w:hAnsi="Times New Roman" w:cs="Times New Roman"/>
        </w:rPr>
        <w:t xml:space="preserve">allocate </w:t>
      </w:r>
      <w:r w:rsidR="00E721F4" w:rsidRPr="002E3F79">
        <w:rPr>
          <w:rFonts w:ascii="Times New Roman" w:hAnsi="Times New Roman" w:cs="Times New Roman"/>
        </w:rPr>
        <w:t xml:space="preserve">to various industry sectors </w:t>
      </w:r>
      <w:r w:rsidR="00C70F54" w:rsidRPr="002E3F79">
        <w:rPr>
          <w:rFonts w:ascii="Times New Roman" w:hAnsi="Times New Roman" w:cs="Times New Roman"/>
        </w:rPr>
        <w:t xml:space="preserve">in order to </w:t>
      </w:r>
      <w:r w:rsidRPr="002052D1">
        <w:rPr>
          <w:rFonts w:ascii="Times New Roman" w:hAnsi="Times New Roman" w:cs="Times New Roman"/>
        </w:rPr>
        <w:t xml:space="preserve">effectively </w:t>
      </w:r>
      <w:r w:rsidR="009307CC">
        <w:rPr>
          <w:rFonts w:ascii="Times New Roman" w:hAnsi="Times New Roman" w:cs="Times New Roman"/>
        </w:rPr>
        <w:t>minimize</w:t>
      </w:r>
      <w:r w:rsidR="002052D1" w:rsidRPr="002052D1">
        <w:rPr>
          <w:rFonts w:ascii="Times New Roman" w:hAnsi="Times New Roman" w:cs="Times New Roman"/>
        </w:rPr>
        <w:t xml:space="preserve"> </w:t>
      </w:r>
      <w:r w:rsidR="00C70F54" w:rsidRPr="002052D1">
        <w:rPr>
          <w:rFonts w:ascii="Times New Roman" w:hAnsi="Times New Roman" w:cs="Times New Roman"/>
        </w:rPr>
        <w:t>leakage</w:t>
      </w:r>
      <w:r w:rsidRPr="002E3F79">
        <w:rPr>
          <w:rFonts w:ascii="Times New Roman" w:hAnsi="Times New Roman" w:cs="Times New Roman"/>
        </w:rPr>
        <w:t>,</w:t>
      </w:r>
      <w:r w:rsidR="00C70F54" w:rsidRPr="002E3F79">
        <w:rPr>
          <w:rFonts w:ascii="Times New Roman" w:hAnsi="Times New Roman" w:cs="Times New Roman"/>
        </w:rPr>
        <w:t xml:space="preserve"> protect the environmental goals of </w:t>
      </w:r>
      <w:r w:rsidRPr="002E3F79">
        <w:rPr>
          <w:rFonts w:ascii="Times New Roman" w:hAnsi="Times New Roman" w:cs="Times New Roman"/>
        </w:rPr>
        <w:t xml:space="preserve">the </w:t>
      </w:r>
      <w:r w:rsidR="005B67A3">
        <w:rPr>
          <w:rFonts w:ascii="Times New Roman" w:hAnsi="Times New Roman" w:cs="Times New Roman"/>
        </w:rPr>
        <w:t>Cap-and-Trade</w:t>
      </w:r>
      <w:r w:rsidRPr="002E3F79">
        <w:rPr>
          <w:rFonts w:ascii="Times New Roman" w:hAnsi="Times New Roman" w:cs="Times New Roman"/>
        </w:rPr>
        <w:t xml:space="preserve"> program</w:t>
      </w:r>
      <w:r w:rsidR="00007A8D">
        <w:rPr>
          <w:rFonts w:ascii="Times New Roman" w:hAnsi="Times New Roman" w:cs="Times New Roman"/>
        </w:rPr>
        <w:t>,</w:t>
      </w:r>
      <w:r w:rsidR="00C70F54" w:rsidRPr="002E3F79">
        <w:rPr>
          <w:rFonts w:ascii="Times New Roman" w:hAnsi="Times New Roman" w:cs="Times New Roman"/>
        </w:rPr>
        <w:t xml:space="preserve"> and </w:t>
      </w:r>
      <w:r w:rsidRPr="002E3F79">
        <w:rPr>
          <w:rFonts w:ascii="Times New Roman" w:hAnsi="Times New Roman" w:cs="Times New Roman"/>
        </w:rPr>
        <w:t xml:space="preserve">protect </w:t>
      </w:r>
      <w:r w:rsidR="00C70F54" w:rsidRPr="002E3F79">
        <w:rPr>
          <w:rFonts w:ascii="Times New Roman" w:hAnsi="Times New Roman" w:cs="Times New Roman"/>
        </w:rPr>
        <w:t xml:space="preserve">the California economy.  </w:t>
      </w:r>
      <w:r w:rsidR="002E3F79" w:rsidRPr="002E3F79">
        <w:rPr>
          <w:rFonts w:ascii="Times New Roman" w:hAnsi="Times New Roman" w:cs="Times New Roman"/>
        </w:rPr>
        <w:t xml:space="preserve">In the current proposal, </w:t>
      </w:r>
      <w:r w:rsidRPr="002E3F79">
        <w:rPr>
          <w:rFonts w:ascii="Times New Roman" w:hAnsi="Times New Roman" w:cs="Times New Roman"/>
        </w:rPr>
        <w:t xml:space="preserve">ARB </w:t>
      </w:r>
      <w:r w:rsidR="002E3F79" w:rsidRPr="002E3F79">
        <w:rPr>
          <w:rFonts w:ascii="Times New Roman" w:hAnsi="Times New Roman" w:cs="Times New Roman"/>
        </w:rPr>
        <w:t>seeks to</w:t>
      </w:r>
      <w:r w:rsidRPr="002E3F79">
        <w:rPr>
          <w:rFonts w:ascii="Times New Roman" w:hAnsi="Times New Roman" w:cs="Times New Roman"/>
        </w:rPr>
        <w:t xml:space="preserve"> </w:t>
      </w:r>
      <w:r w:rsidR="00C70F54" w:rsidRPr="002E3F79">
        <w:rPr>
          <w:rFonts w:ascii="Times New Roman" w:hAnsi="Times New Roman" w:cs="Times New Roman"/>
        </w:rPr>
        <w:t xml:space="preserve">accurately evaluate the market performance impacts of </w:t>
      </w:r>
      <w:r w:rsidR="002E3F79" w:rsidRPr="002E3F79">
        <w:rPr>
          <w:rFonts w:ascii="Times New Roman" w:hAnsi="Times New Roman" w:cs="Times New Roman"/>
        </w:rPr>
        <w:t>its proposed trade exposure</w:t>
      </w:r>
      <w:r w:rsidR="00C70F54" w:rsidRPr="002E3F79">
        <w:rPr>
          <w:rFonts w:ascii="Times New Roman" w:hAnsi="Times New Roman" w:cs="Times New Roman"/>
        </w:rPr>
        <w:t xml:space="preserve"> policy</w:t>
      </w:r>
      <w:r w:rsidR="002052D1">
        <w:rPr>
          <w:rFonts w:ascii="Times New Roman" w:hAnsi="Times New Roman" w:cs="Times New Roman"/>
        </w:rPr>
        <w:t>, including identifying</w:t>
      </w:r>
      <w:r w:rsidR="00C70F54" w:rsidRPr="002E3F79">
        <w:rPr>
          <w:rFonts w:ascii="Times New Roman" w:hAnsi="Times New Roman" w:cs="Times New Roman"/>
        </w:rPr>
        <w:t xml:space="preserve"> every market that </w:t>
      </w:r>
      <w:r w:rsidR="002052D1">
        <w:rPr>
          <w:rFonts w:ascii="Times New Roman" w:hAnsi="Times New Roman" w:cs="Times New Roman"/>
        </w:rPr>
        <w:t xml:space="preserve">would </w:t>
      </w:r>
      <w:r w:rsidR="00C70F54" w:rsidRPr="002E3F79">
        <w:rPr>
          <w:rFonts w:ascii="Times New Roman" w:hAnsi="Times New Roman" w:cs="Times New Roman"/>
        </w:rPr>
        <w:t xml:space="preserve">increase production </w:t>
      </w:r>
      <w:r w:rsidR="00245361">
        <w:rPr>
          <w:rFonts w:ascii="Times New Roman" w:hAnsi="Times New Roman" w:cs="Times New Roman"/>
        </w:rPr>
        <w:t xml:space="preserve">in response to </w:t>
      </w:r>
      <w:r w:rsidR="00C70F54" w:rsidRPr="002E3F79">
        <w:rPr>
          <w:rFonts w:ascii="Times New Roman" w:hAnsi="Times New Roman" w:cs="Times New Roman"/>
        </w:rPr>
        <w:t>increase</w:t>
      </w:r>
      <w:r w:rsidR="002052D1">
        <w:rPr>
          <w:rFonts w:ascii="Times New Roman" w:hAnsi="Times New Roman" w:cs="Times New Roman"/>
        </w:rPr>
        <w:t xml:space="preserve">d </w:t>
      </w:r>
      <w:r w:rsidR="00C70F54" w:rsidRPr="002E3F79">
        <w:rPr>
          <w:rFonts w:ascii="Times New Roman" w:hAnsi="Times New Roman" w:cs="Times New Roman"/>
        </w:rPr>
        <w:t xml:space="preserve">production costs </w:t>
      </w:r>
      <w:r w:rsidR="002052D1">
        <w:rPr>
          <w:rFonts w:ascii="Times New Roman" w:hAnsi="Times New Roman" w:cs="Times New Roman"/>
        </w:rPr>
        <w:t>in</w:t>
      </w:r>
      <w:r w:rsidR="002052D1" w:rsidRPr="002E3F79">
        <w:rPr>
          <w:rFonts w:ascii="Times New Roman" w:hAnsi="Times New Roman" w:cs="Times New Roman"/>
        </w:rPr>
        <w:t xml:space="preserve"> </w:t>
      </w:r>
      <w:r w:rsidR="00C70F54" w:rsidRPr="002E3F79">
        <w:rPr>
          <w:rFonts w:ascii="Times New Roman" w:hAnsi="Times New Roman" w:cs="Times New Roman"/>
        </w:rPr>
        <w:t>California</w:t>
      </w:r>
      <w:r w:rsidR="002052D1">
        <w:rPr>
          <w:rFonts w:ascii="Times New Roman" w:hAnsi="Times New Roman" w:cs="Times New Roman"/>
        </w:rPr>
        <w:t xml:space="preserve"> and the emissions change in those markets</w:t>
      </w:r>
      <w:r w:rsidR="00C70F54" w:rsidRPr="002E3F79">
        <w:rPr>
          <w:rFonts w:ascii="Times New Roman" w:hAnsi="Times New Roman" w:cs="Times New Roman"/>
        </w:rPr>
        <w:t>.</w:t>
      </w:r>
    </w:p>
    <w:p w:rsidR="00C70F54" w:rsidRPr="002E3F79" w:rsidRDefault="00C70F54" w:rsidP="00C70F54">
      <w:pPr>
        <w:jc w:val="both"/>
        <w:rPr>
          <w:rFonts w:ascii="Times New Roman" w:hAnsi="Times New Roman" w:cs="Times New Roman"/>
        </w:rPr>
      </w:pPr>
      <w:r w:rsidRPr="002E3F79">
        <w:rPr>
          <w:rFonts w:ascii="Times New Roman" w:hAnsi="Times New Roman" w:cs="Times New Roman"/>
        </w:rPr>
        <w:t>Such an evaluation lead</w:t>
      </w:r>
      <w:r w:rsidR="00E721F4" w:rsidRPr="002E3F79">
        <w:rPr>
          <w:rFonts w:ascii="Times New Roman" w:hAnsi="Times New Roman" w:cs="Times New Roman"/>
        </w:rPr>
        <w:t>s</w:t>
      </w:r>
      <w:r w:rsidRPr="002E3F79">
        <w:rPr>
          <w:rFonts w:ascii="Times New Roman" w:hAnsi="Times New Roman" w:cs="Times New Roman"/>
        </w:rPr>
        <w:t xml:space="preserve"> to three possible </w:t>
      </w:r>
      <w:r w:rsidR="004A7178" w:rsidRPr="002E3F79">
        <w:rPr>
          <w:rFonts w:ascii="Times New Roman" w:hAnsi="Times New Roman" w:cs="Times New Roman"/>
        </w:rPr>
        <w:t>outcomes</w:t>
      </w:r>
      <w:r w:rsidRPr="002E3F79">
        <w:rPr>
          <w:rFonts w:ascii="Times New Roman" w:hAnsi="Times New Roman" w:cs="Times New Roman"/>
        </w:rPr>
        <w:t>:</w:t>
      </w:r>
    </w:p>
    <w:p w:rsidR="00C70F54" w:rsidRPr="002E3F79" w:rsidRDefault="00735C1B" w:rsidP="00C70F54">
      <w:pPr>
        <w:pStyle w:val="ListParagraph"/>
        <w:numPr>
          <w:ilvl w:val="0"/>
          <w:numId w:val="28"/>
        </w:numPr>
        <w:spacing w:after="160" w:line="256" w:lineRule="auto"/>
        <w:jc w:val="both"/>
        <w:rPr>
          <w:rFonts w:ascii="Times New Roman" w:hAnsi="Times New Roman" w:cs="Times New Roman"/>
        </w:rPr>
      </w:pPr>
      <w:r w:rsidRPr="002E3F79">
        <w:rPr>
          <w:rFonts w:ascii="Times New Roman" w:hAnsi="Times New Roman" w:cs="Times New Roman"/>
        </w:rPr>
        <w:t>ARB</w:t>
      </w:r>
      <w:r w:rsidR="00C70F54" w:rsidRPr="002E3F79">
        <w:rPr>
          <w:rFonts w:ascii="Times New Roman" w:hAnsi="Times New Roman" w:cs="Times New Roman"/>
        </w:rPr>
        <w:t xml:space="preserve"> perfectly identif</w:t>
      </w:r>
      <w:r w:rsidR="002E3F79" w:rsidRPr="002E3F79">
        <w:rPr>
          <w:rFonts w:ascii="Times New Roman" w:hAnsi="Times New Roman" w:cs="Times New Roman"/>
        </w:rPr>
        <w:t>ies</w:t>
      </w:r>
      <w:r w:rsidR="00C70F54" w:rsidRPr="002E3F79">
        <w:rPr>
          <w:rFonts w:ascii="Times New Roman" w:hAnsi="Times New Roman" w:cs="Times New Roman"/>
        </w:rPr>
        <w:t xml:space="preserve"> the number of allowances to allocate in order to </w:t>
      </w:r>
      <w:r w:rsidR="009307CC">
        <w:rPr>
          <w:rFonts w:ascii="Times New Roman" w:hAnsi="Times New Roman" w:cs="Times New Roman"/>
        </w:rPr>
        <w:t xml:space="preserve">minimize </w:t>
      </w:r>
      <w:r w:rsidR="00C70F54" w:rsidRPr="002E3F79">
        <w:rPr>
          <w:rFonts w:ascii="Times New Roman" w:hAnsi="Times New Roman" w:cs="Times New Roman"/>
        </w:rPr>
        <w:t>leakage.</w:t>
      </w:r>
    </w:p>
    <w:p w:rsidR="00C70F54" w:rsidRPr="002E3F79" w:rsidRDefault="00735C1B" w:rsidP="00C70F54">
      <w:pPr>
        <w:pStyle w:val="ListParagraph"/>
        <w:numPr>
          <w:ilvl w:val="0"/>
          <w:numId w:val="28"/>
        </w:numPr>
        <w:spacing w:after="160" w:line="256" w:lineRule="auto"/>
        <w:jc w:val="both"/>
        <w:rPr>
          <w:rFonts w:ascii="Times New Roman" w:hAnsi="Times New Roman" w:cs="Times New Roman"/>
        </w:rPr>
      </w:pPr>
      <w:r w:rsidRPr="002E3F79">
        <w:rPr>
          <w:rFonts w:ascii="Times New Roman" w:hAnsi="Times New Roman" w:cs="Times New Roman"/>
        </w:rPr>
        <w:t>ARB</w:t>
      </w:r>
      <w:r w:rsidR="00C70F54" w:rsidRPr="002E3F79">
        <w:rPr>
          <w:rFonts w:ascii="Times New Roman" w:hAnsi="Times New Roman" w:cs="Times New Roman"/>
        </w:rPr>
        <w:t xml:space="preserve"> allocate</w:t>
      </w:r>
      <w:r w:rsidR="002E3F79" w:rsidRPr="002E3F79">
        <w:rPr>
          <w:rFonts w:ascii="Times New Roman" w:hAnsi="Times New Roman" w:cs="Times New Roman"/>
        </w:rPr>
        <w:t>s</w:t>
      </w:r>
      <w:r w:rsidR="00C70F54" w:rsidRPr="002E3F79">
        <w:rPr>
          <w:rFonts w:ascii="Times New Roman" w:hAnsi="Times New Roman" w:cs="Times New Roman"/>
        </w:rPr>
        <w:t xml:space="preserve"> more allowances than what is needed to </w:t>
      </w:r>
      <w:r w:rsidR="009307CC">
        <w:rPr>
          <w:rFonts w:ascii="Times New Roman" w:hAnsi="Times New Roman" w:cs="Times New Roman"/>
        </w:rPr>
        <w:t xml:space="preserve">minimize </w:t>
      </w:r>
      <w:r w:rsidR="00C70F54" w:rsidRPr="002E3F79">
        <w:rPr>
          <w:rFonts w:ascii="Times New Roman" w:hAnsi="Times New Roman" w:cs="Times New Roman"/>
        </w:rPr>
        <w:t>leakage.</w:t>
      </w:r>
    </w:p>
    <w:p w:rsidR="00C70F54" w:rsidRPr="002E3F79" w:rsidRDefault="00735C1B" w:rsidP="00C70F54">
      <w:pPr>
        <w:pStyle w:val="ListParagraph"/>
        <w:numPr>
          <w:ilvl w:val="0"/>
          <w:numId w:val="28"/>
        </w:numPr>
        <w:spacing w:after="160" w:line="256" w:lineRule="auto"/>
        <w:jc w:val="both"/>
        <w:rPr>
          <w:rFonts w:ascii="Times New Roman" w:hAnsi="Times New Roman" w:cs="Times New Roman"/>
        </w:rPr>
      </w:pPr>
      <w:r w:rsidRPr="002E3F79">
        <w:rPr>
          <w:rFonts w:ascii="Times New Roman" w:hAnsi="Times New Roman" w:cs="Times New Roman"/>
        </w:rPr>
        <w:t>ARB</w:t>
      </w:r>
      <w:r w:rsidR="00C70F54" w:rsidRPr="002E3F79">
        <w:rPr>
          <w:rFonts w:ascii="Times New Roman" w:hAnsi="Times New Roman" w:cs="Times New Roman"/>
        </w:rPr>
        <w:t xml:space="preserve"> allocate</w:t>
      </w:r>
      <w:r w:rsidR="002E3F79" w:rsidRPr="002E3F79">
        <w:rPr>
          <w:rFonts w:ascii="Times New Roman" w:hAnsi="Times New Roman" w:cs="Times New Roman"/>
        </w:rPr>
        <w:t>s</w:t>
      </w:r>
      <w:r w:rsidR="00C70F54" w:rsidRPr="002E3F79">
        <w:rPr>
          <w:rFonts w:ascii="Times New Roman" w:hAnsi="Times New Roman" w:cs="Times New Roman"/>
        </w:rPr>
        <w:t xml:space="preserve"> an insufficient number of allowances and will not </w:t>
      </w:r>
      <w:r w:rsidR="009307CC">
        <w:rPr>
          <w:rFonts w:ascii="Times New Roman" w:hAnsi="Times New Roman" w:cs="Times New Roman"/>
        </w:rPr>
        <w:t xml:space="preserve">minimize </w:t>
      </w:r>
      <w:r w:rsidR="00C70F54" w:rsidRPr="002E3F79">
        <w:rPr>
          <w:rFonts w:ascii="Times New Roman" w:hAnsi="Times New Roman" w:cs="Times New Roman"/>
        </w:rPr>
        <w:t>leakage.</w:t>
      </w:r>
    </w:p>
    <w:p w:rsidR="00735C1B" w:rsidRPr="002E3F79" w:rsidRDefault="00C70F54" w:rsidP="00C70F54">
      <w:pPr>
        <w:jc w:val="both"/>
        <w:rPr>
          <w:rFonts w:ascii="Times New Roman" w:hAnsi="Times New Roman" w:cs="Times New Roman"/>
        </w:rPr>
      </w:pPr>
      <w:r w:rsidRPr="002E3F79">
        <w:rPr>
          <w:rFonts w:ascii="Times New Roman" w:hAnsi="Times New Roman" w:cs="Times New Roman"/>
        </w:rPr>
        <w:t xml:space="preserve">While </w:t>
      </w:r>
      <w:r w:rsidR="002C1460">
        <w:rPr>
          <w:rFonts w:ascii="Times New Roman" w:hAnsi="Times New Roman" w:cs="Times New Roman"/>
        </w:rPr>
        <w:t xml:space="preserve">ARB may be seeking </w:t>
      </w:r>
      <w:r w:rsidR="005446E2" w:rsidRPr="002E3F79">
        <w:rPr>
          <w:rFonts w:ascii="Times New Roman" w:hAnsi="Times New Roman" w:cs="Times New Roman"/>
        </w:rPr>
        <w:t>outcome</w:t>
      </w:r>
      <w:r w:rsidRPr="002E3F79">
        <w:rPr>
          <w:rFonts w:ascii="Times New Roman" w:hAnsi="Times New Roman" w:cs="Times New Roman"/>
        </w:rPr>
        <w:t xml:space="preserve"> 1, given the uncertainty of such an exercise, it is very unlikely </w:t>
      </w:r>
      <w:r w:rsidR="00735C1B" w:rsidRPr="002E3F79">
        <w:rPr>
          <w:rFonts w:ascii="Times New Roman" w:hAnsi="Times New Roman" w:cs="Times New Roman"/>
        </w:rPr>
        <w:t>ARB</w:t>
      </w:r>
      <w:r w:rsidRPr="002E3F79">
        <w:rPr>
          <w:rFonts w:ascii="Times New Roman" w:hAnsi="Times New Roman" w:cs="Times New Roman"/>
        </w:rPr>
        <w:t xml:space="preserve"> would perfectly identify the number of allowances needed to </w:t>
      </w:r>
      <w:r w:rsidR="009307CC">
        <w:rPr>
          <w:rFonts w:ascii="Times New Roman" w:hAnsi="Times New Roman" w:cs="Times New Roman"/>
        </w:rPr>
        <w:t>minimize</w:t>
      </w:r>
      <w:r w:rsidRPr="002E3F79">
        <w:rPr>
          <w:rFonts w:ascii="Times New Roman" w:hAnsi="Times New Roman" w:cs="Times New Roman"/>
        </w:rPr>
        <w:t xml:space="preserve"> leakage.  </w:t>
      </w:r>
      <w:r w:rsidR="00735C1B" w:rsidRPr="002E3F79">
        <w:rPr>
          <w:rFonts w:ascii="Times New Roman" w:hAnsi="Times New Roman" w:cs="Times New Roman"/>
        </w:rPr>
        <w:t>The probability of result 1 is not only small, but with so few robust studies</w:t>
      </w:r>
      <w:r w:rsidR="004A7178" w:rsidRPr="002E3F79">
        <w:rPr>
          <w:rFonts w:ascii="Times New Roman" w:hAnsi="Times New Roman" w:cs="Times New Roman"/>
        </w:rPr>
        <w:t xml:space="preserve"> upon which to base its </w:t>
      </w:r>
      <w:r w:rsidR="005446E2" w:rsidRPr="002E3F79">
        <w:rPr>
          <w:rFonts w:ascii="Times New Roman" w:hAnsi="Times New Roman" w:cs="Times New Roman"/>
        </w:rPr>
        <w:t>trade exposure assessments</w:t>
      </w:r>
      <w:r w:rsidR="00735C1B" w:rsidRPr="002E3F79">
        <w:rPr>
          <w:rFonts w:ascii="Times New Roman" w:hAnsi="Times New Roman" w:cs="Times New Roman"/>
        </w:rPr>
        <w:t>, it is impossible to accurately estima</w:t>
      </w:r>
      <w:r w:rsidR="004A7178" w:rsidRPr="002E3F79">
        <w:rPr>
          <w:rFonts w:ascii="Times New Roman" w:hAnsi="Times New Roman" w:cs="Times New Roman"/>
        </w:rPr>
        <w:t xml:space="preserve">te this probability.  </w:t>
      </w:r>
      <w:r w:rsidR="005446E2" w:rsidRPr="002E3F79">
        <w:rPr>
          <w:rFonts w:ascii="Times New Roman" w:hAnsi="Times New Roman" w:cs="Times New Roman"/>
        </w:rPr>
        <w:t>If ARB’s prediction is too low, l</w:t>
      </w:r>
      <w:r w:rsidR="002E3F79" w:rsidRPr="002E3F79">
        <w:rPr>
          <w:rFonts w:ascii="Times New Roman" w:hAnsi="Times New Roman" w:cs="Times New Roman"/>
        </w:rPr>
        <w:t>eakage is more likely to occur</w:t>
      </w:r>
      <w:r w:rsidR="005446E2" w:rsidRPr="002E3F79">
        <w:rPr>
          <w:rFonts w:ascii="Times New Roman" w:hAnsi="Times New Roman" w:cs="Times New Roman"/>
        </w:rPr>
        <w:t xml:space="preserve">. </w:t>
      </w:r>
      <w:r w:rsidR="004A7178" w:rsidRPr="002E3F79">
        <w:rPr>
          <w:rFonts w:ascii="Times New Roman" w:hAnsi="Times New Roman" w:cs="Times New Roman"/>
        </w:rPr>
        <w:t>Given this inherent uncertainty</w:t>
      </w:r>
      <w:r w:rsidR="00735C1B" w:rsidRPr="002E3F79">
        <w:rPr>
          <w:rFonts w:ascii="Times New Roman" w:hAnsi="Times New Roman" w:cs="Times New Roman"/>
        </w:rPr>
        <w:t xml:space="preserve">, </w:t>
      </w:r>
      <w:r w:rsidR="004A7178" w:rsidRPr="002E3F79">
        <w:rPr>
          <w:rFonts w:ascii="Times New Roman" w:hAnsi="Times New Roman" w:cs="Times New Roman"/>
        </w:rPr>
        <w:t xml:space="preserve">ARB </w:t>
      </w:r>
      <w:r w:rsidR="00735C1B" w:rsidRPr="002E3F79">
        <w:rPr>
          <w:rFonts w:ascii="Times New Roman" w:hAnsi="Times New Roman" w:cs="Times New Roman"/>
        </w:rPr>
        <w:t>must consider outcomes 2 and 3.</w:t>
      </w:r>
    </w:p>
    <w:p w:rsidR="00C70F54" w:rsidRPr="002E3F79" w:rsidRDefault="005446E2" w:rsidP="00C70F54">
      <w:pPr>
        <w:jc w:val="both"/>
        <w:rPr>
          <w:rFonts w:ascii="Times New Roman" w:hAnsi="Times New Roman" w:cs="Times New Roman"/>
        </w:rPr>
      </w:pPr>
      <w:r w:rsidRPr="002E3F79">
        <w:rPr>
          <w:rFonts w:ascii="Times New Roman" w:hAnsi="Times New Roman" w:cs="Times New Roman"/>
        </w:rPr>
        <w:t>Outcome</w:t>
      </w:r>
      <w:r w:rsidR="00C70F54" w:rsidRPr="002E3F79">
        <w:rPr>
          <w:rFonts w:ascii="Times New Roman" w:hAnsi="Times New Roman" w:cs="Times New Roman"/>
        </w:rPr>
        <w:t xml:space="preserve"> 2 provides EITE industries more allowances than needed to </w:t>
      </w:r>
      <w:r w:rsidR="009307CC">
        <w:rPr>
          <w:rFonts w:ascii="Times New Roman" w:hAnsi="Times New Roman" w:cs="Times New Roman"/>
        </w:rPr>
        <w:t>minimize</w:t>
      </w:r>
      <w:r w:rsidR="009307CC" w:rsidRPr="002E3F79">
        <w:rPr>
          <w:rFonts w:ascii="Times New Roman" w:hAnsi="Times New Roman" w:cs="Times New Roman"/>
        </w:rPr>
        <w:t xml:space="preserve"> </w:t>
      </w:r>
      <w:r w:rsidR="00C70F54" w:rsidRPr="002E3F79">
        <w:rPr>
          <w:rFonts w:ascii="Times New Roman" w:hAnsi="Times New Roman" w:cs="Times New Roman"/>
        </w:rPr>
        <w:t xml:space="preserve">leakage.  </w:t>
      </w:r>
      <w:r w:rsidRPr="002E3F79">
        <w:rPr>
          <w:rFonts w:ascii="Times New Roman" w:hAnsi="Times New Roman" w:cs="Times New Roman"/>
        </w:rPr>
        <w:t>In theory, t</w:t>
      </w:r>
      <w:r w:rsidR="00C70F54" w:rsidRPr="002E3F79">
        <w:rPr>
          <w:rFonts w:ascii="Times New Roman" w:hAnsi="Times New Roman" w:cs="Times New Roman"/>
        </w:rPr>
        <w:t xml:space="preserve">his </w:t>
      </w:r>
      <w:r w:rsidRPr="002E3F79">
        <w:rPr>
          <w:rFonts w:ascii="Times New Roman" w:hAnsi="Times New Roman" w:cs="Times New Roman"/>
        </w:rPr>
        <w:t xml:space="preserve">approach </w:t>
      </w:r>
      <w:r w:rsidR="00C70F54" w:rsidRPr="002E3F79">
        <w:rPr>
          <w:rFonts w:ascii="Times New Roman" w:hAnsi="Times New Roman" w:cs="Times New Roman"/>
        </w:rPr>
        <w:t>w</w:t>
      </w:r>
      <w:r w:rsidRPr="002E3F79">
        <w:rPr>
          <w:rFonts w:ascii="Times New Roman" w:hAnsi="Times New Roman" w:cs="Times New Roman"/>
        </w:rPr>
        <w:t>ould</w:t>
      </w:r>
      <w:r w:rsidR="00C70F54" w:rsidRPr="002E3F79">
        <w:rPr>
          <w:rFonts w:ascii="Times New Roman" w:hAnsi="Times New Roman" w:cs="Times New Roman"/>
        </w:rPr>
        <w:t xml:space="preserve"> provide California producers value they do not need to remain competitive with non-California producers.  However, </w:t>
      </w:r>
      <w:r w:rsidRPr="002E3F79">
        <w:rPr>
          <w:rFonts w:ascii="Times New Roman" w:hAnsi="Times New Roman" w:cs="Times New Roman"/>
        </w:rPr>
        <w:t>outcome</w:t>
      </w:r>
      <w:r w:rsidR="00C70F54" w:rsidRPr="002E3F79">
        <w:rPr>
          <w:rFonts w:ascii="Times New Roman" w:hAnsi="Times New Roman" w:cs="Times New Roman"/>
        </w:rPr>
        <w:t xml:space="preserve"> 2 </w:t>
      </w:r>
      <w:r w:rsidRPr="002E3F79">
        <w:rPr>
          <w:rFonts w:ascii="Times New Roman" w:hAnsi="Times New Roman" w:cs="Times New Roman"/>
        </w:rPr>
        <w:t>would</w:t>
      </w:r>
      <w:r w:rsidR="00C70F54" w:rsidRPr="002E3F79">
        <w:rPr>
          <w:rFonts w:ascii="Times New Roman" w:hAnsi="Times New Roman" w:cs="Times New Roman"/>
        </w:rPr>
        <w:t xml:space="preserve"> </w:t>
      </w:r>
      <w:r w:rsidR="00935213">
        <w:rPr>
          <w:rFonts w:ascii="Times New Roman" w:hAnsi="Times New Roman" w:cs="Times New Roman"/>
        </w:rPr>
        <w:t xml:space="preserve">still </w:t>
      </w:r>
      <w:r w:rsidR="00C70F54" w:rsidRPr="002E3F79">
        <w:rPr>
          <w:rFonts w:ascii="Times New Roman" w:hAnsi="Times New Roman" w:cs="Times New Roman"/>
        </w:rPr>
        <w:t xml:space="preserve">maintain the environmental incentives provided by </w:t>
      </w:r>
      <w:r w:rsidRPr="002E3F79">
        <w:rPr>
          <w:rFonts w:ascii="Times New Roman" w:hAnsi="Times New Roman" w:cs="Times New Roman"/>
        </w:rPr>
        <w:t>the</w:t>
      </w:r>
      <w:r w:rsidR="00C70F54" w:rsidRPr="002E3F79">
        <w:rPr>
          <w:rFonts w:ascii="Times New Roman" w:hAnsi="Times New Roman" w:cs="Times New Roman"/>
        </w:rPr>
        <w:t xml:space="preserve"> </w:t>
      </w:r>
      <w:r w:rsidR="005B67A3">
        <w:rPr>
          <w:rFonts w:ascii="Times New Roman" w:hAnsi="Times New Roman" w:cs="Times New Roman"/>
        </w:rPr>
        <w:t>Cap-and-Trade</w:t>
      </w:r>
      <w:r w:rsidR="00C70F54" w:rsidRPr="002E3F79">
        <w:rPr>
          <w:rFonts w:ascii="Times New Roman" w:hAnsi="Times New Roman" w:cs="Times New Roman"/>
        </w:rPr>
        <w:t xml:space="preserve"> program. California producers w</w:t>
      </w:r>
      <w:r w:rsidRPr="002E3F79">
        <w:rPr>
          <w:rFonts w:ascii="Times New Roman" w:hAnsi="Times New Roman" w:cs="Times New Roman"/>
        </w:rPr>
        <w:t>ould</w:t>
      </w:r>
      <w:r w:rsidR="00C70F54" w:rsidRPr="002E3F79">
        <w:rPr>
          <w:rFonts w:ascii="Times New Roman" w:hAnsi="Times New Roman" w:cs="Times New Roman"/>
        </w:rPr>
        <w:t xml:space="preserve"> face the emissions cost</w:t>
      </w:r>
      <w:r w:rsidR="009E7F6B">
        <w:rPr>
          <w:rFonts w:ascii="Times New Roman" w:hAnsi="Times New Roman" w:cs="Times New Roman"/>
        </w:rPr>
        <w:t xml:space="preserve"> associated with the </w:t>
      </w:r>
      <w:r w:rsidR="009E7F6B">
        <w:rPr>
          <w:rFonts w:ascii="Times New Roman" w:hAnsi="Times New Roman" w:cs="Times New Roman"/>
        </w:rPr>
        <w:lastRenderedPageBreak/>
        <w:t>declining cap</w:t>
      </w:r>
      <w:r w:rsidR="00C70F54" w:rsidRPr="002E3F79">
        <w:rPr>
          <w:rFonts w:ascii="Times New Roman" w:hAnsi="Times New Roman" w:cs="Times New Roman"/>
        </w:rPr>
        <w:t>, either directly or as an opportunity cost. California producers w</w:t>
      </w:r>
      <w:r w:rsidRPr="002E3F79">
        <w:rPr>
          <w:rFonts w:ascii="Times New Roman" w:hAnsi="Times New Roman" w:cs="Times New Roman"/>
        </w:rPr>
        <w:t>ould</w:t>
      </w:r>
      <w:r w:rsidR="003C4F07">
        <w:rPr>
          <w:rFonts w:ascii="Times New Roman" w:hAnsi="Times New Roman" w:cs="Times New Roman"/>
        </w:rPr>
        <w:t xml:space="preserve"> likely</w:t>
      </w:r>
      <w:r w:rsidR="00C70F54" w:rsidRPr="002E3F79">
        <w:rPr>
          <w:rFonts w:ascii="Times New Roman" w:hAnsi="Times New Roman" w:cs="Times New Roman"/>
        </w:rPr>
        <w:t xml:space="preserve"> react to the environmental incentives under </w:t>
      </w:r>
      <w:r w:rsidRPr="002E3F79">
        <w:rPr>
          <w:rFonts w:ascii="Times New Roman" w:hAnsi="Times New Roman" w:cs="Times New Roman"/>
        </w:rPr>
        <w:t>outcome</w:t>
      </w:r>
      <w:r w:rsidR="00C70F54" w:rsidRPr="002E3F79">
        <w:rPr>
          <w:rFonts w:ascii="Times New Roman" w:hAnsi="Times New Roman" w:cs="Times New Roman"/>
        </w:rPr>
        <w:t xml:space="preserve"> 2 </w:t>
      </w:r>
      <w:r w:rsidRPr="002E3F79">
        <w:rPr>
          <w:rFonts w:ascii="Times New Roman" w:hAnsi="Times New Roman" w:cs="Times New Roman"/>
        </w:rPr>
        <w:t xml:space="preserve">in </w:t>
      </w:r>
      <w:r w:rsidR="00C70F54" w:rsidRPr="002E3F79">
        <w:rPr>
          <w:rFonts w:ascii="Times New Roman" w:hAnsi="Times New Roman" w:cs="Times New Roman"/>
        </w:rPr>
        <w:t xml:space="preserve">precisely the same </w:t>
      </w:r>
      <w:r w:rsidRPr="002E3F79">
        <w:rPr>
          <w:rFonts w:ascii="Times New Roman" w:hAnsi="Times New Roman" w:cs="Times New Roman"/>
        </w:rPr>
        <w:t xml:space="preserve">manner </w:t>
      </w:r>
      <w:r w:rsidR="00C70F54" w:rsidRPr="002E3F79">
        <w:rPr>
          <w:rFonts w:ascii="Times New Roman" w:hAnsi="Times New Roman" w:cs="Times New Roman"/>
        </w:rPr>
        <w:t xml:space="preserve">as they would under </w:t>
      </w:r>
      <w:r w:rsidRPr="002E3F79">
        <w:rPr>
          <w:rFonts w:ascii="Times New Roman" w:hAnsi="Times New Roman" w:cs="Times New Roman"/>
        </w:rPr>
        <w:t>outcomes</w:t>
      </w:r>
      <w:r w:rsidR="00C70F54" w:rsidRPr="002E3F79">
        <w:rPr>
          <w:rFonts w:ascii="Times New Roman" w:hAnsi="Times New Roman" w:cs="Times New Roman"/>
        </w:rPr>
        <w:t xml:space="preserve"> 1 or 3. Since the allocation is greater than what is needed to </w:t>
      </w:r>
      <w:r w:rsidR="009307CC">
        <w:rPr>
          <w:rFonts w:ascii="Times New Roman" w:hAnsi="Times New Roman" w:cs="Times New Roman"/>
        </w:rPr>
        <w:t>minimize</w:t>
      </w:r>
      <w:r w:rsidR="009307CC" w:rsidRPr="002E3F79">
        <w:rPr>
          <w:rFonts w:ascii="Times New Roman" w:hAnsi="Times New Roman" w:cs="Times New Roman"/>
        </w:rPr>
        <w:t xml:space="preserve"> </w:t>
      </w:r>
      <w:r w:rsidR="00C70F54" w:rsidRPr="002E3F79">
        <w:rPr>
          <w:rFonts w:ascii="Times New Roman" w:hAnsi="Times New Roman" w:cs="Times New Roman"/>
        </w:rPr>
        <w:t xml:space="preserve">leakage, the GHG emissions </w:t>
      </w:r>
      <w:r w:rsidRPr="002E3F79">
        <w:rPr>
          <w:rFonts w:ascii="Times New Roman" w:hAnsi="Times New Roman" w:cs="Times New Roman"/>
        </w:rPr>
        <w:t xml:space="preserve">reduction </w:t>
      </w:r>
      <w:r w:rsidR="00C70F54" w:rsidRPr="002E3F79">
        <w:rPr>
          <w:rFonts w:ascii="Times New Roman" w:hAnsi="Times New Roman" w:cs="Times New Roman"/>
        </w:rPr>
        <w:t>goal is protected.</w:t>
      </w:r>
    </w:p>
    <w:p w:rsidR="00C70F54" w:rsidRPr="002E3F79" w:rsidRDefault="005446E2" w:rsidP="00C70F54">
      <w:pPr>
        <w:jc w:val="both"/>
        <w:rPr>
          <w:rFonts w:ascii="Times New Roman" w:hAnsi="Times New Roman" w:cs="Times New Roman"/>
        </w:rPr>
      </w:pPr>
      <w:r w:rsidRPr="002E3F79">
        <w:rPr>
          <w:rFonts w:ascii="Times New Roman" w:hAnsi="Times New Roman" w:cs="Times New Roman"/>
        </w:rPr>
        <w:t>Outcome</w:t>
      </w:r>
      <w:r w:rsidR="00C70F54" w:rsidRPr="002E3F79">
        <w:rPr>
          <w:rFonts w:ascii="Times New Roman" w:hAnsi="Times New Roman" w:cs="Times New Roman"/>
        </w:rPr>
        <w:t xml:space="preserve"> 3 provides EITE industries with fewer allowances than needed to </w:t>
      </w:r>
      <w:r w:rsidR="009307CC">
        <w:rPr>
          <w:rFonts w:ascii="Times New Roman" w:hAnsi="Times New Roman" w:cs="Times New Roman"/>
        </w:rPr>
        <w:t>minimize</w:t>
      </w:r>
      <w:r w:rsidR="009307CC" w:rsidRPr="002E3F79">
        <w:rPr>
          <w:rFonts w:ascii="Times New Roman" w:hAnsi="Times New Roman" w:cs="Times New Roman"/>
        </w:rPr>
        <w:t xml:space="preserve"> </w:t>
      </w:r>
      <w:r w:rsidR="00C70F54" w:rsidRPr="002E3F79">
        <w:rPr>
          <w:rFonts w:ascii="Times New Roman" w:hAnsi="Times New Roman" w:cs="Times New Roman"/>
        </w:rPr>
        <w:t xml:space="preserve">leakage. </w:t>
      </w:r>
      <w:r w:rsidRPr="002E3F79">
        <w:rPr>
          <w:rFonts w:ascii="Times New Roman" w:hAnsi="Times New Roman" w:cs="Times New Roman"/>
        </w:rPr>
        <w:t xml:space="preserve">Under this scenario, </w:t>
      </w:r>
      <w:r w:rsidR="00C70F54" w:rsidRPr="002E3F79">
        <w:rPr>
          <w:rFonts w:ascii="Times New Roman" w:hAnsi="Times New Roman" w:cs="Times New Roman"/>
        </w:rPr>
        <w:t>California producers w</w:t>
      </w:r>
      <w:r w:rsidRPr="002E3F79">
        <w:rPr>
          <w:rFonts w:ascii="Times New Roman" w:hAnsi="Times New Roman" w:cs="Times New Roman"/>
        </w:rPr>
        <w:t>ould</w:t>
      </w:r>
      <w:r w:rsidR="00C70F54" w:rsidRPr="002E3F79">
        <w:rPr>
          <w:rFonts w:ascii="Times New Roman" w:hAnsi="Times New Roman" w:cs="Times New Roman"/>
        </w:rPr>
        <w:t xml:space="preserve"> become less competitive with non-California producers</w:t>
      </w:r>
      <w:r w:rsidR="00007A8D">
        <w:rPr>
          <w:rFonts w:ascii="Times New Roman" w:hAnsi="Times New Roman" w:cs="Times New Roman"/>
        </w:rPr>
        <w:t>,</w:t>
      </w:r>
      <w:r w:rsidR="00C70F54" w:rsidRPr="002E3F79">
        <w:rPr>
          <w:rFonts w:ascii="Times New Roman" w:hAnsi="Times New Roman" w:cs="Times New Roman"/>
        </w:rPr>
        <w:t xml:space="preserve"> and as a result some of the emissions reduced in California w</w:t>
      </w:r>
      <w:r w:rsidRPr="002E3F79">
        <w:rPr>
          <w:rFonts w:ascii="Times New Roman" w:hAnsi="Times New Roman" w:cs="Times New Roman"/>
        </w:rPr>
        <w:t>ould</w:t>
      </w:r>
      <w:r w:rsidR="00C70F54" w:rsidRPr="002E3F79">
        <w:rPr>
          <w:rFonts w:ascii="Times New Roman" w:hAnsi="Times New Roman" w:cs="Times New Roman"/>
        </w:rPr>
        <w:t xml:space="preserve"> truly b</w:t>
      </w:r>
      <w:r w:rsidRPr="002E3F79">
        <w:rPr>
          <w:rFonts w:ascii="Times New Roman" w:hAnsi="Times New Roman" w:cs="Times New Roman"/>
        </w:rPr>
        <w:t>e transferred to other states.</w:t>
      </w:r>
      <w:r w:rsidR="00E0323F">
        <w:rPr>
          <w:rFonts w:ascii="Times New Roman" w:hAnsi="Times New Roman" w:cs="Times New Roman"/>
        </w:rPr>
        <w:t xml:space="preserve"> </w:t>
      </w:r>
      <w:r w:rsidR="009E7F6B">
        <w:rPr>
          <w:rFonts w:ascii="Times New Roman" w:hAnsi="Times New Roman" w:cs="Times New Roman"/>
        </w:rPr>
        <w:t xml:space="preserve">Outcome 3 would achieve the </w:t>
      </w:r>
      <w:r w:rsidR="00D4742F">
        <w:rPr>
          <w:rFonts w:ascii="Times New Roman" w:hAnsi="Times New Roman" w:cs="Times New Roman"/>
        </w:rPr>
        <w:t xml:space="preserve">GHG </w:t>
      </w:r>
      <w:r w:rsidR="009E7F6B">
        <w:rPr>
          <w:rFonts w:ascii="Times New Roman" w:hAnsi="Times New Roman" w:cs="Times New Roman"/>
        </w:rPr>
        <w:t xml:space="preserve">emissions reduction goal by forcing </w:t>
      </w:r>
      <w:r w:rsidR="00D4742F">
        <w:rPr>
          <w:rFonts w:ascii="Times New Roman" w:hAnsi="Times New Roman" w:cs="Times New Roman"/>
        </w:rPr>
        <w:t>California</w:t>
      </w:r>
      <w:r w:rsidR="009E7F6B">
        <w:rPr>
          <w:rFonts w:ascii="Times New Roman" w:hAnsi="Times New Roman" w:cs="Times New Roman"/>
        </w:rPr>
        <w:t xml:space="preserve"> facilities to </w:t>
      </w:r>
      <w:r w:rsidR="00D4742F">
        <w:rPr>
          <w:rFonts w:ascii="Times New Roman" w:hAnsi="Times New Roman" w:cs="Times New Roman"/>
        </w:rPr>
        <w:t xml:space="preserve">reduce throughput or </w:t>
      </w:r>
      <w:r w:rsidR="009E7F6B">
        <w:rPr>
          <w:rFonts w:ascii="Times New Roman" w:hAnsi="Times New Roman" w:cs="Times New Roman"/>
        </w:rPr>
        <w:t>shut down, leading to both emissions and economic leakage.  In addition, s</w:t>
      </w:r>
      <w:r w:rsidR="00E0323F">
        <w:rPr>
          <w:rFonts w:ascii="Times New Roman" w:hAnsi="Times New Roman" w:cs="Times New Roman"/>
        </w:rPr>
        <w:t>ince California facilities tend to operate more efficiently</w:t>
      </w:r>
      <w:r w:rsidR="009E7F6B">
        <w:rPr>
          <w:rFonts w:ascii="Times New Roman" w:hAnsi="Times New Roman" w:cs="Times New Roman"/>
        </w:rPr>
        <w:t xml:space="preserve"> than facilities in other jurisdictions</w:t>
      </w:r>
      <w:r w:rsidR="00E0323F">
        <w:rPr>
          <w:rFonts w:ascii="Times New Roman" w:hAnsi="Times New Roman" w:cs="Times New Roman"/>
        </w:rPr>
        <w:t xml:space="preserve">, any </w:t>
      </w:r>
      <w:r w:rsidR="00D4742F">
        <w:rPr>
          <w:rFonts w:ascii="Times New Roman" w:hAnsi="Times New Roman" w:cs="Times New Roman"/>
        </w:rPr>
        <w:t>such leakage</w:t>
      </w:r>
      <w:r w:rsidR="00E0323F">
        <w:rPr>
          <w:rFonts w:ascii="Times New Roman" w:hAnsi="Times New Roman" w:cs="Times New Roman"/>
        </w:rPr>
        <w:t xml:space="preserve"> to other </w:t>
      </w:r>
      <w:r w:rsidR="00D4742F">
        <w:rPr>
          <w:rFonts w:ascii="Times New Roman" w:hAnsi="Times New Roman" w:cs="Times New Roman"/>
        </w:rPr>
        <w:t>jurisdictions</w:t>
      </w:r>
      <w:r w:rsidR="00E0323F">
        <w:rPr>
          <w:rFonts w:ascii="Times New Roman" w:hAnsi="Times New Roman" w:cs="Times New Roman"/>
        </w:rPr>
        <w:t xml:space="preserve"> </w:t>
      </w:r>
      <w:r w:rsidR="002C1460">
        <w:rPr>
          <w:rFonts w:ascii="Times New Roman" w:hAnsi="Times New Roman" w:cs="Times New Roman"/>
        </w:rPr>
        <w:t>would</w:t>
      </w:r>
      <w:r w:rsidR="00E0323F">
        <w:rPr>
          <w:rFonts w:ascii="Times New Roman" w:hAnsi="Times New Roman" w:cs="Times New Roman"/>
        </w:rPr>
        <w:t xml:space="preserve"> </w:t>
      </w:r>
      <w:r w:rsidR="009E7F6B">
        <w:rPr>
          <w:rFonts w:ascii="Times New Roman" w:hAnsi="Times New Roman" w:cs="Times New Roman"/>
        </w:rPr>
        <w:t xml:space="preserve">likely </w:t>
      </w:r>
      <w:r w:rsidR="00E0323F">
        <w:rPr>
          <w:rFonts w:ascii="Times New Roman" w:hAnsi="Times New Roman" w:cs="Times New Roman"/>
        </w:rPr>
        <w:t xml:space="preserve">result in a net increase in </w:t>
      </w:r>
      <w:r w:rsidR="009E7F6B">
        <w:rPr>
          <w:rFonts w:ascii="Times New Roman" w:hAnsi="Times New Roman" w:cs="Times New Roman"/>
        </w:rPr>
        <w:t xml:space="preserve">GHG </w:t>
      </w:r>
      <w:r w:rsidR="00E0323F">
        <w:rPr>
          <w:rFonts w:ascii="Times New Roman" w:hAnsi="Times New Roman" w:cs="Times New Roman"/>
        </w:rPr>
        <w:t>emissions.</w:t>
      </w:r>
    </w:p>
    <w:p w:rsidR="00C70F54" w:rsidRPr="00C70F54" w:rsidRDefault="00C70F54" w:rsidP="00D80909">
      <w:pPr>
        <w:jc w:val="both"/>
        <w:rPr>
          <w:rFonts w:ascii="Times New Roman" w:hAnsi="Times New Roman" w:cs="Times New Roman"/>
        </w:rPr>
      </w:pPr>
      <w:r w:rsidRPr="002E3F79">
        <w:rPr>
          <w:rFonts w:ascii="Times New Roman" w:hAnsi="Times New Roman" w:cs="Times New Roman"/>
        </w:rPr>
        <w:t xml:space="preserve">Of the three possible </w:t>
      </w:r>
      <w:r w:rsidR="005446E2" w:rsidRPr="002E3F79">
        <w:rPr>
          <w:rFonts w:ascii="Times New Roman" w:hAnsi="Times New Roman" w:cs="Times New Roman"/>
        </w:rPr>
        <w:t>outcomes</w:t>
      </w:r>
      <w:r w:rsidRPr="002E3F79">
        <w:rPr>
          <w:rFonts w:ascii="Times New Roman" w:hAnsi="Times New Roman" w:cs="Times New Roman"/>
        </w:rPr>
        <w:t xml:space="preserve">, 1 and 2 protect the environmental goals </w:t>
      </w:r>
      <w:r w:rsidR="002E3F79" w:rsidRPr="002E3F79">
        <w:rPr>
          <w:rFonts w:ascii="Times New Roman" w:hAnsi="Times New Roman" w:cs="Times New Roman"/>
        </w:rPr>
        <w:t>of</w:t>
      </w:r>
      <w:r w:rsidRPr="002E3F79">
        <w:rPr>
          <w:rFonts w:ascii="Times New Roman" w:hAnsi="Times New Roman" w:cs="Times New Roman"/>
        </w:rPr>
        <w:t xml:space="preserve"> </w:t>
      </w:r>
      <w:r w:rsidR="00E721F4" w:rsidRPr="002E3F79">
        <w:rPr>
          <w:rFonts w:ascii="Times New Roman" w:hAnsi="Times New Roman" w:cs="Times New Roman"/>
        </w:rPr>
        <w:t xml:space="preserve">the </w:t>
      </w:r>
      <w:r w:rsidR="005B67A3">
        <w:rPr>
          <w:rFonts w:ascii="Times New Roman" w:hAnsi="Times New Roman" w:cs="Times New Roman"/>
        </w:rPr>
        <w:t>Cap-and-Trade</w:t>
      </w:r>
      <w:r w:rsidR="005446E2" w:rsidRPr="002E3F79">
        <w:rPr>
          <w:rFonts w:ascii="Times New Roman" w:hAnsi="Times New Roman" w:cs="Times New Roman"/>
        </w:rPr>
        <w:t xml:space="preserve"> program</w:t>
      </w:r>
      <w:r w:rsidRPr="002E3F79">
        <w:rPr>
          <w:rFonts w:ascii="Times New Roman" w:hAnsi="Times New Roman" w:cs="Times New Roman"/>
        </w:rPr>
        <w:t xml:space="preserve"> while </w:t>
      </w:r>
      <w:r w:rsidR="005446E2" w:rsidRPr="002E3F79">
        <w:rPr>
          <w:rFonts w:ascii="Times New Roman" w:hAnsi="Times New Roman" w:cs="Times New Roman"/>
        </w:rPr>
        <w:t>outcome</w:t>
      </w:r>
      <w:r w:rsidRPr="002E3F79">
        <w:rPr>
          <w:rFonts w:ascii="Times New Roman" w:hAnsi="Times New Roman" w:cs="Times New Roman"/>
        </w:rPr>
        <w:t xml:space="preserve"> 3 does not.  </w:t>
      </w:r>
      <w:r w:rsidR="00E721F4" w:rsidRPr="002E3F79">
        <w:rPr>
          <w:rFonts w:ascii="Times New Roman" w:hAnsi="Times New Roman" w:cs="Times New Roman"/>
        </w:rPr>
        <w:t xml:space="preserve">However, because ARB is unable to predict allocation needs in any industry sector with a high degree of precision, further attempts to pursue outcome 1 could jeopardize </w:t>
      </w:r>
      <w:r w:rsidR="005B67A3">
        <w:rPr>
          <w:rFonts w:ascii="Times New Roman" w:hAnsi="Times New Roman" w:cs="Times New Roman"/>
        </w:rPr>
        <w:t>Cap-and-Trade</w:t>
      </w:r>
      <w:r w:rsidR="00E721F4" w:rsidRPr="002E3F79">
        <w:rPr>
          <w:rFonts w:ascii="Times New Roman" w:hAnsi="Times New Roman" w:cs="Times New Roman"/>
        </w:rPr>
        <w:t xml:space="preserve"> emission reduction goals.  </w:t>
      </w:r>
      <w:r w:rsidR="002E3F79" w:rsidRPr="002E3F79">
        <w:rPr>
          <w:rFonts w:ascii="Times New Roman" w:hAnsi="Times New Roman" w:cs="Times New Roman"/>
        </w:rPr>
        <w:t>Thus, i</w:t>
      </w:r>
      <w:r w:rsidR="00E721F4" w:rsidRPr="002E3F79">
        <w:rPr>
          <w:rFonts w:ascii="Times New Roman" w:hAnsi="Times New Roman" w:cs="Times New Roman"/>
        </w:rPr>
        <w:t xml:space="preserve">f </w:t>
      </w:r>
      <w:r w:rsidR="005446E2" w:rsidRPr="002E3F79">
        <w:rPr>
          <w:rFonts w:ascii="Times New Roman" w:hAnsi="Times New Roman" w:cs="Times New Roman"/>
        </w:rPr>
        <w:t>ARB</w:t>
      </w:r>
      <w:r w:rsidRPr="002E3F79">
        <w:rPr>
          <w:rFonts w:ascii="Times New Roman" w:hAnsi="Times New Roman" w:cs="Times New Roman"/>
        </w:rPr>
        <w:t xml:space="preserve"> </w:t>
      </w:r>
      <w:r w:rsidR="00E721F4" w:rsidRPr="002E3F79">
        <w:rPr>
          <w:rFonts w:ascii="Times New Roman" w:hAnsi="Times New Roman" w:cs="Times New Roman"/>
        </w:rPr>
        <w:t xml:space="preserve">views </w:t>
      </w:r>
      <w:r w:rsidRPr="002E3F79">
        <w:rPr>
          <w:rFonts w:ascii="Times New Roman" w:hAnsi="Times New Roman" w:cs="Times New Roman"/>
        </w:rPr>
        <w:t xml:space="preserve">the </w:t>
      </w:r>
      <w:r w:rsidR="00E721F4" w:rsidRPr="002E3F79">
        <w:rPr>
          <w:rFonts w:ascii="Times New Roman" w:hAnsi="Times New Roman" w:cs="Times New Roman"/>
        </w:rPr>
        <w:t xml:space="preserve">program’s </w:t>
      </w:r>
      <w:r w:rsidRPr="002E3F79">
        <w:rPr>
          <w:rFonts w:ascii="Times New Roman" w:hAnsi="Times New Roman" w:cs="Times New Roman"/>
        </w:rPr>
        <w:t>environmental goals as paramount</w:t>
      </w:r>
      <w:r w:rsidR="00E721F4" w:rsidRPr="002E3F79">
        <w:rPr>
          <w:rFonts w:ascii="Times New Roman" w:hAnsi="Times New Roman" w:cs="Times New Roman"/>
        </w:rPr>
        <w:t>, then it must pursue outcome 2 to</w:t>
      </w:r>
      <w:r w:rsidRPr="002E3F79">
        <w:rPr>
          <w:rFonts w:ascii="Times New Roman" w:hAnsi="Times New Roman" w:cs="Times New Roman"/>
        </w:rPr>
        <w:t xml:space="preserve"> ensure that </w:t>
      </w:r>
      <w:r w:rsidR="00E721F4" w:rsidRPr="002E3F79">
        <w:rPr>
          <w:rFonts w:ascii="Times New Roman" w:hAnsi="Times New Roman" w:cs="Times New Roman"/>
        </w:rPr>
        <w:t>outcome</w:t>
      </w:r>
      <w:r w:rsidRPr="002E3F79">
        <w:rPr>
          <w:rFonts w:ascii="Times New Roman" w:hAnsi="Times New Roman" w:cs="Times New Roman"/>
        </w:rPr>
        <w:t xml:space="preserve"> 3 does not occur.</w:t>
      </w:r>
      <w:r w:rsidR="00D4742F" w:rsidRPr="00C13072">
        <w:rPr>
          <w:rFonts w:ascii="Times New Roman" w:hAnsi="Times New Roman" w:cs="Times New Roman"/>
        </w:rPr>
        <w:t xml:space="preserve">  </w:t>
      </w:r>
      <w:r w:rsidR="00935213" w:rsidRPr="00C13072">
        <w:rPr>
          <w:rFonts w:ascii="Times New Roman" w:hAnsi="Times New Roman" w:cs="Times New Roman"/>
        </w:rPr>
        <w:t>WSPA also encourage</w:t>
      </w:r>
      <w:r w:rsidR="00D4742F" w:rsidRPr="00C13072">
        <w:rPr>
          <w:rFonts w:ascii="Times New Roman" w:hAnsi="Times New Roman" w:cs="Times New Roman"/>
        </w:rPr>
        <w:t>s</w:t>
      </w:r>
      <w:r w:rsidR="00935213" w:rsidRPr="00C13072">
        <w:rPr>
          <w:rFonts w:ascii="Times New Roman" w:hAnsi="Times New Roman" w:cs="Times New Roman"/>
        </w:rPr>
        <w:t xml:space="preserve"> </w:t>
      </w:r>
      <w:r w:rsidR="00D4742F" w:rsidRPr="00C13072">
        <w:rPr>
          <w:rFonts w:ascii="Times New Roman" w:hAnsi="Times New Roman" w:cs="Times New Roman"/>
        </w:rPr>
        <w:t xml:space="preserve">ARB to consider </w:t>
      </w:r>
      <w:r w:rsidR="00935213" w:rsidRPr="00C13072">
        <w:rPr>
          <w:rFonts w:ascii="Times New Roman" w:hAnsi="Times New Roman" w:cs="Times New Roman"/>
        </w:rPr>
        <w:t xml:space="preserve">conditional </w:t>
      </w:r>
      <w:r w:rsidR="00D4742F" w:rsidRPr="00C13072">
        <w:rPr>
          <w:rFonts w:ascii="Times New Roman" w:hAnsi="Times New Roman" w:cs="Times New Roman"/>
        </w:rPr>
        <w:t xml:space="preserve">allowance allocation </w:t>
      </w:r>
      <w:r w:rsidR="00935213" w:rsidRPr="00C13072">
        <w:rPr>
          <w:rFonts w:ascii="Times New Roman" w:hAnsi="Times New Roman" w:cs="Times New Roman"/>
        </w:rPr>
        <w:t xml:space="preserve">metrics that would </w:t>
      </w:r>
      <w:r w:rsidR="00D4742F" w:rsidRPr="00C13072">
        <w:rPr>
          <w:rFonts w:ascii="Times New Roman" w:hAnsi="Times New Roman" w:cs="Times New Roman"/>
        </w:rPr>
        <w:t>allow it</w:t>
      </w:r>
      <w:r w:rsidR="00935213" w:rsidRPr="00C13072">
        <w:rPr>
          <w:rFonts w:ascii="Times New Roman" w:hAnsi="Times New Roman" w:cs="Times New Roman"/>
        </w:rPr>
        <w:t xml:space="preserve"> to course correct </w:t>
      </w:r>
      <w:r w:rsidR="00047091">
        <w:rPr>
          <w:rFonts w:ascii="Times New Roman" w:hAnsi="Times New Roman" w:cs="Times New Roman"/>
        </w:rPr>
        <w:t>if</w:t>
      </w:r>
      <w:r w:rsidR="00935213" w:rsidRPr="00C13072">
        <w:rPr>
          <w:rFonts w:ascii="Times New Roman" w:hAnsi="Times New Roman" w:cs="Times New Roman"/>
        </w:rPr>
        <w:t xml:space="preserve"> and when necessary.</w:t>
      </w:r>
    </w:p>
    <w:p w:rsidR="00F44002" w:rsidRDefault="00F44002" w:rsidP="00F44002">
      <w:pPr>
        <w:jc w:val="both"/>
        <w:rPr>
          <w:rFonts w:ascii="Times New Roman" w:hAnsi="Times New Roman" w:cs="Times New Roman"/>
          <w:highlight w:val="yellow"/>
        </w:rPr>
      </w:pPr>
      <w:r>
        <w:rPr>
          <w:rFonts w:ascii="Times New Roman" w:hAnsi="Times New Roman" w:cs="Times New Roman"/>
          <w:b/>
        </w:rPr>
        <w:t xml:space="preserve">Proposed </w:t>
      </w:r>
      <w:r w:rsidRPr="00074980">
        <w:rPr>
          <w:rFonts w:ascii="Times New Roman" w:hAnsi="Times New Roman" w:cs="Times New Roman"/>
          <w:b/>
        </w:rPr>
        <w:t xml:space="preserve">Post-2020 </w:t>
      </w:r>
      <w:r>
        <w:rPr>
          <w:rFonts w:ascii="Times New Roman" w:hAnsi="Times New Roman" w:cs="Times New Roman"/>
          <w:b/>
        </w:rPr>
        <w:t>Allowance Allocation Issues</w:t>
      </w:r>
    </w:p>
    <w:p w:rsidR="003A1197" w:rsidRDefault="006B3703" w:rsidP="00892229">
      <w:pPr>
        <w:jc w:val="both"/>
        <w:rPr>
          <w:rFonts w:ascii="Times New Roman" w:hAnsi="Times New Roman" w:cs="Times New Roman"/>
          <w:iCs/>
        </w:rPr>
      </w:pPr>
      <w:r w:rsidRPr="0055191A">
        <w:rPr>
          <w:rFonts w:ascii="Times New Roman" w:hAnsi="Times New Roman" w:cs="Times New Roman"/>
        </w:rPr>
        <w:t xml:space="preserve">ARB is </w:t>
      </w:r>
      <w:r w:rsidR="00B94F4E" w:rsidRPr="0055191A">
        <w:rPr>
          <w:rFonts w:ascii="Times New Roman" w:hAnsi="Times New Roman" w:cs="Times New Roman"/>
        </w:rPr>
        <w:t xml:space="preserve">proposing to </w:t>
      </w:r>
      <w:r w:rsidRPr="0055191A">
        <w:rPr>
          <w:rFonts w:ascii="Times New Roman" w:hAnsi="Times New Roman" w:cs="Times New Roman"/>
        </w:rPr>
        <w:t>us</w:t>
      </w:r>
      <w:r w:rsidR="00B94F4E" w:rsidRPr="0055191A">
        <w:rPr>
          <w:rFonts w:ascii="Times New Roman" w:hAnsi="Times New Roman" w:cs="Times New Roman"/>
        </w:rPr>
        <w:t>e</w:t>
      </w:r>
      <w:r w:rsidRPr="0055191A">
        <w:rPr>
          <w:rFonts w:ascii="Times New Roman" w:hAnsi="Times New Roman" w:cs="Times New Roman"/>
        </w:rPr>
        <w:t xml:space="preserve"> highly uncertain and </w:t>
      </w:r>
      <w:r w:rsidR="00B94F4E" w:rsidRPr="0055191A">
        <w:rPr>
          <w:rFonts w:ascii="Times New Roman" w:hAnsi="Times New Roman" w:cs="Times New Roman"/>
        </w:rPr>
        <w:t xml:space="preserve">heavily </w:t>
      </w:r>
      <w:r w:rsidRPr="0055191A">
        <w:rPr>
          <w:rFonts w:ascii="Times New Roman" w:hAnsi="Times New Roman" w:cs="Times New Roman"/>
        </w:rPr>
        <w:t xml:space="preserve">caveated studies to make decisions that </w:t>
      </w:r>
      <w:r w:rsidR="007D6D35" w:rsidRPr="0055191A">
        <w:rPr>
          <w:rFonts w:ascii="Times New Roman" w:hAnsi="Times New Roman" w:cs="Times New Roman"/>
        </w:rPr>
        <w:t>could have major adverse impacts on California jobs and the economy.</w:t>
      </w:r>
      <w:r w:rsidR="00B94F4E" w:rsidRPr="0055191A">
        <w:rPr>
          <w:rFonts w:ascii="Times New Roman" w:hAnsi="Times New Roman" w:cs="Times New Roman"/>
        </w:rPr>
        <w:t xml:space="preserve">  </w:t>
      </w:r>
      <w:r w:rsidR="007D6D35" w:rsidRPr="0055191A">
        <w:rPr>
          <w:rFonts w:ascii="Times New Roman" w:hAnsi="Times New Roman" w:cs="Times New Roman"/>
        </w:rPr>
        <w:t xml:space="preserve">Table 8 of ARB’s Cap-and-Trade Regulation Industry Assistance Factor Calculation Informal Staff Proposal (October 14, 2016) </w:t>
      </w:r>
      <w:r w:rsidR="00B01A7C">
        <w:rPr>
          <w:rFonts w:ascii="Times New Roman" w:hAnsi="Times New Roman" w:cs="Times New Roman"/>
        </w:rPr>
        <w:t xml:space="preserve">and the November 10, 2016 addendum </w:t>
      </w:r>
      <w:r w:rsidR="007D6D35" w:rsidRPr="0055191A">
        <w:rPr>
          <w:rFonts w:ascii="Times New Roman" w:hAnsi="Times New Roman" w:cs="Times New Roman"/>
        </w:rPr>
        <w:t xml:space="preserve">forecast dramatic </w:t>
      </w:r>
      <w:r w:rsidRPr="0055191A">
        <w:rPr>
          <w:rFonts w:ascii="Times New Roman" w:hAnsi="Times New Roman" w:cs="Times New Roman"/>
          <w:iCs/>
        </w:rPr>
        <w:t>reduc</w:t>
      </w:r>
      <w:r w:rsidR="007D6D35" w:rsidRPr="0055191A">
        <w:rPr>
          <w:rFonts w:ascii="Times New Roman" w:hAnsi="Times New Roman" w:cs="Times New Roman"/>
          <w:iCs/>
        </w:rPr>
        <w:t>tions in</w:t>
      </w:r>
      <w:r w:rsidRPr="0055191A">
        <w:rPr>
          <w:rFonts w:ascii="Times New Roman" w:hAnsi="Times New Roman" w:cs="Times New Roman"/>
          <w:iCs/>
        </w:rPr>
        <w:t xml:space="preserve"> industry assistance </w:t>
      </w:r>
      <w:r w:rsidR="007D6D35" w:rsidRPr="0055191A">
        <w:rPr>
          <w:rFonts w:ascii="Times New Roman" w:hAnsi="Times New Roman" w:cs="Times New Roman"/>
          <w:iCs/>
        </w:rPr>
        <w:t>for</w:t>
      </w:r>
      <w:r w:rsidRPr="0055191A">
        <w:rPr>
          <w:rFonts w:ascii="Times New Roman" w:hAnsi="Times New Roman" w:cs="Times New Roman"/>
          <w:iCs/>
        </w:rPr>
        <w:t xml:space="preserve"> </w:t>
      </w:r>
      <w:r w:rsidR="007D6D35" w:rsidRPr="0055191A">
        <w:rPr>
          <w:rFonts w:ascii="Times New Roman" w:hAnsi="Times New Roman" w:cs="Times New Roman"/>
          <w:iCs/>
        </w:rPr>
        <w:t>most</w:t>
      </w:r>
      <w:r w:rsidRPr="0055191A">
        <w:rPr>
          <w:rFonts w:ascii="Times New Roman" w:hAnsi="Times New Roman" w:cs="Times New Roman"/>
          <w:iCs/>
        </w:rPr>
        <w:t xml:space="preserve"> </w:t>
      </w:r>
      <w:r w:rsidR="007D6D35" w:rsidRPr="0055191A">
        <w:rPr>
          <w:rFonts w:ascii="Times New Roman" w:hAnsi="Times New Roman" w:cs="Times New Roman"/>
          <w:iCs/>
        </w:rPr>
        <w:t xml:space="preserve">regulated </w:t>
      </w:r>
      <w:r w:rsidRPr="0055191A">
        <w:rPr>
          <w:rFonts w:ascii="Times New Roman" w:hAnsi="Times New Roman" w:cs="Times New Roman"/>
          <w:iCs/>
        </w:rPr>
        <w:t>sectors</w:t>
      </w:r>
      <w:r w:rsidR="007D6D35" w:rsidRPr="0055191A">
        <w:rPr>
          <w:rFonts w:ascii="Times New Roman" w:hAnsi="Times New Roman" w:cs="Times New Roman"/>
          <w:iCs/>
        </w:rPr>
        <w:t>.  In</w:t>
      </w:r>
      <w:r w:rsidRPr="0055191A">
        <w:rPr>
          <w:rFonts w:ascii="Times New Roman" w:hAnsi="Times New Roman" w:cs="Times New Roman"/>
          <w:iCs/>
        </w:rPr>
        <w:t xml:space="preserve"> many cases</w:t>
      </w:r>
      <w:r w:rsidR="007D6D35" w:rsidRPr="0055191A">
        <w:rPr>
          <w:rFonts w:ascii="Times New Roman" w:hAnsi="Times New Roman" w:cs="Times New Roman"/>
          <w:iCs/>
        </w:rPr>
        <w:t xml:space="preserve">, these proposals are less than half of the assistance </w:t>
      </w:r>
      <w:r w:rsidR="00DF3381" w:rsidRPr="0055191A">
        <w:rPr>
          <w:rFonts w:ascii="Times New Roman" w:hAnsi="Times New Roman" w:cs="Times New Roman"/>
          <w:iCs/>
        </w:rPr>
        <w:t>factor</w:t>
      </w:r>
      <w:r w:rsidR="007D6D35" w:rsidRPr="0055191A">
        <w:rPr>
          <w:rFonts w:ascii="Times New Roman" w:hAnsi="Times New Roman" w:cs="Times New Roman"/>
          <w:iCs/>
        </w:rPr>
        <w:t>s provided in the current regulation</w:t>
      </w:r>
      <w:r w:rsidRPr="0055191A">
        <w:rPr>
          <w:rFonts w:ascii="Times New Roman" w:hAnsi="Times New Roman" w:cs="Times New Roman"/>
          <w:iCs/>
        </w:rPr>
        <w:t xml:space="preserve">.  </w:t>
      </w:r>
      <w:r w:rsidR="007D6D35" w:rsidRPr="0055191A">
        <w:rPr>
          <w:rFonts w:ascii="Times New Roman" w:hAnsi="Times New Roman" w:cs="Times New Roman"/>
          <w:iCs/>
        </w:rPr>
        <w:t xml:space="preserve">As we </w:t>
      </w:r>
      <w:r w:rsidR="00410154" w:rsidRPr="0055191A">
        <w:rPr>
          <w:rFonts w:ascii="Times New Roman" w:hAnsi="Times New Roman" w:cs="Times New Roman"/>
          <w:iCs/>
        </w:rPr>
        <w:t>reiterate</w:t>
      </w:r>
      <w:r w:rsidR="007D6D35" w:rsidRPr="0055191A">
        <w:rPr>
          <w:rFonts w:ascii="Times New Roman" w:hAnsi="Times New Roman" w:cs="Times New Roman"/>
          <w:iCs/>
        </w:rPr>
        <w:t xml:space="preserve"> below, the authors of the research underpinning these proposals caution against the </w:t>
      </w:r>
      <w:r w:rsidR="00410154" w:rsidRPr="0055191A">
        <w:rPr>
          <w:rFonts w:ascii="Times New Roman" w:hAnsi="Times New Roman" w:cs="Times New Roman"/>
          <w:iCs/>
        </w:rPr>
        <w:t xml:space="preserve">very </w:t>
      </w:r>
      <w:r w:rsidR="007D6D35" w:rsidRPr="0055191A">
        <w:rPr>
          <w:rFonts w:ascii="Times New Roman" w:hAnsi="Times New Roman" w:cs="Times New Roman"/>
          <w:iCs/>
        </w:rPr>
        <w:t xml:space="preserve">conclusions </w:t>
      </w:r>
      <w:r w:rsidRPr="0055191A">
        <w:rPr>
          <w:rFonts w:ascii="Times New Roman" w:hAnsi="Times New Roman" w:cs="Times New Roman"/>
          <w:iCs/>
        </w:rPr>
        <w:t>ARB</w:t>
      </w:r>
      <w:r w:rsidR="007D6D35" w:rsidRPr="0055191A">
        <w:rPr>
          <w:rFonts w:ascii="Times New Roman" w:hAnsi="Times New Roman" w:cs="Times New Roman"/>
          <w:iCs/>
        </w:rPr>
        <w:t xml:space="preserve"> is drawing from their studies</w:t>
      </w:r>
      <w:r w:rsidR="003A1197">
        <w:rPr>
          <w:rFonts w:ascii="Times New Roman" w:hAnsi="Times New Roman" w:cs="Times New Roman"/>
          <w:iCs/>
        </w:rPr>
        <w:t>.</w:t>
      </w:r>
    </w:p>
    <w:p w:rsidR="006B3703" w:rsidRDefault="006B3703" w:rsidP="00892229">
      <w:pPr>
        <w:jc w:val="both"/>
        <w:rPr>
          <w:rFonts w:ascii="Times New Roman" w:hAnsi="Times New Roman" w:cs="Times New Roman"/>
          <w:iCs/>
        </w:rPr>
      </w:pPr>
      <w:r w:rsidRPr="0055191A">
        <w:rPr>
          <w:rFonts w:ascii="Times New Roman" w:hAnsi="Times New Roman" w:cs="Times New Roman"/>
          <w:iCs/>
        </w:rPr>
        <w:t>ARB</w:t>
      </w:r>
      <w:r w:rsidR="00410154" w:rsidRPr="0055191A">
        <w:rPr>
          <w:rFonts w:ascii="Times New Roman" w:hAnsi="Times New Roman" w:cs="Times New Roman"/>
          <w:iCs/>
        </w:rPr>
        <w:t xml:space="preserve"> represents the study findings and its own supporting analysis as accurate predictors of future circumstances</w:t>
      </w:r>
      <w:r w:rsidR="00AA5625" w:rsidRPr="0055191A">
        <w:rPr>
          <w:rFonts w:ascii="Times New Roman" w:hAnsi="Times New Roman" w:cs="Times New Roman"/>
          <w:iCs/>
        </w:rPr>
        <w:t xml:space="preserve"> in specific industry sectors</w:t>
      </w:r>
      <w:r w:rsidR="00410154" w:rsidRPr="0055191A">
        <w:rPr>
          <w:rFonts w:ascii="Times New Roman" w:hAnsi="Times New Roman" w:cs="Times New Roman"/>
          <w:iCs/>
        </w:rPr>
        <w:t xml:space="preserve">, despite the </w:t>
      </w:r>
      <w:r w:rsidR="00AA5625" w:rsidRPr="0055191A">
        <w:rPr>
          <w:rFonts w:ascii="Times New Roman" w:hAnsi="Times New Roman" w:cs="Times New Roman"/>
          <w:iCs/>
        </w:rPr>
        <w:t xml:space="preserve">many assumptions upon which they are predicated, lingering uncertainty about </w:t>
      </w:r>
      <w:r w:rsidRPr="0055191A">
        <w:rPr>
          <w:rFonts w:ascii="Times New Roman" w:hAnsi="Times New Roman" w:cs="Times New Roman"/>
          <w:iCs/>
        </w:rPr>
        <w:t xml:space="preserve">the </w:t>
      </w:r>
      <w:r w:rsidR="00410154" w:rsidRPr="0055191A">
        <w:rPr>
          <w:rFonts w:ascii="Times New Roman" w:hAnsi="Times New Roman" w:cs="Times New Roman"/>
          <w:iCs/>
        </w:rPr>
        <w:t xml:space="preserve">feasibility of the </w:t>
      </w:r>
      <w:r w:rsidR="003C4F07">
        <w:rPr>
          <w:rFonts w:ascii="Times New Roman" w:hAnsi="Times New Roman" w:cs="Times New Roman"/>
          <w:iCs/>
        </w:rPr>
        <w:t>A</w:t>
      </w:r>
      <w:r w:rsidR="00410154" w:rsidRPr="0055191A">
        <w:rPr>
          <w:rFonts w:ascii="Times New Roman" w:hAnsi="Times New Roman" w:cs="Times New Roman"/>
          <w:iCs/>
        </w:rPr>
        <w:t>dministration’s GHG emissions reduction</w:t>
      </w:r>
      <w:r w:rsidR="00AA5625" w:rsidRPr="0055191A">
        <w:rPr>
          <w:rFonts w:ascii="Times New Roman" w:hAnsi="Times New Roman" w:cs="Times New Roman"/>
          <w:iCs/>
        </w:rPr>
        <w:t xml:space="preserve"> targets</w:t>
      </w:r>
      <w:r w:rsidR="00410154" w:rsidRPr="0055191A">
        <w:rPr>
          <w:rFonts w:ascii="Times New Roman" w:hAnsi="Times New Roman" w:cs="Times New Roman"/>
          <w:iCs/>
        </w:rPr>
        <w:t>,</w:t>
      </w:r>
      <w:r w:rsidRPr="0055191A">
        <w:rPr>
          <w:rFonts w:ascii="Times New Roman" w:hAnsi="Times New Roman" w:cs="Times New Roman"/>
          <w:iCs/>
        </w:rPr>
        <w:t xml:space="preserve"> and the </w:t>
      </w:r>
      <w:r w:rsidR="00AA5625" w:rsidRPr="0055191A">
        <w:rPr>
          <w:rFonts w:ascii="Times New Roman" w:hAnsi="Times New Roman" w:cs="Times New Roman"/>
          <w:iCs/>
        </w:rPr>
        <w:t xml:space="preserve">increasingly urgent </w:t>
      </w:r>
      <w:r w:rsidRPr="0055191A">
        <w:rPr>
          <w:rFonts w:ascii="Times New Roman" w:hAnsi="Times New Roman" w:cs="Times New Roman"/>
          <w:iCs/>
        </w:rPr>
        <w:t xml:space="preserve">need for </w:t>
      </w:r>
      <w:r w:rsidR="00AA5625" w:rsidRPr="0055191A">
        <w:rPr>
          <w:rFonts w:ascii="Times New Roman" w:hAnsi="Times New Roman" w:cs="Times New Roman"/>
          <w:iCs/>
        </w:rPr>
        <w:t>more</w:t>
      </w:r>
      <w:r w:rsidR="00410154" w:rsidRPr="0055191A">
        <w:rPr>
          <w:rFonts w:ascii="Times New Roman" w:hAnsi="Times New Roman" w:cs="Times New Roman"/>
          <w:iCs/>
        </w:rPr>
        <w:t xml:space="preserve"> </w:t>
      </w:r>
      <w:r w:rsidRPr="0055191A">
        <w:rPr>
          <w:rFonts w:ascii="Times New Roman" w:hAnsi="Times New Roman" w:cs="Times New Roman"/>
          <w:iCs/>
        </w:rPr>
        <w:t>cost</w:t>
      </w:r>
      <w:r w:rsidR="00410154" w:rsidRPr="0055191A">
        <w:rPr>
          <w:rFonts w:ascii="Times New Roman" w:hAnsi="Times New Roman" w:cs="Times New Roman"/>
          <w:iCs/>
        </w:rPr>
        <w:t>-</w:t>
      </w:r>
      <w:r w:rsidRPr="0055191A">
        <w:rPr>
          <w:rFonts w:ascii="Times New Roman" w:hAnsi="Times New Roman" w:cs="Times New Roman"/>
          <w:iCs/>
        </w:rPr>
        <w:t xml:space="preserve">effective approaches </w:t>
      </w:r>
      <w:r w:rsidR="00AA5625" w:rsidRPr="0055191A">
        <w:rPr>
          <w:rFonts w:ascii="Times New Roman" w:hAnsi="Times New Roman" w:cs="Times New Roman"/>
          <w:iCs/>
        </w:rPr>
        <w:t>as the state</w:t>
      </w:r>
      <w:r w:rsidR="00DF3381" w:rsidRPr="0055191A">
        <w:rPr>
          <w:rFonts w:ascii="Times New Roman" w:hAnsi="Times New Roman" w:cs="Times New Roman"/>
          <w:iCs/>
        </w:rPr>
        <w:t xml:space="preserve">wide </w:t>
      </w:r>
      <w:r w:rsidR="00410154" w:rsidRPr="0055191A">
        <w:rPr>
          <w:rFonts w:ascii="Times New Roman" w:hAnsi="Times New Roman" w:cs="Times New Roman"/>
          <w:iCs/>
        </w:rPr>
        <w:t>cap</w:t>
      </w:r>
      <w:r w:rsidR="00AA5625" w:rsidRPr="0055191A">
        <w:rPr>
          <w:rFonts w:ascii="Times New Roman" w:hAnsi="Times New Roman" w:cs="Times New Roman"/>
          <w:iCs/>
        </w:rPr>
        <w:t xml:space="preserve"> declines</w:t>
      </w:r>
      <w:r w:rsidRPr="0055191A">
        <w:rPr>
          <w:rFonts w:ascii="Times New Roman" w:hAnsi="Times New Roman" w:cs="Times New Roman"/>
          <w:iCs/>
        </w:rPr>
        <w:t xml:space="preserve">. </w:t>
      </w:r>
      <w:r w:rsidR="00410154" w:rsidRPr="0055191A">
        <w:rPr>
          <w:rFonts w:ascii="Times New Roman" w:hAnsi="Times New Roman" w:cs="Times New Roman"/>
          <w:iCs/>
        </w:rPr>
        <w:t xml:space="preserve"> ARB is contemplating a leap of faith anal</w:t>
      </w:r>
      <w:r w:rsidR="00DF3381" w:rsidRPr="0055191A">
        <w:rPr>
          <w:rFonts w:ascii="Times New Roman" w:hAnsi="Times New Roman" w:cs="Times New Roman"/>
          <w:iCs/>
        </w:rPr>
        <w:t>o</w:t>
      </w:r>
      <w:r w:rsidR="00410154" w:rsidRPr="0055191A">
        <w:rPr>
          <w:rFonts w:ascii="Times New Roman" w:hAnsi="Times New Roman" w:cs="Times New Roman"/>
          <w:iCs/>
        </w:rPr>
        <w:t xml:space="preserve">gous to </w:t>
      </w:r>
      <w:r w:rsidRPr="0055191A">
        <w:rPr>
          <w:rFonts w:ascii="Times New Roman" w:hAnsi="Times New Roman" w:cs="Times New Roman"/>
          <w:iCs/>
        </w:rPr>
        <w:t xml:space="preserve">approving a drug based on </w:t>
      </w:r>
      <w:r w:rsidR="00DF3381" w:rsidRPr="0055191A">
        <w:rPr>
          <w:rFonts w:ascii="Times New Roman" w:hAnsi="Times New Roman" w:cs="Times New Roman"/>
          <w:iCs/>
        </w:rPr>
        <w:t xml:space="preserve">a single </w:t>
      </w:r>
      <w:r w:rsidRPr="0055191A">
        <w:rPr>
          <w:rFonts w:ascii="Times New Roman" w:hAnsi="Times New Roman" w:cs="Times New Roman"/>
          <w:iCs/>
        </w:rPr>
        <w:t>study that does not have conclusive results</w:t>
      </w:r>
      <w:r w:rsidR="00DF3381" w:rsidRPr="0055191A">
        <w:rPr>
          <w:rFonts w:ascii="Times New Roman" w:hAnsi="Times New Roman" w:cs="Times New Roman"/>
          <w:iCs/>
        </w:rPr>
        <w:t xml:space="preserve">.  </w:t>
      </w:r>
      <w:r w:rsidR="00E2075B">
        <w:rPr>
          <w:rFonts w:ascii="Times New Roman" w:hAnsi="Times New Roman" w:cs="Times New Roman"/>
          <w:iCs/>
        </w:rPr>
        <w:t>As we indicate above,</w:t>
      </w:r>
      <w:r w:rsidR="00DF3381" w:rsidRPr="0055191A">
        <w:rPr>
          <w:rFonts w:ascii="Times New Roman" w:hAnsi="Times New Roman" w:cs="Times New Roman"/>
          <w:iCs/>
        </w:rPr>
        <w:t xml:space="preserve"> erring on the side of greater leakage protection would </w:t>
      </w:r>
      <w:r w:rsidR="00E2075B">
        <w:rPr>
          <w:rFonts w:ascii="Times New Roman" w:hAnsi="Times New Roman" w:cs="Times New Roman"/>
          <w:iCs/>
        </w:rPr>
        <w:t xml:space="preserve">still ensure </w:t>
      </w:r>
      <w:r w:rsidR="00AA5625" w:rsidRPr="0055191A">
        <w:rPr>
          <w:rFonts w:ascii="Times New Roman" w:hAnsi="Times New Roman" w:cs="Times New Roman"/>
          <w:iCs/>
        </w:rPr>
        <w:t>the state’s ability to</w:t>
      </w:r>
      <w:r w:rsidR="00DF3381" w:rsidRPr="0055191A">
        <w:rPr>
          <w:rFonts w:ascii="Times New Roman" w:hAnsi="Times New Roman" w:cs="Times New Roman"/>
          <w:iCs/>
        </w:rPr>
        <w:t xml:space="preserve"> achieve the targeted GHG reductions</w:t>
      </w:r>
      <w:r w:rsidR="00AA5625" w:rsidRPr="0055191A">
        <w:rPr>
          <w:rFonts w:ascii="Times New Roman" w:hAnsi="Times New Roman" w:cs="Times New Roman"/>
          <w:iCs/>
        </w:rPr>
        <w:t>.  Th</w:t>
      </w:r>
      <w:r w:rsidR="0055191A" w:rsidRPr="0055191A">
        <w:rPr>
          <w:rFonts w:ascii="Times New Roman" w:hAnsi="Times New Roman" w:cs="Times New Roman"/>
          <w:iCs/>
        </w:rPr>
        <w:t>us th</w:t>
      </w:r>
      <w:r w:rsidR="00AA5625" w:rsidRPr="0055191A">
        <w:rPr>
          <w:rFonts w:ascii="Times New Roman" w:hAnsi="Times New Roman" w:cs="Times New Roman"/>
          <w:iCs/>
        </w:rPr>
        <w:t>ere is no need to</w:t>
      </w:r>
      <w:r w:rsidR="00DF3381" w:rsidRPr="0055191A">
        <w:rPr>
          <w:rFonts w:ascii="Times New Roman" w:hAnsi="Times New Roman" w:cs="Times New Roman"/>
          <w:iCs/>
        </w:rPr>
        <w:t xml:space="preserve"> gambl</w:t>
      </w:r>
      <w:r w:rsidR="00AA5625" w:rsidRPr="0055191A">
        <w:rPr>
          <w:rFonts w:ascii="Times New Roman" w:hAnsi="Times New Roman" w:cs="Times New Roman"/>
          <w:iCs/>
        </w:rPr>
        <w:t xml:space="preserve">e </w:t>
      </w:r>
      <w:r w:rsidRPr="0055191A">
        <w:rPr>
          <w:rFonts w:ascii="Times New Roman" w:hAnsi="Times New Roman" w:cs="Times New Roman"/>
          <w:iCs/>
        </w:rPr>
        <w:t xml:space="preserve">the </w:t>
      </w:r>
      <w:r w:rsidR="00DF3381" w:rsidRPr="0055191A">
        <w:rPr>
          <w:rFonts w:ascii="Times New Roman" w:hAnsi="Times New Roman" w:cs="Times New Roman"/>
          <w:iCs/>
        </w:rPr>
        <w:t>program</w:t>
      </w:r>
      <w:r w:rsidR="0055191A" w:rsidRPr="0055191A">
        <w:rPr>
          <w:rFonts w:ascii="Times New Roman" w:hAnsi="Times New Roman" w:cs="Times New Roman"/>
          <w:iCs/>
        </w:rPr>
        <w:t xml:space="preserve">’s environmental goals </w:t>
      </w:r>
      <w:r w:rsidR="00DF3381" w:rsidRPr="0055191A">
        <w:rPr>
          <w:rFonts w:ascii="Times New Roman" w:hAnsi="Times New Roman" w:cs="Times New Roman"/>
          <w:iCs/>
        </w:rPr>
        <w:t xml:space="preserve">and the state </w:t>
      </w:r>
      <w:r w:rsidRPr="0055191A">
        <w:rPr>
          <w:rFonts w:ascii="Times New Roman" w:hAnsi="Times New Roman" w:cs="Times New Roman"/>
          <w:iCs/>
        </w:rPr>
        <w:t xml:space="preserve">economy on </w:t>
      </w:r>
      <w:r w:rsidR="00DF3381" w:rsidRPr="0055191A">
        <w:rPr>
          <w:rFonts w:ascii="Times New Roman" w:hAnsi="Times New Roman" w:cs="Times New Roman"/>
          <w:iCs/>
        </w:rPr>
        <w:t xml:space="preserve">the accuracy of </w:t>
      </w:r>
      <w:r w:rsidR="00AA5625" w:rsidRPr="0055191A">
        <w:rPr>
          <w:rFonts w:ascii="Times New Roman" w:hAnsi="Times New Roman" w:cs="Times New Roman"/>
          <w:iCs/>
        </w:rPr>
        <w:t xml:space="preserve">ARB’s </w:t>
      </w:r>
      <w:r w:rsidR="00F44002">
        <w:rPr>
          <w:rFonts w:ascii="Times New Roman" w:hAnsi="Times New Roman" w:cs="Times New Roman"/>
          <w:iCs/>
        </w:rPr>
        <w:t>long term predictions.</w:t>
      </w:r>
    </w:p>
    <w:p w:rsidR="00CB6504" w:rsidRPr="001F6CA0" w:rsidRDefault="00CB6504" w:rsidP="00CB6504">
      <w:pPr>
        <w:pStyle w:val="ListParagraph"/>
        <w:numPr>
          <w:ilvl w:val="0"/>
          <w:numId w:val="14"/>
        </w:numPr>
        <w:jc w:val="both"/>
        <w:rPr>
          <w:rFonts w:ascii="Times New Roman" w:hAnsi="Times New Roman" w:cs="Times New Roman"/>
          <w:b/>
        </w:rPr>
      </w:pPr>
      <w:r w:rsidRPr="001F6CA0">
        <w:rPr>
          <w:rFonts w:ascii="Times New Roman" w:hAnsi="Times New Roman" w:cs="Times New Roman"/>
          <w:b/>
        </w:rPr>
        <w:t xml:space="preserve">Limitations </w:t>
      </w:r>
      <w:r>
        <w:rPr>
          <w:rFonts w:ascii="Times New Roman" w:hAnsi="Times New Roman" w:cs="Times New Roman"/>
          <w:b/>
        </w:rPr>
        <w:t>of</w:t>
      </w:r>
      <w:r w:rsidRPr="001F6CA0">
        <w:rPr>
          <w:rFonts w:ascii="Times New Roman" w:hAnsi="Times New Roman" w:cs="Times New Roman"/>
          <w:b/>
        </w:rPr>
        <w:t xml:space="preserve"> Foundational Research</w:t>
      </w:r>
    </w:p>
    <w:p w:rsidR="00CB6504" w:rsidRDefault="00CB6504" w:rsidP="00CB6504">
      <w:pPr>
        <w:pStyle w:val="ListParagraph"/>
        <w:jc w:val="both"/>
        <w:rPr>
          <w:rFonts w:ascii="Times New Roman" w:hAnsi="Times New Roman" w:cs="Times New Roman"/>
        </w:rPr>
      </w:pPr>
    </w:p>
    <w:p w:rsidR="00B81530" w:rsidRPr="00C13072" w:rsidRDefault="00CB6504" w:rsidP="00B81530">
      <w:pPr>
        <w:pStyle w:val="ListParagraph"/>
        <w:jc w:val="both"/>
        <w:rPr>
          <w:rFonts w:ascii="Times New Roman" w:hAnsi="Times New Roman" w:cs="Times New Roman"/>
        </w:rPr>
      </w:pPr>
      <w:r w:rsidRPr="00C13072">
        <w:rPr>
          <w:rFonts w:ascii="Times New Roman" w:hAnsi="Times New Roman" w:cs="Times New Roman"/>
        </w:rPr>
        <w:t xml:space="preserve">ARB should not base its post-2020 allocation policy decisions on the leakage risk studies conducted by UC Berkeley and Resources </w:t>
      </w:r>
      <w:r w:rsidR="00007A8D" w:rsidRPr="00C13072">
        <w:rPr>
          <w:rFonts w:ascii="Times New Roman" w:hAnsi="Times New Roman" w:cs="Times New Roman"/>
        </w:rPr>
        <w:t>for</w:t>
      </w:r>
      <w:r w:rsidRPr="00C13072">
        <w:rPr>
          <w:rFonts w:ascii="Times New Roman" w:hAnsi="Times New Roman" w:cs="Times New Roman"/>
        </w:rPr>
        <w:t xml:space="preserve"> the Future (RFF).  In both cases the study authors acknowledged data limitations and methodological uncertainties that compromise the predictive power of the results.  The UC Berkeley authors stated that: “The imprecision of our estimates </w:t>
      </w:r>
      <w:r w:rsidRPr="00C13072">
        <w:rPr>
          <w:rFonts w:ascii="Times New Roman" w:hAnsi="Times New Roman" w:cs="Times New Roman"/>
        </w:rPr>
        <w:lastRenderedPageBreak/>
        <w:t>makes it difficult to estimate leakage potential for any particular industry with any degree of precision.” The RFF authors cite uncertainties in historical energy price variation and plant investment decisions.  Both authors expressly caution against using their studies to predict future market outcomes.</w:t>
      </w:r>
    </w:p>
    <w:p w:rsidR="00FF7CD8" w:rsidRDefault="00FF7CD8" w:rsidP="00CB6504">
      <w:pPr>
        <w:pStyle w:val="ListParagraph"/>
        <w:jc w:val="both"/>
        <w:rPr>
          <w:rFonts w:ascii="Times New Roman" w:hAnsi="Times New Roman" w:cs="Times New Roman"/>
        </w:rPr>
      </w:pPr>
    </w:p>
    <w:p w:rsidR="00CB6504" w:rsidRPr="008E4AB3" w:rsidRDefault="00CB6504" w:rsidP="00CB6504">
      <w:pPr>
        <w:pStyle w:val="ListParagraph"/>
        <w:jc w:val="both"/>
        <w:rPr>
          <w:rFonts w:ascii="Times New Roman" w:hAnsi="Times New Roman" w:cs="Times New Roman"/>
        </w:rPr>
      </w:pPr>
      <w:r w:rsidRPr="008E4AB3">
        <w:rPr>
          <w:rFonts w:ascii="Times New Roman" w:hAnsi="Times New Roman" w:cs="Times New Roman"/>
        </w:rPr>
        <w:t>Apart from the study authors’ caveats, regression models based on historical markets cannot reliably predict future market behavior, especially in light of the transformational changes ARB envisions in the post-2020 timeframe.  ARB’s proposed methodology relies on unrealistically low long-term estimates of carbon prices.  Proposed changes to the Cap-and-Trade regulation and other sector-specific climate policies ARB is contemplating to achieve the SB 32 target will likely result in higher carbon prices, increasing leakage risk for most industry sectors and necessitating higher levels of trade exposure protection than currently proposed.</w:t>
      </w:r>
    </w:p>
    <w:p w:rsidR="00CB6504" w:rsidRDefault="00CB6504" w:rsidP="00CB6504">
      <w:pPr>
        <w:pStyle w:val="ListParagraph"/>
        <w:jc w:val="both"/>
        <w:rPr>
          <w:rFonts w:ascii="Times New Roman" w:hAnsi="Times New Roman" w:cs="Times New Roman"/>
        </w:rPr>
      </w:pPr>
    </w:p>
    <w:p w:rsidR="00583153" w:rsidRDefault="00583153" w:rsidP="00CB6504">
      <w:pPr>
        <w:pStyle w:val="ListParagraph"/>
        <w:jc w:val="both"/>
        <w:rPr>
          <w:rFonts w:ascii="Times New Roman" w:hAnsi="Times New Roman" w:cs="Times New Roman"/>
        </w:rPr>
      </w:pPr>
      <w:r>
        <w:rPr>
          <w:rFonts w:ascii="Times New Roman" w:hAnsi="Times New Roman" w:cs="Times New Roman"/>
        </w:rPr>
        <w:t>WSPA also notes that the UC Berkeley estimates are based on the premise that California facilities can only reduce their emissions by curtailing production.</w:t>
      </w:r>
      <w:r>
        <w:rPr>
          <w:rStyle w:val="FootnoteReference"/>
          <w:rFonts w:ascii="Times New Roman" w:hAnsi="Times New Roman" w:cs="Times New Roman"/>
        </w:rPr>
        <w:footnoteReference w:id="7"/>
      </w:r>
      <w:r>
        <w:rPr>
          <w:rFonts w:ascii="Times New Roman" w:hAnsi="Times New Roman" w:cs="Times New Roman"/>
        </w:rPr>
        <w:t xml:space="preserve">  This premise is at odds with ARB’s characterization of the </w:t>
      </w:r>
      <w:r w:rsidR="005B67A3">
        <w:rPr>
          <w:rFonts w:ascii="Times New Roman" w:hAnsi="Times New Roman" w:cs="Times New Roman"/>
        </w:rPr>
        <w:t>Cap-and-Trade</w:t>
      </w:r>
      <w:r>
        <w:rPr>
          <w:rFonts w:ascii="Times New Roman" w:hAnsi="Times New Roman" w:cs="Times New Roman"/>
        </w:rPr>
        <w:t xml:space="preserve"> program – “Market forces spur technological innovation and investments in clean energy.”</w:t>
      </w:r>
      <w:r>
        <w:rPr>
          <w:rStyle w:val="FootnoteReference"/>
          <w:rFonts w:ascii="Times New Roman" w:hAnsi="Times New Roman" w:cs="Times New Roman"/>
        </w:rPr>
        <w:footnoteReference w:id="8"/>
      </w:r>
    </w:p>
    <w:p w:rsidR="00583153" w:rsidRPr="008E4AB3" w:rsidRDefault="00583153" w:rsidP="00CB6504">
      <w:pPr>
        <w:pStyle w:val="ListParagraph"/>
        <w:jc w:val="both"/>
        <w:rPr>
          <w:rFonts w:ascii="Times New Roman" w:hAnsi="Times New Roman" w:cs="Times New Roman"/>
        </w:rPr>
      </w:pPr>
    </w:p>
    <w:p w:rsidR="00CB6504" w:rsidRPr="00CB6504" w:rsidRDefault="00CB6504" w:rsidP="00CB6504">
      <w:pPr>
        <w:pStyle w:val="ListParagraph"/>
        <w:jc w:val="both"/>
        <w:rPr>
          <w:rFonts w:ascii="Times New Roman" w:hAnsi="Times New Roman" w:cs="Times New Roman"/>
        </w:rPr>
      </w:pPr>
      <w:r w:rsidRPr="008E4AB3">
        <w:rPr>
          <w:rFonts w:ascii="Times New Roman" w:hAnsi="Times New Roman" w:cs="Times New Roman"/>
        </w:rPr>
        <w:t xml:space="preserve">For these reasons, the proposed methodology for estimating leakage risk and resulting assistance factors are no more defensible than </w:t>
      </w:r>
      <w:r>
        <w:rPr>
          <w:rFonts w:ascii="Times New Roman" w:hAnsi="Times New Roman" w:cs="Times New Roman"/>
        </w:rPr>
        <w:t>ARB’s</w:t>
      </w:r>
      <w:r w:rsidRPr="008E4AB3">
        <w:rPr>
          <w:rFonts w:ascii="Times New Roman" w:hAnsi="Times New Roman" w:cs="Times New Roman"/>
        </w:rPr>
        <w:t xml:space="preserve"> current energy intensity and trade exposure-based approach.</w:t>
      </w:r>
    </w:p>
    <w:p w:rsidR="00CB6504" w:rsidRDefault="00CB6504" w:rsidP="00CB6504">
      <w:pPr>
        <w:pStyle w:val="ListParagraph"/>
        <w:jc w:val="both"/>
        <w:rPr>
          <w:rFonts w:ascii="Times New Roman" w:hAnsi="Times New Roman" w:cs="Times New Roman"/>
          <w:b/>
          <w:iCs/>
        </w:rPr>
      </w:pPr>
    </w:p>
    <w:p w:rsidR="00FF7CD8" w:rsidRPr="00B11595" w:rsidRDefault="00FF7CD8" w:rsidP="00FF7CD8">
      <w:pPr>
        <w:pStyle w:val="ListParagraph"/>
        <w:numPr>
          <w:ilvl w:val="0"/>
          <w:numId w:val="14"/>
        </w:numPr>
        <w:jc w:val="both"/>
        <w:rPr>
          <w:rFonts w:ascii="Times New Roman" w:hAnsi="Times New Roman" w:cs="Times New Roman"/>
          <w:b/>
          <w:iCs/>
        </w:rPr>
      </w:pPr>
      <w:r w:rsidRPr="00B11595">
        <w:rPr>
          <w:rFonts w:ascii="Times New Roman" w:hAnsi="Times New Roman" w:cs="Times New Roman"/>
          <w:b/>
          <w:iCs/>
        </w:rPr>
        <w:t>Transparency</w:t>
      </w:r>
      <w:r>
        <w:rPr>
          <w:rFonts w:ascii="Times New Roman" w:hAnsi="Times New Roman" w:cs="Times New Roman"/>
          <w:b/>
          <w:iCs/>
        </w:rPr>
        <w:t xml:space="preserve"> and Collaboration</w:t>
      </w:r>
    </w:p>
    <w:p w:rsidR="00FF7CD8" w:rsidRDefault="00FF7CD8" w:rsidP="00FF7CD8">
      <w:pPr>
        <w:pStyle w:val="ListParagraph"/>
        <w:ind w:left="1080" w:hanging="360"/>
        <w:jc w:val="both"/>
        <w:rPr>
          <w:rFonts w:ascii="Times New Roman" w:hAnsi="Times New Roman" w:cs="Times New Roman"/>
          <w:highlight w:val="yellow"/>
        </w:rPr>
      </w:pPr>
    </w:p>
    <w:p w:rsidR="00FF7CD8" w:rsidRPr="0078608B" w:rsidRDefault="00FF7CD8" w:rsidP="00FF7CD8">
      <w:pPr>
        <w:pStyle w:val="ListParagraph"/>
        <w:jc w:val="both"/>
        <w:rPr>
          <w:rFonts w:ascii="Times New Roman" w:hAnsi="Times New Roman" w:cs="Times New Roman"/>
        </w:rPr>
      </w:pPr>
      <w:r w:rsidRPr="0078608B">
        <w:rPr>
          <w:rFonts w:ascii="Times New Roman" w:hAnsi="Times New Roman" w:cs="Times New Roman"/>
        </w:rPr>
        <w:t xml:space="preserve">The data </w:t>
      </w:r>
      <w:r>
        <w:rPr>
          <w:rFonts w:ascii="Times New Roman" w:hAnsi="Times New Roman" w:cs="Times New Roman"/>
        </w:rPr>
        <w:t xml:space="preserve">and code </w:t>
      </w:r>
      <w:r w:rsidRPr="0078608B">
        <w:rPr>
          <w:rFonts w:ascii="Times New Roman" w:hAnsi="Times New Roman" w:cs="Times New Roman"/>
        </w:rPr>
        <w:t>used to develop the leakage risk factors is not available for stakeholders to reproduce the outcomes.  For example, as noted below, ARB does not disclose the source data supporting its assumptions regarding percentage of energy generated on-site in various industry sectors.</w:t>
      </w:r>
      <w:r>
        <w:rPr>
          <w:rStyle w:val="FootnoteReference"/>
          <w:rFonts w:ascii="Times New Roman" w:hAnsi="Times New Roman" w:cs="Times New Roman"/>
        </w:rPr>
        <w:footnoteReference w:id="9"/>
      </w:r>
      <w:r w:rsidRPr="0078608B">
        <w:rPr>
          <w:rFonts w:ascii="Times New Roman" w:hAnsi="Times New Roman" w:cs="Times New Roman"/>
        </w:rPr>
        <w:t xml:space="preserve">  Using confidential data</w:t>
      </w:r>
      <w:r>
        <w:rPr>
          <w:rFonts w:ascii="Times New Roman" w:hAnsi="Times New Roman" w:cs="Times New Roman"/>
        </w:rPr>
        <w:t xml:space="preserve"> precludes transparency and</w:t>
      </w:r>
      <w:r w:rsidRPr="0078608B">
        <w:rPr>
          <w:rFonts w:ascii="Times New Roman" w:hAnsi="Times New Roman" w:cs="Times New Roman"/>
        </w:rPr>
        <w:t xml:space="preserve"> prevents external review and public accountability.</w:t>
      </w:r>
      <w:r>
        <w:rPr>
          <w:rFonts w:ascii="Times New Roman" w:hAnsi="Times New Roman" w:cs="Times New Roman"/>
        </w:rPr>
        <w:t xml:space="preserve">  </w:t>
      </w:r>
      <w:r w:rsidRPr="00C13072">
        <w:rPr>
          <w:rFonts w:ascii="Times New Roman" w:hAnsi="Times New Roman" w:cs="Times New Roman"/>
        </w:rPr>
        <w:t>If ARB truly intends transparency, as described in slide 35 of the October 21, 2016 staff presentation, then it needs to provide stakeholders the ability to conduct a detailed review of the proposed methodologies.</w:t>
      </w:r>
    </w:p>
    <w:p w:rsidR="00FF7CD8" w:rsidRDefault="00FF7CD8" w:rsidP="00FF7CD8">
      <w:pPr>
        <w:pStyle w:val="ListParagraph"/>
        <w:jc w:val="both"/>
        <w:rPr>
          <w:rFonts w:ascii="Times New Roman" w:hAnsi="Times New Roman" w:cs="Times New Roman"/>
          <w:b/>
        </w:rPr>
      </w:pPr>
    </w:p>
    <w:p w:rsidR="00FF7CD8" w:rsidRPr="00FF7CD8" w:rsidRDefault="00FF7CD8" w:rsidP="00FF7CD8">
      <w:pPr>
        <w:pStyle w:val="ListParagraph"/>
        <w:jc w:val="both"/>
        <w:rPr>
          <w:rFonts w:ascii="Times New Roman" w:hAnsi="Times New Roman" w:cs="Times New Roman"/>
        </w:rPr>
      </w:pPr>
      <w:r>
        <w:rPr>
          <w:rFonts w:ascii="Times New Roman" w:hAnsi="Times New Roman" w:cs="Times New Roman"/>
        </w:rPr>
        <w:t>Ironically, t</w:t>
      </w:r>
      <w:r w:rsidRPr="0078608B">
        <w:rPr>
          <w:rFonts w:ascii="Times New Roman" w:hAnsi="Times New Roman" w:cs="Times New Roman"/>
        </w:rPr>
        <w:t xml:space="preserve">he proposed assistance factor changes, combined with other </w:t>
      </w:r>
      <w:r>
        <w:rPr>
          <w:rFonts w:ascii="Times New Roman" w:hAnsi="Times New Roman" w:cs="Times New Roman"/>
        </w:rPr>
        <w:t xml:space="preserve">proposed </w:t>
      </w:r>
      <w:r w:rsidR="005B67A3">
        <w:rPr>
          <w:rFonts w:ascii="Times New Roman" w:hAnsi="Times New Roman" w:cs="Times New Roman"/>
        </w:rPr>
        <w:t>Cap-and-Trade</w:t>
      </w:r>
      <w:r w:rsidRPr="0078608B">
        <w:rPr>
          <w:rFonts w:ascii="Times New Roman" w:hAnsi="Times New Roman" w:cs="Times New Roman"/>
        </w:rPr>
        <w:t xml:space="preserve"> and MRR changes, </w:t>
      </w:r>
      <w:r>
        <w:rPr>
          <w:rFonts w:ascii="Times New Roman" w:hAnsi="Times New Roman" w:cs="Times New Roman"/>
        </w:rPr>
        <w:t xml:space="preserve">promise much </w:t>
      </w:r>
      <w:r w:rsidRPr="0078608B">
        <w:rPr>
          <w:rFonts w:ascii="Times New Roman" w:hAnsi="Times New Roman" w:cs="Times New Roman"/>
        </w:rPr>
        <w:t xml:space="preserve">more uncertainty </w:t>
      </w:r>
      <w:r>
        <w:rPr>
          <w:rFonts w:ascii="Times New Roman" w:hAnsi="Times New Roman" w:cs="Times New Roman"/>
        </w:rPr>
        <w:t xml:space="preserve">at a </w:t>
      </w:r>
      <w:r w:rsidRPr="0078608B">
        <w:rPr>
          <w:rFonts w:ascii="Times New Roman" w:hAnsi="Times New Roman" w:cs="Times New Roman"/>
        </w:rPr>
        <w:t>time</w:t>
      </w:r>
      <w:r>
        <w:rPr>
          <w:rFonts w:ascii="Times New Roman" w:hAnsi="Times New Roman" w:cs="Times New Roman"/>
        </w:rPr>
        <w:t xml:space="preserve"> when </w:t>
      </w:r>
      <w:r w:rsidR="005B67A3">
        <w:rPr>
          <w:rFonts w:ascii="Times New Roman" w:hAnsi="Times New Roman" w:cs="Times New Roman"/>
        </w:rPr>
        <w:t>Cap-and-Trade</w:t>
      </w:r>
      <w:r>
        <w:rPr>
          <w:rFonts w:ascii="Times New Roman" w:hAnsi="Times New Roman" w:cs="Times New Roman"/>
        </w:rPr>
        <w:t xml:space="preserve"> program </w:t>
      </w:r>
      <w:r w:rsidRPr="0078608B">
        <w:rPr>
          <w:rFonts w:ascii="Times New Roman" w:hAnsi="Times New Roman" w:cs="Times New Roman"/>
        </w:rPr>
        <w:t xml:space="preserve">stakeholders </w:t>
      </w:r>
      <w:r>
        <w:rPr>
          <w:rFonts w:ascii="Times New Roman" w:hAnsi="Times New Roman" w:cs="Times New Roman"/>
        </w:rPr>
        <w:t>need greater</w:t>
      </w:r>
      <w:r w:rsidRPr="0078608B">
        <w:rPr>
          <w:rFonts w:ascii="Times New Roman" w:hAnsi="Times New Roman" w:cs="Times New Roman"/>
        </w:rPr>
        <w:t xml:space="preserve"> </w:t>
      </w:r>
      <w:r>
        <w:rPr>
          <w:rFonts w:ascii="Times New Roman" w:hAnsi="Times New Roman" w:cs="Times New Roman"/>
        </w:rPr>
        <w:t xml:space="preserve">long term </w:t>
      </w:r>
      <w:r w:rsidRPr="0078608B">
        <w:rPr>
          <w:rFonts w:ascii="Times New Roman" w:hAnsi="Times New Roman" w:cs="Times New Roman"/>
        </w:rPr>
        <w:t>certainty.</w:t>
      </w:r>
      <w:r>
        <w:rPr>
          <w:rFonts w:ascii="Times New Roman" w:hAnsi="Times New Roman" w:cs="Times New Roman"/>
        </w:rPr>
        <w:t xml:space="preserve">  </w:t>
      </w:r>
    </w:p>
    <w:p w:rsidR="00FF7CD8" w:rsidRDefault="005B67A3" w:rsidP="00FF7CD8">
      <w:pPr>
        <w:pStyle w:val="ListParagraph"/>
        <w:jc w:val="both"/>
        <w:rPr>
          <w:rFonts w:ascii="Times New Roman" w:hAnsi="Times New Roman" w:cs="Times New Roman"/>
          <w:b/>
        </w:rPr>
      </w:pPr>
      <w:r>
        <w:rPr>
          <w:rFonts w:ascii="Times New Roman" w:hAnsi="Times New Roman" w:cs="Times New Roman"/>
          <w:b/>
        </w:rPr>
        <w:br/>
      </w:r>
      <w:r>
        <w:rPr>
          <w:rFonts w:ascii="Times New Roman" w:hAnsi="Times New Roman" w:cs="Times New Roman"/>
          <w:b/>
        </w:rPr>
        <w:br/>
      </w:r>
      <w:r>
        <w:rPr>
          <w:rFonts w:ascii="Times New Roman" w:hAnsi="Times New Roman" w:cs="Times New Roman"/>
          <w:b/>
        </w:rPr>
        <w:br/>
      </w:r>
    </w:p>
    <w:p w:rsidR="002E3F79" w:rsidRDefault="002E3F79" w:rsidP="002E3F79">
      <w:pPr>
        <w:pStyle w:val="ListParagraph"/>
        <w:numPr>
          <w:ilvl w:val="0"/>
          <w:numId w:val="14"/>
        </w:numPr>
        <w:jc w:val="both"/>
        <w:rPr>
          <w:rFonts w:ascii="Times New Roman" w:hAnsi="Times New Roman" w:cs="Times New Roman"/>
          <w:b/>
        </w:rPr>
      </w:pPr>
      <w:r>
        <w:rPr>
          <w:rFonts w:ascii="Times New Roman" w:hAnsi="Times New Roman" w:cs="Times New Roman"/>
          <w:b/>
        </w:rPr>
        <w:lastRenderedPageBreak/>
        <w:t xml:space="preserve">Price Impact </w:t>
      </w:r>
      <w:r w:rsidRPr="002E3F79">
        <w:rPr>
          <w:rFonts w:ascii="Times New Roman" w:hAnsi="Times New Roman" w:cs="Times New Roman"/>
          <w:b/>
        </w:rPr>
        <w:t>of Allocation Methodology</w:t>
      </w:r>
    </w:p>
    <w:p w:rsidR="002E3F79" w:rsidRDefault="002E3F79" w:rsidP="002E3F79">
      <w:pPr>
        <w:pStyle w:val="ListParagraph"/>
        <w:jc w:val="both"/>
        <w:rPr>
          <w:rFonts w:ascii="Times New Roman" w:hAnsi="Times New Roman" w:cs="Times New Roman"/>
          <w:b/>
        </w:rPr>
      </w:pPr>
    </w:p>
    <w:p w:rsidR="002E3F79" w:rsidRPr="005F0BE1" w:rsidRDefault="002C1460" w:rsidP="002E3F79">
      <w:pPr>
        <w:pStyle w:val="ListParagraph"/>
        <w:jc w:val="both"/>
        <w:rPr>
          <w:rFonts w:ascii="Times New Roman" w:hAnsi="Times New Roman" w:cs="Times New Roman"/>
        </w:rPr>
      </w:pPr>
      <w:r w:rsidRPr="005F0BE1">
        <w:rPr>
          <w:rFonts w:ascii="Times New Roman" w:hAnsi="Times New Roman" w:cs="Times New Roman"/>
        </w:rPr>
        <w:t xml:space="preserve">ARB and some stakeholders </w:t>
      </w:r>
      <w:r w:rsidR="002E3F79" w:rsidRPr="005F0BE1">
        <w:rPr>
          <w:rFonts w:ascii="Times New Roman" w:hAnsi="Times New Roman" w:cs="Times New Roman"/>
        </w:rPr>
        <w:t>seem to belie</w:t>
      </w:r>
      <w:r w:rsidRPr="005F0BE1">
        <w:rPr>
          <w:rFonts w:ascii="Times New Roman" w:hAnsi="Times New Roman" w:cs="Times New Roman"/>
        </w:rPr>
        <w:t>ve</w:t>
      </w:r>
      <w:r w:rsidR="002E3F79" w:rsidRPr="005F0BE1">
        <w:rPr>
          <w:rFonts w:ascii="Times New Roman" w:hAnsi="Times New Roman" w:cs="Times New Roman"/>
        </w:rPr>
        <w:t xml:space="preserve"> that the current approach to industry allocation has served to drive allowance prices downward.  However, ARB still fail</w:t>
      </w:r>
      <w:r w:rsidR="007E3925">
        <w:rPr>
          <w:rFonts w:ascii="Times New Roman" w:hAnsi="Times New Roman" w:cs="Times New Roman"/>
        </w:rPr>
        <w:t>s</w:t>
      </w:r>
      <w:r w:rsidR="002E3F79" w:rsidRPr="005F0BE1">
        <w:rPr>
          <w:rFonts w:ascii="Times New Roman" w:hAnsi="Times New Roman" w:cs="Times New Roman"/>
        </w:rPr>
        <w:t xml:space="preserve"> to acknowledge the fact that more than 80% of the emissions reductions anticipated under the current Scoping Plan depend on complementary policies.  It bears repeating that sector-specific regulatory programs dampen the </w:t>
      </w:r>
      <w:r w:rsidR="005B67A3">
        <w:rPr>
          <w:rFonts w:ascii="Times New Roman" w:hAnsi="Times New Roman" w:cs="Times New Roman"/>
        </w:rPr>
        <w:t>Cap-and-Trade</w:t>
      </w:r>
      <w:r w:rsidR="002E3F79" w:rsidRPr="005F0BE1">
        <w:rPr>
          <w:rFonts w:ascii="Times New Roman" w:hAnsi="Times New Roman" w:cs="Times New Roman"/>
        </w:rPr>
        <w:t xml:space="preserve"> market.  </w:t>
      </w:r>
      <w:r w:rsidR="005F0BE1" w:rsidRPr="005F0BE1">
        <w:rPr>
          <w:rFonts w:ascii="Times New Roman" w:hAnsi="Times New Roman" w:cs="Times New Roman"/>
        </w:rPr>
        <w:t xml:space="preserve">Overlapping direct measure policies </w:t>
      </w:r>
      <w:r w:rsidR="005F0BE1">
        <w:rPr>
          <w:rFonts w:ascii="Times New Roman" w:hAnsi="Times New Roman" w:cs="Times New Roman"/>
        </w:rPr>
        <w:t xml:space="preserve">on </w:t>
      </w:r>
      <w:r w:rsidR="00FA2D25">
        <w:rPr>
          <w:rFonts w:ascii="Times New Roman" w:hAnsi="Times New Roman" w:cs="Times New Roman"/>
        </w:rPr>
        <w:t>some</w:t>
      </w:r>
      <w:r w:rsidR="005F0BE1">
        <w:rPr>
          <w:rFonts w:ascii="Times New Roman" w:hAnsi="Times New Roman" w:cs="Times New Roman"/>
        </w:rPr>
        <w:t xml:space="preserve"> </w:t>
      </w:r>
      <w:r w:rsidR="005B67A3">
        <w:rPr>
          <w:rFonts w:ascii="Times New Roman" w:hAnsi="Times New Roman" w:cs="Times New Roman"/>
        </w:rPr>
        <w:t>Cap-and-Trade</w:t>
      </w:r>
      <w:r w:rsidR="00FA2D25">
        <w:rPr>
          <w:rFonts w:ascii="Times New Roman" w:hAnsi="Times New Roman" w:cs="Times New Roman"/>
        </w:rPr>
        <w:t>-</w:t>
      </w:r>
      <w:r w:rsidR="005F0BE1">
        <w:rPr>
          <w:rFonts w:ascii="Times New Roman" w:hAnsi="Times New Roman" w:cs="Times New Roman"/>
        </w:rPr>
        <w:t xml:space="preserve">regulated sources reduces </w:t>
      </w:r>
      <w:r w:rsidR="005F0BE1" w:rsidRPr="005F0BE1">
        <w:rPr>
          <w:rFonts w:ascii="Times New Roman" w:hAnsi="Times New Roman" w:cs="Times New Roman"/>
        </w:rPr>
        <w:t xml:space="preserve">pressure on other capped </w:t>
      </w:r>
      <w:r w:rsidR="00FA2D25">
        <w:rPr>
          <w:rFonts w:ascii="Times New Roman" w:hAnsi="Times New Roman" w:cs="Times New Roman"/>
        </w:rPr>
        <w:t>sources</w:t>
      </w:r>
      <w:r w:rsidR="005F0BE1" w:rsidRPr="005F0BE1">
        <w:rPr>
          <w:rFonts w:ascii="Times New Roman" w:hAnsi="Times New Roman" w:cs="Times New Roman"/>
        </w:rPr>
        <w:t xml:space="preserve"> </w:t>
      </w:r>
      <w:r w:rsidR="005F0BE1">
        <w:rPr>
          <w:rFonts w:ascii="Times New Roman" w:hAnsi="Times New Roman" w:cs="Times New Roman"/>
        </w:rPr>
        <w:t xml:space="preserve">such that </w:t>
      </w:r>
      <w:r w:rsidR="005F0BE1" w:rsidRPr="005F0BE1">
        <w:rPr>
          <w:rFonts w:ascii="Times New Roman" w:hAnsi="Times New Roman" w:cs="Times New Roman"/>
        </w:rPr>
        <w:t xml:space="preserve">there </w:t>
      </w:r>
      <w:r w:rsidR="005F0BE1">
        <w:rPr>
          <w:rFonts w:ascii="Times New Roman" w:hAnsi="Times New Roman" w:cs="Times New Roman"/>
        </w:rPr>
        <w:t xml:space="preserve">is a larger </w:t>
      </w:r>
      <w:r w:rsidR="005F0BE1" w:rsidRPr="005F0BE1">
        <w:rPr>
          <w:rFonts w:ascii="Times New Roman" w:hAnsi="Times New Roman" w:cs="Times New Roman"/>
        </w:rPr>
        <w:t xml:space="preserve">surplus </w:t>
      </w:r>
      <w:r w:rsidR="005F0BE1">
        <w:rPr>
          <w:rFonts w:ascii="Times New Roman" w:hAnsi="Times New Roman" w:cs="Times New Roman"/>
        </w:rPr>
        <w:t xml:space="preserve">of </w:t>
      </w:r>
      <w:r w:rsidR="005B67A3">
        <w:rPr>
          <w:rFonts w:ascii="Times New Roman" w:hAnsi="Times New Roman" w:cs="Times New Roman"/>
        </w:rPr>
        <w:t>Cap-and-Trade</w:t>
      </w:r>
      <w:r w:rsidR="005F0BE1" w:rsidRPr="005F0BE1">
        <w:rPr>
          <w:rFonts w:ascii="Times New Roman" w:hAnsi="Times New Roman" w:cs="Times New Roman"/>
        </w:rPr>
        <w:t xml:space="preserve"> allowances</w:t>
      </w:r>
      <w:r w:rsidR="005F0BE1">
        <w:rPr>
          <w:rFonts w:ascii="Times New Roman" w:hAnsi="Times New Roman" w:cs="Times New Roman"/>
        </w:rPr>
        <w:t xml:space="preserve">, which in turn suppresses allowance prices.  This strategy only serves to </w:t>
      </w:r>
      <w:r w:rsidR="005F0BE1" w:rsidRPr="005F0BE1">
        <w:rPr>
          <w:rFonts w:ascii="Times New Roman" w:hAnsi="Times New Roman" w:cs="Times New Roman"/>
        </w:rPr>
        <w:t xml:space="preserve">increase </w:t>
      </w:r>
      <w:r w:rsidR="005F0BE1">
        <w:rPr>
          <w:rFonts w:ascii="Times New Roman" w:hAnsi="Times New Roman" w:cs="Times New Roman"/>
        </w:rPr>
        <w:t xml:space="preserve">total program costs and </w:t>
      </w:r>
      <w:r w:rsidR="005F0BE1" w:rsidRPr="005F0BE1">
        <w:rPr>
          <w:rFonts w:ascii="Times New Roman" w:hAnsi="Times New Roman" w:cs="Times New Roman"/>
        </w:rPr>
        <w:t>shift</w:t>
      </w:r>
      <w:r w:rsidR="00E15769">
        <w:rPr>
          <w:rFonts w:ascii="Times New Roman" w:hAnsi="Times New Roman" w:cs="Times New Roman"/>
        </w:rPr>
        <w:t>s</w:t>
      </w:r>
      <w:r w:rsidR="005F0BE1" w:rsidRPr="005F0BE1">
        <w:rPr>
          <w:rFonts w:ascii="Times New Roman" w:hAnsi="Times New Roman" w:cs="Times New Roman"/>
        </w:rPr>
        <w:t xml:space="preserve"> emissions from one sector to another</w:t>
      </w:r>
      <w:r w:rsidR="005F0BE1">
        <w:rPr>
          <w:rFonts w:ascii="Times New Roman" w:hAnsi="Times New Roman" w:cs="Times New Roman"/>
        </w:rPr>
        <w:t xml:space="preserve">. </w:t>
      </w:r>
      <w:r w:rsidR="005F0BE1" w:rsidRPr="005F0BE1">
        <w:rPr>
          <w:rFonts w:ascii="Times New Roman" w:hAnsi="Times New Roman" w:cs="Times New Roman"/>
        </w:rPr>
        <w:t xml:space="preserve"> </w:t>
      </w:r>
      <w:r w:rsidR="002E3F79" w:rsidRPr="005F0BE1">
        <w:rPr>
          <w:rFonts w:ascii="Times New Roman" w:hAnsi="Times New Roman" w:cs="Times New Roman"/>
        </w:rPr>
        <w:t xml:space="preserve">Doubling down on </w:t>
      </w:r>
      <w:r w:rsidR="005F0BE1">
        <w:rPr>
          <w:rFonts w:ascii="Times New Roman" w:hAnsi="Times New Roman" w:cs="Times New Roman"/>
        </w:rPr>
        <w:t xml:space="preserve">direct control measures </w:t>
      </w:r>
      <w:r w:rsidR="002E3F79" w:rsidRPr="005F0BE1">
        <w:rPr>
          <w:rFonts w:ascii="Times New Roman" w:hAnsi="Times New Roman" w:cs="Times New Roman"/>
        </w:rPr>
        <w:t>for post-2020 emissions reductions, as is currently being advocated by some stakeholders, will continue to artificially suppress allowance prices, regardless of how ARB allocates allowances.</w:t>
      </w:r>
    </w:p>
    <w:p w:rsidR="00B01A7C" w:rsidRPr="002E3F79" w:rsidRDefault="00B01A7C" w:rsidP="002E3F79">
      <w:pPr>
        <w:pStyle w:val="ListParagraph"/>
        <w:jc w:val="both"/>
        <w:rPr>
          <w:rFonts w:ascii="Times New Roman" w:hAnsi="Times New Roman" w:cs="Times New Roman"/>
          <w:b/>
        </w:rPr>
      </w:pPr>
    </w:p>
    <w:p w:rsidR="002E3F79" w:rsidRDefault="002E3F79" w:rsidP="00892229">
      <w:pPr>
        <w:pStyle w:val="ListParagraph"/>
        <w:numPr>
          <w:ilvl w:val="0"/>
          <w:numId w:val="14"/>
        </w:numPr>
        <w:jc w:val="both"/>
        <w:rPr>
          <w:rFonts w:ascii="Times New Roman" w:hAnsi="Times New Roman" w:cs="Times New Roman"/>
          <w:b/>
        </w:rPr>
      </w:pPr>
      <w:r>
        <w:rPr>
          <w:rFonts w:ascii="Times New Roman" w:hAnsi="Times New Roman" w:cs="Times New Roman"/>
          <w:b/>
        </w:rPr>
        <w:t>Carbon Price Differential</w:t>
      </w:r>
    </w:p>
    <w:p w:rsidR="002E3F79" w:rsidRDefault="002E3F79" w:rsidP="002E3F79">
      <w:pPr>
        <w:ind w:left="720"/>
        <w:jc w:val="both"/>
        <w:rPr>
          <w:rFonts w:ascii="Times New Roman" w:hAnsi="Times New Roman" w:cs="Times New Roman"/>
        </w:rPr>
      </w:pPr>
      <w:r w:rsidRPr="003269D7">
        <w:rPr>
          <w:rFonts w:ascii="Times New Roman" w:hAnsi="Times New Roman" w:cs="Times New Roman"/>
        </w:rPr>
        <w:t xml:space="preserve">ARB has stated that leakage potential decreases when other jurisdictions </w:t>
      </w:r>
      <w:r w:rsidRPr="003269D7">
        <w:rPr>
          <w:rFonts w:ascii="Times New Roman" w:hAnsi="Times New Roman" w:cs="Times New Roman"/>
          <w:i/>
          <w:u w:val="single"/>
        </w:rPr>
        <w:t>implement</w:t>
      </w:r>
      <w:r w:rsidRPr="003269D7">
        <w:rPr>
          <w:rFonts w:ascii="Times New Roman" w:hAnsi="Times New Roman" w:cs="Times New Roman"/>
        </w:rPr>
        <w:t xml:space="preserve"> a carbon price for the same sectors regulated by California.  We agree</w:t>
      </w:r>
      <w:r>
        <w:rPr>
          <w:rFonts w:ascii="Times New Roman" w:hAnsi="Times New Roman" w:cs="Times New Roman"/>
        </w:rPr>
        <w:t>, but remind ARB that the status of carbon regulation</w:t>
      </w:r>
      <w:r w:rsidR="00E15769">
        <w:rPr>
          <w:rFonts w:ascii="Times New Roman" w:hAnsi="Times New Roman" w:cs="Times New Roman"/>
        </w:rPr>
        <w:t>s</w:t>
      </w:r>
      <w:r>
        <w:rPr>
          <w:rFonts w:ascii="Times New Roman" w:hAnsi="Times New Roman" w:cs="Times New Roman"/>
        </w:rPr>
        <w:t xml:space="preserve"> in other jurisdictions has not </w:t>
      </w:r>
      <w:r w:rsidRPr="003269D7">
        <w:rPr>
          <w:rFonts w:ascii="Times New Roman" w:hAnsi="Times New Roman" w:cs="Times New Roman"/>
        </w:rPr>
        <w:t xml:space="preserve">changed meaningfully since </w:t>
      </w:r>
      <w:r>
        <w:rPr>
          <w:rFonts w:ascii="Times New Roman" w:hAnsi="Times New Roman" w:cs="Times New Roman"/>
        </w:rPr>
        <w:t xml:space="preserve">the last round of </w:t>
      </w:r>
      <w:r w:rsidR="005B67A3">
        <w:rPr>
          <w:rFonts w:ascii="Times New Roman" w:hAnsi="Times New Roman" w:cs="Times New Roman"/>
        </w:rPr>
        <w:t>Cap-and-Trade</w:t>
      </w:r>
      <w:r>
        <w:rPr>
          <w:rFonts w:ascii="Times New Roman" w:hAnsi="Times New Roman" w:cs="Times New Roman"/>
        </w:rPr>
        <w:t xml:space="preserve"> amendments in 2014.  With the exceptions of </w:t>
      </w:r>
      <w:r w:rsidRPr="00BE7177">
        <w:rPr>
          <w:rFonts w:ascii="Times New Roman" w:hAnsi="Times New Roman" w:cs="Times New Roman"/>
        </w:rPr>
        <w:t>Quebec (2014)</w:t>
      </w:r>
      <w:r w:rsidR="009041C6">
        <w:rPr>
          <w:rFonts w:ascii="Times New Roman" w:hAnsi="Times New Roman" w:cs="Times New Roman"/>
        </w:rPr>
        <w:t>,</w:t>
      </w:r>
      <w:r w:rsidRPr="00BE7177">
        <w:rPr>
          <w:rFonts w:ascii="Times New Roman" w:hAnsi="Times New Roman" w:cs="Times New Roman"/>
        </w:rPr>
        <w:t xml:space="preserve"> South Korea (2015)</w:t>
      </w:r>
      <w:r w:rsidR="009041C6">
        <w:rPr>
          <w:rFonts w:ascii="Times New Roman" w:hAnsi="Times New Roman" w:cs="Times New Roman"/>
        </w:rPr>
        <w:t xml:space="preserve"> and Ontario (anticipated in 2017), all</w:t>
      </w:r>
      <w:r>
        <w:rPr>
          <w:rFonts w:ascii="Times New Roman" w:hAnsi="Times New Roman" w:cs="Times New Roman"/>
        </w:rPr>
        <w:t xml:space="preserve"> </w:t>
      </w:r>
      <w:r w:rsidRPr="00BE7177">
        <w:rPr>
          <w:rFonts w:ascii="Times New Roman" w:hAnsi="Times New Roman" w:cs="Times New Roman"/>
        </w:rPr>
        <w:t>small markets</w:t>
      </w:r>
      <w:r w:rsidR="00E0323F">
        <w:rPr>
          <w:rFonts w:ascii="Times New Roman" w:hAnsi="Times New Roman" w:cs="Times New Roman"/>
        </w:rPr>
        <w:t xml:space="preserve"> that collectively represent about </w:t>
      </w:r>
      <w:r w:rsidR="009041C6">
        <w:rPr>
          <w:rFonts w:ascii="Times New Roman" w:hAnsi="Times New Roman" w:cs="Times New Roman"/>
        </w:rPr>
        <w:t>1</w:t>
      </w:r>
      <w:r w:rsidR="00E0323F">
        <w:rPr>
          <w:rFonts w:ascii="Times New Roman" w:hAnsi="Times New Roman" w:cs="Times New Roman"/>
        </w:rPr>
        <w:t>% of global GHG emissions</w:t>
      </w:r>
      <w:r>
        <w:rPr>
          <w:rFonts w:ascii="Times New Roman" w:hAnsi="Times New Roman" w:cs="Times New Roman"/>
        </w:rPr>
        <w:t xml:space="preserve">, </w:t>
      </w:r>
      <w:r w:rsidR="005B67A3">
        <w:rPr>
          <w:rFonts w:ascii="Times New Roman" w:hAnsi="Times New Roman" w:cs="Times New Roman"/>
        </w:rPr>
        <w:t>Cap-and-Trade</w:t>
      </w:r>
      <w:r>
        <w:rPr>
          <w:rFonts w:ascii="Times New Roman" w:hAnsi="Times New Roman" w:cs="Times New Roman"/>
        </w:rPr>
        <w:t xml:space="preserve"> programs in other jurisdictions are </w:t>
      </w:r>
      <w:r w:rsidRPr="00074980">
        <w:rPr>
          <w:rFonts w:ascii="Times New Roman" w:hAnsi="Times New Roman" w:cs="Times New Roman"/>
        </w:rPr>
        <w:t>either proposed or conceptual</w:t>
      </w:r>
      <w:r>
        <w:rPr>
          <w:rFonts w:ascii="Times New Roman" w:hAnsi="Times New Roman" w:cs="Times New Roman"/>
        </w:rPr>
        <w:t xml:space="preserve"> and implementation is not imminent.  I</w:t>
      </w:r>
      <w:r w:rsidRPr="00074980">
        <w:rPr>
          <w:rFonts w:ascii="Times New Roman" w:hAnsi="Times New Roman" w:cs="Times New Roman"/>
        </w:rPr>
        <w:t>n particular, the Paris accord</w:t>
      </w:r>
      <w:r>
        <w:rPr>
          <w:rFonts w:ascii="Times New Roman" w:hAnsi="Times New Roman" w:cs="Times New Roman"/>
        </w:rPr>
        <w:t>s</w:t>
      </w:r>
      <w:r w:rsidRPr="00074980">
        <w:rPr>
          <w:rFonts w:ascii="Times New Roman" w:hAnsi="Times New Roman" w:cs="Times New Roman"/>
        </w:rPr>
        <w:t xml:space="preserve"> </w:t>
      </w:r>
      <w:r>
        <w:rPr>
          <w:rFonts w:ascii="Times New Roman" w:hAnsi="Times New Roman" w:cs="Times New Roman"/>
        </w:rPr>
        <w:t>are</w:t>
      </w:r>
      <w:r w:rsidRPr="00074980">
        <w:rPr>
          <w:rFonts w:ascii="Times New Roman" w:hAnsi="Times New Roman" w:cs="Times New Roman"/>
        </w:rPr>
        <w:t xml:space="preserve"> non-specific and non-binding.</w:t>
      </w:r>
    </w:p>
    <w:p w:rsidR="00591C6A" w:rsidRPr="00CB6504" w:rsidRDefault="002E3F79" w:rsidP="00CB6504">
      <w:pPr>
        <w:ind w:left="720"/>
        <w:jc w:val="both"/>
        <w:rPr>
          <w:rFonts w:ascii="Times New Roman" w:hAnsi="Times New Roman" w:cs="Times New Roman"/>
        </w:rPr>
      </w:pPr>
      <w:r>
        <w:rPr>
          <w:rFonts w:ascii="Times New Roman" w:hAnsi="Times New Roman" w:cs="Times New Roman"/>
        </w:rPr>
        <w:t xml:space="preserve">Moreover, the carbon price differential </w:t>
      </w:r>
      <w:r w:rsidRPr="00BE7177">
        <w:rPr>
          <w:rFonts w:ascii="Times New Roman" w:hAnsi="Times New Roman" w:cs="Times New Roman"/>
        </w:rPr>
        <w:t>matter</w:t>
      </w:r>
      <w:r>
        <w:rPr>
          <w:rFonts w:ascii="Times New Roman" w:hAnsi="Times New Roman" w:cs="Times New Roman"/>
        </w:rPr>
        <w:t xml:space="preserve">s.  To prevent emissions and economic leakage and truly level the playing field between California and its “trading partners”, carbon prices </w:t>
      </w:r>
      <w:r w:rsidRPr="00BE7177">
        <w:rPr>
          <w:rFonts w:ascii="Times New Roman" w:hAnsi="Times New Roman" w:cs="Times New Roman"/>
        </w:rPr>
        <w:t>must be equivalent</w:t>
      </w:r>
      <w:r>
        <w:rPr>
          <w:rFonts w:ascii="Times New Roman" w:hAnsi="Times New Roman" w:cs="Times New Roman"/>
        </w:rPr>
        <w:t xml:space="preserve"> across jurisdictions</w:t>
      </w:r>
      <w:r w:rsidRPr="00BE7177">
        <w:rPr>
          <w:rFonts w:ascii="Times New Roman" w:hAnsi="Times New Roman" w:cs="Times New Roman"/>
        </w:rPr>
        <w:t>.</w:t>
      </w:r>
      <w:r>
        <w:rPr>
          <w:rFonts w:ascii="Times New Roman" w:hAnsi="Times New Roman" w:cs="Times New Roman"/>
        </w:rPr>
        <w:t xml:space="preserve"> </w:t>
      </w:r>
      <w:r w:rsidRPr="00BE7177">
        <w:rPr>
          <w:rFonts w:ascii="Times New Roman" w:hAnsi="Times New Roman" w:cs="Times New Roman"/>
        </w:rPr>
        <w:t>A</w:t>
      </w:r>
      <w:r>
        <w:rPr>
          <w:rFonts w:ascii="Times New Roman" w:hAnsi="Times New Roman" w:cs="Times New Roman"/>
        </w:rPr>
        <w:t>t</w:t>
      </w:r>
      <w:r w:rsidRPr="00BE7177">
        <w:rPr>
          <w:rFonts w:ascii="Times New Roman" w:hAnsi="Times New Roman" w:cs="Times New Roman"/>
        </w:rPr>
        <w:t xml:space="preserve"> this point</w:t>
      </w:r>
      <w:r>
        <w:rPr>
          <w:rFonts w:ascii="Times New Roman" w:hAnsi="Times New Roman" w:cs="Times New Roman"/>
        </w:rPr>
        <w:t xml:space="preserve"> in time</w:t>
      </w:r>
      <w:r w:rsidRPr="00BE7177">
        <w:rPr>
          <w:rFonts w:ascii="Times New Roman" w:hAnsi="Times New Roman" w:cs="Times New Roman"/>
        </w:rPr>
        <w:t xml:space="preserve">, countries and states that </w:t>
      </w:r>
      <w:r>
        <w:rPr>
          <w:rFonts w:ascii="Times New Roman" w:hAnsi="Times New Roman" w:cs="Times New Roman"/>
        </w:rPr>
        <w:t xml:space="preserve">trade with California </w:t>
      </w:r>
      <w:r w:rsidRPr="00BE7177">
        <w:rPr>
          <w:rFonts w:ascii="Times New Roman" w:hAnsi="Times New Roman" w:cs="Times New Roman"/>
        </w:rPr>
        <w:t xml:space="preserve">do not have </w:t>
      </w:r>
      <w:r>
        <w:rPr>
          <w:rFonts w:ascii="Times New Roman" w:hAnsi="Times New Roman" w:cs="Times New Roman"/>
        </w:rPr>
        <w:t xml:space="preserve">equivalent </w:t>
      </w:r>
      <w:r w:rsidRPr="00BE7177">
        <w:rPr>
          <w:rFonts w:ascii="Times New Roman" w:hAnsi="Times New Roman" w:cs="Times New Roman"/>
        </w:rPr>
        <w:t>carb</w:t>
      </w:r>
      <w:r>
        <w:rPr>
          <w:rFonts w:ascii="Times New Roman" w:hAnsi="Times New Roman" w:cs="Times New Roman"/>
        </w:rPr>
        <w:t>on prices</w:t>
      </w:r>
      <w:r w:rsidR="00EE54A1">
        <w:rPr>
          <w:rFonts w:ascii="Times New Roman" w:hAnsi="Times New Roman" w:cs="Times New Roman"/>
        </w:rPr>
        <w:t>, and this disparity creates additional economic incentive to increase imports of globally traded commodities like crude oil and refined products</w:t>
      </w:r>
      <w:r>
        <w:rPr>
          <w:rFonts w:ascii="Times New Roman" w:hAnsi="Times New Roman" w:cs="Times New Roman"/>
        </w:rPr>
        <w:t>.</w:t>
      </w:r>
      <w:r w:rsidR="00EE54A1">
        <w:rPr>
          <w:rFonts w:ascii="Times New Roman" w:hAnsi="Times New Roman" w:cs="Times New Roman"/>
        </w:rPr>
        <w:t xml:space="preserve">  </w:t>
      </w:r>
      <w:r w:rsidR="00EE54A1" w:rsidRPr="00EE54A1">
        <w:rPr>
          <w:rFonts w:ascii="Times New Roman" w:hAnsi="Times New Roman" w:cs="Times New Roman"/>
        </w:rPr>
        <w:t xml:space="preserve">Therefore, </w:t>
      </w:r>
      <w:r w:rsidR="00EE54A1" w:rsidRPr="00EE54A1">
        <w:rPr>
          <w:rFonts w:ascii="Times New Roman" w:hAnsi="Times New Roman" w:cs="Times New Roman"/>
          <w:b/>
          <w:i/>
          <w:u w:val="single"/>
        </w:rPr>
        <w:t>a</w:t>
      </w:r>
      <w:r w:rsidR="00EE54A1" w:rsidRPr="00EE54A1">
        <w:rPr>
          <w:rFonts w:ascii="TimesNewRomanPSMT" w:hAnsi="TimesNewRomanPSMT"/>
          <w:b/>
          <w:i/>
          <w:color w:val="000000"/>
          <w:sz w:val="23"/>
          <w:szCs w:val="23"/>
          <w:u w:val="single"/>
        </w:rPr>
        <w:t>ny</w:t>
      </w:r>
      <w:r w:rsidR="00EE54A1" w:rsidRPr="00EE54A1">
        <w:rPr>
          <w:rFonts w:ascii="TimesNewRomanPSMT" w:hAnsi="TimesNewRomanPSMT"/>
          <w:color w:val="000000"/>
          <w:sz w:val="23"/>
          <w:szCs w:val="23"/>
        </w:rPr>
        <w:t xml:space="preserve"> reduction in assistance factors will create added pressure for potential leakage of GHG emissions to other regions.</w:t>
      </w:r>
    </w:p>
    <w:p w:rsidR="008E4AB3" w:rsidRPr="008E4AB3" w:rsidRDefault="00591C6A" w:rsidP="00892229">
      <w:pPr>
        <w:pStyle w:val="ListParagraph"/>
        <w:numPr>
          <w:ilvl w:val="0"/>
          <w:numId w:val="14"/>
        </w:numPr>
        <w:jc w:val="both"/>
        <w:rPr>
          <w:rFonts w:ascii="Times New Roman" w:hAnsi="Times New Roman" w:cs="Times New Roman"/>
          <w:b/>
        </w:rPr>
      </w:pPr>
      <w:r>
        <w:rPr>
          <w:rFonts w:ascii="Times New Roman" w:hAnsi="Times New Roman" w:cs="Times New Roman"/>
          <w:b/>
        </w:rPr>
        <w:t xml:space="preserve">Technical </w:t>
      </w:r>
      <w:r w:rsidR="00E2075B">
        <w:rPr>
          <w:rFonts w:ascii="Times New Roman" w:hAnsi="Times New Roman" w:cs="Times New Roman"/>
          <w:b/>
        </w:rPr>
        <w:t xml:space="preserve">and Petroleum Sector-Specific </w:t>
      </w:r>
      <w:r w:rsidR="008E4AB3">
        <w:rPr>
          <w:rFonts w:ascii="Times New Roman" w:hAnsi="Times New Roman" w:cs="Times New Roman"/>
          <w:b/>
        </w:rPr>
        <w:t>Issues</w:t>
      </w:r>
    </w:p>
    <w:p w:rsidR="0050068E" w:rsidRPr="000A3C31" w:rsidRDefault="0050068E" w:rsidP="00892229">
      <w:pPr>
        <w:pStyle w:val="ListParagraph"/>
        <w:ind w:left="1440"/>
        <w:jc w:val="both"/>
        <w:rPr>
          <w:rFonts w:ascii="Times New Roman" w:hAnsi="Times New Roman" w:cs="Times New Roman"/>
          <w:highlight w:val="yellow"/>
        </w:rPr>
      </w:pPr>
    </w:p>
    <w:p w:rsidR="00092F53" w:rsidRDefault="00092F53" w:rsidP="00892229">
      <w:pPr>
        <w:pStyle w:val="ListParagraph"/>
        <w:numPr>
          <w:ilvl w:val="1"/>
          <w:numId w:val="21"/>
        </w:numPr>
        <w:jc w:val="both"/>
        <w:rPr>
          <w:rFonts w:ascii="Times New Roman" w:hAnsi="Times New Roman" w:cs="Times New Roman"/>
          <w:b/>
        </w:rPr>
      </w:pPr>
      <w:r>
        <w:rPr>
          <w:rFonts w:ascii="Times New Roman" w:hAnsi="Times New Roman" w:cs="Times New Roman"/>
          <w:b/>
        </w:rPr>
        <w:t xml:space="preserve">Proposed </w:t>
      </w:r>
      <w:r w:rsidR="00E2075B">
        <w:rPr>
          <w:rFonts w:ascii="Times New Roman" w:hAnsi="Times New Roman" w:cs="Times New Roman"/>
          <w:b/>
        </w:rPr>
        <w:t xml:space="preserve">Trade Exposure </w:t>
      </w:r>
      <w:r>
        <w:rPr>
          <w:rFonts w:ascii="Times New Roman" w:hAnsi="Times New Roman" w:cs="Times New Roman"/>
          <w:b/>
        </w:rPr>
        <w:t>Methodology</w:t>
      </w:r>
    </w:p>
    <w:p w:rsidR="00092F53" w:rsidRDefault="00092F53" w:rsidP="00E85AD0">
      <w:pPr>
        <w:pStyle w:val="ListParagraph"/>
        <w:ind w:left="1440"/>
        <w:jc w:val="both"/>
        <w:rPr>
          <w:rFonts w:ascii="Times New Roman" w:hAnsi="Times New Roman" w:cs="Times New Roman"/>
          <w:b/>
        </w:rPr>
      </w:pPr>
    </w:p>
    <w:p w:rsidR="00092F53" w:rsidRPr="00E85AD0" w:rsidRDefault="00092F53" w:rsidP="00E85AD0">
      <w:pPr>
        <w:pStyle w:val="ListParagraph"/>
        <w:ind w:left="1440"/>
        <w:jc w:val="both"/>
        <w:rPr>
          <w:rFonts w:ascii="Times New Roman" w:hAnsi="Times New Roman" w:cs="Times New Roman"/>
        </w:rPr>
      </w:pPr>
      <w:r w:rsidRPr="00E85AD0">
        <w:rPr>
          <w:rFonts w:ascii="Times New Roman" w:hAnsi="Times New Roman" w:cs="Times New Roman"/>
        </w:rPr>
        <w:t xml:space="preserve">ARB “corrected” obviously wrong </w:t>
      </w:r>
      <w:r w:rsidR="007061A5">
        <w:rPr>
          <w:rFonts w:ascii="Times New Roman" w:hAnsi="Times New Roman" w:cs="Times New Roman"/>
        </w:rPr>
        <w:t xml:space="preserve">positive </w:t>
      </w:r>
      <w:r w:rsidRPr="00E85AD0">
        <w:rPr>
          <w:rFonts w:ascii="Times New Roman" w:hAnsi="Times New Roman" w:cs="Times New Roman"/>
        </w:rPr>
        <w:t xml:space="preserve">values </w:t>
      </w:r>
      <w:r w:rsidR="007509FF">
        <w:rPr>
          <w:rFonts w:ascii="Times New Roman" w:hAnsi="Times New Roman" w:cs="Times New Roman"/>
        </w:rPr>
        <w:t xml:space="preserve">either </w:t>
      </w:r>
      <w:r w:rsidRPr="00E85AD0">
        <w:rPr>
          <w:rFonts w:ascii="Times New Roman" w:hAnsi="Times New Roman" w:cs="Times New Roman"/>
        </w:rPr>
        <w:t xml:space="preserve">by </w:t>
      </w:r>
      <w:r w:rsidR="007061A5">
        <w:rPr>
          <w:rFonts w:ascii="Times New Roman" w:hAnsi="Times New Roman" w:cs="Times New Roman"/>
        </w:rPr>
        <w:t>adjusting those values to zero</w:t>
      </w:r>
      <w:r w:rsidR="00E55D4A">
        <w:rPr>
          <w:rFonts w:ascii="Times New Roman" w:hAnsi="Times New Roman" w:cs="Times New Roman"/>
        </w:rPr>
        <w:t>,</w:t>
      </w:r>
      <w:r w:rsidRPr="00E85AD0">
        <w:rPr>
          <w:rFonts w:ascii="Times New Roman" w:hAnsi="Times New Roman" w:cs="Times New Roman"/>
        </w:rPr>
        <w:t xml:space="preserve"> </w:t>
      </w:r>
      <w:r w:rsidR="007061A5">
        <w:rPr>
          <w:rFonts w:ascii="Times New Roman" w:hAnsi="Times New Roman" w:cs="Times New Roman"/>
        </w:rPr>
        <w:t>or adjusting them downward “to match an average level of decrease in value added and/or output based on sectors with similar energy intensities”</w:t>
      </w:r>
      <w:r w:rsidR="007061A5">
        <w:rPr>
          <w:rStyle w:val="FootnoteReference"/>
          <w:rFonts w:ascii="Times New Roman" w:hAnsi="Times New Roman" w:cs="Times New Roman"/>
        </w:rPr>
        <w:footnoteReference w:id="10"/>
      </w:r>
      <w:r w:rsidR="007061A5">
        <w:rPr>
          <w:rFonts w:ascii="Times New Roman" w:hAnsi="Times New Roman" w:cs="Times New Roman"/>
        </w:rPr>
        <w:t xml:space="preserve">, </w:t>
      </w:r>
      <w:r w:rsidRPr="00E85AD0">
        <w:rPr>
          <w:rFonts w:ascii="Times New Roman" w:hAnsi="Times New Roman" w:cs="Times New Roman"/>
        </w:rPr>
        <w:t>rather than throwing out the spurious results</w:t>
      </w:r>
      <w:r w:rsidR="007E3925">
        <w:rPr>
          <w:rFonts w:ascii="Times New Roman" w:hAnsi="Times New Roman" w:cs="Times New Roman"/>
        </w:rPr>
        <w:t>.</w:t>
      </w:r>
      <w:r w:rsidR="007061A5">
        <w:rPr>
          <w:rStyle w:val="FootnoteReference"/>
          <w:rFonts w:ascii="Times New Roman" w:hAnsi="Times New Roman" w:cs="Times New Roman"/>
        </w:rPr>
        <w:footnoteReference w:id="11"/>
      </w:r>
      <w:r w:rsidRPr="00E85AD0">
        <w:rPr>
          <w:rFonts w:ascii="Times New Roman" w:hAnsi="Times New Roman" w:cs="Times New Roman"/>
        </w:rPr>
        <w:t xml:space="preserve">  Th</w:t>
      </w:r>
      <w:r w:rsidR="007061A5">
        <w:rPr>
          <w:rFonts w:ascii="Times New Roman" w:hAnsi="Times New Roman" w:cs="Times New Roman"/>
        </w:rPr>
        <w:t>e</w:t>
      </w:r>
      <w:r w:rsidRPr="00E85AD0">
        <w:rPr>
          <w:rFonts w:ascii="Times New Roman" w:hAnsi="Times New Roman" w:cs="Times New Roman"/>
        </w:rPr>
        <w:t>s</w:t>
      </w:r>
      <w:r w:rsidR="007061A5">
        <w:rPr>
          <w:rFonts w:ascii="Times New Roman" w:hAnsi="Times New Roman" w:cs="Times New Roman"/>
        </w:rPr>
        <w:t>e</w:t>
      </w:r>
      <w:r w:rsidRPr="00E85AD0">
        <w:rPr>
          <w:rFonts w:ascii="Times New Roman" w:hAnsi="Times New Roman" w:cs="Times New Roman"/>
        </w:rPr>
        <w:t xml:space="preserve"> decision</w:t>
      </w:r>
      <w:r w:rsidR="007061A5">
        <w:rPr>
          <w:rFonts w:ascii="Times New Roman" w:hAnsi="Times New Roman" w:cs="Times New Roman"/>
        </w:rPr>
        <w:t>s require further explanation and clarification.  On their face, they</w:t>
      </w:r>
      <w:r w:rsidRPr="00E85AD0">
        <w:rPr>
          <w:rFonts w:ascii="Times New Roman" w:hAnsi="Times New Roman" w:cs="Times New Roman"/>
        </w:rPr>
        <w:t xml:space="preserve"> call into question the equations/regressions derived using what is effectively manipulated data.</w:t>
      </w:r>
      <w:r w:rsidRPr="007061A5">
        <w:rPr>
          <w:rFonts w:ascii="Times New Roman" w:hAnsi="Times New Roman" w:cs="Times New Roman"/>
        </w:rPr>
        <w:t xml:space="preserve">  </w:t>
      </w:r>
      <w:r w:rsidR="007061A5" w:rsidRPr="007061A5">
        <w:rPr>
          <w:rFonts w:ascii="Times New Roman" w:hAnsi="Times New Roman" w:cs="Times New Roman"/>
        </w:rPr>
        <w:t xml:space="preserve">The fact that the results contain obviously wrong positive </w:t>
      </w:r>
      <w:r w:rsidR="007061A5" w:rsidRPr="007061A5">
        <w:rPr>
          <w:rFonts w:ascii="Times New Roman" w:hAnsi="Times New Roman" w:cs="Times New Roman"/>
        </w:rPr>
        <w:lastRenderedPageBreak/>
        <w:t xml:space="preserve">values also calls into question the accuracy of the rest of the results.  </w:t>
      </w:r>
      <w:r w:rsidRPr="00E85AD0">
        <w:rPr>
          <w:rFonts w:ascii="Times New Roman" w:hAnsi="Times New Roman" w:cs="Times New Roman"/>
        </w:rPr>
        <w:t>ARB staff acknowledged the unreliability of the data during the October 21 workshop by stating on slide 30 that data “smoothing” was recommended by the UC Berkeley researche</w:t>
      </w:r>
      <w:r w:rsidR="00E85AD0" w:rsidRPr="00E85AD0">
        <w:rPr>
          <w:rFonts w:ascii="Times New Roman" w:hAnsi="Times New Roman" w:cs="Times New Roman"/>
        </w:rPr>
        <w:t>r</w:t>
      </w:r>
      <w:r w:rsidRPr="00E85AD0">
        <w:rPr>
          <w:rFonts w:ascii="Times New Roman" w:hAnsi="Times New Roman" w:cs="Times New Roman"/>
        </w:rPr>
        <w:t xml:space="preserve">s.  Moreover, commenters stated that </w:t>
      </w:r>
      <w:r w:rsidR="00E85AD0" w:rsidRPr="00E85AD0">
        <w:rPr>
          <w:rFonts w:ascii="Times New Roman" w:hAnsi="Times New Roman" w:cs="Times New Roman"/>
        </w:rPr>
        <w:t>this “smoothing” only normalized the balance of the data.  It did not fill or otherwise address data gaps and limitations.  Using t</w:t>
      </w:r>
      <w:r w:rsidRPr="00E85AD0">
        <w:rPr>
          <w:rFonts w:ascii="Times New Roman" w:hAnsi="Times New Roman" w:cs="Times New Roman"/>
        </w:rPr>
        <w:t xml:space="preserve">his data </w:t>
      </w:r>
      <w:r w:rsidR="00E85AD0" w:rsidRPr="00E85AD0">
        <w:rPr>
          <w:rFonts w:ascii="Times New Roman" w:hAnsi="Times New Roman" w:cs="Times New Roman"/>
        </w:rPr>
        <w:t xml:space="preserve">as the </w:t>
      </w:r>
      <w:r w:rsidRPr="00E85AD0">
        <w:rPr>
          <w:rFonts w:ascii="Times New Roman" w:hAnsi="Times New Roman" w:cs="Times New Roman"/>
        </w:rPr>
        <w:t>basis for evaluating sector leakage</w:t>
      </w:r>
      <w:r w:rsidR="00E85AD0" w:rsidRPr="00E85AD0">
        <w:rPr>
          <w:rFonts w:ascii="Times New Roman" w:hAnsi="Times New Roman" w:cs="Times New Roman"/>
        </w:rPr>
        <w:t xml:space="preserve"> renders ARB’s proposed methodology arbitrary and inherently unreliable</w:t>
      </w:r>
      <w:r w:rsidRPr="00E85AD0">
        <w:rPr>
          <w:rFonts w:ascii="Times New Roman" w:hAnsi="Times New Roman" w:cs="Times New Roman"/>
        </w:rPr>
        <w:t>.</w:t>
      </w:r>
    </w:p>
    <w:p w:rsidR="00092F53" w:rsidRDefault="00092F53" w:rsidP="00092F53">
      <w:pPr>
        <w:pStyle w:val="ListParagraph"/>
        <w:ind w:left="1440"/>
        <w:jc w:val="both"/>
        <w:rPr>
          <w:rFonts w:ascii="Times New Roman" w:hAnsi="Times New Roman" w:cs="Times New Roman"/>
          <w:b/>
        </w:rPr>
      </w:pPr>
    </w:p>
    <w:p w:rsidR="00B01A7C" w:rsidRDefault="00B01A7C" w:rsidP="00B01A7C">
      <w:pPr>
        <w:pStyle w:val="ListParagraph"/>
        <w:ind w:left="1440"/>
        <w:jc w:val="both"/>
        <w:rPr>
          <w:rFonts w:ascii="Times New Roman" w:hAnsi="Times New Roman" w:cs="Times New Roman"/>
        </w:rPr>
      </w:pPr>
      <w:r>
        <w:rPr>
          <w:rFonts w:ascii="Times New Roman" w:hAnsi="Times New Roman" w:cs="Times New Roman"/>
        </w:rPr>
        <w:t>Similarly, ARB corrected non-studied sector leakage factors by using linear regressions to back out fuels such as coal that were included in the US Census data.</w:t>
      </w:r>
      <w:r>
        <w:rPr>
          <w:rStyle w:val="FootnoteReference"/>
          <w:rFonts w:ascii="Times New Roman" w:hAnsi="Times New Roman" w:cs="Times New Roman"/>
        </w:rPr>
        <w:footnoteReference w:id="12"/>
      </w:r>
      <w:r>
        <w:rPr>
          <w:rFonts w:ascii="Times New Roman" w:hAnsi="Times New Roman" w:cs="Times New Roman"/>
        </w:rPr>
        <w:t xml:space="preserve">  ARB should use reliable and representative data to calculate these factors, and not resort to unproven methodologies to “correct” the data.</w:t>
      </w:r>
    </w:p>
    <w:p w:rsidR="00B01A7C" w:rsidRDefault="00B01A7C" w:rsidP="00092F53">
      <w:pPr>
        <w:pStyle w:val="ListParagraph"/>
        <w:ind w:left="1440"/>
        <w:jc w:val="both"/>
        <w:rPr>
          <w:rFonts w:ascii="Times New Roman" w:hAnsi="Times New Roman" w:cs="Times New Roman"/>
          <w:b/>
        </w:rPr>
      </w:pPr>
    </w:p>
    <w:p w:rsidR="00DB07FD" w:rsidRDefault="00DB07FD" w:rsidP="00DB07FD">
      <w:pPr>
        <w:pStyle w:val="ListParagraph"/>
        <w:numPr>
          <w:ilvl w:val="1"/>
          <w:numId w:val="21"/>
        </w:numPr>
        <w:jc w:val="both"/>
        <w:rPr>
          <w:rFonts w:ascii="Times New Roman" w:hAnsi="Times New Roman" w:cs="Times New Roman"/>
          <w:b/>
        </w:rPr>
      </w:pPr>
      <w:r>
        <w:rPr>
          <w:rFonts w:ascii="Times New Roman" w:hAnsi="Times New Roman" w:cs="Times New Roman"/>
          <w:b/>
        </w:rPr>
        <w:t>Estimated Floor Prices</w:t>
      </w:r>
    </w:p>
    <w:p w:rsidR="00DB07FD" w:rsidRPr="00E55D4A" w:rsidRDefault="00DB07FD" w:rsidP="00DB07FD">
      <w:pPr>
        <w:ind w:left="1440"/>
        <w:jc w:val="both"/>
        <w:rPr>
          <w:rFonts w:ascii="Times New Roman" w:hAnsi="Times New Roman" w:cs="Times New Roman"/>
        </w:rPr>
      </w:pPr>
      <w:r w:rsidRPr="00E55D4A">
        <w:rPr>
          <w:rFonts w:ascii="Times New Roman" w:hAnsi="Times New Roman" w:cs="Times New Roman"/>
        </w:rPr>
        <w:t xml:space="preserve">The floor prices established and used by the UCB and RFF studies ($10 and $24 respectively) are unrealistic.  The researchers noted that elasticity is impacted by price. ARB’s newly proposed policies intend to increase investment signal by </w:t>
      </w:r>
      <w:r w:rsidR="00E55D4A" w:rsidRPr="00E55D4A">
        <w:rPr>
          <w:rFonts w:ascii="Times New Roman" w:hAnsi="Times New Roman" w:cs="Times New Roman"/>
        </w:rPr>
        <w:t>increasing</w:t>
      </w:r>
      <w:r w:rsidRPr="00E55D4A">
        <w:rPr>
          <w:rFonts w:ascii="Times New Roman" w:hAnsi="Times New Roman" w:cs="Times New Roman"/>
        </w:rPr>
        <w:t xml:space="preserve"> allowance price.  This is a prime example of why using historical data to predict the future is inappropriate.  ARB </w:t>
      </w:r>
      <w:r w:rsidR="00E55D4A" w:rsidRPr="00E55D4A">
        <w:rPr>
          <w:rFonts w:ascii="Times New Roman" w:hAnsi="Times New Roman" w:cs="Times New Roman"/>
        </w:rPr>
        <w:t>must</w:t>
      </w:r>
      <w:r w:rsidRPr="00E55D4A">
        <w:rPr>
          <w:rFonts w:ascii="Times New Roman" w:hAnsi="Times New Roman" w:cs="Times New Roman"/>
        </w:rPr>
        <w:t xml:space="preserve"> document </w:t>
      </w:r>
      <w:r w:rsidR="00E55D4A" w:rsidRPr="00E55D4A">
        <w:rPr>
          <w:rFonts w:ascii="Times New Roman" w:hAnsi="Times New Roman" w:cs="Times New Roman"/>
        </w:rPr>
        <w:t>the</w:t>
      </w:r>
      <w:r w:rsidRPr="00E55D4A">
        <w:rPr>
          <w:rFonts w:ascii="Times New Roman" w:hAnsi="Times New Roman" w:cs="Times New Roman"/>
        </w:rPr>
        <w:t xml:space="preserve"> assumption</w:t>
      </w:r>
      <w:r w:rsidR="00E55D4A" w:rsidRPr="00E55D4A">
        <w:rPr>
          <w:rFonts w:ascii="Times New Roman" w:hAnsi="Times New Roman" w:cs="Times New Roman"/>
        </w:rPr>
        <w:t>s</w:t>
      </w:r>
      <w:r w:rsidRPr="00E55D4A">
        <w:rPr>
          <w:rFonts w:ascii="Times New Roman" w:hAnsi="Times New Roman" w:cs="Times New Roman"/>
        </w:rPr>
        <w:t xml:space="preserve"> </w:t>
      </w:r>
      <w:r w:rsidR="00E55D4A" w:rsidRPr="00E55D4A">
        <w:rPr>
          <w:rFonts w:ascii="Times New Roman" w:hAnsi="Times New Roman" w:cs="Times New Roman"/>
        </w:rPr>
        <w:t xml:space="preserve">embedded in its </w:t>
      </w:r>
      <w:r w:rsidRPr="00E55D4A">
        <w:rPr>
          <w:rFonts w:ascii="Times New Roman" w:hAnsi="Times New Roman" w:cs="Times New Roman"/>
        </w:rPr>
        <w:t>2030 floor price</w:t>
      </w:r>
      <w:r w:rsidR="00E55D4A" w:rsidRPr="00E55D4A">
        <w:rPr>
          <w:rFonts w:ascii="Times New Roman" w:hAnsi="Times New Roman" w:cs="Times New Roman"/>
        </w:rPr>
        <w:t xml:space="preserve"> estimate (</w:t>
      </w:r>
      <w:r w:rsidR="005A6CF0">
        <w:rPr>
          <w:rFonts w:ascii="Times New Roman" w:hAnsi="Times New Roman" w:cs="Times New Roman"/>
        </w:rPr>
        <w:t>$</w:t>
      </w:r>
      <w:r w:rsidRPr="00E55D4A">
        <w:rPr>
          <w:rFonts w:ascii="Times New Roman" w:hAnsi="Times New Roman" w:cs="Times New Roman"/>
        </w:rPr>
        <w:t>24.88 per MTCO2</w:t>
      </w:r>
      <w:r w:rsidR="00E52EC4">
        <w:rPr>
          <w:rFonts w:ascii="Times New Roman" w:hAnsi="Times New Roman" w:cs="Times New Roman"/>
        </w:rPr>
        <w:t>e</w:t>
      </w:r>
      <w:r w:rsidR="00E55D4A" w:rsidRPr="00E55D4A">
        <w:rPr>
          <w:rFonts w:ascii="Times New Roman" w:hAnsi="Times New Roman" w:cs="Times New Roman"/>
        </w:rPr>
        <w:t xml:space="preserve">).  The </w:t>
      </w:r>
      <w:r w:rsidRPr="00E55D4A">
        <w:rPr>
          <w:rFonts w:ascii="Times New Roman" w:hAnsi="Times New Roman" w:cs="Times New Roman"/>
        </w:rPr>
        <w:t xml:space="preserve">marginal compliance cost used in the analysis is low and does not fully reflect the true cost of compliance related to complementary measures. </w:t>
      </w:r>
      <w:r w:rsidR="00E55D4A" w:rsidRPr="00E55D4A">
        <w:rPr>
          <w:rFonts w:ascii="Times New Roman" w:hAnsi="Times New Roman" w:cs="Times New Roman"/>
        </w:rPr>
        <w:t xml:space="preserve"> In addition</w:t>
      </w:r>
      <w:r w:rsidRPr="00E55D4A">
        <w:rPr>
          <w:rFonts w:ascii="Times New Roman" w:hAnsi="Times New Roman" w:cs="Times New Roman"/>
        </w:rPr>
        <w:t xml:space="preserve">, it’s not entirely clear whether </w:t>
      </w:r>
      <w:r w:rsidR="00E55D4A" w:rsidRPr="00E55D4A">
        <w:rPr>
          <w:rFonts w:ascii="Times New Roman" w:hAnsi="Times New Roman" w:cs="Times New Roman"/>
        </w:rPr>
        <w:t>ARB</w:t>
      </w:r>
      <w:r w:rsidRPr="00E55D4A">
        <w:rPr>
          <w:rFonts w:ascii="Times New Roman" w:hAnsi="Times New Roman" w:cs="Times New Roman"/>
        </w:rPr>
        <w:t xml:space="preserve"> used the same carbon price for manufacturing sectors with non-purchased fuel</w:t>
      </w:r>
      <w:r w:rsidR="007509FF">
        <w:rPr>
          <w:rFonts w:ascii="Times New Roman" w:hAnsi="Times New Roman" w:cs="Times New Roman"/>
        </w:rPr>
        <w:t>.</w:t>
      </w:r>
      <w:r w:rsidR="007509FF">
        <w:rPr>
          <w:rStyle w:val="FootnoteReference"/>
          <w:rFonts w:ascii="Times New Roman" w:hAnsi="Times New Roman" w:cs="Times New Roman"/>
        </w:rPr>
        <w:footnoteReference w:id="13"/>
      </w:r>
    </w:p>
    <w:p w:rsidR="008E4AB3" w:rsidRPr="00301D17" w:rsidRDefault="00A60584" w:rsidP="00892229">
      <w:pPr>
        <w:pStyle w:val="ListParagraph"/>
        <w:numPr>
          <w:ilvl w:val="1"/>
          <w:numId w:val="21"/>
        </w:numPr>
        <w:jc w:val="both"/>
        <w:rPr>
          <w:rFonts w:ascii="Times New Roman" w:hAnsi="Times New Roman" w:cs="Times New Roman"/>
          <w:b/>
        </w:rPr>
      </w:pPr>
      <w:r w:rsidRPr="00301D17">
        <w:rPr>
          <w:rFonts w:ascii="Times New Roman" w:hAnsi="Times New Roman" w:cs="Times New Roman"/>
          <w:b/>
        </w:rPr>
        <w:t xml:space="preserve">Energy </w:t>
      </w:r>
      <w:r w:rsidR="008E4AB3" w:rsidRPr="00301D17">
        <w:rPr>
          <w:rFonts w:ascii="Times New Roman" w:hAnsi="Times New Roman" w:cs="Times New Roman"/>
          <w:b/>
        </w:rPr>
        <w:t>Produced On-S</w:t>
      </w:r>
      <w:r w:rsidR="00301D17" w:rsidRPr="00301D17">
        <w:rPr>
          <w:rFonts w:ascii="Times New Roman" w:hAnsi="Times New Roman" w:cs="Times New Roman"/>
          <w:b/>
        </w:rPr>
        <w:t>ite</w:t>
      </w:r>
    </w:p>
    <w:p w:rsidR="008B7991" w:rsidRPr="00074980" w:rsidRDefault="00BE6174" w:rsidP="00892229">
      <w:pPr>
        <w:ind w:left="1440"/>
        <w:jc w:val="both"/>
        <w:rPr>
          <w:rFonts w:ascii="Times New Roman" w:hAnsi="Times New Roman" w:cs="Times New Roman"/>
        </w:rPr>
      </w:pPr>
      <w:r w:rsidRPr="00301D17">
        <w:rPr>
          <w:rFonts w:ascii="Times New Roman" w:hAnsi="Times New Roman" w:cs="Times New Roman"/>
        </w:rPr>
        <w:t>W</w:t>
      </w:r>
      <w:r w:rsidR="008E4AB3" w:rsidRPr="00301D17">
        <w:rPr>
          <w:rFonts w:ascii="Times New Roman" w:hAnsi="Times New Roman" w:cs="Times New Roman"/>
        </w:rPr>
        <w:t>SPA</w:t>
      </w:r>
      <w:r w:rsidRPr="00301D17">
        <w:rPr>
          <w:rFonts w:ascii="Times New Roman" w:hAnsi="Times New Roman" w:cs="Times New Roman"/>
        </w:rPr>
        <w:t xml:space="preserve"> agree</w:t>
      </w:r>
      <w:r w:rsidR="008E4AB3" w:rsidRPr="00301D17">
        <w:rPr>
          <w:rFonts w:ascii="Times New Roman" w:hAnsi="Times New Roman" w:cs="Times New Roman"/>
        </w:rPr>
        <w:t>s</w:t>
      </w:r>
      <w:r w:rsidRPr="00301D17">
        <w:rPr>
          <w:rFonts w:ascii="Times New Roman" w:hAnsi="Times New Roman" w:cs="Times New Roman"/>
        </w:rPr>
        <w:t xml:space="preserve"> </w:t>
      </w:r>
      <w:r w:rsidR="0084708F" w:rsidRPr="00301D17">
        <w:rPr>
          <w:rFonts w:ascii="Times New Roman" w:hAnsi="Times New Roman" w:cs="Times New Roman"/>
        </w:rPr>
        <w:t xml:space="preserve">in concept </w:t>
      </w:r>
      <w:r w:rsidRPr="00301D17">
        <w:rPr>
          <w:rFonts w:ascii="Times New Roman" w:hAnsi="Times New Roman" w:cs="Times New Roman"/>
        </w:rPr>
        <w:t xml:space="preserve">with ARB’s </w:t>
      </w:r>
      <w:r w:rsidR="0084708F" w:rsidRPr="00301D17">
        <w:rPr>
          <w:rFonts w:ascii="Times New Roman" w:hAnsi="Times New Roman" w:cs="Times New Roman"/>
        </w:rPr>
        <w:t xml:space="preserve">proposal to </w:t>
      </w:r>
      <w:r w:rsidRPr="00301D17">
        <w:rPr>
          <w:rFonts w:ascii="Times New Roman" w:hAnsi="Times New Roman" w:cs="Times New Roman"/>
        </w:rPr>
        <w:t>adjust</w:t>
      </w:r>
      <w:r w:rsidR="0084708F" w:rsidRPr="00301D17">
        <w:rPr>
          <w:rFonts w:ascii="Times New Roman" w:hAnsi="Times New Roman" w:cs="Times New Roman"/>
        </w:rPr>
        <w:t xml:space="preserve"> assistance factors to account for </w:t>
      </w:r>
      <w:r w:rsidR="00E7717B" w:rsidRPr="00301D17">
        <w:rPr>
          <w:rFonts w:ascii="Times New Roman" w:hAnsi="Times New Roman" w:cs="Times New Roman"/>
        </w:rPr>
        <w:t>on</w:t>
      </w:r>
      <w:r w:rsidR="008E4AB3" w:rsidRPr="00301D17">
        <w:rPr>
          <w:rFonts w:ascii="Times New Roman" w:hAnsi="Times New Roman" w:cs="Times New Roman"/>
        </w:rPr>
        <w:t>-</w:t>
      </w:r>
      <w:r w:rsidR="00E7717B" w:rsidRPr="00301D17">
        <w:rPr>
          <w:rFonts w:ascii="Times New Roman" w:hAnsi="Times New Roman" w:cs="Times New Roman"/>
        </w:rPr>
        <w:t xml:space="preserve">site </w:t>
      </w:r>
      <w:r w:rsidRPr="00301D17">
        <w:rPr>
          <w:rFonts w:ascii="Times New Roman" w:hAnsi="Times New Roman" w:cs="Times New Roman"/>
        </w:rPr>
        <w:t xml:space="preserve">energy </w:t>
      </w:r>
      <w:r w:rsidR="00EC0CEE" w:rsidRPr="00301D17">
        <w:rPr>
          <w:rFonts w:ascii="Times New Roman" w:hAnsi="Times New Roman" w:cs="Times New Roman"/>
        </w:rPr>
        <w:t>production</w:t>
      </w:r>
      <w:r w:rsidR="0084708F" w:rsidRPr="00301D17">
        <w:rPr>
          <w:rFonts w:ascii="Times New Roman" w:hAnsi="Times New Roman" w:cs="Times New Roman"/>
        </w:rPr>
        <w:t>.  However,</w:t>
      </w:r>
      <w:r w:rsidR="0010174D" w:rsidRPr="00301D17">
        <w:rPr>
          <w:rFonts w:ascii="Times New Roman" w:hAnsi="Times New Roman" w:cs="Times New Roman"/>
        </w:rPr>
        <w:t xml:space="preserve"> </w:t>
      </w:r>
      <w:r w:rsidRPr="00301D17">
        <w:rPr>
          <w:rFonts w:ascii="Times New Roman" w:hAnsi="Times New Roman" w:cs="Times New Roman"/>
        </w:rPr>
        <w:t>ARB</w:t>
      </w:r>
      <w:r w:rsidR="0084708F" w:rsidRPr="00301D17">
        <w:rPr>
          <w:rFonts w:ascii="Times New Roman" w:hAnsi="Times New Roman" w:cs="Times New Roman"/>
        </w:rPr>
        <w:t>’s estimate of the fraction of total emissions from consumption of fuels</w:t>
      </w:r>
      <w:r w:rsidR="00103F8F" w:rsidRPr="00301D17">
        <w:rPr>
          <w:rFonts w:ascii="Times New Roman" w:hAnsi="Times New Roman" w:cs="Times New Roman"/>
        </w:rPr>
        <w:t xml:space="preserve"> purchased by refineries</w:t>
      </w:r>
      <w:r w:rsidR="0084708F">
        <w:rPr>
          <w:rStyle w:val="FootnoteReference"/>
          <w:rFonts w:ascii="Times New Roman" w:hAnsi="Times New Roman" w:cs="Times New Roman"/>
        </w:rPr>
        <w:footnoteReference w:id="14"/>
      </w:r>
      <w:r w:rsidR="0084708F" w:rsidRPr="00301D17">
        <w:rPr>
          <w:rFonts w:ascii="Times New Roman" w:hAnsi="Times New Roman" w:cs="Times New Roman"/>
        </w:rPr>
        <w:t xml:space="preserve"> </w:t>
      </w:r>
      <w:r w:rsidR="00D119A8" w:rsidRPr="00301D17">
        <w:rPr>
          <w:rFonts w:ascii="Times New Roman" w:hAnsi="Times New Roman" w:cs="Times New Roman"/>
        </w:rPr>
        <w:t xml:space="preserve">is 20% </w:t>
      </w:r>
      <w:r w:rsidR="00103F8F" w:rsidRPr="00301D17">
        <w:rPr>
          <w:rFonts w:ascii="Times New Roman" w:hAnsi="Times New Roman" w:cs="Times New Roman"/>
        </w:rPr>
        <w:t>higher</w:t>
      </w:r>
      <w:r w:rsidR="00D119A8" w:rsidRPr="00301D17">
        <w:rPr>
          <w:rFonts w:ascii="Times New Roman" w:hAnsi="Times New Roman" w:cs="Times New Roman"/>
        </w:rPr>
        <w:t xml:space="preserve"> than </w:t>
      </w:r>
      <w:r w:rsidR="008E4AB3" w:rsidRPr="00301D17">
        <w:rPr>
          <w:rFonts w:ascii="Times New Roman" w:hAnsi="Times New Roman" w:cs="Times New Roman"/>
        </w:rPr>
        <w:t>the Western R</w:t>
      </w:r>
      <w:r w:rsidR="00103F8F" w:rsidRPr="00301D17">
        <w:rPr>
          <w:rFonts w:ascii="Times New Roman" w:hAnsi="Times New Roman" w:cs="Times New Roman"/>
        </w:rPr>
        <w:t>egion refinery data reported by the Energy Information Administration (EIA)</w:t>
      </w:r>
      <w:r w:rsidR="00103F8F">
        <w:rPr>
          <w:rStyle w:val="FootnoteReference"/>
          <w:rFonts w:ascii="Times New Roman" w:hAnsi="Times New Roman" w:cs="Times New Roman"/>
        </w:rPr>
        <w:footnoteReference w:id="15"/>
      </w:r>
      <w:r w:rsidR="00103F8F" w:rsidRPr="00301D17">
        <w:rPr>
          <w:rFonts w:ascii="Times New Roman" w:hAnsi="Times New Roman" w:cs="Times New Roman"/>
        </w:rPr>
        <w:t xml:space="preserve">.  </w:t>
      </w:r>
      <w:r w:rsidRPr="000774B3">
        <w:rPr>
          <w:rFonts w:ascii="Times New Roman" w:hAnsi="Times New Roman" w:cs="Times New Roman"/>
        </w:rPr>
        <w:t xml:space="preserve">Based on </w:t>
      </w:r>
      <w:r w:rsidR="00103F8F" w:rsidRPr="000774B3">
        <w:rPr>
          <w:rFonts w:ascii="Times New Roman" w:hAnsi="Times New Roman" w:cs="Times New Roman"/>
        </w:rPr>
        <w:t>current EIA data</w:t>
      </w:r>
      <w:r w:rsidR="00E7717B" w:rsidRPr="000774B3">
        <w:rPr>
          <w:rFonts w:ascii="Times New Roman" w:hAnsi="Times New Roman" w:cs="Times New Roman"/>
        </w:rPr>
        <w:t>,</w:t>
      </w:r>
      <w:r w:rsidRPr="000774B3">
        <w:rPr>
          <w:rFonts w:ascii="Times New Roman" w:hAnsi="Times New Roman" w:cs="Times New Roman"/>
        </w:rPr>
        <w:t xml:space="preserve"> refinery energy produced onsite </w:t>
      </w:r>
      <w:r w:rsidR="00103F8F" w:rsidRPr="000774B3">
        <w:rPr>
          <w:rFonts w:ascii="Times New Roman" w:hAnsi="Times New Roman" w:cs="Times New Roman"/>
        </w:rPr>
        <w:t>accounts for</w:t>
      </w:r>
      <w:r w:rsidRPr="000774B3">
        <w:rPr>
          <w:rFonts w:ascii="Times New Roman" w:hAnsi="Times New Roman" w:cs="Times New Roman"/>
        </w:rPr>
        <w:t xml:space="preserve"> 60%</w:t>
      </w:r>
      <w:r w:rsidR="00103F8F" w:rsidRPr="000774B3">
        <w:rPr>
          <w:rFonts w:ascii="Times New Roman" w:hAnsi="Times New Roman" w:cs="Times New Roman"/>
        </w:rPr>
        <w:t xml:space="preserve"> of refinery energy consumption, meaning purchased fuels account for 40%</w:t>
      </w:r>
      <w:r w:rsidRPr="000774B3">
        <w:rPr>
          <w:rFonts w:ascii="Times New Roman" w:hAnsi="Times New Roman" w:cs="Times New Roman"/>
        </w:rPr>
        <w:t>.</w:t>
      </w:r>
      <w:r w:rsidR="009548E9" w:rsidRPr="000774B3">
        <w:rPr>
          <w:rFonts w:ascii="Times New Roman" w:hAnsi="Times New Roman" w:cs="Times New Roman"/>
        </w:rPr>
        <w:t xml:space="preserve"> </w:t>
      </w:r>
      <w:r w:rsidR="00103F8F" w:rsidRPr="000774B3">
        <w:rPr>
          <w:rFonts w:ascii="Times New Roman" w:hAnsi="Times New Roman" w:cs="Times New Roman"/>
        </w:rPr>
        <w:t xml:space="preserve"> </w:t>
      </w:r>
      <w:r w:rsidR="00103F8F" w:rsidRPr="00301D17">
        <w:rPr>
          <w:rFonts w:ascii="Times New Roman" w:hAnsi="Times New Roman" w:cs="Times New Roman"/>
        </w:rPr>
        <w:t xml:space="preserve">ARB does not provide a reference for its proposed 60% estimate.  </w:t>
      </w:r>
      <w:r w:rsidR="00591C6A" w:rsidRPr="00591C6A">
        <w:rPr>
          <w:rFonts w:ascii="Times New Roman" w:hAnsi="Times New Roman" w:cs="Times New Roman"/>
        </w:rPr>
        <w:t xml:space="preserve">It is also not possible to </w:t>
      </w:r>
      <w:r w:rsidR="00591C6A">
        <w:rPr>
          <w:rFonts w:ascii="Times New Roman" w:hAnsi="Times New Roman" w:cs="Times New Roman"/>
        </w:rPr>
        <w:t>determine</w:t>
      </w:r>
      <w:r w:rsidR="00591C6A" w:rsidRPr="00591C6A">
        <w:rPr>
          <w:rFonts w:ascii="Times New Roman" w:hAnsi="Times New Roman" w:cs="Times New Roman"/>
        </w:rPr>
        <w:t xml:space="preserve"> where the non-purchased fuel is accounted for in Table 4-5.</w:t>
      </w:r>
      <w:r w:rsidR="0014424C" w:rsidRPr="00301D17">
        <w:rPr>
          <w:rFonts w:ascii="Times New Roman" w:hAnsi="Times New Roman" w:cs="Times New Roman"/>
        </w:rPr>
        <w:t xml:space="preserve"> </w:t>
      </w:r>
      <w:r w:rsidR="00F335B5" w:rsidRPr="00301D17">
        <w:rPr>
          <w:rFonts w:ascii="Times New Roman" w:hAnsi="Times New Roman" w:cs="Times New Roman"/>
        </w:rPr>
        <w:t xml:space="preserve"> </w:t>
      </w:r>
      <w:r w:rsidR="0014424C" w:rsidRPr="00301D17">
        <w:rPr>
          <w:rFonts w:ascii="Times New Roman" w:hAnsi="Times New Roman" w:cs="Times New Roman"/>
        </w:rPr>
        <w:t>ARB’s</w:t>
      </w:r>
      <w:r w:rsidR="00A60584" w:rsidRPr="00301D17">
        <w:rPr>
          <w:rFonts w:ascii="Times New Roman" w:hAnsi="Times New Roman" w:cs="Times New Roman"/>
        </w:rPr>
        <w:t xml:space="preserve"> assumption </w:t>
      </w:r>
      <w:r w:rsidR="0050068E" w:rsidRPr="00301D17">
        <w:rPr>
          <w:rFonts w:ascii="Times New Roman" w:hAnsi="Times New Roman" w:cs="Times New Roman"/>
        </w:rPr>
        <w:t xml:space="preserve">underestimates refinery leakage risk and </w:t>
      </w:r>
      <w:r w:rsidR="00A60584" w:rsidRPr="00301D17">
        <w:rPr>
          <w:rFonts w:ascii="Times New Roman" w:hAnsi="Times New Roman" w:cs="Times New Roman"/>
        </w:rPr>
        <w:t>diminishes the trade exposure protection that would otherwise be afforded to refineries under ARB’s proposed methodology</w:t>
      </w:r>
      <w:r w:rsidR="005C2109" w:rsidRPr="00301D17">
        <w:rPr>
          <w:rFonts w:ascii="Times New Roman" w:hAnsi="Times New Roman" w:cs="Times New Roman"/>
        </w:rPr>
        <w:t>.</w:t>
      </w:r>
    </w:p>
    <w:p w:rsidR="008E4AB3" w:rsidRDefault="008E4AB3" w:rsidP="00892229">
      <w:pPr>
        <w:pStyle w:val="ListParagraph"/>
        <w:numPr>
          <w:ilvl w:val="1"/>
          <w:numId w:val="21"/>
        </w:numPr>
        <w:jc w:val="both"/>
        <w:rPr>
          <w:rFonts w:ascii="Times New Roman" w:hAnsi="Times New Roman" w:cs="Times New Roman"/>
          <w:b/>
        </w:rPr>
      </w:pPr>
      <w:r>
        <w:rPr>
          <w:rFonts w:ascii="Times New Roman" w:hAnsi="Times New Roman" w:cs="Times New Roman"/>
          <w:b/>
        </w:rPr>
        <w:t>Refining Data Set</w:t>
      </w:r>
    </w:p>
    <w:p w:rsidR="008B7991" w:rsidRPr="00301D17" w:rsidRDefault="00BE6174" w:rsidP="00892229">
      <w:pPr>
        <w:ind w:left="1440"/>
        <w:jc w:val="both"/>
        <w:rPr>
          <w:rFonts w:ascii="Times New Roman" w:hAnsi="Times New Roman" w:cs="Times New Roman"/>
          <w:b/>
        </w:rPr>
      </w:pPr>
      <w:r w:rsidRPr="00301D17">
        <w:rPr>
          <w:rFonts w:ascii="Times New Roman" w:hAnsi="Times New Roman" w:cs="Times New Roman"/>
        </w:rPr>
        <w:t>The data set is not representative of refining and may not be representative of many</w:t>
      </w:r>
      <w:r w:rsidR="00B76DED" w:rsidRPr="00301D17">
        <w:rPr>
          <w:rFonts w:ascii="Times New Roman" w:hAnsi="Times New Roman" w:cs="Times New Roman"/>
        </w:rPr>
        <w:t xml:space="preserve"> other </w:t>
      </w:r>
      <w:r w:rsidRPr="00301D17">
        <w:rPr>
          <w:rFonts w:ascii="Times New Roman" w:hAnsi="Times New Roman" w:cs="Times New Roman"/>
        </w:rPr>
        <w:t>industr</w:t>
      </w:r>
      <w:r w:rsidR="00B76DED" w:rsidRPr="00301D17">
        <w:rPr>
          <w:rFonts w:ascii="Times New Roman" w:hAnsi="Times New Roman" w:cs="Times New Roman"/>
        </w:rPr>
        <w:t>y sectors</w:t>
      </w:r>
      <w:r w:rsidRPr="00301D17">
        <w:rPr>
          <w:rFonts w:ascii="Times New Roman" w:hAnsi="Times New Roman" w:cs="Times New Roman"/>
        </w:rPr>
        <w:t>.</w:t>
      </w:r>
      <w:r w:rsidRPr="00301D17">
        <w:rPr>
          <w:rFonts w:ascii="Times New Roman" w:hAnsi="Times New Roman" w:cs="Times New Roman"/>
          <w:b/>
        </w:rPr>
        <w:t xml:space="preserve"> </w:t>
      </w:r>
      <w:r w:rsidR="00103F8F" w:rsidRPr="00301D17">
        <w:rPr>
          <w:rFonts w:ascii="Times New Roman" w:hAnsi="Times New Roman" w:cs="Times New Roman"/>
          <w:b/>
        </w:rPr>
        <w:t xml:space="preserve"> </w:t>
      </w:r>
      <w:r w:rsidR="00665AA7" w:rsidRPr="00301D17">
        <w:rPr>
          <w:rFonts w:ascii="Times New Roman" w:hAnsi="Times New Roman" w:cs="Times New Roman"/>
        </w:rPr>
        <w:t xml:space="preserve">The International Market Transfer study (UC Berkeley) is based on a </w:t>
      </w:r>
      <w:r w:rsidR="00665AA7" w:rsidRPr="00301D17">
        <w:rPr>
          <w:rFonts w:ascii="Times New Roman" w:hAnsi="Times New Roman" w:cs="Times New Roman"/>
          <w:b/>
          <w:i/>
          <w:u w:val="single"/>
        </w:rPr>
        <w:lastRenderedPageBreak/>
        <w:t>single</w:t>
      </w:r>
      <w:r w:rsidR="00665AA7" w:rsidRPr="00301D17">
        <w:rPr>
          <w:rFonts w:ascii="Times New Roman" w:hAnsi="Times New Roman" w:cs="Times New Roman"/>
        </w:rPr>
        <w:t xml:space="preserve"> data set that covers 50,000 sources (</w:t>
      </w:r>
      <w:r w:rsidR="00F335B5" w:rsidRPr="00301D17">
        <w:rPr>
          <w:rFonts w:ascii="Times New Roman" w:hAnsi="Times New Roman" w:cs="Times New Roman"/>
        </w:rPr>
        <w:t>Annual Survey</w:t>
      </w:r>
      <w:r w:rsidR="00665AA7" w:rsidRPr="00301D17">
        <w:rPr>
          <w:rFonts w:ascii="Times New Roman" w:hAnsi="Times New Roman" w:cs="Times New Roman"/>
        </w:rPr>
        <w:t xml:space="preserve"> of Manufacturers). </w:t>
      </w:r>
      <w:r w:rsidR="0084708F" w:rsidRPr="00301D17">
        <w:rPr>
          <w:rFonts w:ascii="Times New Roman" w:hAnsi="Times New Roman" w:cs="Times New Roman"/>
        </w:rPr>
        <w:t xml:space="preserve"> </w:t>
      </w:r>
      <w:r w:rsidRPr="00301D17">
        <w:rPr>
          <w:rFonts w:ascii="Times New Roman" w:hAnsi="Times New Roman" w:cs="Times New Roman"/>
        </w:rPr>
        <w:t xml:space="preserve">The ASM data </w:t>
      </w:r>
      <w:r w:rsidR="00334D40" w:rsidRPr="00301D17">
        <w:rPr>
          <w:rFonts w:ascii="Times New Roman" w:hAnsi="Times New Roman" w:cs="Times New Roman"/>
        </w:rPr>
        <w:t xml:space="preserve">does not take into account </w:t>
      </w:r>
      <w:r w:rsidRPr="00301D17">
        <w:rPr>
          <w:rFonts w:ascii="Times New Roman" w:hAnsi="Times New Roman" w:cs="Times New Roman"/>
        </w:rPr>
        <w:t>changes in industry-specific markets</w:t>
      </w:r>
      <w:r w:rsidR="003C70B7" w:rsidRPr="00301D17">
        <w:rPr>
          <w:rFonts w:ascii="Times New Roman" w:hAnsi="Times New Roman" w:cs="Times New Roman"/>
        </w:rPr>
        <w:t>. Using this data set can therefore</w:t>
      </w:r>
      <w:r w:rsidRPr="00301D17">
        <w:rPr>
          <w:rFonts w:ascii="Times New Roman" w:hAnsi="Times New Roman" w:cs="Times New Roman"/>
        </w:rPr>
        <w:t xml:space="preserve"> mask the impact of changes in energy prices and understate leakage risk.</w:t>
      </w:r>
      <w:r w:rsidR="00665AA7" w:rsidRPr="00301D17">
        <w:rPr>
          <w:rFonts w:ascii="Times New Roman" w:hAnsi="Times New Roman" w:cs="Times New Roman"/>
        </w:rPr>
        <w:t xml:space="preserve"> </w:t>
      </w:r>
      <w:r w:rsidRPr="00301D17">
        <w:rPr>
          <w:rFonts w:ascii="Times New Roman" w:hAnsi="Times New Roman" w:cs="Times New Roman"/>
        </w:rPr>
        <w:t xml:space="preserve">A third party review by </w:t>
      </w:r>
      <w:r w:rsidR="00684464" w:rsidRPr="00301D17">
        <w:rPr>
          <w:rFonts w:ascii="Times New Roman" w:hAnsi="Times New Roman" w:cs="Times New Roman"/>
        </w:rPr>
        <w:t>National Economic Research Associat</w:t>
      </w:r>
      <w:r w:rsidR="0084708F" w:rsidRPr="00301D17">
        <w:rPr>
          <w:rFonts w:ascii="Times New Roman" w:hAnsi="Times New Roman" w:cs="Times New Roman"/>
        </w:rPr>
        <w:t>es (NERA),</w:t>
      </w:r>
      <w:r w:rsidR="0050068E" w:rsidRPr="00301D17">
        <w:rPr>
          <w:rFonts w:ascii="Times New Roman" w:hAnsi="Times New Roman" w:cs="Times New Roman"/>
        </w:rPr>
        <w:t xml:space="preserve"> </w:t>
      </w:r>
      <w:r w:rsidRPr="00301D17">
        <w:rPr>
          <w:rFonts w:ascii="Times New Roman" w:hAnsi="Times New Roman" w:cs="Times New Roman"/>
        </w:rPr>
        <w:t>state</w:t>
      </w:r>
      <w:r w:rsidR="003C70B7" w:rsidRPr="00301D17">
        <w:rPr>
          <w:rFonts w:ascii="Times New Roman" w:hAnsi="Times New Roman" w:cs="Times New Roman"/>
        </w:rPr>
        <w:t>s</w:t>
      </w:r>
      <w:r w:rsidRPr="00301D17">
        <w:rPr>
          <w:rFonts w:ascii="Times New Roman" w:hAnsi="Times New Roman" w:cs="Times New Roman"/>
        </w:rPr>
        <w:t xml:space="preserve"> that </w:t>
      </w:r>
      <w:r w:rsidR="00D80769" w:rsidRPr="00301D17">
        <w:rPr>
          <w:rFonts w:ascii="Times New Roman" w:hAnsi="Times New Roman" w:cs="Times New Roman"/>
        </w:rPr>
        <w:t xml:space="preserve">accurate </w:t>
      </w:r>
      <w:r w:rsidR="0050068E" w:rsidRPr="00301D17">
        <w:rPr>
          <w:rFonts w:ascii="Times New Roman" w:hAnsi="Times New Roman" w:cs="Times New Roman"/>
        </w:rPr>
        <w:t>assessment of leakage risk requires use of process models that capture sector-specific production details.</w:t>
      </w:r>
      <w:r w:rsidR="005C2109" w:rsidRPr="00301D17">
        <w:rPr>
          <w:rFonts w:ascii="Times New Roman" w:hAnsi="Times New Roman" w:cs="Times New Roman"/>
        </w:rPr>
        <w:t xml:space="preserve">  </w:t>
      </w:r>
      <w:r w:rsidR="001F2B99" w:rsidRPr="000774B3">
        <w:rPr>
          <w:rFonts w:ascii="Times New Roman" w:hAnsi="Times New Roman" w:cs="Times New Roman"/>
        </w:rPr>
        <w:t>The r</w:t>
      </w:r>
      <w:r w:rsidRPr="000774B3">
        <w:rPr>
          <w:rFonts w:ascii="Times New Roman" w:hAnsi="Times New Roman" w:cs="Times New Roman"/>
        </w:rPr>
        <w:t xml:space="preserve">efining </w:t>
      </w:r>
      <w:r w:rsidR="001F2B99" w:rsidRPr="000774B3">
        <w:rPr>
          <w:rFonts w:ascii="Times New Roman" w:hAnsi="Times New Roman" w:cs="Times New Roman"/>
        </w:rPr>
        <w:t xml:space="preserve">sector </w:t>
      </w:r>
      <w:r w:rsidRPr="000774B3">
        <w:rPr>
          <w:rFonts w:ascii="Times New Roman" w:hAnsi="Times New Roman" w:cs="Times New Roman"/>
        </w:rPr>
        <w:t xml:space="preserve">would be better represented by </w:t>
      </w:r>
      <w:r w:rsidR="00100678" w:rsidRPr="000774B3">
        <w:rPr>
          <w:rFonts w:ascii="Times New Roman" w:hAnsi="Times New Roman" w:cs="Times New Roman"/>
        </w:rPr>
        <w:t>EIA 810 and 820 reports.</w:t>
      </w:r>
    </w:p>
    <w:p w:rsidR="008E4AB3" w:rsidRDefault="008E4AB3" w:rsidP="00892229">
      <w:pPr>
        <w:pStyle w:val="ListParagraph"/>
        <w:numPr>
          <w:ilvl w:val="1"/>
          <w:numId w:val="21"/>
        </w:numPr>
        <w:jc w:val="both"/>
        <w:rPr>
          <w:rFonts w:ascii="Times New Roman" w:hAnsi="Times New Roman" w:cs="Times New Roman"/>
          <w:b/>
        </w:rPr>
      </w:pPr>
      <w:r>
        <w:rPr>
          <w:rFonts w:ascii="Times New Roman" w:hAnsi="Times New Roman" w:cs="Times New Roman"/>
          <w:b/>
        </w:rPr>
        <w:t xml:space="preserve">Hydrogen </w:t>
      </w:r>
      <w:r w:rsidR="00301D17">
        <w:rPr>
          <w:rFonts w:ascii="Times New Roman" w:hAnsi="Times New Roman" w:cs="Times New Roman"/>
          <w:b/>
        </w:rPr>
        <w:t>Plant Em</w:t>
      </w:r>
      <w:r>
        <w:rPr>
          <w:rFonts w:ascii="Times New Roman" w:hAnsi="Times New Roman" w:cs="Times New Roman"/>
          <w:b/>
        </w:rPr>
        <w:t>issions</w:t>
      </w:r>
    </w:p>
    <w:p w:rsidR="00677C09" w:rsidRPr="00301D17" w:rsidRDefault="00ED2ED1" w:rsidP="00892229">
      <w:pPr>
        <w:ind w:left="1440"/>
        <w:jc w:val="both"/>
        <w:rPr>
          <w:rFonts w:ascii="Times New Roman" w:hAnsi="Times New Roman" w:cs="Times New Roman"/>
          <w:b/>
        </w:rPr>
      </w:pPr>
      <w:r w:rsidRPr="00301D17">
        <w:rPr>
          <w:rFonts w:ascii="Times New Roman" w:hAnsi="Times New Roman" w:cs="Times New Roman"/>
        </w:rPr>
        <w:t>W</w:t>
      </w:r>
      <w:r w:rsidR="008E4AB3" w:rsidRPr="00301D17">
        <w:rPr>
          <w:rFonts w:ascii="Times New Roman" w:hAnsi="Times New Roman" w:cs="Times New Roman"/>
        </w:rPr>
        <w:t>SPA</w:t>
      </w:r>
      <w:r w:rsidR="0084708F" w:rsidRPr="00301D17">
        <w:rPr>
          <w:rFonts w:ascii="Times New Roman" w:hAnsi="Times New Roman" w:cs="Times New Roman"/>
        </w:rPr>
        <w:t xml:space="preserve"> remain</w:t>
      </w:r>
      <w:r w:rsidR="008E4AB3" w:rsidRPr="00301D17">
        <w:rPr>
          <w:rFonts w:ascii="Times New Roman" w:hAnsi="Times New Roman" w:cs="Times New Roman"/>
        </w:rPr>
        <w:t>s</w:t>
      </w:r>
      <w:r w:rsidRPr="00301D17">
        <w:rPr>
          <w:rFonts w:ascii="Times New Roman" w:hAnsi="Times New Roman" w:cs="Times New Roman"/>
        </w:rPr>
        <w:t xml:space="preserve"> concerned that f</w:t>
      </w:r>
      <w:r w:rsidR="00397AE7" w:rsidRPr="00301D17">
        <w:rPr>
          <w:rFonts w:ascii="Times New Roman" w:hAnsi="Times New Roman" w:cs="Times New Roman"/>
        </w:rPr>
        <w:t>ailure to properly account for emissions from on-site hydrogen production (</w:t>
      </w:r>
      <w:r w:rsidR="003C70B7" w:rsidRPr="00301D17">
        <w:rPr>
          <w:rFonts w:ascii="Times New Roman" w:hAnsi="Times New Roman" w:cs="Times New Roman"/>
        </w:rPr>
        <w:t xml:space="preserve">which is </w:t>
      </w:r>
      <w:r w:rsidR="00397AE7" w:rsidRPr="00301D17">
        <w:rPr>
          <w:rFonts w:ascii="Times New Roman" w:hAnsi="Times New Roman" w:cs="Times New Roman"/>
        </w:rPr>
        <w:t xml:space="preserve">20-30% of total refinery emissions) </w:t>
      </w:r>
      <w:r w:rsidR="003F17F1" w:rsidRPr="00301D17">
        <w:rPr>
          <w:rFonts w:ascii="Times New Roman" w:hAnsi="Times New Roman" w:cs="Times New Roman"/>
        </w:rPr>
        <w:t xml:space="preserve">will understate </w:t>
      </w:r>
      <w:r w:rsidR="00397AE7" w:rsidRPr="00301D17">
        <w:rPr>
          <w:rFonts w:ascii="Times New Roman" w:hAnsi="Times New Roman" w:cs="Times New Roman"/>
        </w:rPr>
        <w:t>refinery energy intensity</w:t>
      </w:r>
      <w:r w:rsidR="00B0786C" w:rsidRPr="00301D17">
        <w:rPr>
          <w:rFonts w:ascii="Times New Roman" w:hAnsi="Times New Roman" w:cs="Times New Roman"/>
        </w:rPr>
        <w:t>.  This mistake would lead to the false conclusion</w:t>
      </w:r>
      <w:r w:rsidR="00397AE7" w:rsidRPr="00301D17">
        <w:rPr>
          <w:rFonts w:ascii="Times New Roman" w:hAnsi="Times New Roman" w:cs="Times New Roman"/>
        </w:rPr>
        <w:t xml:space="preserve"> </w:t>
      </w:r>
      <w:r w:rsidR="00B0786C" w:rsidRPr="00301D17">
        <w:rPr>
          <w:rFonts w:ascii="Times New Roman" w:hAnsi="Times New Roman" w:cs="Times New Roman"/>
        </w:rPr>
        <w:t>that these facilities are better insulated from the economic impacts of California’s climate programs, and therefore can sustain lower levels of industry assistance</w:t>
      </w:r>
      <w:r w:rsidR="003F17F1" w:rsidRPr="00301D17">
        <w:rPr>
          <w:rFonts w:ascii="Times New Roman" w:hAnsi="Times New Roman" w:cs="Times New Roman"/>
        </w:rPr>
        <w:t>.</w:t>
      </w:r>
      <w:r w:rsidR="00397AE7" w:rsidRPr="00301D17">
        <w:rPr>
          <w:rFonts w:ascii="Times New Roman" w:hAnsi="Times New Roman" w:cs="Times New Roman"/>
        </w:rPr>
        <w:t xml:space="preserve">  </w:t>
      </w:r>
      <w:r w:rsidR="003F17F1" w:rsidRPr="00301D17">
        <w:rPr>
          <w:rFonts w:ascii="Times New Roman" w:hAnsi="Times New Roman" w:cs="Times New Roman"/>
        </w:rPr>
        <w:t xml:space="preserve">ARB must be transparent in how it </w:t>
      </w:r>
      <w:r w:rsidR="009520C7" w:rsidRPr="00301D17">
        <w:rPr>
          <w:rFonts w:ascii="Times New Roman" w:hAnsi="Times New Roman" w:cs="Times New Roman"/>
        </w:rPr>
        <w:t>addresses</w:t>
      </w:r>
      <w:r w:rsidR="0014424C" w:rsidRPr="00301D17">
        <w:rPr>
          <w:rFonts w:ascii="Times New Roman" w:hAnsi="Times New Roman" w:cs="Times New Roman"/>
        </w:rPr>
        <w:t xml:space="preserve"> this refinery-specific circumstance</w:t>
      </w:r>
      <w:r w:rsidR="003F17F1" w:rsidRPr="00301D17">
        <w:rPr>
          <w:rFonts w:ascii="Times New Roman" w:hAnsi="Times New Roman" w:cs="Times New Roman"/>
        </w:rPr>
        <w:t>.</w:t>
      </w:r>
    </w:p>
    <w:p w:rsidR="008E4AB3" w:rsidRPr="00301D17" w:rsidRDefault="008E4AB3" w:rsidP="00F60749">
      <w:pPr>
        <w:pStyle w:val="ListParagraph"/>
        <w:numPr>
          <w:ilvl w:val="1"/>
          <w:numId w:val="21"/>
        </w:numPr>
        <w:jc w:val="both"/>
        <w:rPr>
          <w:rFonts w:ascii="Times New Roman" w:hAnsi="Times New Roman" w:cs="Times New Roman"/>
          <w:b/>
        </w:rPr>
      </w:pPr>
      <w:r w:rsidRPr="00301D17">
        <w:rPr>
          <w:rFonts w:ascii="Times New Roman" w:hAnsi="Times New Roman" w:cs="Times New Roman"/>
          <w:b/>
        </w:rPr>
        <w:t>Non-</w:t>
      </w:r>
      <w:r w:rsidR="00D42AAC" w:rsidRPr="00301D17">
        <w:rPr>
          <w:rFonts w:ascii="Times New Roman" w:hAnsi="Times New Roman" w:cs="Times New Roman"/>
          <w:b/>
        </w:rPr>
        <w:t>Manufacturing</w:t>
      </w:r>
      <w:r w:rsidR="00B76DED" w:rsidRPr="00301D17">
        <w:rPr>
          <w:rFonts w:ascii="Times New Roman" w:hAnsi="Times New Roman" w:cs="Times New Roman"/>
          <w:b/>
        </w:rPr>
        <w:t xml:space="preserve"> </w:t>
      </w:r>
      <w:r w:rsidRPr="00301D17">
        <w:rPr>
          <w:rFonts w:ascii="Times New Roman" w:hAnsi="Times New Roman" w:cs="Times New Roman"/>
          <w:b/>
        </w:rPr>
        <w:t>S</w:t>
      </w:r>
      <w:r w:rsidR="00301D17" w:rsidRPr="00301D17">
        <w:rPr>
          <w:rFonts w:ascii="Times New Roman" w:hAnsi="Times New Roman" w:cs="Times New Roman"/>
          <w:b/>
        </w:rPr>
        <w:t>ectors</w:t>
      </w:r>
      <w:r w:rsidR="00BA3D06">
        <w:rPr>
          <w:rFonts w:ascii="Times New Roman" w:hAnsi="Times New Roman" w:cs="Times New Roman"/>
          <w:b/>
        </w:rPr>
        <w:t xml:space="preserve"> –</w:t>
      </w:r>
      <w:r w:rsidR="00227D47">
        <w:rPr>
          <w:rFonts w:ascii="Times New Roman" w:hAnsi="Times New Roman" w:cs="Times New Roman"/>
          <w:b/>
        </w:rPr>
        <w:t xml:space="preserve"> November 10 Addendum</w:t>
      </w:r>
    </w:p>
    <w:p w:rsidR="00227D47" w:rsidRPr="00227D47" w:rsidRDefault="00767D9C" w:rsidP="00F60749">
      <w:pPr>
        <w:ind w:left="1440"/>
        <w:jc w:val="both"/>
        <w:rPr>
          <w:rFonts w:ascii="Times New Roman" w:hAnsi="Times New Roman" w:cs="Times New Roman"/>
        </w:rPr>
      </w:pPr>
      <w:r w:rsidRPr="00BA3D06">
        <w:rPr>
          <w:rFonts w:ascii="Times New Roman" w:hAnsi="Times New Roman" w:cs="Times New Roman"/>
        </w:rPr>
        <w:t xml:space="preserve">In </w:t>
      </w:r>
      <w:r w:rsidR="00227D47">
        <w:rPr>
          <w:rFonts w:ascii="Times New Roman" w:hAnsi="Times New Roman" w:cs="Times New Roman"/>
        </w:rPr>
        <w:t>the</w:t>
      </w:r>
      <w:r w:rsidRPr="00BA3D06">
        <w:rPr>
          <w:rFonts w:ascii="Times New Roman" w:hAnsi="Times New Roman" w:cs="Times New Roman"/>
        </w:rPr>
        <w:t xml:space="preserve"> October 21, </w:t>
      </w:r>
      <w:r w:rsidR="00C92C03" w:rsidRPr="00BA3D06">
        <w:rPr>
          <w:rFonts w:ascii="Times New Roman" w:hAnsi="Times New Roman" w:cs="Times New Roman"/>
        </w:rPr>
        <w:t xml:space="preserve">2016 addendum to </w:t>
      </w:r>
      <w:r w:rsidR="00227D47">
        <w:rPr>
          <w:rFonts w:ascii="Times New Roman" w:hAnsi="Times New Roman" w:cs="Times New Roman"/>
        </w:rPr>
        <w:t>staff’s</w:t>
      </w:r>
      <w:r w:rsidR="00C92C03" w:rsidRPr="00BA3D06">
        <w:rPr>
          <w:rFonts w:ascii="Times New Roman" w:hAnsi="Times New Roman" w:cs="Times New Roman"/>
        </w:rPr>
        <w:t xml:space="preserve"> informal allowance allocation proposals</w:t>
      </w:r>
      <w:r w:rsidR="00C92C03" w:rsidRPr="00227D47">
        <w:rPr>
          <w:rFonts w:ascii="Times New Roman" w:hAnsi="Times New Roman" w:cs="Times New Roman"/>
        </w:rPr>
        <w:t>,</w:t>
      </w:r>
      <w:r w:rsidRPr="00227D47">
        <w:rPr>
          <w:rFonts w:ascii="Times New Roman" w:hAnsi="Times New Roman" w:cs="Times New Roman"/>
        </w:rPr>
        <w:t xml:space="preserve"> </w:t>
      </w:r>
      <w:r w:rsidR="00D42AAC" w:rsidRPr="00227D47">
        <w:rPr>
          <w:rFonts w:ascii="Times New Roman" w:hAnsi="Times New Roman" w:cs="Times New Roman"/>
        </w:rPr>
        <w:t>ARB</w:t>
      </w:r>
      <w:r w:rsidR="00C92C03" w:rsidRPr="00227D47">
        <w:rPr>
          <w:rFonts w:ascii="Times New Roman" w:hAnsi="Times New Roman" w:cs="Times New Roman"/>
        </w:rPr>
        <w:t xml:space="preserve"> indicated it was</w:t>
      </w:r>
      <w:r w:rsidR="00D42AAC" w:rsidRPr="00227D47">
        <w:rPr>
          <w:rFonts w:ascii="Times New Roman" w:hAnsi="Times New Roman" w:cs="Times New Roman"/>
        </w:rPr>
        <w:t xml:space="preserve"> reconsider</w:t>
      </w:r>
      <w:r w:rsidR="00C92C03" w:rsidRPr="00227D47">
        <w:rPr>
          <w:rFonts w:ascii="Times New Roman" w:hAnsi="Times New Roman" w:cs="Times New Roman"/>
        </w:rPr>
        <w:t>ing</w:t>
      </w:r>
      <w:r w:rsidR="00D42AAC" w:rsidRPr="00227D47">
        <w:rPr>
          <w:rFonts w:ascii="Times New Roman" w:hAnsi="Times New Roman" w:cs="Times New Roman"/>
        </w:rPr>
        <w:t xml:space="preserve"> its earlier proposal to estimate leakage risk for the oil and gas sector and other “non-studied” sectors based on estimates derived from “similar” studie</w:t>
      </w:r>
      <w:r w:rsidR="00BA3D06" w:rsidRPr="00227D47">
        <w:rPr>
          <w:rFonts w:ascii="Times New Roman" w:hAnsi="Times New Roman" w:cs="Times New Roman"/>
        </w:rPr>
        <w:t>d</w:t>
      </w:r>
      <w:r w:rsidR="00D42AAC" w:rsidRPr="00227D47">
        <w:rPr>
          <w:rFonts w:ascii="Times New Roman" w:hAnsi="Times New Roman" w:cs="Times New Roman"/>
        </w:rPr>
        <w:t xml:space="preserve"> sectors.  </w:t>
      </w:r>
      <w:r w:rsidR="00C92C03" w:rsidRPr="00227D47">
        <w:rPr>
          <w:rFonts w:ascii="Times New Roman" w:hAnsi="Times New Roman" w:cs="Times New Roman"/>
        </w:rPr>
        <w:t>We support this decision.</w:t>
      </w:r>
      <w:r w:rsidR="00D42AAC" w:rsidRPr="00227D47">
        <w:rPr>
          <w:rFonts w:ascii="Times New Roman" w:hAnsi="Times New Roman" w:cs="Times New Roman"/>
        </w:rPr>
        <w:t xml:space="preserve"> ARB should not attempt to apply the UC Berkeley and RFFI manufacturing sector studies, nor any regression analysis, to non-manufacturing sectors.</w:t>
      </w:r>
      <w:r w:rsidR="00D42AAC" w:rsidRPr="00B01A7C">
        <w:rPr>
          <w:rFonts w:ascii="Times New Roman" w:hAnsi="Times New Roman" w:cs="Times New Roman"/>
        </w:rPr>
        <w:t xml:space="preserve">  </w:t>
      </w:r>
      <w:r w:rsidR="00BA3D06" w:rsidRPr="00B01A7C">
        <w:rPr>
          <w:rFonts w:ascii="Times New Roman" w:hAnsi="Times New Roman" w:cs="Times New Roman"/>
        </w:rPr>
        <w:t xml:space="preserve">ARB has </w:t>
      </w:r>
      <w:r w:rsidR="00BA3D06" w:rsidRPr="00BA3D06">
        <w:rPr>
          <w:rFonts w:ascii="Times New Roman" w:hAnsi="Times New Roman" w:cs="Times New Roman"/>
        </w:rPr>
        <w:t>acknowledged that the US Census data is not well suited to the non-studied sectors because it does not differentiate among the fuels used in California.  Moreover, e</w:t>
      </w:r>
      <w:r w:rsidR="00D42AAC" w:rsidRPr="00BA3D06">
        <w:rPr>
          <w:rFonts w:ascii="Times New Roman" w:hAnsi="Times New Roman" w:cs="Times New Roman"/>
        </w:rPr>
        <w:t xml:space="preserve">xtending the results of </w:t>
      </w:r>
      <w:r w:rsidR="00BA3D06" w:rsidRPr="00BA3D06">
        <w:rPr>
          <w:rFonts w:ascii="Times New Roman" w:hAnsi="Times New Roman" w:cs="Times New Roman"/>
        </w:rPr>
        <w:t xml:space="preserve">the manufacturing sector </w:t>
      </w:r>
      <w:r w:rsidR="00D42AAC" w:rsidRPr="00BA3D06">
        <w:rPr>
          <w:rFonts w:ascii="Times New Roman" w:hAnsi="Times New Roman" w:cs="Times New Roman"/>
        </w:rPr>
        <w:t>research to non-</w:t>
      </w:r>
      <w:r w:rsidR="00EF7B36" w:rsidRPr="00BA3D06">
        <w:rPr>
          <w:rFonts w:ascii="Times New Roman" w:hAnsi="Times New Roman" w:cs="Times New Roman"/>
        </w:rPr>
        <w:t xml:space="preserve">manufacturing </w:t>
      </w:r>
      <w:r w:rsidR="00D42AAC" w:rsidRPr="00BA3D06">
        <w:rPr>
          <w:rFonts w:ascii="Times New Roman" w:hAnsi="Times New Roman" w:cs="Times New Roman"/>
        </w:rPr>
        <w:t xml:space="preserve">sectors without regard to the limitations </w:t>
      </w:r>
      <w:r w:rsidR="00BA3D06" w:rsidRPr="00BA3D06">
        <w:rPr>
          <w:rFonts w:ascii="Times New Roman" w:hAnsi="Times New Roman" w:cs="Times New Roman"/>
        </w:rPr>
        <w:t xml:space="preserve">expressly </w:t>
      </w:r>
      <w:r w:rsidR="00D42AAC" w:rsidRPr="00BA3D06">
        <w:rPr>
          <w:rFonts w:ascii="Times New Roman" w:hAnsi="Times New Roman" w:cs="Times New Roman"/>
        </w:rPr>
        <w:t xml:space="preserve">identified by the study authors </w:t>
      </w:r>
      <w:r w:rsidR="00BA3D06" w:rsidRPr="00BA3D06">
        <w:rPr>
          <w:rFonts w:ascii="Times New Roman" w:hAnsi="Times New Roman" w:cs="Times New Roman"/>
        </w:rPr>
        <w:t xml:space="preserve">would </w:t>
      </w:r>
      <w:r w:rsidR="00D42AAC" w:rsidRPr="00BA3D06">
        <w:rPr>
          <w:rFonts w:ascii="Times New Roman" w:hAnsi="Times New Roman" w:cs="Times New Roman"/>
        </w:rPr>
        <w:t>only compound the error embedded in the proxy leakage risk estimates.</w:t>
      </w:r>
      <w:r w:rsidR="00227D47">
        <w:rPr>
          <w:rFonts w:ascii="Times New Roman" w:hAnsi="Times New Roman" w:cs="Times New Roman"/>
        </w:rPr>
        <w:t xml:space="preserve">  </w:t>
      </w:r>
      <w:r w:rsidR="00227D47" w:rsidRPr="00227D47">
        <w:rPr>
          <w:rFonts w:ascii="Times New Roman" w:hAnsi="Times New Roman" w:cs="Times New Roman"/>
        </w:rPr>
        <w:t>This approach would likely lead to findings that are less representative of non-manufacturing sectors than ARB’s current energy intensity and trade exposure-based approach, resulting in inadequate assistance factors that will promote rather than prevent leakage.</w:t>
      </w:r>
    </w:p>
    <w:p w:rsidR="00EC515E" w:rsidRPr="00227D47" w:rsidRDefault="00BA3D06" w:rsidP="00F60749">
      <w:pPr>
        <w:ind w:left="1440"/>
        <w:jc w:val="both"/>
        <w:rPr>
          <w:rFonts w:ascii="Times New Roman" w:hAnsi="Times New Roman" w:cs="Times New Roman"/>
        </w:rPr>
      </w:pPr>
      <w:r w:rsidRPr="00B01A7C">
        <w:rPr>
          <w:rFonts w:ascii="Times New Roman" w:hAnsi="Times New Roman" w:cs="Times New Roman"/>
        </w:rPr>
        <w:t>In light of these facts it is unclear why</w:t>
      </w:r>
      <w:r w:rsidRPr="005F0BE1">
        <w:rPr>
          <w:rFonts w:ascii="Times New Roman" w:hAnsi="Times New Roman" w:cs="Times New Roman"/>
        </w:rPr>
        <w:t>, in the November 10, 2016 addendum to staff’s</w:t>
      </w:r>
      <w:r w:rsidRPr="000833AF">
        <w:rPr>
          <w:rFonts w:ascii="Times New Roman" w:hAnsi="Times New Roman" w:cs="Times New Roman"/>
        </w:rPr>
        <w:t xml:space="preserve"> </w:t>
      </w:r>
      <w:r w:rsidRPr="00BA3D06">
        <w:rPr>
          <w:rFonts w:ascii="Times New Roman" w:hAnsi="Times New Roman" w:cs="Times New Roman"/>
        </w:rPr>
        <w:t xml:space="preserve">informal allowance allocation proposals, ARB chose to reverse course and use the US Census data for manufacturing sectors to estimate the domestic leakage </w:t>
      </w:r>
      <w:r w:rsidR="00A8356F">
        <w:rPr>
          <w:rFonts w:ascii="Times New Roman" w:hAnsi="Times New Roman" w:cs="Times New Roman"/>
        </w:rPr>
        <w:t>potential for</w:t>
      </w:r>
      <w:r w:rsidRPr="00A8356F">
        <w:rPr>
          <w:rFonts w:ascii="Times New Roman" w:hAnsi="Times New Roman" w:cs="Times New Roman"/>
        </w:rPr>
        <w:t xml:space="preserve"> non-studied sectors, and apply regressions developed for </w:t>
      </w:r>
      <w:r w:rsidR="00A8356F">
        <w:rPr>
          <w:rFonts w:ascii="Times New Roman" w:hAnsi="Times New Roman" w:cs="Times New Roman"/>
        </w:rPr>
        <w:t>“studied”</w:t>
      </w:r>
      <w:r w:rsidRPr="00A8356F">
        <w:rPr>
          <w:rFonts w:ascii="Times New Roman" w:hAnsi="Times New Roman" w:cs="Times New Roman"/>
        </w:rPr>
        <w:t xml:space="preserve"> manufacturing sectors to </w:t>
      </w:r>
      <w:r>
        <w:rPr>
          <w:rFonts w:ascii="Times New Roman" w:hAnsi="Times New Roman" w:cs="Times New Roman"/>
        </w:rPr>
        <w:t xml:space="preserve">define </w:t>
      </w:r>
      <w:r w:rsidR="00A8356F">
        <w:rPr>
          <w:rFonts w:ascii="Times New Roman" w:hAnsi="Times New Roman" w:cs="Times New Roman"/>
        </w:rPr>
        <w:t xml:space="preserve">allowance </w:t>
      </w:r>
      <w:r>
        <w:rPr>
          <w:rFonts w:ascii="Times New Roman" w:hAnsi="Times New Roman" w:cs="Times New Roman"/>
        </w:rPr>
        <w:t>allocation factors</w:t>
      </w:r>
      <w:r w:rsidRPr="00BA3D06">
        <w:rPr>
          <w:rFonts w:ascii="Times New Roman" w:hAnsi="Times New Roman" w:cs="Times New Roman"/>
        </w:rPr>
        <w:t xml:space="preserve"> non-studied sectors.</w:t>
      </w:r>
      <w:r w:rsidR="000833AF">
        <w:rPr>
          <w:rFonts w:ascii="Times New Roman" w:hAnsi="Times New Roman" w:cs="Times New Roman"/>
        </w:rPr>
        <w:t xml:space="preserve">  Preliminarily, </w:t>
      </w:r>
      <w:r w:rsidR="00EC515E" w:rsidRPr="000833AF">
        <w:rPr>
          <w:rFonts w:ascii="Times New Roman" w:hAnsi="Times New Roman" w:cs="Times New Roman"/>
        </w:rPr>
        <w:t>WSPA has several significant concerns with the</w:t>
      </w:r>
      <w:r w:rsidR="00227D47" w:rsidRPr="000833AF">
        <w:rPr>
          <w:rFonts w:ascii="Times New Roman" w:hAnsi="Times New Roman" w:cs="Times New Roman"/>
        </w:rPr>
        <w:t xml:space="preserve"> November 10 </w:t>
      </w:r>
      <w:r w:rsidR="00EC515E" w:rsidRPr="000833AF">
        <w:rPr>
          <w:rFonts w:ascii="Times New Roman" w:hAnsi="Times New Roman" w:cs="Times New Roman"/>
        </w:rPr>
        <w:t>addendum</w:t>
      </w:r>
      <w:r w:rsidR="00227D47" w:rsidRPr="000833AF">
        <w:rPr>
          <w:rFonts w:ascii="Times New Roman" w:hAnsi="Times New Roman" w:cs="Times New Roman"/>
        </w:rPr>
        <w:t xml:space="preserve"> related to </w:t>
      </w:r>
      <w:r w:rsidR="000833AF" w:rsidRPr="000833AF">
        <w:rPr>
          <w:rFonts w:ascii="Times New Roman" w:hAnsi="Times New Roman" w:cs="Times New Roman"/>
        </w:rPr>
        <w:t>ARB’s estimation of energy intensity for California oil and gas operations</w:t>
      </w:r>
      <w:r w:rsidR="00EC515E" w:rsidRPr="000833AF">
        <w:rPr>
          <w:rFonts w:ascii="Times New Roman" w:hAnsi="Times New Roman" w:cs="Times New Roman"/>
        </w:rPr>
        <w:t>.</w:t>
      </w:r>
    </w:p>
    <w:p w:rsidR="00EC515E" w:rsidRPr="00E20114" w:rsidRDefault="00EC515E" w:rsidP="00F60749">
      <w:pPr>
        <w:ind w:left="1440"/>
        <w:jc w:val="both"/>
        <w:rPr>
          <w:rFonts w:ascii="Times New Roman" w:hAnsi="Times New Roman" w:cs="Times New Roman"/>
        </w:rPr>
      </w:pPr>
      <w:r w:rsidRPr="00E20114">
        <w:rPr>
          <w:rFonts w:ascii="Times New Roman" w:hAnsi="Times New Roman" w:cs="Times New Roman"/>
        </w:rPr>
        <w:t xml:space="preserve">ARB defines energy intensity as “the fraction of total costs coming from energy consumption”.  WSPA </w:t>
      </w:r>
      <w:r w:rsidR="000833AF" w:rsidRPr="00E20114">
        <w:rPr>
          <w:rFonts w:ascii="Times New Roman" w:hAnsi="Times New Roman" w:cs="Times New Roman"/>
        </w:rPr>
        <w:t>infers from</w:t>
      </w:r>
      <w:r w:rsidRPr="00E20114">
        <w:rPr>
          <w:rFonts w:ascii="Times New Roman" w:hAnsi="Times New Roman" w:cs="Times New Roman"/>
        </w:rPr>
        <w:t xml:space="preserve"> this definition that</w:t>
      </w:r>
      <w:r w:rsidRPr="00E20114">
        <w:rPr>
          <w:rFonts w:ascii="Times New Roman" w:hAnsi="Times New Roman" w:cs="Times New Roman"/>
          <w:sz w:val="14"/>
          <w:szCs w:val="14"/>
        </w:rPr>
        <w:t xml:space="preserve"> </w:t>
      </w:r>
      <w:r w:rsidR="000833AF" w:rsidRPr="00E20114">
        <w:rPr>
          <w:rFonts w:ascii="Times New Roman" w:hAnsi="Times New Roman" w:cs="Times New Roman"/>
        </w:rPr>
        <w:t>e</w:t>
      </w:r>
      <w:r w:rsidRPr="00E20114">
        <w:rPr>
          <w:rFonts w:ascii="Times New Roman" w:hAnsi="Times New Roman" w:cs="Times New Roman"/>
        </w:rPr>
        <w:t xml:space="preserve">nergy </w:t>
      </w:r>
      <w:r w:rsidR="000833AF" w:rsidRPr="00E20114">
        <w:rPr>
          <w:rFonts w:ascii="Times New Roman" w:hAnsi="Times New Roman" w:cs="Times New Roman"/>
        </w:rPr>
        <w:t>i</w:t>
      </w:r>
      <w:r w:rsidRPr="00E20114">
        <w:rPr>
          <w:rFonts w:ascii="Times New Roman" w:hAnsi="Times New Roman" w:cs="Times New Roman"/>
        </w:rPr>
        <w:t xml:space="preserve">ntensity </w:t>
      </w:r>
      <w:r w:rsidR="000833AF" w:rsidRPr="00E20114">
        <w:rPr>
          <w:rFonts w:ascii="Times New Roman" w:hAnsi="Times New Roman" w:cs="Times New Roman"/>
        </w:rPr>
        <w:t>for the oil and gas sector is the t</w:t>
      </w:r>
      <w:r w:rsidRPr="00E20114">
        <w:rPr>
          <w:rFonts w:ascii="Times New Roman" w:hAnsi="Times New Roman" w:cs="Times New Roman"/>
        </w:rPr>
        <w:t>otal energy costs</w:t>
      </w:r>
      <w:r w:rsidR="000833AF" w:rsidRPr="00E20114">
        <w:rPr>
          <w:rFonts w:ascii="Times New Roman" w:hAnsi="Times New Roman" w:cs="Times New Roman"/>
        </w:rPr>
        <w:t xml:space="preserve"> divided by</w:t>
      </w:r>
      <w:r w:rsidRPr="00E20114">
        <w:rPr>
          <w:rFonts w:ascii="Times New Roman" w:hAnsi="Times New Roman" w:cs="Times New Roman"/>
        </w:rPr>
        <w:t xml:space="preserve"> </w:t>
      </w:r>
      <w:r w:rsidR="000833AF" w:rsidRPr="00E20114">
        <w:rPr>
          <w:rFonts w:ascii="Times New Roman" w:hAnsi="Times New Roman" w:cs="Times New Roman"/>
        </w:rPr>
        <w:t>the t</w:t>
      </w:r>
      <w:r w:rsidRPr="00E20114">
        <w:rPr>
          <w:rFonts w:ascii="Times New Roman" w:hAnsi="Times New Roman" w:cs="Times New Roman"/>
        </w:rPr>
        <w:t>otal cost to extract and tr</w:t>
      </w:r>
      <w:r w:rsidR="000833AF" w:rsidRPr="00E20114">
        <w:rPr>
          <w:rFonts w:ascii="Times New Roman" w:hAnsi="Times New Roman" w:cs="Times New Roman"/>
        </w:rPr>
        <w:t>eat oil and gas prior to sale</w:t>
      </w:r>
      <w:r w:rsidR="00E20114" w:rsidRPr="00E20114">
        <w:rPr>
          <w:rFonts w:ascii="Times New Roman" w:hAnsi="Times New Roman" w:cs="Times New Roman"/>
        </w:rPr>
        <w:t>, where:</w:t>
      </w:r>
    </w:p>
    <w:p w:rsidR="000833AF" w:rsidRPr="00E20114" w:rsidRDefault="00EC515E" w:rsidP="00F60749">
      <w:pPr>
        <w:pStyle w:val="ListParagraph"/>
        <w:numPr>
          <w:ilvl w:val="0"/>
          <w:numId w:val="31"/>
        </w:numPr>
        <w:jc w:val="both"/>
        <w:rPr>
          <w:rFonts w:ascii="Times New Roman" w:hAnsi="Times New Roman" w:cs="Times New Roman"/>
        </w:rPr>
      </w:pPr>
      <w:r w:rsidRPr="00E20114">
        <w:rPr>
          <w:rFonts w:ascii="Times New Roman" w:hAnsi="Times New Roman" w:cs="Times New Roman"/>
        </w:rPr>
        <w:lastRenderedPageBreak/>
        <w:t>Total energy costs include the cost of electricity, natural gas</w:t>
      </w:r>
      <w:r w:rsidR="007E3925">
        <w:rPr>
          <w:rFonts w:ascii="Times New Roman" w:hAnsi="Times New Roman" w:cs="Times New Roman"/>
        </w:rPr>
        <w:t>,</w:t>
      </w:r>
      <w:r w:rsidRPr="00E20114">
        <w:rPr>
          <w:rFonts w:ascii="Times New Roman" w:hAnsi="Times New Roman" w:cs="Times New Roman"/>
        </w:rPr>
        <w:t xml:space="preserve"> and in the case of thermally enhanced oil production</w:t>
      </w:r>
      <w:r w:rsidR="00E20114" w:rsidRPr="00E20114">
        <w:rPr>
          <w:rFonts w:ascii="Times New Roman" w:hAnsi="Times New Roman" w:cs="Times New Roman"/>
        </w:rPr>
        <w:t>,</w:t>
      </w:r>
      <w:r w:rsidRPr="00E20114">
        <w:rPr>
          <w:rFonts w:ascii="Times New Roman" w:hAnsi="Times New Roman" w:cs="Times New Roman"/>
        </w:rPr>
        <w:t xml:space="preserve"> any purchased steam.</w:t>
      </w:r>
    </w:p>
    <w:p w:rsidR="00EC515E" w:rsidRPr="00E20114" w:rsidRDefault="00EC515E" w:rsidP="00F60749">
      <w:pPr>
        <w:pStyle w:val="ListParagraph"/>
        <w:numPr>
          <w:ilvl w:val="0"/>
          <w:numId w:val="31"/>
        </w:numPr>
        <w:jc w:val="both"/>
        <w:rPr>
          <w:rFonts w:ascii="Times New Roman" w:hAnsi="Times New Roman" w:cs="Times New Roman"/>
        </w:rPr>
      </w:pPr>
      <w:r w:rsidRPr="00E20114">
        <w:rPr>
          <w:rFonts w:ascii="Times New Roman" w:hAnsi="Times New Roman" w:cs="Times New Roman"/>
        </w:rPr>
        <w:t>Total costs to extract include energy cost, capital costs and non-energy expenses including overhead</w:t>
      </w:r>
      <w:r w:rsidR="000833AF" w:rsidRPr="00E20114">
        <w:rPr>
          <w:rFonts w:ascii="Times New Roman" w:hAnsi="Times New Roman" w:cs="Times New Roman"/>
        </w:rPr>
        <w:t>.</w:t>
      </w:r>
    </w:p>
    <w:p w:rsidR="00EC515E" w:rsidRPr="00E20114" w:rsidRDefault="00E20114" w:rsidP="00F60749">
      <w:pPr>
        <w:ind w:left="1440"/>
        <w:jc w:val="both"/>
        <w:rPr>
          <w:rFonts w:ascii="Times New Roman" w:hAnsi="Times New Roman" w:cs="Times New Roman"/>
        </w:rPr>
      </w:pPr>
      <w:r w:rsidRPr="008D2CB8">
        <w:rPr>
          <w:rFonts w:ascii="Times New Roman" w:hAnsi="Times New Roman" w:cs="Times New Roman"/>
        </w:rPr>
        <w:t>In an attempt to verify ARB’s energy intensity estimates in the November 10 addendum, o</w:t>
      </w:r>
      <w:r w:rsidR="00EC515E" w:rsidRPr="008D2CB8">
        <w:rPr>
          <w:rFonts w:ascii="Times New Roman" w:hAnsi="Times New Roman" w:cs="Times New Roman"/>
        </w:rPr>
        <w:t>ne WSPA member calculated energy intensities for 10 oil fields.  Eight of these oil fields employ steam injection used for enhanced oil recovery (EOR).  Two of these oil fields employ primary oil production methods.  Energy intensities were calculated for each field for 2015 and 2016 to date.</w:t>
      </w:r>
      <w:r w:rsidRPr="008D2CB8">
        <w:rPr>
          <w:rFonts w:ascii="Times New Roman" w:hAnsi="Times New Roman" w:cs="Times New Roman"/>
        </w:rPr>
        <w:t xml:space="preserve">  T</w:t>
      </w:r>
      <w:r w:rsidR="00EC515E" w:rsidRPr="008D2CB8">
        <w:rPr>
          <w:rFonts w:ascii="Times New Roman" w:hAnsi="Times New Roman" w:cs="Times New Roman"/>
        </w:rPr>
        <w:t>he oil</w:t>
      </w:r>
      <w:r w:rsidRPr="008D2CB8">
        <w:rPr>
          <w:rFonts w:ascii="Times New Roman" w:hAnsi="Times New Roman" w:cs="Times New Roman"/>
        </w:rPr>
        <w:t xml:space="preserve"> </w:t>
      </w:r>
      <w:r w:rsidR="00EC515E" w:rsidRPr="008D2CB8">
        <w:rPr>
          <w:rFonts w:ascii="Times New Roman" w:hAnsi="Times New Roman" w:cs="Times New Roman"/>
        </w:rPr>
        <w:t>field</w:t>
      </w:r>
      <w:r w:rsidRPr="008D2CB8">
        <w:rPr>
          <w:rFonts w:ascii="Times New Roman" w:hAnsi="Times New Roman" w:cs="Times New Roman"/>
        </w:rPr>
        <w:t>s</w:t>
      </w:r>
      <w:r w:rsidR="00EC515E" w:rsidRPr="008D2CB8">
        <w:rPr>
          <w:rFonts w:ascii="Times New Roman" w:hAnsi="Times New Roman" w:cs="Times New Roman"/>
        </w:rPr>
        <w:t xml:space="preserve"> </w:t>
      </w:r>
      <w:r w:rsidRPr="008D2CB8">
        <w:rPr>
          <w:rFonts w:ascii="Times New Roman" w:hAnsi="Times New Roman" w:cs="Times New Roman"/>
        </w:rPr>
        <w:t>employing</w:t>
      </w:r>
      <w:r w:rsidR="00EC515E" w:rsidRPr="008D2CB8">
        <w:rPr>
          <w:rFonts w:ascii="Times New Roman" w:hAnsi="Times New Roman" w:cs="Times New Roman"/>
        </w:rPr>
        <w:t xml:space="preserve"> EOR had energy intensities </w:t>
      </w:r>
      <w:r w:rsidRPr="008D2CB8">
        <w:rPr>
          <w:rFonts w:ascii="Times New Roman" w:hAnsi="Times New Roman" w:cs="Times New Roman"/>
        </w:rPr>
        <w:t xml:space="preserve">of </w:t>
      </w:r>
      <w:r w:rsidR="00EC515E" w:rsidRPr="008D2CB8">
        <w:rPr>
          <w:rFonts w:ascii="Times New Roman" w:hAnsi="Times New Roman" w:cs="Times New Roman"/>
        </w:rPr>
        <w:t>0.222 for 2015</w:t>
      </w:r>
      <w:r w:rsidR="008D2CB8" w:rsidRPr="008D2CB8">
        <w:rPr>
          <w:rFonts w:ascii="Times New Roman" w:hAnsi="Times New Roman" w:cs="Times New Roman"/>
        </w:rPr>
        <w:t xml:space="preserve"> and 0.211 for 2016</w:t>
      </w:r>
      <w:r w:rsidR="00EC515E" w:rsidRPr="008D2CB8">
        <w:rPr>
          <w:rFonts w:ascii="Times New Roman" w:hAnsi="Times New Roman" w:cs="Times New Roman"/>
        </w:rPr>
        <w:t>. </w:t>
      </w:r>
      <w:r w:rsidRPr="008D2CB8">
        <w:rPr>
          <w:rFonts w:ascii="Times New Roman" w:hAnsi="Times New Roman" w:cs="Times New Roman"/>
        </w:rPr>
        <w:t xml:space="preserve"> The </w:t>
      </w:r>
      <w:r w:rsidR="00EC515E" w:rsidRPr="008D2CB8">
        <w:rPr>
          <w:rFonts w:ascii="Times New Roman" w:hAnsi="Times New Roman" w:cs="Times New Roman"/>
        </w:rPr>
        <w:t>non-EOR oil</w:t>
      </w:r>
      <w:r w:rsidRPr="008D2CB8">
        <w:rPr>
          <w:rFonts w:ascii="Times New Roman" w:hAnsi="Times New Roman" w:cs="Times New Roman"/>
        </w:rPr>
        <w:t xml:space="preserve"> </w:t>
      </w:r>
      <w:r w:rsidR="00EC515E" w:rsidRPr="008D2CB8">
        <w:rPr>
          <w:rFonts w:ascii="Times New Roman" w:hAnsi="Times New Roman" w:cs="Times New Roman"/>
        </w:rPr>
        <w:t xml:space="preserve">fields had energy intensities </w:t>
      </w:r>
      <w:r w:rsidRPr="008D2CB8">
        <w:rPr>
          <w:rFonts w:ascii="Times New Roman" w:hAnsi="Times New Roman" w:cs="Times New Roman"/>
        </w:rPr>
        <w:t xml:space="preserve">of </w:t>
      </w:r>
      <w:r w:rsidR="00EC515E" w:rsidRPr="008D2CB8">
        <w:rPr>
          <w:rFonts w:ascii="Times New Roman" w:hAnsi="Times New Roman" w:cs="Times New Roman"/>
        </w:rPr>
        <w:t>.074 for 2015</w:t>
      </w:r>
      <w:r w:rsidR="008D2CB8" w:rsidRPr="008D2CB8">
        <w:rPr>
          <w:rFonts w:ascii="Times New Roman" w:hAnsi="Times New Roman" w:cs="Times New Roman"/>
        </w:rPr>
        <w:t xml:space="preserve"> and 0.092 for 2016</w:t>
      </w:r>
      <w:r w:rsidR="00EC515E" w:rsidRPr="008D2CB8">
        <w:rPr>
          <w:rFonts w:ascii="Times New Roman" w:hAnsi="Times New Roman" w:cs="Times New Roman"/>
        </w:rPr>
        <w:t>.</w:t>
      </w:r>
    </w:p>
    <w:p w:rsidR="00EC515E" w:rsidRPr="00EF5EA0" w:rsidRDefault="00EC515E" w:rsidP="003A1197">
      <w:pPr>
        <w:ind w:left="1440"/>
        <w:jc w:val="both"/>
        <w:rPr>
          <w:rFonts w:ascii="Times New Roman" w:hAnsi="Times New Roman" w:cs="Times New Roman"/>
        </w:rPr>
      </w:pPr>
      <w:r w:rsidRPr="00EF5EA0">
        <w:rPr>
          <w:rFonts w:ascii="Times New Roman" w:hAnsi="Times New Roman" w:cs="Times New Roman"/>
        </w:rPr>
        <w:t xml:space="preserve">The November 10 Addendum listed </w:t>
      </w:r>
      <w:r w:rsidR="00E20114" w:rsidRPr="00EF5EA0">
        <w:rPr>
          <w:rFonts w:ascii="Times New Roman" w:hAnsi="Times New Roman" w:cs="Times New Roman"/>
        </w:rPr>
        <w:t>an</w:t>
      </w:r>
      <w:r w:rsidRPr="00EF5EA0">
        <w:rPr>
          <w:rFonts w:ascii="Times New Roman" w:hAnsi="Times New Roman" w:cs="Times New Roman"/>
        </w:rPr>
        <w:t xml:space="preserve"> energy intensity </w:t>
      </w:r>
      <w:r w:rsidR="00E20114" w:rsidRPr="00EF5EA0">
        <w:rPr>
          <w:rFonts w:ascii="Times New Roman" w:hAnsi="Times New Roman" w:cs="Times New Roman"/>
        </w:rPr>
        <w:t xml:space="preserve">estimate of </w:t>
      </w:r>
      <w:r w:rsidRPr="00EF5EA0">
        <w:rPr>
          <w:rFonts w:ascii="Times New Roman" w:hAnsi="Times New Roman" w:cs="Times New Roman"/>
        </w:rPr>
        <w:t xml:space="preserve">0.050 </w:t>
      </w:r>
      <w:r w:rsidR="00EF5EA0" w:rsidRPr="00EF5EA0">
        <w:rPr>
          <w:rFonts w:ascii="Times New Roman" w:hAnsi="Times New Roman" w:cs="Times New Roman"/>
        </w:rPr>
        <w:t>for the oil and gas sector</w:t>
      </w:r>
      <w:r w:rsidRPr="00EF5EA0">
        <w:rPr>
          <w:rFonts w:ascii="Times New Roman" w:hAnsi="Times New Roman" w:cs="Times New Roman"/>
        </w:rPr>
        <w:t xml:space="preserve"> </w:t>
      </w:r>
      <w:r w:rsidR="00FF4110">
        <w:rPr>
          <w:rFonts w:ascii="Times New Roman" w:hAnsi="Times New Roman" w:cs="Times New Roman"/>
        </w:rPr>
        <w:t>(</w:t>
      </w:r>
      <w:r w:rsidRPr="00EF5EA0">
        <w:rPr>
          <w:rFonts w:ascii="Times New Roman" w:hAnsi="Times New Roman" w:cs="Times New Roman"/>
        </w:rPr>
        <w:t>Table 1</w:t>
      </w:r>
      <w:r w:rsidR="00FF4110">
        <w:rPr>
          <w:rFonts w:ascii="Times New Roman" w:hAnsi="Times New Roman" w:cs="Times New Roman"/>
        </w:rPr>
        <w:t xml:space="preserve">, </w:t>
      </w:r>
      <w:r w:rsidRPr="00EF5EA0">
        <w:rPr>
          <w:rFonts w:ascii="Times New Roman" w:hAnsi="Times New Roman" w:cs="Times New Roman"/>
        </w:rPr>
        <w:t>p</w:t>
      </w:r>
      <w:r w:rsidR="008D2CB8" w:rsidRPr="00EF5EA0">
        <w:rPr>
          <w:rFonts w:ascii="Times New Roman" w:hAnsi="Times New Roman" w:cs="Times New Roman"/>
        </w:rPr>
        <w:t>age</w:t>
      </w:r>
      <w:r w:rsidRPr="00EF5EA0">
        <w:rPr>
          <w:rFonts w:ascii="Times New Roman" w:hAnsi="Times New Roman" w:cs="Times New Roman"/>
        </w:rPr>
        <w:t xml:space="preserve"> 7)</w:t>
      </w:r>
      <w:r w:rsidR="00E20114" w:rsidRPr="00EF5EA0">
        <w:rPr>
          <w:rFonts w:ascii="Times New Roman" w:hAnsi="Times New Roman" w:cs="Times New Roman"/>
        </w:rPr>
        <w:t xml:space="preserve">, </w:t>
      </w:r>
      <w:r w:rsidRPr="00EF5EA0">
        <w:rPr>
          <w:rFonts w:ascii="Times New Roman" w:hAnsi="Times New Roman" w:cs="Times New Roman"/>
        </w:rPr>
        <w:t xml:space="preserve">which is significantly lower than </w:t>
      </w:r>
      <w:r w:rsidR="00EF5EA0" w:rsidRPr="00EF5EA0">
        <w:rPr>
          <w:rFonts w:ascii="Times New Roman" w:hAnsi="Times New Roman" w:cs="Times New Roman"/>
        </w:rPr>
        <w:t>the observed values noted above</w:t>
      </w:r>
      <w:r w:rsidRPr="00EF5EA0">
        <w:rPr>
          <w:rFonts w:ascii="Times New Roman" w:hAnsi="Times New Roman" w:cs="Times New Roman"/>
        </w:rPr>
        <w:t xml:space="preserve">.  WSPA has reviewed the US Census data footnoted on page 1 of the Addendum and has not been able to </w:t>
      </w:r>
      <w:r w:rsidR="00E20114" w:rsidRPr="00EF5EA0">
        <w:rPr>
          <w:rFonts w:ascii="Times New Roman" w:hAnsi="Times New Roman" w:cs="Times New Roman"/>
        </w:rPr>
        <w:t xml:space="preserve">identify the actual </w:t>
      </w:r>
      <w:r w:rsidRPr="00EF5EA0">
        <w:rPr>
          <w:rFonts w:ascii="Times New Roman" w:hAnsi="Times New Roman" w:cs="Times New Roman"/>
        </w:rPr>
        <w:t xml:space="preserve">data or </w:t>
      </w:r>
      <w:r w:rsidR="00EF5EA0" w:rsidRPr="00EF5EA0">
        <w:rPr>
          <w:rFonts w:ascii="Times New Roman" w:hAnsi="Times New Roman" w:cs="Times New Roman"/>
        </w:rPr>
        <w:t>the</w:t>
      </w:r>
      <w:r w:rsidRPr="00EF5EA0">
        <w:rPr>
          <w:rFonts w:ascii="Times New Roman" w:hAnsi="Times New Roman" w:cs="Times New Roman"/>
        </w:rPr>
        <w:t xml:space="preserve"> methodology ARB used to develop their energy intensity </w:t>
      </w:r>
      <w:r w:rsidR="00E20114" w:rsidRPr="00EF5EA0">
        <w:rPr>
          <w:rFonts w:ascii="Times New Roman" w:hAnsi="Times New Roman" w:cs="Times New Roman"/>
        </w:rPr>
        <w:t>estimate</w:t>
      </w:r>
      <w:r w:rsidRPr="00EF5EA0">
        <w:rPr>
          <w:rFonts w:ascii="Times New Roman" w:hAnsi="Times New Roman" w:cs="Times New Roman"/>
        </w:rPr>
        <w:t xml:space="preserve">.  </w:t>
      </w:r>
      <w:r w:rsidR="00E20114" w:rsidRPr="00EF5EA0">
        <w:rPr>
          <w:rFonts w:ascii="Times New Roman" w:hAnsi="Times New Roman" w:cs="Times New Roman"/>
        </w:rPr>
        <w:t>Given</w:t>
      </w:r>
      <w:r w:rsidRPr="00EF5EA0">
        <w:rPr>
          <w:rFonts w:ascii="Times New Roman" w:hAnsi="Times New Roman" w:cs="Times New Roman"/>
        </w:rPr>
        <w:t xml:space="preserve"> the high</w:t>
      </w:r>
      <w:r w:rsidR="008D2CB8" w:rsidRPr="00EF5EA0">
        <w:rPr>
          <w:rFonts w:ascii="Times New Roman" w:hAnsi="Times New Roman" w:cs="Times New Roman"/>
        </w:rPr>
        <w:t>er</w:t>
      </w:r>
      <w:r w:rsidRPr="00EF5EA0">
        <w:rPr>
          <w:rFonts w:ascii="Times New Roman" w:hAnsi="Times New Roman" w:cs="Times New Roman"/>
        </w:rPr>
        <w:t xml:space="preserve"> energy intensity </w:t>
      </w:r>
      <w:r w:rsidR="00E20114" w:rsidRPr="00EF5EA0">
        <w:rPr>
          <w:rFonts w:ascii="Times New Roman" w:hAnsi="Times New Roman" w:cs="Times New Roman"/>
        </w:rPr>
        <w:t>typical of</w:t>
      </w:r>
      <w:r w:rsidRPr="00EF5EA0">
        <w:rPr>
          <w:rFonts w:ascii="Times New Roman" w:hAnsi="Times New Roman" w:cs="Times New Roman"/>
        </w:rPr>
        <w:t xml:space="preserve"> California EOR production, and the fact that </w:t>
      </w:r>
      <w:r w:rsidR="00E20114" w:rsidRPr="00EF5EA0">
        <w:rPr>
          <w:rFonts w:ascii="Times New Roman" w:hAnsi="Times New Roman" w:cs="Times New Roman"/>
        </w:rPr>
        <w:t xml:space="preserve">the majority of </w:t>
      </w:r>
      <w:r w:rsidRPr="00EF5EA0">
        <w:rPr>
          <w:rFonts w:ascii="Times New Roman" w:hAnsi="Times New Roman" w:cs="Times New Roman"/>
        </w:rPr>
        <w:t xml:space="preserve">EOR production </w:t>
      </w:r>
      <w:r w:rsidR="008D2CB8" w:rsidRPr="00EF5EA0">
        <w:rPr>
          <w:rFonts w:ascii="Times New Roman" w:hAnsi="Times New Roman" w:cs="Times New Roman"/>
        </w:rPr>
        <w:t>in the US occurs in California, use of</w:t>
      </w:r>
      <w:r w:rsidRPr="00EF5EA0">
        <w:rPr>
          <w:rFonts w:ascii="Times New Roman" w:hAnsi="Times New Roman" w:cs="Times New Roman"/>
        </w:rPr>
        <w:t xml:space="preserve"> US national energy intensity</w:t>
      </w:r>
      <w:r w:rsidR="008D2CB8" w:rsidRPr="00EF5EA0">
        <w:rPr>
          <w:rFonts w:ascii="Times New Roman" w:hAnsi="Times New Roman" w:cs="Times New Roman"/>
        </w:rPr>
        <w:t xml:space="preserve"> averages would significantly understate the actual energy intensity of California oil and gas operations.</w:t>
      </w:r>
      <w:r w:rsidR="00A8356F" w:rsidRPr="00EF5EA0">
        <w:rPr>
          <w:rFonts w:ascii="Times New Roman" w:hAnsi="Times New Roman" w:cs="Times New Roman"/>
        </w:rPr>
        <w:t xml:space="preserve">  </w:t>
      </w:r>
      <w:r w:rsidR="008D2CB8" w:rsidRPr="00EF5EA0">
        <w:rPr>
          <w:rFonts w:ascii="Times New Roman" w:hAnsi="Times New Roman" w:cs="Times New Roman"/>
        </w:rPr>
        <w:t>This approach would penalize California producers by yielding a lower allowance allocation factor than is warranted based on their actual energy intensity.</w:t>
      </w:r>
    </w:p>
    <w:p w:rsidR="00EC515E" w:rsidRPr="00F60749" w:rsidRDefault="00EC515E" w:rsidP="003A1197">
      <w:pPr>
        <w:ind w:left="1440"/>
        <w:jc w:val="both"/>
        <w:rPr>
          <w:rFonts w:ascii="Times New Roman" w:hAnsi="Times New Roman" w:cs="Times New Roman"/>
          <w:b/>
        </w:rPr>
      </w:pPr>
      <w:r w:rsidRPr="00A8356F">
        <w:rPr>
          <w:rFonts w:ascii="Times New Roman" w:hAnsi="Times New Roman" w:cs="Times New Roman"/>
        </w:rPr>
        <w:t xml:space="preserve">WSPA requests </w:t>
      </w:r>
      <w:r w:rsidR="008D2CB8" w:rsidRPr="00A8356F">
        <w:rPr>
          <w:rFonts w:ascii="Times New Roman" w:hAnsi="Times New Roman" w:cs="Times New Roman"/>
        </w:rPr>
        <w:t xml:space="preserve">that </w:t>
      </w:r>
      <w:r w:rsidRPr="00A8356F">
        <w:rPr>
          <w:rFonts w:ascii="Times New Roman" w:hAnsi="Times New Roman" w:cs="Times New Roman"/>
        </w:rPr>
        <w:t>ARB reevaluate the appropriateness of energy intensit</w:t>
      </w:r>
      <w:r w:rsidR="00A8356F">
        <w:rPr>
          <w:rFonts w:ascii="Times New Roman" w:hAnsi="Times New Roman" w:cs="Times New Roman"/>
        </w:rPr>
        <w:t>y estimates</w:t>
      </w:r>
      <w:r w:rsidRPr="00A8356F">
        <w:rPr>
          <w:rFonts w:ascii="Times New Roman" w:hAnsi="Times New Roman" w:cs="Times New Roman"/>
        </w:rPr>
        <w:t xml:space="preserve"> used in the </w:t>
      </w:r>
      <w:r w:rsidR="00A8356F">
        <w:rPr>
          <w:rFonts w:ascii="Times New Roman" w:hAnsi="Times New Roman" w:cs="Times New Roman"/>
        </w:rPr>
        <w:t xml:space="preserve">November 10 </w:t>
      </w:r>
      <w:r w:rsidRPr="00A8356F">
        <w:rPr>
          <w:rFonts w:ascii="Times New Roman" w:hAnsi="Times New Roman" w:cs="Times New Roman"/>
        </w:rPr>
        <w:t xml:space="preserve">Addendum and </w:t>
      </w:r>
      <w:r w:rsidR="00EC02D8">
        <w:rPr>
          <w:rFonts w:ascii="Times New Roman" w:hAnsi="Times New Roman" w:cs="Times New Roman"/>
        </w:rPr>
        <w:t xml:space="preserve">work with WSPA members to collect a broader set of data </w:t>
      </w:r>
      <w:r w:rsidR="00010857">
        <w:rPr>
          <w:rFonts w:ascii="Times New Roman" w:hAnsi="Times New Roman" w:cs="Times New Roman"/>
        </w:rPr>
        <w:t xml:space="preserve">from all (or a representative sample) of the California producers </w:t>
      </w:r>
      <w:r w:rsidR="00EC02D8">
        <w:rPr>
          <w:rFonts w:ascii="Times New Roman" w:hAnsi="Times New Roman" w:cs="Times New Roman"/>
        </w:rPr>
        <w:t xml:space="preserve">to </w:t>
      </w:r>
      <w:r w:rsidRPr="00A8356F">
        <w:rPr>
          <w:rFonts w:ascii="Times New Roman" w:hAnsi="Times New Roman" w:cs="Times New Roman"/>
        </w:rPr>
        <w:t xml:space="preserve">ensure </w:t>
      </w:r>
      <w:r w:rsidR="00A8356F">
        <w:rPr>
          <w:rFonts w:ascii="Times New Roman" w:hAnsi="Times New Roman" w:cs="Times New Roman"/>
        </w:rPr>
        <w:t xml:space="preserve">they </w:t>
      </w:r>
      <w:r w:rsidR="00EC02D8">
        <w:rPr>
          <w:rFonts w:ascii="Times New Roman" w:hAnsi="Times New Roman" w:cs="Times New Roman"/>
        </w:rPr>
        <w:t xml:space="preserve">accurately </w:t>
      </w:r>
      <w:r w:rsidR="00A8356F">
        <w:rPr>
          <w:rFonts w:ascii="Times New Roman" w:hAnsi="Times New Roman" w:cs="Times New Roman"/>
        </w:rPr>
        <w:t>reflect</w:t>
      </w:r>
      <w:r w:rsidR="00010857">
        <w:rPr>
          <w:rFonts w:ascii="Times New Roman" w:hAnsi="Times New Roman" w:cs="Times New Roman"/>
        </w:rPr>
        <w:t xml:space="preserve"> the range of </w:t>
      </w:r>
      <w:r w:rsidRPr="00A8356F">
        <w:rPr>
          <w:rFonts w:ascii="Times New Roman" w:hAnsi="Times New Roman" w:cs="Times New Roman"/>
        </w:rPr>
        <w:t>actual California oil and gas production</w:t>
      </w:r>
      <w:r w:rsidR="00A8356F">
        <w:rPr>
          <w:rFonts w:ascii="Times New Roman" w:hAnsi="Times New Roman" w:cs="Times New Roman"/>
        </w:rPr>
        <w:t xml:space="preserve"> operations</w:t>
      </w:r>
      <w:r w:rsidRPr="00A8356F">
        <w:rPr>
          <w:rFonts w:ascii="Times New Roman" w:hAnsi="Times New Roman" w:cs="Times New Roman"/>
        </w:rPr>
        <w:t>.</w:t>
      </w:r>
    </w:p>
    <w:p w:rsidR="00F60749" w:rsidRPr="00F60749" w:rsidRDefault="00E2075B" w:rsidP="003A1197">
      <w:pPr>
        <w:pStyle w:val="ListParagraph"/>
        <w:numPr>
          <w:ilvl w:val="1"/>
          <w:numId w:val="21"/>
        </w:numPr>
        <w:contextualSpacing w:val="0"/>
        <w:jc w:val="both"/>
        <w:rPr>
          <w:rFonts w:ascii="Times New Roman" w:hAnsi="Times New Roman" w:cs="Times New Roman"/>
          <w:b/>
        </w:rPr>
      </w:pPr>
      <w:r w:rsidRPr="00F60749">
        <w:rPr>
          <w:rFonts w:ascii="Times New Roman" w:hAnsi="Times New Roman" w:cs="Times New Roman"/>
          <w:b/>
        </w:rPr>
        <w:t>Alternative Methodologies for Non-Studied Sectors</w:t>
      </w:r>
    </w:p>
    <w:p w:rsidR="00F60749" w:rsidRDefault="00E2075B" w:rsidP="003A1197">
      <w:pPr>
        <w:pStyle w:val="ListParagraph"/>
        <w:ind w:left="1440"/>
        <w:contextualSpacing w:val="0"/>
        <w:jc w:val="both"/>
        <w:rPr>
          <w:rFonts w:ascii="Times New Roman" w:hAnsi="Times New Roman" w:cs="Times New Roman"/>
        </w:rPr>
      </w:pPr>
      <w:r w:rsidRPr="00301D17">
        <w:rPr>
          <w:rFonts w:ascii="Times New Roman" w:hAnsi="Times New Roman" w:cs="Times New Roman"/>
        </w:rPr>
        <w:t>In response to staff’s solicitation for comment</w:t>
      </w:r>
      <w:r>
        <w:rPr>
          <w:rFonts w:ascii="Times New Roman" w:hAnsi="Times New Roman" w:cs="Times New Roman"/>
        </w:rPr>
        <w:t>s</w:t>
      </w:r>
      <w:r w:rsidRPr="00301D17">
        <w:rPr>
          <w:rFonts w:ascii="Times New Roman" w:hAnsi="Times New Roman" w:cs="Times New Roman"/>
        </w:rPr>
        <w:t xml:space="preserve"> on alternative methodological approaches for “non-studied” sectors, </w:t>
      </w:r>
      <w:r w:rsidRPr="000774B3">
        <w:rPr>
          <w:rFonts w:ascii="Times New Roman" w:hAnsi="Times New Roman" w:cs="Times New Roman"/>
        </w:rPr>
        <w:t>we refer ARB to NERA’s prior recommendation to use a computable general equilibrium (CGE) model, which can actually address sector-specific circumstances.</w:t>
      </w:r>
      <w:r w:rsidRPr="000774B3">
        <w:rPr>
          <w:rStyle w:val="FootnoteReference"/>
          <w:rFonts w:ascii="Times New Roman" w:hAnsi="Times New Roman" w:cs="Times New Roman"/>
        </w:rPr>
        <w:footnoteReference w:id="16"/>
      </w:r>
      <w:r w:rsidR="00CB6504">
        <w:rPr>
          <w:rFonts w:ascii="Times New Roman" w:hAnsi="Times New Roman" w:cs="Times New Roman"/>
        </w:rPr>
        <w:t xml:space="preserve"> </w:t>
      </w:r>
      <w:r>
        <w:rPr>
          <w:rFonts w:ascii="Times New Roman" w:hAnsi="Times New Roman" w:cs="Times New Roman"/>
        </w:rPr>
        <w:t>The attached appendix summarizes NERA’s comments and recommendations on ARB’s contractor reports relevant to petroleum sectors.</w:t>
      </w:r>
    </w:p>
    <w:p w:rsidR="00E2075B" w:rsidRDefault="00E2075B" w:rsidP="003A1197">
      <w:pPr>
        <w:pStyle w:val="ListParagraph"/>
        <w:numPr>
          <w:ilvl w:val="1"/>
          <w:numId w:val="21"/>
        </w:numPr>
        <w:spacing w:after="0"/>
        <w:contextualSpacing w:val="0"/>
        <w:jc w:val="both"/>
        <w:rPr>
          <w:rFonts w:ascii="Times New Roman" w:hAnsi="Times New Roman" w:cs="Times New Roman"/>
          <w:b/>
        </w:rPr>
      </w:pPr>
      <w:r>
        <w:rPr>
          <w:rFonts w:ascii="Times New Roman" w:hAnsi="Times New Roman" w:cs="Times New Roman"/>
          <w:b/>
        </w:rPr>
        <w:t>Calculation of Assistance Factors</w:t>
      </w:r>
    </w:p>
    <w:p w:rsidR="00E2075B" w:rsidRDefault="00E2075B" w:rsidP="003A1197">
      <w:pPr>
        <w:pStyle w:val="ListParagraph"/>
        <w:spacing w:after="0"/>
        <w:ind w:left="1440"/>
        <w:contextualSpacing w:val="0"/>
        <w:jc w:val="both"/>
        <w:rPr>
          <w:rFonts w:ascii="Times New Roman" w:hAnsi="Times New Roman" w:cs="Times New Roman"/>
          <w:b/>
        </w:rPr>
      </w:pPr>
    </w:p>
    <w:p w:rsidR="00F60749" w:rsidRDefault="00E2075B" w:rsidP="003A1197">
      <w:pPr>
        <w:spacing w:after="0"/>
        <w:ind w:left="1440"/>
        <w:jc w:val="both"/>
        <w:rPr>
          <w:rFonts w:ascii="Times New Roman" w:hAnsi="Times New Roman" w:cs="Times New Roman"/>
        </w:rPr>
      </w:pPr>
      <w:r w:rsidRPr="000774B3">
        <w:rPr>
          <w:rFonts w:ascii="Times New Roman" w:hAnsi="Times New Roman" w:cs="Times New Roman"/>
        </w:rPr>
        <w:t>ARB needs to provide more documentation to explain how staff calculated the proposed Assistance Factors (AF).</w:t>
      </w:r>
      <w:r>
        <w:rPr>
          <w:rFonts w:ascii="Times New Roman" w:hAnsi="Times New Roman" w:cs="Times New Roman"/>
        </w:rPr>
        <w:t xml:space="preserve">  </w:t>
      </w:r>
      <w:r w:rsidRPr="006A5EA4">
        <w:rPr>
          <w:rFonts w:ascii="Times New Roman" w:hAnsi="Times New Roman" w:cs="Times New Roman"/>
        </w:rPr>
        <w:t xml:space="preserve">There are too many inconsistencies in the averaging and </w:t>
      </w:r>
      <w:r w:rsidRPr="006A5EA4">
        <w:rPr>
          <w:rFonts w:ascii="Times New Roman" w:hAnsi="Times New Roman" w:cs="Times New Roman"/>
        </w:rPr>
        <w:lastRenderedPageBreak/>
        <w:t>calculations of the AFs to trust the results presented in Table 7</w:t>
      </w:r>
      <w:r w:rsidR="00B01A7C">
        <w:rPr>
          <w:rFonts w:ascii="Times New Roman" w:hAnsi="Times New Roman" w:cs="Times New Roman"/>
        </w:rPr>
        <w:t xml:space="preserve"> of the October 21, 2016 addendum</w:t>
      </w:r>
      <w:r w:rsidRPr="006A5EA4">
        <w:rPr>
          <w:rFonts w:ascii="Times New Roman" w:hAnsi="Times New Roman" w:cs="Times New Roman"/>
        </w:rPr>
        <w:t xml:space="preserve">. </w:t>
      </w:r>
      <w:r>
        <w:rPr>
          <w:rFonts w:ascii="Times New Roman" w:hAnsi="Times New Roman" w:cs="Times New Roman"/>
        </w:rPr>
        <w:t xml:space="preserve"> </w:t>
      </w:r>
      <w:r w:rsidRPr="006A5EA4">
        <w:rPr>
          <w:rFonts w:ascii="Times New Roman" w:hAnsi="Times New Roman" w:cs="Times New Roman"/>
        </w:rPr>
        <w:t xml:space="preserve">For example, the average IMT for refineries is calculated in Table 1 to be 11% by averaging 12% and 11%. </w:t>
      </w:r>
      <w:r w:rsidR="00324ADA">
        <w:rPr>
          <w:rFonts w:ascii="Times New Roman" w:hAnsi="Times New Roman" w:cs="Times New Roman"/>
        </w:rPr>
        <w:t>We request that ARB provide sufficient additional data to clarify that this calculation is correct</w:t>
      </w:r>
      <w:r w:rsidRPr="006A5EA4">
        <w:rPr>
          <w:rFonts w:ascii="Times New Roman" w:hAnsi="Times New Roman" w:cs="Times New Roman"/>
        </w:rPr>
        <w:t xml:space="preserve">. </w:t>
      </w:r>
      <w:r w:rsidR="00324ADA">
        <w:rPr>
          <w:rFonts w:ascii="Times New Roman" w:hAnsi="Times New Roman" w:cs="Times New Roman"/>
        </w:rPr>
        <w:t xml:space="preserve"> </w:t>
      </w:r>
      <w:r w:rsidRPr="006A5EA4">
        <w:rPr>
          <w:rFonts w:ascii="Times New Roman" w:hAnsi="Times New Roman" w:cs="Times New Roman"/>
        </w:rPr>
        <w:t>Also, Table 7 has a 0 for “Val</w:t>
      </w:r>
      <w:r>
        <w:rPr>
          <w:rFonts w:ascii="Times New Roman" w:hAnsi="Times New Roman" w:cs="Times New Roman"/>
        </w:rPr>
        <w:t>ue Added Domestic AF Component”.  We might</w:t>
      </w:r>
      <w:r w:rsidRPr="006A5EA4">
        <w:rPr>
          <w:rFonts w:ascii="Times New Roman" w:hAnsi="Times New Roman" w:cs="Times New Roman"/>
        </w:rPr>
        <w:t xml:space="preserve"> expect this </w:t>
      </w:r>
      <w:r>
        <w:rPr>
          <w:rFonts w:ascii="Times New Roman" w:hAnsi="Times New Roman" w:cs="Times New Roman"/>
        </w:rPr>
        <w:t xml:space="preserve">value </w:t>
      </w:r>
      <w:r w:rsidRPr="006A5EA4">
        <w:rPr>
          <w:rFonts w:ascii="Times New Roman" w:hAnsi="Times New Roman" w:cs="Times New Roman"/>
        </w:rPr>
        <w:t>to be 0.3 p</w:t>
      </w:r>
      <w:r>
        <w:rPr>
          <w:rFonts w:ascii="Times New Roman" w:hAnsi="Times New Roman" w:cs="Times New Roman"/>
        </w:rPr>
        <w:t>ursuant to</w:t>
      </w:r>
      <w:r w:rsidRPr="006A5EA4">
        <w:rPr>
          <w:rFonts w:ascii="Times New Roman" w:hAnsi="Times New Roman" w:cs="Times New Roman"/>
        </w:rPr>
        <w:t xml:space="preserve"> Table 4, but it is difficult to </w:t>
      </w:r>
      <w:r>
        <w:rPr>
          <w:rFonts w:ascii="Times New Roman" w:hAnsi="Times New Roman" w:cs="Times New Roman"/>
        </w:rPr>
        <w:t>determine what it should be</w:t>
      </w:r>
      <w:r w:rsidRPr="006A5EA4">
        <w:rPr>
          <w:rFonts w:ascii="Times New Roman" w:hAnsi="Times New Roman" w:cs="Times New Roman"/>
        </w:rPr>
        <w:t xml:space="preserve"> since ARB d</w:t>
      </w:r>
      <w:r>
        <w:rPr>
          <w:rFonts w:ascii="Times New Roman" w:hAnsi="Times New Roman" w:cs="Times New Roman"/>
        </w:rPr>
        <w:t>oes</w:t>
      </w:r>
      <w:r w:rsidRPr="006A5EA4">
        <w:rPr>
          <w:rFonts w:ascii="Times New Roman" w:hAnsi="Times New Roman" w:cs="Times New Roman"/>
        </w:rPr>
        <w:t xml:space="preserve"> not fully explain how the tables were derived.</w:t>
      </w:r>
      <w:r>
        <w:rPr>
          <w:rFonts w:ascii="Times New Roman" w:hAnsi="Times New Roman" w:cs="Times New Roman"/>
        </w:rPr>
        <w:t xml:space="preserve">  WSPA specifically requests that ARB provide the </w:t>
      </w:r>
      <w:r w:rsidRPr="006A5EA4">
        <w:rPr>
          <w:rFonts w:ascii="Times New Roman" w:hAnsi="Times New Roman" w:cs="Times New Roman"/>
        </w:rPr>
        <w:t xml:space="preserve">spreadsheets </w:t>
      </w:r>
      <w:r>
        <w:rPr>
          <w:rFonts w:ascii="Times New Roman" w:hAnsi="Times New Roman" w:cs="Times New Roman"/>
        </w:rPr>
        <w:t xml:space="preserve">it used to </w:t>
      </w:r>
      <w:r w:rsidRPr="006A5EA4">
        <w:rPr>
          <w:rFonts w:ascii="Times New Roman" w:hAnsi="Times New Roman" w:cs="Times New Roman"/>
        </w:rPr>
        <w:t>calculat</w:t>
      </w:r>
      <w:r>
        <w:rPr>
          <w:rFonts w:ascii="Times New Roman" w:hAnsi="Times New Roman" w:cs="Times New Roman"/>
        </w:rPr>
        <w:t>e</w:t>
      </w:r>
      <w:r w:rsidRPr="006A5EA4">
        <w:rPr>
          <w:rFonts w:ascii="Times New Roman" w:hAnsi="Times New Roman" w:cs="Times New Roman"/>
        </w:rPr>
        <w:t xml:space="preserve"> the Assistance Factors.</w:t>
      </w:r>
    </w:p>
    <w:p w:rsidR="003A1197" w:rsidRDefault="003A1197" w:rsidP="003A1197">
      <w:pPr>
        <w:spacing w:after="0"/>
        <w:ind w:left="1440"/>
        <w:jc w:val="both"/>
        <w:rPr>
          <w:rFonts w:ascii="Times New Roman" w:hAnsi="Times New Roman" w:cs="Times New Roman"/>
        </w:rPr>
      </w:pPr>
    </w:p>
    <w:p w:rsidR="00EE6349" w:rsidRPr="00F60749" w:rsidRDefault="00EE6349" w:rsidP="003A1197">
      <w:pPr>
        <w:pStyle w:val="ListParagraph"/>
        <w:numPr>
          <w:ilvl w:val="1"/>
          <w:numId w:val="21"/>
        </w:numPr>
        <w:spacing w:after="0"/>
        <w:jc w:val="both"/>
        <w:rPr>
          <w:rFonts w:ascii="Times New Roman" w:hAnsi="Times New Roman" w:cs="Times New Roman"/>
          <w:b/>
        </w:rPr>
      </w:pPr>
      <w:r w:rsidRPr="00F60749">
        <w:rPr>
          <w:rFonts w:ascii="Times New Roman" w:hAnsi="Times New Roman" w:cs="Times New Roman"/>
          <w:b/>
        </w:rPr>
        <w:t>International Assistance Factor</w:t>
      </w:r>
    </w:p>
    <w:p w:rsidR="003A1197" w:rsidRDefault="003A1197" w:rsidP="003A1197">
      <w:pPr>
        <w:spacing w:after="0"/>
        <w:ind w:left="1440"/>
        <w:jc w:val="both"/>
        <w:rPr>
          <w:rFonts w:ascii="Times New Roman" w:hAnsi="Times New Roman" w:cs="Times New Roman"/>
        </w:rPr>
      </w:pPr>
    </w:p>
    <w:p w:rsidR="00EE6349" w:rsidRDefault="009469ED" w:rsidP="003A1197">
      <w:pPr>
        <w:spacing w:after="0"/>
        <w:ind w:left="1440"/>
        <w:jc w:val="both"/>
        <w:rPr>
          <w:rFonts w:ascii="Times New Roman" w:hAnsi="Times New Roman" w:cs="Times New Roman"/>
        </w:rPr>
      </w:pPr>
      <w:r>
        <w:rPr>
          <w:rFonts w:ascii="Times New Roman" w:hAnsi="Times New Roman" w:cs="Times New Roman"/>
        </w:rPr>
        <w:t>ARB states</w:t>
      </w:r>
      <w:r w:rsidR="00EE6349">
        <w:rPr>
          <w:rFonts w:ascii="Times New Roman" w:hAnsi="Times New Roman" w:cs="Times New Roman"/>
        </w:rPr>
        <w:t xml:space="preserve"> on page 5 of the Initial Statement of Reasons that “staff set the international assistance factor component equal to the average of the raw IMT and regression IMT.” CARB should explain its rationale for this approach.  As described in the UC Berkeley study (page 39), the </w:t>
      </w:r>
      <w:r w:rsidR="000359B2">
        <w:rPr>
          <w:rFonts w:ascii="Times New Roman" w:hAnsi="Times New Roman" w:cs="Times New Roman"/>
        </w:rPr>
        <w:t xml:space="preserve">international </w:t>
      </w:r>
      <w:r w:rsidR="00EE6349">
        <w:rPr>
          <w:rFonts w:ascii="Times New Roman" w:hAnsi="Times New Roman" w:cs="Times New Roman"/>
        </w:rPr>
        <w:t xml:space="preserve">market transfer rate (IMT) is a measure of “the increase in foreign imports plus the reduction in domestic exports (measured in dollar terms) associated with a dollar reduction in domestic production.” </w:t>
      </w:r>
      <w:r w:rsidR="000359B2">
        <w:rPr>
          <w:rFonts w:ascii="Times New Roman" w:hAnsi="Times New Roman" w:cs="Times New Roman"/>
        </w:rPr>
        <w:t xml:space="preserve"> </w:t>
      </w:r>
      <w:r w:rsidR="00EE6349">
        <w:rPr>
          <w:rFonts w:ascii="Times New Roman" w:hAnsi="Times New Roman" w:cs="Times New Roman"/>
        </w:rPr>
        <w:t>While it may be reasonable to assume that this measure is related to the appropriate Assistance Factor for a given sector, it is not clear why the international component of the Assistance Factor should precisely equal the IMT.</w:t>
      </w:r>
    </w:p>
    <w:p w:rsidR="003A1197" w:rsidRPr="00EE6349" w:rsidRDefault="003A1197" w:rsidP="003A1197">
      <w:pPr>
        <w:spacing w:after="0"/>
        <w:ind w:left="1440"/>
        <w:jc w:val="both"/>
        <w:rPr>
          <w:rFonts w:ascii="Times New Roman" w:hAnsi="Times New Roman" w:cs="Times New Roman"/>
          <w:b/>
        </w:rPr>
      </w:pPr>
    </w:p>
    <w:p w:rsidR="00E2075B" w:rsidRPr="004E258B" w:rsidRDefault="00E2075B" w:rsidP="003A1197">
      <w:pPr>
        <w:pStyle w:val="ListParagraph"/>
        <w:numPr>
          <w:ilvl w:val="1"/>
          <w:numId w:val="21"/>
        </w:numPr>
        <w:spacing w:after="0"/>
        <w:contextualSpacing w:val="0"/>
        <w:jc w:val="both"/>
        <w:rPr>
          <w:rFonts w:ascii="Times New Roman" w:hAnsi="Times New Roman" w:cs="Times New Roman"/>
          <w:b/>
        </w:rPr>
      </w:pPr>
      <w:r w:rsidRPr="004E258B">
        <w:rPr>
          <w:rFonts w:ascii="Times New Roman" w:hAnsi="Times New Roman" w:cs="Times New Roman"/>
          <w:b/>
        </w:rPr>
        <w:t>Basis for Assumed Domestic Price Drop</w:t>
      </w:r>
    </w:p>
    <w:p w:rsidR="003A1197" w:rsidRDefault="003A1197" w:rsidP="003A1197">
      <w:pPr>
        <w:pStyle w:val="ListParagraph"/>
        <w:spacing w:after="0"/>
        <w:ind w:left="1440"/>
        <w:contextualSpacing w:val="0"/>
        <w:jc w:val="both"/>
        <w:rPr>
          <w:rFonts w:ascii="Times New Roman" w:hAnsi="Times New Roman" w:cs="Times New Roman"/>
        </w:rPr>
      </w:pPr>
    </w:p>
    <w:p w:rsidR="00E2075B" w:rsidRPr="00E2075B" w:rsidRDefault="00E2075B" w:rsidP="003A1197">
      <w:pPr>
        <w:pStyle w:val="ListParagraph"/>
        <w:spacing w:after="0"/>
        <w:ind w:left="1440"/>
        <w:contextualSpacing w:val="0"/>
        <w:jc w:val="both"/>
        <w:rPr>
          <w:rFonts w:ascii="Times New Roman" w:hAnsi="Times New Roman" w:cs="Times New Roman"/>
        </w:rPr>
      </w:pPr>
      <w:r w:rsidRPr="00591C6A">
        <w:rPr>
          <w:rFonts w:ascii="Times New Roman" w:hAnsi="Times New Roman" w:cs="Times New Roman"/>
        </w:rPr>
        <w:t xml:space="preserve">ARB assumes a 7% domestic drop at </w:t>
      </w:r>
      <w:r>
        <w:rPr>
          <w:rFonts w:ascii="Times New Roman" w:hAnsi="Times New Roman" w:cs="Times New Roman"/>
        </w:rPr>
        <w:t xml:space="preserve">a </w:t>
      </w:r>
      <w:r w:rsidRPr="00591C6A">
        <w:rPr>
          <w:rFonts w:ascii="Times New Roman" w:hAnsi="Times New Roman" w:cs="Times New Roman"/>
        </w:rPr>
        <w:t xml:space="preserve">2022 floor price (SRIA price of </w:t>
      </w:r>
      <w:r>
        <w:rPr>
          <w:rFonts w:ascii="Times New Roman" w:hAnsi="Times New Roman" w:cs="Times New Roman"/>
        </w:rPr>
        <w:t>$17</w:t>
      </w:r>
      <w:r w:rsidRPr="00591C6A">
        <w:rPr>
          <w:rFonts w:ascii="Times New Roman" w:hAnsi="Times New Roman" w:cs="Times New Roman"/>
        </w:rPr>
        <w:t xml:space="preserve">) equivalent to a 10.245% domestic drop at 2030 floor price. </w:t>
      </w:r>
      <w:r>
        <w:rPr>
          <w:rFonts w:ascii="Times New Roman" w:hAnsi="Times New Roman" w:cs="Times New Roman"/>
        </w:rPr>
        <w:t>WSPA requests that ARB clarify t</w:t>
      </w:r>
      <w:r w:rsidRPr="00591C6A">
        <w:rPr>
          <w:rFonts w:ascii="Times New Roman" w:hAnsi="Times New Roman" w:cs="Times New Roman"/>
        </w:rPr>
        <w:t xml:space="preserve">he basis for the 7% </w:t>
      </w:r>
      <w:r w:rsidR="00E0323F">
        <w:rPr>
          <w:rFonts w:ascii="Times New Roman" w:hAnsi="Times New Roman" w:cs="Times New Roman"/>
        </w:rPr>
        <w:t xml:space="preserve">cutoff </w:t>
      </w:r>
      <w:r w:rsidR="00A34207">
        <w:rPr>
          <w:rFonts w:ascii="Times New Roman" w:hAnsi="Times New Roman" w:cs="Times New Roman"/>
        </w:rPr>
        <w:t>“</w:t>
      </w:r>
      <w:r w:rsidR="00E0323F">
        <w:rPr>
          <w:rFonts w:ascii="Times New Roman" w:hAnsi="Times New Roman" w:cs="Times New Roman"/>
        </w:rPr>
        <w:t>D</w:t>
      </w:r>
      <w:r w:rsidR="00A34207">
        <w:rPr>
          <w:rFonts w:ascii="Times New Roman" w:hAnsi="Times New Roman" w:cs="Times New Roman"/>
        </w:rPr>
        <w:t xml:space="preserve">omestic </w:t>
      </w:r>
      <w:r w:rsidR="00E0323F">
        <w:rPr>
          <w:rFonts w:ascii="Times New Roman" w:hAnsi="Times New Roman" w:cs="Times New Roman"/>
        </w:rPr>
        <w:t>D</w:t>
      </w:r>
      <w:r w:rsidR="00A34207">
        <w:rPr>
          <w:rFonts w:ascii="Times New Roman" w:hAnsi="Times New Roman" w:cs="Times New Roman"/>
        </w:rPr>
        <w:t>rop”</w:t>
      </w:r>
      <w:r w:rsidR="00E0323F">
        <w:rPr>
          <w:rFonts w:ascii="Times New Roman" w:hAnsi="Times New Roman" w:cs="Times New Roman"/>
        </w:rPr>
        <w:t xml:space="preserve"> </w:t>
      </w:r>
      <w:r w:rsidR="00A34207">
        <w:rPr>
          <w:rFonts w:ascii="Times New Roman" w:hAnsi="Times New Roman" w:cs="Times New Roman"/>
        </w:rPr>
        <w:t xml:space="preserve">(DD) </w:t>
      </w:r>
      <w:r w:rsidR="00E0323F">
        <w:rPr>
          <w:rFonts w:ascii="Times New Roman" w:hAnsi="Times New Roman" w:cs="Times New Roman"/>
        </w:rPr>
        <w:t>value</w:t>
      </w:r>
      <w:r w:rsidRPr="00591C6A">
        <w:rPr>
          <w:rFonts w:ascii="Times New Roman" w:hAnsi="Times New Roman" w:cs="Times New Roman"/>
        </w:rPr>
        <w:t>.</w:t>
      </w:r>
    </w:p>
    <w:p w:rsidR="003A1197" w:rsidRDefault="003A1197" w:rsidP="003A1197">
      <w:pPr>
        <w:spacing w:after="0"/>
        <w:jc w:val="both"/>
        <w:rPr>
          <w:rFonts w:ascii="Times New Roman" w:hAnsi="Times New Roman" w:cs="Times New Roman"/>
          <w:b/>
        </w:rPr>
      </w:pPr>
    </w:p>
    <w:p w:rsidR="006B3703" w:rsidRPr="00301D17" w:rsidRDefault="002E12EB" w:rsidP="003A1197">
      <w:pPr>
        <w:spacing w:after="0"/>
        <w:jc w:val="both"/>
        <w:rPr>
          <w:rFonts w:ascii="Times New Roman" w:hAnsi="Times New Roman" w:cs="Times New Roman"/>
        </w:rPr>
      </w:pPr>
      <w:r w:rsidRPr="00B76DED">
        <w:rPr>
          <w:rFonts w:ascii="Times New Roman" w:hAnsi="Times New Roman" w:cs="Times New Roman"/>
          <w:b/>
        </w:rPr>
        <w:t>Market Data Disclosure</w:t>
      </w:r>
    </w:p>
    <w:p w:rsidR="003A1197" w:rsidRDefault="003A1197" w:rsidP="003A1197">
      <w:pPr>
        <w:pStyle w:val="ListParagraph"/>
        <w:spacing w:after="0"/>
        <w:ind w:left="0"/>
        <w:jc w:val="both"/>
        <w:rPr>
          <w:rFonts w:ascii="Times New Roman" w:hAnsi="Times New Roman" w:cs="Times New Roman"/>
          <w:iCs/>
        </w:rPr>
      </w:pPr>
    </w:p>
    <w:p w:rsidR="00074980" w:rsidRPr="00B76DED" w:rsidRDefault="00074980" w:rsidP="003A1197">
      <w:pPr>
        <w:pStyle w:val="ListParagraph"/>
        <w:spacing w:after="0"/>
        <w:ind w:left="0"/>
        <w:jc w:val="both"/>
        <w:rPr>
          <w:rFonts w:ascii="Times New Roman" w:hAnsi="Times New Roman" w:cs="Times New Roman"/>
        </w:rPr>
      </w:pPr>
      <w:r w:rsidRPr="00B76DED">
        <w:rPr>
          <w:rFonts w:ascii="Times New Roman" w:hAnsi="Times New Roman" w:cs="Times New Roman"/>
          <w:iCs/>
        </w:rPr>
        <w:t xml:space="preserve">WSPA opposes release of market sensitive information on holding and compliance accounts. </w:t>
      </w:r>
      <w:r w:rsidRPr="00B76DED">
        <w:rPr>
          <w:rFonts w:ascii="Times New Roman" w:hAnsi="Times New Roman" w:cs="Times New Roman"/>
        </w:rPr>
        <w:t xml:space="preserve"> </w:t>
      </w:r>
      <w:r w:rsidR="00B87635" w:rsidRPr="00B76DED">
        <w:rPr>
          <w:rFonts w:ascii="Times New Roman" w:hAnsi="Times New Roman" w:cs="Times New Roman"/>
        </w:rPr>
        <w:t>W</w:t>
      </w:r>
      <w:r w:rsidRPr="00B76DED">
        <w:rPr>
          <w:rFonts w:ascii="Times New Roman" w:hAnsi="Times New Roman" w:cs="Times New Roman"/>
        </w:rPr>
        <w:t>e</w:t>
      </w:r>
      <w:r w:rsidR="00B87635" w:rsidRPr="00B76DED">
        <w:rPr>
          <w:rFonts w:ascii="Times New Roman" w:hAnsi="Times New Roman" w:cs="Times New Roman"/>
        </w:rPr>
        <w:t xml:space="preserve"> maintain that </w:t>
      </w:r>
      <w:r w:rsidR="00B87635" w:rsidRPr="000774B3">
        <w:rPr>
          <w:rFonts w:ascii="Times New Roman" w:hAnsi="Times New Roman" w:cs="Times New Roman"/>
        </w:rPr>
        <w:t xml:space="preserve">all data pertaining to the market positions of individual entities, along with information </w:t>
      </w:r>
      <w:r w:rsidR="00B76DED" w:rsidRPr="000774B3">
        <w:rPr>
          <w:rFonts w:ascii="Times New Roman" w:hAnsi="Times New Roman" w:cs="Times New Roman"/>
        </w:rPr>
        <w:t xml:space="preserve">about </w:t>
      </w:r>
      <w:r w:rsidR="00B87635" w:rsidRPr="000774B3">
        <w:rPr>
          <w:rFonts w:ascii="Times New Roman" w:hAnsi="Times New Roman" w:cs="Times New Roman"/>
        </w:rPr>
        <w:t xml:space="preserve">corporate associations, should be designated as confidential business information (CBI) and </w:t>
      </w:r>
      <w:r w:rsidR="00CC600B">
        <w:rPr>
          <w:rFonts w:ascii="Times New Roman" w:hAnsi="Times New Roman" w:cs="Times New Roman"/>
        </w:rPr>
        <w:t xml:space="preserve">should be </w:t>
      </w:r>
      <w:r w:rsidR="00B87635" w:rsidRPr="000774B3">
        <w:rPr>
          <w:rFonts w:ascii="Times New Roman" w:hAnsi="Times New Roman" w:cs="Times New Roman"/>
        </w:rPr>
        <w:t>protected from public disclosure.</w:t>
      </w:r>
      <w:r w:rsidR="00B87635" w:rsidRPr="00B76DED">
        <w:rPr>
          <w:rFonts w:ascii="Times New Roman" w:hAnsi="Times New Roman" w:cs="Times New Roman"/>
        </w:rPr>
        <w:t xml:space="preserve"> </w:t>
      </w:r>
      <w:r w:rsidR="00B76DED" w:rsidRPr="00B76DED">
        <w:rPr>
          <w:rFonts w:ascii="Times New Roman" w:hAnsi="Times New Roman" w:cs="Times New Roman"/>
        </w:rPr>
        <w:t xml:space="preserve"> </w:t>
      </w:r>
      <w:r w:rsidRPr="00B76DED">
        <w:rPr>
          <w:rFonts w:ascii="Times New Roman" w:hAnsi="Times New Roman" w:cs="Times New Roman"/>
        </w:rPr>
        <w:t>As we have stated in previous written comments, p</w:t>
      </w:r>
      <w:r w:rsidR="00B87635" w:rsidRPr="00B76DED">
        <w:rPr>
          <w:rFonts w:ascii="Times New Roman" w:hAnsi="Times New Roman" w:cs="Times New Roman"/>
        </w:rPr>
        <w:t>ublic disclosure of this information could increase the potential for market manipulation and dec</w:t>
      </w:r>
      <w:r w:rsidRPr="00B76DED">
        <w:rPr>
          <w:rFonts w:ascii="Times New Roman" w:hAnsi="Times New Roman" w:cs="Times New Roman"/>
        </w:rPr>
        <w:t>rease overall market liquidity.</w:t>
      </w:r>
      <w:r w:rsidR="00B76DED" w:rsidRPr="00B76DED">
        <w:rPr>
          <w:rFonts w:ascii="Times New Roman" w:hAnsi="Times New Roman" w:cs="Times New Roman"/>
        </w:rPr>
        <w:t xml:space="preserve">  The draft concepts for additional market information disclosures presented during the October 21 public workshop </w:t>
      </w:r>
      <w:r w:rsidR="00B76DED" w:rsidRPr="00B76DED">
        <w:rPr>
          <w:rFonts w:ascii="Times New Roman" w:hAnsi="Times New Roman" w:cs="Times New Roman"/>
          <w:iCs/>
        </w:rPr>
        <w:t>serve no purpose that is not already addressed by the large amount of data available on emissions and offsets.</w:t>
      </w:r>
    </w:p>
    <w:p w:rsidR="00074980" w:rsidRPr="00B76DED" w:rsidRDefault="00074980" w:rsidP="00892229">
      <w:pPr>
        <w:pStyle w:val="ListParagraph"/>
        <w:ind w:left="0"/>
        <w:jc w:val="both"/>
        <w:rPr>
          <w:rFonts w:ascii="Times New Roman" w:hAnsi="Times New Roman" w:cs="Times New Roman"/>
        </w:rPr>
      </w:pPr>
    </w:p>
    <w:p w:rsidR="00ED2ED1" w:rsidRPr="00B76DED" w:rsidRDefault="00B87635" w:rsidP="00892229">
      <w:pPr>
        <w:pStyle w:val="ListParagraph"/>
        <w:ind w:left="0"/>
        <w:jc w:val="both"/>
        <w:rPr>
          <w:rFonts w:ascii="Times New Roman" w:hAnsi="Times New Roman" w:cs="Times New Roman"/>
        </w:rPr>
      </w:pPr>
      <w:r w:rsidRPr="00B76DED">
        <w:rPr>
          <w:rFonts w:ascii="Times New Roman" w:hAnsi="Times New Roman" w:cs="Times New Roman"/>
        </w:rPr>
        <w:t xml:space="preserve">WSPA agrees that market trend analysis is important, and sufficient data to support such analysis should be publicly available. </w:t>
      </w:r>
      <w:r w:rsidR="00B76DED" w:rsidRPr="00B76DED">
        <w:rPr>
          <w:rFonts w:ascii="Times New Roman" w:hAnsi="Times New Roman" w:cs="Times New Roman"/>
        </w:rPr>
        <w:t xml:space="preserve"> </w:t>
      </w:r>
      <w:r w:rsidRPr="00B76DED">
        <w:rPr>
          <w:rFonts w:ascii="Times New Roman" w:hAnsi="Times New Roman" w:cs="Times New Roman"/>
        </w:rPr>
        <w:t>For example, ARB should report information concerning surrender of offsets for compliance purposes.</w:t>
      </w:r>
      <w:r w:rsidR="00B76DED" w:rsidRPr="00B76DED">
        <w:rPr>
          <w:rFonts w:ascii="Times New Roman" w:hAnsi="Times New Roman" w:cs="Times New Roman"/>
        </w:rPr>
        <w:t xml:space="preserve"> </w:t>
      </w:r>
      <w:r w:rsidRPr="00B76DED">
        <w:rPr>
          <w:rFonts w:ascii="Times New Roman" w:hAnsi="Times New Roman" w:cs="Times New Roman"/>
        </w:rPr>
        <w:t>However, this objective should be achieved through aggregation and de-identification of individual participant data. ARB should reach out to market participants prior to posting market data or reconfiguring existing aggregated data to ensure that it does not inadvertently disclose CBI.</w:t>
      </w:r>
    </w:p>
    <w:p w:rsidR="00B76DED" w:rsidRDefault="00B76DED" w:rsidP="00892229">
      <w:pPr>
        <w:autoSpaceDE w:val="0"/>
        <w:autoSpaceDN w:val="0"/>
        <w:adjustRightInd w:val="0"/>
        <w:spacing w:after="0"/>
        <w:jc w:val="both"/>
        <w:rPr>
          <w:rFonts w:ascii="Times New Roman" w:hAnsi="Times New Roman" w:cs="Times New Roman"/>
          <w:color w:val="000000"/>
        </w:rPr>
      </w:pPr>
    </w:p>
    <w:p w:rsidR="00BE1069" w:rsidRPr="00C93934" w:rsidRDefault="00BE1069" w:rsidP="00892229">
      <w:pPr>
        <w:autoSpaceDE w:val="0"/>
        <w:autoSpaceDN w:val="0"/>
        <w:adjustRightInd w:val="0"/>
        <w:spacing w:after="0"/>
        <w:jc w:val="both"/>
        <w:rPr>
          <w:rFonts w:ascii="Times New Roman" w:hAnsi="Times New Roman" w:cs="Times New Roman"/>
          <w:color w:val="000000"/>
        </w:rPr>
      </w:pPr>
      <w:r w:rsidRPr="00C93934">
        <w:rPr>
          <w:rFonts w:ascii="Times New Roman" w:hAnsi="Times New Roman" w:cs="Times New Roman"/>
          <w:color w:val="000000"/>
        </w:rPr>
        <w:t xml:space="preserve">WSPA appreciates ARB’s consideration of our comments and we look forward to your responses. </w:t>
      </w:r>
      <w:r>
        <w:rPr>
          <w:rFonts w:ascii="Times New Roman" w:hAnsi="Times New Roman" w:cs="Times New Roman"/>
          <w:color w:val="000000"/>
        </w:rPr>
        <w:t xml:space="preserve"> </w:t>
      </w:r>
      <w:r w:rsidRPr="00C93934">
        <w:rPr>
          <w:rFonts w:ascii="Times New Roman" w:hAnsi="Times New Roman" w:cs="Times New Roman"/>
          <w:color w:val="000000"/>
        </w:rPr>
        <w:t xml:space="preserve">If you have any questions, please contact me at this office, or </w:t>
      </w:r>
      <w:r>
        <w:rPr>
          <w:rFonts w:ascii="Times New Roman" w:hAnsi="Times New Roman" w:cs="Times New Roman"/>
          <w:color w:val="000000"/>
        </w:rPr>
        <w:t xml:space="preserve">Tiffany Roberts </w:t>
      </w:r>
      <w:r w:rsidRPr="00C93934">
        <w:rPr>
          <w:rFonts w:ascii="Times New Roman" w:hAnsi="Times New Roman" w:cs="Times New Roman"/>
          <w:color w:val="000000"/>
        </w:rPr>
        <w:t xml:space="preserve">of my staff </w:t>
      </w:r>
      <w:r w:rsidR="00F32B56" w:rsidRPr="00C93934">
        <w:rPr>
          <w:rFonts w:ascii="Times New Roman" w:hAnsi="Times New Roman" w:cs="Times New Roman"/>
          <w:color w:val="000000"/>
        </w:rPr>
        <w:t xml:space="preserve">at </w:t>
      </w:r>
      <w:hyperlink r:id="rId10" w:history="1">
        <w:r w:rsidR="00F32B56" w:rsidRPr="00A87135">
          <w:rPr>
            <w:rStyle w:val="Hyperlink"/>
            <w:rFonts w:ascii="Times New Roman" w:hAnsi="Times New Roman" w:cs="Times New Roman"/>
          </w:rPr>
          <w:t>t</w:t>
        </w:r>
        <w:r w:rsidR="00F32B56">
          <w:rPr>
            <w:rStyle w:val="Hyperlink"/>
            <w:rFonts w:ascii="Times New Roman" w:hAnsi="Times New Roman" w:cs="Times New Roman"/>
          </w:rPr>
          <w:t>roberts</w:t>
        </w:r>
        <w:r w:rsidR="00F32B56" w:rsidRPr="00A87135">
          <w:rPr>
            <w:rStyle w:val="Hyperlink"/>
            <w:rFonts w:ascii="Times New Roman" w:hAnsi="Times New Roman" w:cs="Times New Roman"/>
          </w:rPr>
          <w:t>@wspa.org</w:t>
        </w:r>
      </w:hyperlink>
      <w:r>
        <w:rPr>
          <w:rFonts w:ascii="Times New Roman" w:hAnsi="Times New Roman" w:cs="Times New Roman"/>
          <w:color w:val="000000"/>
        </w:rPr>
        <w:t>.</w:t>
      </w:r>
    </w:p>
    <w:p w:rsidR="00BE1069" w:rsidRDefault="00BE1069" w:rsidP="00892229">
      <w:pPr>
        <w:autoSpaceDE w:val="0"/>
        <w:autoSpaceDN w:val="0"/>
        <w:adjustRightInd w:val="0"/>
        <w:spacing w:after="0" w:line="240" w:lineRule="auto"/>
        <w:jc w:val="both"/>
        <w:rPr>
          <w:rFonts w:ascii="Times New Roman" w:hAnsi="Times New Roman" w:cs="Times New Roman"/>
          <w:color w:val="000000"/>
        </w:rPr>
      </w:pPr>
    </w:p>
    <w:p w:rsidR="00BE1069" w:rsidRPr="00C93934" w:rsidRDefault="00BE1069" w:rsidP="00892229">
      <w:pPr>
        <w:autoSpaceDE w:val="0"/>
        <w:autoSpaceDN w:val="0"/>
        <w:adjustRightInd w:val="0"/>
        <w:spacing w:after="0" w:line="240" w:lineRule="auto"/>
        <w:jc w:val="both"/>
        <w:rPr>
          <w:rFonts w:ascii="Times New Roman" w:hAnsi="Times New Roman" w:cs="Times New Roman"/>
          <w:color w:val="000000"/>
        </w:rPr>
      </w:pPr>
    </w:p>
    <w:p w:rsidR="00BE1069" w:rsidRPr="00C93934" w:rsidRDefault="00BE1069" w:rsidP="00892229">
      <w:pPr>
        <w:autoSpaceDE w:val="0"/>
        <w:autoSpaceDN w:val="0"/>
        <w:adjustRightInd w:val="0"/>
        <w:spacing w:after="0" w:line="240" w:lineRule="auto"/>
        <w:jc w:val="both"/>
        <w:rPr>
          <w:rFonts w:ascii="Times New Roman" w:hAnsi="Times New Roman" w:cs="Times New Roman"/>
          <w:color w:val="000000"/>
        </w:rPr>
      </w:pPr>
      <w:r w:rsidRPr="00C93934">
        <w:rPr>
          <w:rFonts w:ascii="Times New Roman" w:hAnsi="Times New Roman" w:cs="Times New Roman"/>
          <w:color w:val="000000"/>
        </w:rPr>
        <w:t xml:space="preserve">Sincerely, </w:t>
      </w:r>
    </w:p>
    <w:p w:rsidR="00BE1069" w:rsidRPr="00C93934" w:rsidRDefault="00330D2B" w:rsidP="00892229">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noProof/>
          <w:sz w:val="24"/>
          <w:szCs w:val="24"/>
        </w:rPr>
        <w:drawing>
          <wp:inline distT="0" distB="0" distL="0" distR="0" wp14:anchorId="08EDEAA2" wp14:editId="2A4F05EB">
            <wp:extent cx="1257300" cy="400050"/>
            <wp:effectExtent l="0" t="0" r="0" b="0"/>
            <wp:docPr id="3" name="Picture 3" descr="CRB Signatur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B Signature 20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400050"/>
                    </a:xfrm>
                    <a:prstGeom prst="rect">
                      <a:avLst/>
                    </a:prstGeom>
                    <a:noFill/>
                    <a:ln>
                      <a:noFill/>
                    </a:ln>
                  </pic:spPr>
                </pic:pic>
              </a:graphicData>
            </a:graphic>
          </wp:inline>
        </w:drawing>
      </w:r>
    </w:p>
    <w:p w:rsidR="00BE1069" w:rsidRPr="00C93934" w:rsidRDefault="00BE1069" w:rsidP="00892229">
      <w:pPr>
        <w:autoSpaceDE w:val="0"/>
        <w:autoSpaceDN w:val="0"/>
        <w:adjustRightInd w:val="0"/>
        <w:spacing w:after="0" w:line="240" w:lineRule="auto"/>
        <w:jc w:val="both"/>
        <w:rPr>
          <w:rFonts w:ascii="Times New Roman" w:hAnsi="Times New Roman" w:cs="Times New Roman"/>
          <w:color w:val="000000"/>
        </w:rPr>
      </w:pPr>
    </w:p>
    <w:p w:rsidR="00BE1069" w:rsidRPr="00086309" w:rsidRDefault="00BE1069" w:rsidP="00892229">
      <w:pPr>
        <w:autoSpaceDE w:val="0"/>
        <w:autoSpaceDN w:val="0"/>
        <w:adjustRightInd w:val="0"/>
        <w:spacing w:after="0" w:line="240" w:lineRule="auto"/>
        <w:jc w:val="both"/>
        <w:rPr>
          <w:rFonts w:ascii="Times New Roman" w:hAnsi="Times New Roman" w:cs="Times New Roman"/>
          <w:color w:val="000000"/>
        </w:rPr>
      </w:pPr>
    </w:p>
    <w:p w:rsidR="00BE1069" w:rsidRPr="00086309" w:rsidRDefault="00BE1069" w:rsidP="00892229">
      <w:pPr>
        <w:autoSpaceDE w:val="0"/>
        <w:autoSpaceDN w:val="0"/>
        <w:adjustRightInd w:val="0"/>
        <w:spacing w:after="0" w:line="240" w:lineRule="auto"/>
        <w:jc w:val="both"/>
        <w:rPr>
          <w:rFonts w:ascii="Times New Roman" w:hAnsi="Times New Roman" w:cs="Times New Roman"/>
          <w:color w:val="000000"/>
        </w:rPr>
      </w:pPr>
    </w:p>
    <w:p w:rsidR="00BE1069" w:rsidRPr="00086309" w:rsidRDefault="00BE1069" w:rsidP="00892229">
      <w:pPr>
        <w:autoSpaceDE w:val="0"/>
        <w:autoSpaceDN w:val="0"/>
        <w:adjustRightInd w:val="0"/>
        <w:spacing w:after="0" w:line="240" w:lineRule="auto"/>
        <w:jc w:val="both"/>
        <w:rPr>
          <w:rFonts w:ascii="Times New Roman" w:hAnsi="Times New Roman" w:cs="Times New Roman"/>
          <w:color w:val="000000"/>
        </w:rPr>
      </w:pPr>
      <w:r w:rsidRPr="00086309">
        <w:rPr>
          <w:rFonts w:ascii="Times New Roman" w:hAnsi="Times New Roman" w:cs="Times New Roman"/>
          <w:color w:val="000000"/>
        </w:rPr>
        <w:t>Enclosure</w:t>
      </w:r>
    </w:p>
    <w:p w:rsidR="00BE1069" w:rsidRPr="00086309" w:rsidRDefault="00BE1069" w:rsidP="00892229">
      <w:pPr>
        <w:autoSpaceDE w:val="0"/>
        <w:autoSpaceDN w:val="0"/>
        <w:adjustRightInd w:val="0"/>
        <w:spacing w:after="0" w:line="240" w:lineRule="auto"/>
        <w:jc w:val="both"/>
        <w:rPr>
          <w:rFonts w:ascii="Times New Roman" w:hAnsi="Times New Roman" w:cs="Times New Roman"/>
          <w:color w:val="000000"/>
        </w:rPr>
      </w:pPr>
    </w:p>
    <w:p w:rsidR="00BE1069" w:rsidRPr="00086309" w:rsidRDefault="00BE1069" w:rsidP="00892229">
      <w:pPr>
        <w:autoSpaceDE w:val="0"/>
        <w:autoSpaceDN w:val="0"/>
        <w:adjustRightInd w:val="0"/>
        <w:spacing w:after="0" w:line="240" w:lineRule="auto"/>
        <w:jc w:val="both"/>
        <w:rPr>
          <w:rFonts w:ascii="Times New Roman" w:hAnsi="Times New Roman" w:cs="Times New Roman"/>
          <w:color w:val="000000"/>
        </w:rPr>
      </w:pPr>
    </w:p>
    <w:p w:rsidR="00BE1069" w:rsidRPr="00086309" w:rsidRDefault="00BE1069" w:rsidP="00892229">
      <w:pPr>
        <w:autoSpaceDE w:val="0"/>
        <w:autoSpaceDN w:val="0"/>
        <w:adjustRightInd w:val="0"/>
        <w:spacing w:after="0" w:line="240" w:lineRule="auto"/>
        <w:ind w:left="720" w:hanging="720"/>
        <w:jc w:val="both"/>
        <w:rPr>
          <w:rFonts w:ascii="Times New Roman" w:hAnsi="Times New Roman" w:cs="Times New Roman"/>
          <w:color w:val="000000"/>
        </w:rPr>
      </w:pPr>
      <w:r w:rsidRPr="00086309">
        <w:rPr>
          <w:rFonts w:ascii="Times New Roman" w:hAnsi="Times New Roman" w:cs="Times New Roman"/>
          <w:color w:val="000000"/>
        </w:rPr>
        <w:t>cc:</w:t>
      </w:r>
      <w:r w:rsidRPr="00086309">
        <w:rPr>
          <w:rFonts w:ascii="Times New Roman" w:hAnsi="Times New Roman" w:cs="Times New Roman"/>
          <w:color w:val="000000"/>
        </w:rPr>
        <w:tab/>
        <w:t>Richard Corey - ARB</w:t>
      </w:r>
    </w:p>
    <w:p w:rsidR="00BE1069" w:rsidRPr="00086309" w:rsidRDefault="00BE1069" w:rsidP="00892229">
      <w:pPr>
        <w:autoSpaceDE w:val="0"/>
        <w:autoSpaceDN w:val="0"/>
        <w:adjustRightInd w:val="0"/>
        <w:spacing w:after="0" w:line="240" w:lineRule="auto"/>
        <w:ind w:left="720"/>
        <w:jc w:val="both"/>
        <w:rPr>
          <w:rFonts w:ascii="Times New Roman" w:hAnsi="Times New Roman" w:cs="Times New Roman"/>
          <w:color w:val="000000"/>
        </w:rPr>
      </w:pPr>
      <w:r w:rsidRPr="00086309">
        <w:rPr>
          <w:rFonts w:ascii="Times New Roman" w:hAnsi="Times New Roman" w:cs="Times New Roman"/>
          <w:color w:val="000000"/>
        </w:rPr>
        <w:t>Edie Chang - ARB</w:t>
      </w:r>
    </w:p>
    <w:p w:rsidR="00BE1069" w:rsidRDefault="00BE1069" w:rsidP="00892229">
      <w:pPr>
        <w:autoSpaceDE w:val="0"/>
        <w:autoSpaceDN w:val="0"/>
        <w:adjustRightInd w:val="0"/>
        <w:spacing w:after="0" w:line="240" w:lineRule="auto"/>
        <w:ind w:left="720"/>
        <w:jc w:val="both"/>
        <w:rPr>
          <w:rFonts w:ascii="Times New Roman" w:hAnsi="Times New Roman" w:cs="Times New Roman"/>
          <w:color w:val="000000"/>
        </w:rPr>
      </w:pPr>
      <w:r w:rsidRPr="00086309">
        <w:rPr>
          <w:rFonts w:ascii="Times New Roman" w:hAnsi="Times New Roman" w:cs="Times New Roman"/>
          <w:color w:val="000000"/>
        </w:rPr>
        <w:t xml:space="preserve">Mary Jane Coombs </w:t>
      </w:r>
      <w:r w:rsidR="00330D2B">
        <w:rPr>
          <w:rFonts w:ascii="Times New Roman" w:hAnsi="Times New Roman" w:cs="Times New Roman"/>
          <w:color w:val="000000"/>
        </w:rPr>
        <w:t>–</w:t>
      </w:r>
      <w:r w:rsidRPr="00086309">
        <w:rPr>
          <w:rFonts w:ascii="Times New Roman" w:hAnsi="Times New Roman" w:cs="Times New Roman"/>
          <w:color w:val="000000"/>
        </w:rPr>
        <w:t xml:space="preserve"> ARB</w:t>
      </w:r>
    </w:p>
    <w:p w:rsidR="00330D2B" w:rsidRPr="00086309" w:rsidRDefault="00330D2B" w:rsidP="00892229">
      <w:pPr>
        <w:autoSpaceDE w:val="0"/>
        <w:autoSpaceDN w:val="0"/>
        <w:adjustRightInd w:val="0"/>
        <w:spacing w:after="0" w:line="240" w:lineRule="auto"/>
        <w:ind w:left="720"/>
        <w:jc w:val="both"/>
        <w:rPr>
          <w:rFonts w:ascii="Times New Roman" w:hAnsi="Times New Roman" w:cs="Times New Roman"/>
          <w:color w:val="000000"/>
        </w:rPr>
      </w:pPr>
      <w:r>
        <w:rPr>
          <w:rFonts w:ascii="Times New Roman" w:hAnsi="Times New Roman" w:cs="Times New Roman"/>
          <w:color w:val="000000"/>
        </w:rPr>
        <w:t>Tiffany Roberts - WSPA</w:t>
      </w:r>
    </w:p>
    <w:p w:rsidR="00D44D7F" w:rsidRDefault="00D44D7F">
      <w:pPr>
        <w:rPr>
          <w:rFonts w:ascii="Times New Roman" w:hAnsi="Times New Roman" w:cs="Times New Roman"/>
        </w:rPr>
      </w:pPr>
      <w:r>
        <w:rPr>
          <w:rFonts w:ascii="Times New Roman" w:hAnsi="Times New Roman" w:cs="Times New Roman"/>
        </w:rPr>
        <w:br w:type="page"/>
      </w:r>
    </w:p>
    <w:p w:rsidR="00BE1069" w:rsidRPr="00086309" w:rsidRDefault="00086309" w:rsidP="00086309">
      <w:pPr>
        <w:spacing w:after="0" w:line="240" w:lineRule="auto"/>
        <w:jc w:val="center"/>
        <w:rPr>
          <w:rFonts w:ascii="Times New Roman" w:hAnsi="Times New Roman" w:cs="Times New Roman"/>
          <w:b/>
          <w:sz w:val="40"/>
          <w:szCs w:val="40"/>
        </w:rPr>
      </w:pPr>
      <w:r w:rsidRPr="00086309">
        <w:rPr>
          <w:rFonts w:ascii="Times New Roman" w:hAnsi="Times New Roman" w:cs="Times New Roman"/>
          <w:b/>
          <w:sz w:val="40"/>
          <w:szCs w:val="40"/>
        </w:rPr>
        <w:lastRenderedPageBreak/>
        <w:t>Appendix</w:t>
      </w:r>
    </w:p>
    <w:p w:rsidR="00086309" w:rsidRDefault="00086309" w:rsidP="00086309">
      <w:pPr>
        <w:spacing w:after="0" w:line="240" w:lineRule="auto"/>
        <w:jc w:val="center"/>
        <w:rPr>
          <w:rFonts w:ascii="Times New Roman" w:hAnsi="Times New Roman" w:cs="Times New Roman"/>
          <w:b/>
          <w:sz w:val="32"/>
          <w:szCs w:val="32"/>
        </w:rPr>
      </w:pPr>
    </w:p>
    <w:p w:rsidR="00086309" w:rsidRPr="00086309" w:rsidRDefault="00086309" w:rsidP="0008630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Summary of NERA Comments </w:t>
      </w:r>
      <w:r w:rsidR="00A539CA">
        <w:rPr>
          <w:rFonts w:ascii="Times New Roman" w:hAnsi="Times New Roman" w:cs="Times New Roman"/>
          <w:b/>
          <w:sz w:val="32"/>
          <w:szCs w:val="32"/>
        </w:rPr>
        <w:t xml:space="preserve">and Recommendations </w:t>
      </w:r>
      <w:r>
        <w:rPr>
          <w:rFonts w:ascii="Times New Roman" w:hAnsi="Times New Roman" w:cs="Times New Roman"/>
          <w:b/>
          <w:sz w:val="32"/>
          <w:szCs w:val="32"/>
        </w:rPr>
        <w:t xml:space="preserve">on ARB Contractor </w:t>
      </w:r>
      <w:r w:rsidR="00CB6504">
        <w:rPr>
          <w:rFonts w:ascii="Times New Roman" w:hAnsi="Times New Roman" w:cs="Times New Roman"/>
          <w:b/>
          <w:sz w:val="32"/>
          <w:szCs w:val="32"/>
        </w:rPr>
        <w:t>Trade Exposure</w:t>
      </w:r>
      <w:r>
        <w:rPr>
          <w:rFonts w:ascii="Times New Roman" w:hAnsi="Times New Roman" w:cs="Times New Roman"/>
          <w:b/>
          <w:sz w:val="32"/>
          <w:szCs w:val="32"/>
        </w:rPr>
        <w:t xml:space="preserve"> Reports</w:t>
      </w:r>
    </w:p>
    <w:p w:rsidR="00086309" w:rsidRDefault="00086309" w:rsidP="00086309">
      <w:pPr>
        <w:pStyle w:val="BodyText"/>
        <w:ind w:left="720"/>
        <w:jc w:val="both"/>
        <w:rPr>
          <w:b w:val="0"/>
          <w:bCs w:val="0"/>
          <w:lang w:val="en-GB" w:eastAsia="zh-CN"/>
        </w:rPr>
      </w:pPr>
    </w:p>
    <w:p w:rsidR="00086309" w:rsidRDefault="00086309" w:rsidP="00086309">
      <w:pPr>
        <w:pStyle w:val="BodyText"/>
        <w:numPr>
          <w:ilvl w:val="0"/>
          <w:numId w:val="25"/>
        </w:numPr>
        <w:jc w:val="both"/>
        <w:rPr>
          <w:b w:val="0"/>
          <w:bCs w:val="0"/>
          <w:lang w:val="en-GB" w:eastAsia="zh-CN"/>
        </w:rPr>
      </w:pPr>
      <w:r>
        <w:rPr>
          <w:b w:val="0"/>
          <w:bCs w:val="0"/>
          <w:lang w:val="en-GB" w:eastAsia="zh-CN"/>
        </w:rPr>
        <w:t>Using data on a large number of industries with heterogeneous characteristics risks confounding the effects of changes in specific markets on those industries with the effects of changing energy prices.  “For example, crude oil prices varied widely over the period but their effect on refining is not represented.  Thus if crude oil prices were falling during a sub-period when natural gas prices were rising, the regression analysis might conclude that refinery output was relatively insensitive to increases in the prices of natural gas and electricity.”</w:t>
      </w:r>
      <w:r>
        <w:rPr>
          <w:rStyle w:val="FootnoteReference"/>
          <w:b w:val="0"/>
          <w:bCs w:val="0"/>
          <w:lang w:val="en-GB" w:eastAsia="zh-CN"/>
        </w:rPr>
        <w:footnoteReference w:id="17"/>
      </w:r>
    </w:p>
    <w:p w:rsidR="00086309" w:rsidRDefault="00086309" w:rsidP="00086309">
      <w:pPr>
        <w:pStyle w:val="BodyText"/>
        <w:ind w:left="720"/>
        <w:jc w:val="both"/>
        <w:rPr>
          <w:b w:val="0"/>
          <w:bCs w:val="0"/>
          <w:lang w:val="en-GB" w:eastAsia="zh-CN"/>
        </w:rPr>
      </w:pPr>
    </w:p>
    <w:p w:rsidR="00086309" w:rsidRDefault="00086309" w:rsidP="00086309">
      <w:pPr>
        <w:pStyle w:val="ListParagraph"/>
        <w:numPr>
          <w:ilvl w:val="0"/>
          <w:numId w:val="25"/>
        </w:numPr>
        <w:spacing w:after="0" w:line="240" w:lineRule="auto"/>
        <w:contextualSpacing w:val="0"/>
        <w:jc w:val="both"/>
        <w:rPr>
          <w:rFonts w:ascii="Times New Roman" w:hAnsi="Times New Roman"/>
          <w:sz w:val="24"/>
          <w:szCs w:val="24"/>
          <w:lang w:val="en-GB" w:eastAsia="ja-JP"/>
        </w:rPr>
      </w:pPr>
      <w:r>
        <w:rPr>
          <w:rFonts w:ascii="Times New Roman" w:hAnsi="Times New Roman"/>
          <w:sz w:val="24"/>
          <w:szCs w:val="24"/>
          <w:lang w:val="en-GB" w:eastAsia="ja-JP"/>
        </w:rPr>
        <w:t>As noted above, the omission of energy sources consumed at California refineries other than natural gas and electricity (e.g., fuel-gas, petroleum coke, and fuel oil) results in underestimating the energy intensity of those refineries.  “</w:t>
      </w:r>
      <w:r>
        <w:rPr>
          <w:rFonts w:ascii="Times New Roman" w:hAnsi="Times New Roman"/>
          <w:sz w:val="24"/>
          <w:szCs w:val="24"/>
          <w:lang w:eastAsia="ja-JP"/>
        </w:rPr>
        <w:t>To the extent that California refineries are less energy intensive than refineries outside California, this omission leads to an understatement of the leakage that would occur if output from California refineries were displaced by output from refineries outside the state.</w:t>
      </w:r>
      <w:r>
        <w:rPr>
          <w:rFonts w:ascii="Times New Roman" w:hAnsi="Times New Roman"/>
          <w:sz w:val="24"/>
          <w:szCs w:val="24"/>
          <w:lang w:val="en-GB" w:eastAsia="ja-JP"/>
        </w:rPr>
        <w:t>”</w:t>
      </w:r>
      <w:r>
        <w:rPr>
          <w:rStyle w:val="FootnoteReference"/>
          <w:rFonts w:ascii="Times New Roman" w:hAnsi="Times New Roman"/>
          <w:sz w:val="24"/>
          <w:szCs w:val="24"/>
          <w:lang w:val="en-GB" w:eastAsia="ja-JP"/>
        </w:rPr>
        <w:footnoteReference w:id="18"/>
      </w:r>
      <w:r>
        <w:rPr>
          <w:rFonts w:ascii="Times New Roman" w:hAnsi="Times New Roman"/>
          <w:sz w:val="24"/>
          <w:szCs w:val="24"/>
          <w:lang w:val="en-GB" w:eastAsia="ja-JP"/>
        </w:rPr>
        <w:t>  This omission renders the current analyses in both studies to be inappropriate for the refining section.</w:t>
      </w:r>
    </w:p>
    <w:p w:rsidR="00086309" w:rsidRPr="00086309" w:rsidRDefault="00086309" w:rsidP="00086309">
      <w:pPr>
        <w:spacing w:after="0" w:line="240" w:lineRule="auto"/>
        <w:jc w:val="both"/>
        <w:rPr>
          <w:rFonts w:ascii="Times New Roman" w:hAnsi="Times New Roman"/>
          <w:sz w:val="24"/>
          <w:szCs w:val="24"/>
          <w:lang w:val="en-GB" w:eastAsia="ja-JP"/>
        </w:rPr>
      </w:pPr>
    </w:p>
    <w:p w:rsidR="00086309" w:rsidRDefault="00086309" w:rsidP="00086309">
      <w:pPr>
        <w:pStyle w:val="ListParagraph"/>
        <w:numPr>
          <w:ilvl w:val="0"/>
          <w:numId w:val="26"/>
        </w:numPr>
        <w:spacing w:after="0" w:line="240" w:lineRule="auto"/>
        <w:contextualSpacing w:val="0"/>
        <w:jc w:val="both"/>
        <w:rPr>
          <w:rFonts w:ascii="Times New Roman" w:hAnsi="Times New Roman"/>
          <w:sz w:val="24"/>
          <w:szCs w:val="24"/>
          <w:lang w:val="en-GB" w:eastAsia="zh-CN"/>
        </w:rPr>
      </w:pPr>
      <w:r>
        <w:rPr>
          <w:rFonts w:ascii="Times New Roman" w:hAnsi="Times New Roman"/>
          <w:sz w:val="24"/>
          <w:szCs w:val="24"/>
          <w:lang w:val="en-GB" w:eastAsia="zh-CN"/>
        </w:rPr>
        <w:t>Proper assessment of leakage risk for petroleum refining requires use of process models that capture specific production details.  “The combination of low value-added, sunk investments, process plus fuel use emissions and low cost national and international transportation of products make it impossible to capture in a simple econometric model or production function an accurate picture of the regional shifts in refinery activity likely to be caused by California-only carbon policies.”  NERA indicates that process models can only be used to approximate leakage if they contain data for all competing refineries in the US and overseas, or if they are linked to computable general equilibrium (CGE) models to capture the interindustry and indirect effects of changes in fuel prices and refined product production.</w:t>
      </w:r>
      <w:r>
        <w:rPr>
          <w:rStyle w:val="FootnoteReference"/>
          <w:rFonts w:ascii="Times New Roman" w:hAnsi="Times New Roman"/>
          <w:sz w:val="24"/>
          <w:szCs w:val="24"/>
          <w:lang w:val="en-GB" w:eastAsia="zh-CN"/>
        </w:rPr>
        <w:footnoteReference w:id="19"/>
      </w:r>
    </w:p>
    <w:p w:rsidR="00086309" w:rsidRDefault="00086309" w:rsidP="00086309">
      <w:pPr>
        <w:pStyle w:val="ListParagraph"/>
        <w:rPr>
          <w:rFonts w:ascii="Times New Roman" w:hAnsi="Times New Roman"/>
          <w:sz w:val="24"/>
          <w:szCs w:val="24"/>
          <w:lang w:val="en-GB" w:eastAsia="zh-CN"/>
        </w:rPr>
      </w:pPr>
    </w:p>
    <w:p w:rsidR="00086309" w:rsidRPr="00086309" w:rsidRDefault="00086309" w:rsidP="00B54377">
      <w:pPr>
        <w:pStyle w:val="ListParagraph"/>
        <w:numPr>
          <w:ilvl w:val="0"/>
          <w:numId w:val="26"/>
        </w:numPr>
        <w:spacing w:after="0" w:line="240" w:lineRule="auto"/>
        <w:contextualSpacing w:val="0"/>
        <w:jc w:val="both"/>
        <w:rPr>
          <w:rFonts w:ascii="Times New Roman" w:hAnsi="Times New Roman"/>
          <w:sz w:val="24"/>
          <w:szCs w:val="24"/>
          <w:lang w:val="en-GB" w:eastAsia="ja-JP"/>
        </w:rPr>
      </w:pPr>
      <w:r>
        <w:rPr>
          <w:rFonts w:ascii="Times New Roman" w:hAnsi="Times New Roman"/>
          <w:sz w:val="24"/>
          <w:szCs w:val="24"/>
          <w:lang w:val="en-GB" w:eastAsia="ja-JP"/>
        </w:rPr>
        <w:t xml:space="preserve">Regression models are based on past market structure and cannot accurately predict future changes in market behaviour.  “As one example, the regression analysis cannot capture the effects of changes in the marketplace that could cause an industry that is currently not trade exposed to become trade exposed.  Specifically, the regression model cannot anticipate the future implications of California’s shrinking demand for transportation fuels and the pressure this would place on California refineries to sell product to markets outside the state when the refining sector is put into the </w:t>
      </w:r>
      <w:r w:rsidR="005B67A3">
        <w:rPr>
          <w:rFonts w:ascii="Times New Roman" w:hAnsi="Times New Roman"/>
          <w:sz w:val="24"/>
          <w:szCs w:val="24"/>
          <w:lang w:val="en-GB" w:eastAsia="ja-JP"/>
        </w:rPr>
        <w:t>Cap-and-Trade</w:t>
      </w:r>
      <w:r>
        <w:rPr>
          <w:rFonts w:ascii="Times New Roman" w:hAnsi="Times New Roman"/>
          <w:sz w:val="24"/>
          <w:szCs w:val="24"/>
          <w:lang w:val="en-GB" w:eastAsia="ja-JP"/>
        </w:rPr>
        <w:t xml:space="preserve"> system.”</w:t>
      </w:r>
      <w:r>
        <w:rPr>
          <w:rStyle w:val="FootnoteReference"/>
          <w:rFonts w:ascii="Times New Roman" w:hAnsi="Times New Roman"/>
          <w:sz w:val="24"/>
          <w:szCs w:val="24"/>
          <w:lang w:val="en-GB" w:eastAsia="ja-JP"/>
        </w:rPr>
        <w:footnoteReference w:id="20"/>
      </w:r>
    </w:p>
    <w:sectPr w:rsidR="00086309" w:rsidRPr="0008630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0CE" w:rsidRDefault="000140CE" w:rsidP="008B7991">
      <w:pPr>
        <w:spacing w:after="0" w:line="240" w:lineRule="auto"/>
      </w:pPr>
      <w:r>
        <w:separator/>
      </w:r>
    </w:p>
  </w:endnote>
  <w:endnote w:type="continuationSeparator" w:id="0">
    <w:p w:rsidR="000140CE" w:rsidRDefault="000140CE" w:rsidP="008B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0CE" w:rsidRDefault="000140CE" w:rsidP="008B7991">
      <w:pPr>
        <w:spacing w:after="0" w:line="240" w:lineRule="auto"/>
      </w:pPr>
      <w:r>
        <w:separator/>
      </w:r>
    </w:p>
  </w:footnote>
  <w:footnote w:type="continuationSeparator" w:id="0">
    <w:p w:rsidR="000140CE" w:rsidRDefault="000140CE" w:rsidP="008B7991">
      <w:pPr>
        <w:spacing w:after="0" w:line="240" w:lineRule="auto"/>
      </w:pPr>
      <w:r>
        <w:continuationSeparator/>
      </w:r>
    </w:p>
  </w:footnote>
  <w:footnote w:id="1">
    <w:p w:rsidR="00C20B8A" w:rsidRPr="007766C1" w:rsidRDefault="00C20B8A" w:rsidP="00EE1BDF">
      <w:pPr>
        <w:autoSpaceDE w:val="0"/>
        <w:autoSpaceDN w:val="0"/>
        <w:adjustRightInd w:val="0"/>
        <w:spacing w:after="0" w:line="240" w:lineRule="auto"/>
        <w:rPr>
          <w:rFonts w:ascii="Times New Roman" w:hAnsi="Times New Roman" w:cs="Times New Roman"/>
          <w:sz w:val="20"/>
          <w:szCs w:val="20"/>
        </w:rPr>
      </w:pPr>
      <w:r w:rsidRPr="007766C1">
        <w:rPr>
          <w:rStyle w:val="FootnoteReference"/>
          <w:rFonts w:ascii="Times New Roman" w:hAnsi="Times New Roman" w:cs="Times New Roman"/>
          <w:sz w:val="20"/>
          <w:szCs w:val="20"/>
        </w:rPr>
        <w:footnoteRef/>
      </w:r>
      <w:r w:rsidRPr="007766C1">
        <w:rPr>
          <w:rFonts w:ascii="Times New Roman" w:hAnsi="Times New Roman" w:cs="Times New Roman"/>
          <w:sz w:val="20"/>
          <w:szCs w:val="20"/>
        </w:rPr>
        <w:t xml:space="preserve"> Health and Safety Code Section 38570(b)</w:t>
      </w:r>
      <w:r>
        <w:rPr>
          <w:rFonts w:ascii="Times New Roman" w:hAnsi="Times New Roman" w:cs="Times New Roman"/>
          <w:color w:val="000000"/>
          <w:sz w:val="20"/>
          <w:szCs w:val="20"/>
        </w:rPr>
        <w:t>(2)</w:t>
      </w:r>
    </w:p>
  </w:footnote>
  <w:footnote w:id="2">
    <w:p w:rsidR="00C20B8A" w:rsidRPr="00DC4C7A" w:rsidRDefault="00C20B8A">
      <w:pPr>
        <w:pStyle w:val="FootnoteText"/>
        <w:rPr>
          <w:rFonts w:ascii="Times New Roman" w:hAnsi="Times New Roman" w:cs="Times New Roman"/>
          <w:highlight w:val="yellow"/>
        </w:rPr>
      </w:pPr>
      <w:r w:rsidRPr="006B09F3">
        <w:rPr>
          <w:rStyle w:val="FootnoteReference"/>
          <w:rFonts w:ascii="Times New Roman" w:hAnsi="Times New Roman" w:cs="Times New Roman"/>
        </w:rPr>
        <w:footnoteRef/>
      </w:r>
      <w:r w:rsidRPr="006B09F3">
        <w:rPr>
          <w:rFonts w:ascii="Times New Roman" w:hAnsi="Times New Roman" w:cs="Times New Roman"/>
        </w:rPr>
        <w:t xml:space="preserve"> Health and Safety Code Sections 38560, 38561, 38562 and 38564.</w:t>
      </w:r>
    </w:p>
  </w:footnote>
  <w:footnote w:id="3">
    <w:p w:rsidR="00C20B8A" w:rsidRPr="006B09F3" w:rsidRDefault="00C20B8A" w:rsidP="006B09F3">
      <w:pPr>
        <w:pStyle w:val="FootnoteText"/>
        <w:rPr>
          <w:rFonts w:ascii="Times New Roman" w:hAnsi="Times New Roman" w:cs="Times New Roman"/>
        </w:rPr>
      </w:pPr>
      <w:r w:rsidRPr="006B09F3">
        <w:rPr>
          <w:rStyle w:val="FootnoteReference"/>
          <w:rFonts w:ascii="Times New Roman" w:hAnsi="Times New Roman" w:cs="Times New Roman"/>
        </w:rPr>
        <w:footnoteRef/>
      </w:r>
      <w:r w:rsidRPr="006B09F3">
        <w:rPr>
          <w:rFonts w:ascii="Times New Roman" w:hAnsi="Times New Roman" w:cs="Times New Roman"/>
        </w:rPr>
        <w:t xml:space="preserve"> Letter from Mr. Richard Corey, Executive Officer of the Air Resources Board to Mr. Jack Broadbent, Chief Executive Officer of the Bay Area Air Quality Management District, dated September 1</w:t>
      </w:r>
      <w:r>
        <w:rPr>
          <w:rFonts w:ascii="Times New Roman" w:hAnsi="Times New Roman" w:cs="Times New Roman"/>
        </w:rPr>
        <w:t>7</w:t>
      </w:r>
      <w:r w:rsidRPr="006B09F3">
        <w:rPr>
          <w:rFonts w:ascii="Times New Roman" w:hAnsi="Times New Roman" w:cs="Times New Roman"/>
        </w:rPr>
        <w:t>, 2015.</w:t>
      </w:r>
    </w:p>
    <w:p w:rsidR="00C20B8A" w:rsidRDefault="00C20B8A" w:rsidP="006B09F3">
      <w:pPr>
        <w:pStyle w:val="FootnoteText"/>
      </w:pPr>
      <w:r w:rsidRPr="006B09F3">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4pt;height:49.8pt" o:ole="">
            <v:imagedata r:id="rId1" o:title=""/>
          </v:shape>
          <o:OLEObject Type="Embed" ProgID="Package" ShapeID="_x0000_i1026" DrawAspect="Icon" ObjectID="_1541997376" r:id="rId2"/>
        </w:object>
      </w:r>
    </w:p>
  </w:footnote>
  <w:footnote w:id="4">
    <w:p w:rsidR="00C20B8A" w:rsidRPr="00CA4191" w:rsidRDefault="00C20B8A" w:rsidP="00192F10">
      <w:pPr>
        <w:pStyle w:val="FootnoteText"/>
        <w:rPr>
          <w:rFonts w:ascii="Times New Roman" w:hAnsi="Times New Roman" w:cs="Times New Roman"/>
        </w:rPr>
      </w:pPr>
      <w:r w:rsidRPr="00CA4191">
        <w:rPr>
          <w:rStyle w:val="FootnoteReference"/>
          <w:rFonts w:ascii="Times New Roman" w:hAnsi="Times New Roman" w:cs="Times New Roman"/>
        </w:rPr>
        <w:footnoteRef/>
      </w:r>
      <w:r w:rsidRPr="00CA4191">
        <w:rPr>
          <w:rFonts w:ascii="Times New Roman" w:hAnsi="Times New Roman" w:cs="Times New Roman"/>
        </w:rPr>
        <w:t xml:space="preserve"> Proposed Amendments to the California Cap on Greenhouse Gas Emissions and Market-Based Compliance Mechanisms, Initial Statement of Reasons, page 13.</w:t>
      </w:r>
    </w:p>
  </w:footnote>
  <w:footnote w:id="5">
    <w:p w:rsidR="00C20B8A" w:rsidRPr="009C782E" w:rsidRDefault="00C20B8A" w:rsidP="00086309">
      <w:pPr>
        <w:pStyle w:val="FootnoteText"/>
        <w:rPr>
          <w:rFonts w:ascii="Times New Roman" w:hAnsi="Times New Roman" w:cs="Times New Roman"/>
        </w:rPr>
      </w:pPr>
      <w:r w:rsidRPr="009C782E">
        <w:rPr>
          <w:rStyle w:val="FootnoteReference"/>
          <w:rFonts w:ascii="Times New Roman" w:hAnsi="Times New Roman" w:cs="Times New Roman"/>
        </w:rPr>
        <w:footnoteRef/>
      </w:r>
      <w:r w:rsidRPr="009C782E">
        <w:rPr>
          <w:rFonts w:ascii="Times New Roman" w:hAnsi="Times New Roman" w:cs="Times New Roman"/>
        </w:rPr>
        <w:t xml:space="preserve"> Energy Efficiency and Co-Benefits Assessment of Large Industrial Sources; Refinery Sector Public Report; California Air Resources Board Stationary Source Division; June 6, 2013: </w:t>
      </w:r>
      <w:hyperlink r:id="rId3" w:history="1">
        <w:r w:rsidRPr="009C782E">
          <w:rPr>
            <w:rStyle w:val="Hyperlink"/>
            <w:rFonts w:ascii="Times New Roman" w:hAnsi="Times New Roman" w:cs="Times New Roman"/>
          </w:rPr>
          <w:t>http://www.arb.ca.gov/cc/energyaudits/eeareports/refinery.pdf</w:t>
        </w:r>
      </w:hyperlink>
    </w:p>
  </w:footnote>
  <w:footnote w:id="6">
    <w:p w:rsidR="00C20B8A" w:rsidRPr="00F82EF7" w:rsidRDefault="00C20B8A">
      <w:pPr>
        <w:pStyle w:val="FootnoteText"/>
        <w:rPr>
          <w:rFonts w:ascii="Times New Roman" w:hAnsi="Times New Roman" w:cs="Times New Roman"/>
        </w:rPr>
      </w:pPr>
      <w:r w:rsidRPr="00F82EF7">
        <w:rPr>
          <w:rStyle w:val="FootnoteReference"/>
          <w:rFonts w:ascii="Times New Roman" w:hAnsi="Times New Roman" w:cs="Times New Roman"/>
        </w:rPr>
        <w:footnoteRef/>
      </w:r>
      <w:r w:rsidRPr="00F82EF7">
        <w:rPr>
          <w:rFonts w:ascii="Times New Roman" w:hAnsi="Times New Roman" w:cs="Times New Roman"/>
        </w:rPr>
        <w:t xml:space="preserve"> Air Resources Board staff presentation, Energy Efficiency and Co-Benefits Assessment Public Reports Workshop, June 30, 2015, slide 30: https://www.arb.ca.gov/cc/energyaudits/meetings/063015/presentation.pdf.</w:t>
      </w:r>
    </w:p>
  </w:footnote>
  <w:footnote w:id="7">
    <w:p w:rsidR="00C20B8A" w:rsidRPr="00FF7CD8" w:rsidRDefault="00C20B8A">
      <w:pPr>
        <w:pStyle w:val="FootnoteText"/>
        <w:rPr>
          <w:rFonts w:ascii="Times New Roman" w:hAnsi="Times New Roman" w:cs="Times New Roman"/>
        </w:rPr>
      </w:pPr>
      <w:r w:rsidRPr="00FF7CD8">
        <w:rPr>
          <w:rStyle w:val="FootnoteReference"/>
          <w:rFonts w:ascii="Times New Roman" w:hAnsi="Times New Roman" w:cs="Times New Roman"/>
        </w:rPr>
        <w:footnoteRef/>
      </w:r>
      <w:r w:rsidRPr="00FF7CD8">
        <w:rPr>
          <w:rFonts w:ascii="Times New Roman" w:hAnsi="Times New Roman" w:cs="Times New Roman"/>
        </w:rPr>
        <w:t xml:space="preserve"> Measuring Leakage Risk, Meredith L. Fowlie, Mar Reguant, and Stephen P. Ryan, May, 2016, page 14: “Domestic producers emit damaging pollution at a constant rate of e</w:t>
      </w:r>
      <w:r w:rsidRPr="00FF7CD8">
        <w:rPr>
          <w:rFonts w:ascii="Times New Roman" w:hAnsi="Times New Roman" w:cs="Times New Roman"/>
          <w:vertAlign w:val="subscript"/>
        </w:rPr>
        <w:t>d</w:t>
      </w:r>
      <w:r w:rsidRPr="00FF7CD8">
        <w:rPr>
          <w:rFonts w:ascii="Times New Roman" w:hAnsi="Times New Roman" w:cs="Times New Roman"/>
        </w:rPr>
        <w:t xml:space="preserve"> per unit of q</w:t>
      </w:r>
      <w:r w:rsidRPr="00FF7CD8">
        <w:rPr>
          <w:rFonts w:ascii="Times New Roman" w:hAnsi="Times New Roman" w:cs="Times New Roman"/>
          <w:vertAlign w:val="subscript"/>
        </w:rPr>
        <w:t>d</w:t>
      </w:r>
      <w:r>
        <w:rPr>
          <w:rFonts w:ascii="Times New Roman" w:hAnsi="Times New Roman" w:cs="Times New Roman"/>
        </w:rPr>
        <w:t>...”</w:t>
      </w:r>
    </w:p>
  </w:footnote>
  <w:footnote w:id="8">
    <w:p w:rsidR="00C20B8A" w:rsidRDefault="00C20B8A">
      <w:pPr>
        <w:pStyle w:val="FootnoteText"/>
      </w:pPr>
      <w:r w:rsidRPr="00FF7CD8">
        <w:rPr>
          <w:rStyle w:val="FootnoteReference"/>
        </w:rPr>
        <w:footnoteRef/>
      </w:r>
      <w:r w:rsidRPr="00FF7CD8">
        <w:t xml:space="preserve"> </w:t>
      </w:r>
      <w:r w:rsidRPr="00FF7CD8">
        <w:rPr>
          <w:rFonts w:ascii="Times New Roman" w:hAnsi="Times New Roman" w:cs="Times New Roman"/>
        </w:rPr>
        <w:t>https://www.arb.ca.gov/cc/capandtrade/ capandtrade.htm</w:t>
      </w:r>
    </w:p>
  </w:footnote>
  <w:footnote w:id="9">
    <w:p w:rsidR="00C20B8A" w:rsidRDefault="00C20B8A" w:rsidP="00FF7CD8">
      <w:pPr>
        <w:pStyle w:val="FootnoteText"/>
      </w:pPr>
      <w:r>
        <w:rPr>
          <w:rStyle w:val="FootnoteReference"/>
        </w:rPr>
        <w:footnoteRef/>
      </w:r>
      <w:r>
        <w:t xml:space="preserve"> </w:t>
      </w:r>
      <w:r w:rsidRPr="00D119A8">
        <w:rPr>
          <w:rFonts w:ascii="Times New Roman" w:hAnsi="Times New Roman" w:cs="Times New Roman"/>
        </w:rPr>
        <w:t>Cap-and-Trade Regulation Industry Assistance Factor Calculation Informal Staff Proposal, Table 2, October 14, 2016</w:t>
      </w:r>
      <w:r>
        <w:rPr>
          <w:rFonts w:ascii="Times New Roman" w:hAnsi="Times New Roman" w:cs="Times New Roman"/>
        </w:rPr>
        <w:t>.</w:t>
      </w:r>
    </w:p>
  </w:footnote>
  <w:footnote w:id="10">
    <w:p w:rsidR="00C20B8A" w:rsidRPr="00B01A7C" w:rsidRDefault="00C20B8A">
      <w:pPr>
        <w:pStyle w:val="FootnoteText"/>
        <w:rPr>
          <w:rFonts w:ascii="Times New Roman" w:hAnsi="Times New Roman" w:cs="Times New Roman"/>
        </w:rPr>
      </w:pPr>
      <w:r w:rsidRPr="00B01A7C">
        <w:rPr>
          <w:rStyle w:val="FootnoteReference"/>
          <w:rFonts w:ascii="Times New Roman" w:hAnsi="Times New Roman" w:cs="Times New Roman"/>
        </w:rPr>
        <w:footnoteRef/>
      </w:r>
      <w:r w:rsidRPr="00B01A7C">
        <w:rPr>
          <w:rFonts w:ascii="Times New Roman" w:hAnsi="Times New Roman" w:cs="Times New Roman"/>
        </w:rPr>
        <w:t xml:space="preserve"> </w:t>
      </w:r>
      <w:r w:rsidR="007C5017" w:rsidRPr="00B01A7C">
        <w:rPr>
          <w:rFonts w:ascii="Times New Roman" w:hAnsi="Times New Roman" w:cs="Times New Roman"/>
        </w:rPr>
        <w:t>Ibid</w:t>
      </w:r>
      <w:r w:rsidRPr="00B01A7C">
        <w:rPr>
          <w:rFonts w:ascii="Times New Roman" w:hAnsi="Times New Roman" w:cs="Times New Roman"/>
        </w:rPr>
        <w:t>, Figure 6, item 3, page 9.</w:t>
      </w:r>
    </w:p>
  </w:footnote>
  <w:footnote w:id="11">
    <w:p w:rsidR="00C20B8A" w:rsidRPr="00B01A7C" w:rsidRDefault="00C20B8A">
      <w:pPr>
        <w:pStyle w:val="FootnoteText"/>
        <w:rPr>
          <w:rFonts w:ascii="Times New Roman" w:hAnsi="Times New Roman" w:cs="Times New Roman"/>
        </w:rPr>
      </w:pPr>
      <w:r w:rsidRPr="00B01A7C">
        <w:rPr>
          <w:rStyle w:val="FootnoteReference"/>
          <w:rFonts w:ascii="Times New Roman" w:hAnsi="Times New Roman" w:cs="Times New Roman"/>
        </w:rPr>
        <w:footnoteRef/>
      </w:r>
      <w:r w:rsidRPr="00B01A7C">
        <w:rPr>
          <w:rFonts w:ascii="Times New Roman" w:hAnsi="Times New Roman" w:cs="Times New Roman"/>
        </w:rPr>
        <w:t xml:space="preserve"> Ibid, page 14.</w:t>
      </w:r>
    </w:p>
  </w:footnote>
  <w:footnote w:id="12">
    <w:p w:rsidR="00B01A7C" w:rsidRPr="00B01A7C" w:rsidRDefault="00B01A7C">
      <w:pPr>
        <w:pStyle w:val="FootnoteText"/>
        <w:rPr>
          <w:rFonts w:ascii="Times New Roman" w:hAnsi="Times New Roman" w:cs="Times New Roman"/>
        </w:rPr>
      </w:pPr>
      <w:r w:rsidRPr="00B01A7C">
        <w:rPr>
          <w:rStyle w:val="FootnoteReference"/>
          <w:rFonts w:ascii="Times New Roman" w:hAnsi="Times New Roman" w:cs="Times New Roman"/>
        </w:rPr>
        <w:footnoteRef/>
      </w:r>
      <w:r w:rsidRPr="00B01A7C">
        <w:rPr>
          <w:rFonts w:ascii="Times New Roman" w:hAnsi="Times New Roman" w:cs="Times New Roman"/>
        </w:rPr>
        <w:t xml:space="preserve"> Ibid, page 3.</w:t>
      </w:r>
    </w:p>
  </w:footnote>
  <w:footnote w:id="13">
    <w:p w:rsidR="007509FF" w:rsidRDefault="007509FF">
      <w:pPr>
        <w:pStyle w:val="FootnoteText"/>
      </w:pPr>
      <w:r w:rsidRPr="00B01A7C">
        <w:rPr>
          <w:rStyle w:val="FootnoteReference"/>
          <w:rFonts w:ascii="Times New Roman" w:hAnsi="Times New Roman" w:cs="Times New Roman"/>
        </w:rPr>
        <w:footnoteRef/>
      </w:r>
      <w:r w:rsidRPr="00B01A7C">
        <w:rPr>
          <w:rFonts w:ascii="Times New Roman" w:hAnsi="Times New Roman" w:cs="Times New Roman"/>
        </w:rPr>
        <w:t xml:space="preserve"> Ibid, page 12.</w:t>
      </w:r>
    </w:p>
  </w:footnote>
  <w:footnote w:id="14">
    <w:p w:rsidR="00C20B8A" w:rsidRPr="00D119A8" w:rsidRDefault="00C20B8A">
      <w:pPr>
        <w:pStyle w:val="FootnoteText"/>
        <w:rPr>
          <w:rFonts w:ascii="Times New Roman" w:hAnsi="Times New Roman" w:cs="Times New Roman"/>
        </w:rPr>
      </w:pPr>
      <w:r w:rsidRPr="00D119A8">
        <w:rPr>
          <w:rStyle w:val="FootnoteReference"/>
          <w:rFonts w:ascii="Times New Roman" w:hAnsi="Times New Roman" w:cs="Times New Roman"/>
        </w:rPr>
        <w:footnoteRef/>
      </w:r>
      <w:r w:rsidRPr="00D119A8">
        <w:rPr>
          <w:rFonts w:ascii="Times New Roman" w:hAnsi="Times New Roman" w:cs="Times New Roman"/>
        </w:rPr>
        <w:t xml:space="preserve"> </w:t>
      </w:r>
      <w:r w:rsidR="007C5017">
        <w:rPr>
          <w:rFonts w:ascii="Times New Roman" w:hAnsi="Times New Roman" w:cs="Times New Roman"/>
        </w:rPr>
        <w:t xml:space="preserve">Ibid, </w:t>
      </w:r>
      <w:r w:rsidRPr="00D119A8">
        <w:rPr>
          <w:rFonts w:ascii="Times New Roman" w:hAnsi="Times New Roman" w:cs="Times New Roman"/>
        </w:rPr>
        <w:t xml:space="preserve">Table 2 </w:t>
      </w:r>
      <w:r>
        <w:rPr>
          <w:rFonts w:ascii="Times New Roman" w:hAnsi="Times New Roman" w:cs="Times New Roman"/>
        </w:rPr>
        <w:t>(60%)</w:t>
      </w:r>
      <w:r w:rsidRPr="00D119A8">
        <w:rPr>
          <w:rFonts w:ascii="Times New Roman" w:hAnsi="Times New Roman" w:cs="Times New Roman"/>
        </w:rPr>
        <w:t>.</w:t>
      </w:r>
    </w:p>
  </w:footnote>
  <w:footnote w:id="15">
    <w:p w:rsidR="00C20B8A" w:rsidRDefault="00C20B8A">
      <w:pPr>
        <w:pStyle w:val="FootnoteText"/>
      </w:pPr>
      <w:r>
        <w:rPr>
          <w:rStyle w:val="FootnoteReference"/>
        </w:rPr>
        <w:footnoteRef/>
      </w:r>
      <w:r>
        <w:t xml:space="preserve"> </w:t>
      </w:r>
      <w:r w:rsidRPr="00103F8F">
        <w:rPr>
          <w:rFonts w:ascii="Times New Roman" w:hAnsi="Times New Roman" w:cs="Times New Roman"/>
        </w:rPr>
        <w:t>US E</w:t>
      </w:r>
      <w:r>
        <w:rPr>
          <w:rFonts w:ascii="Times New Roman" w:hAnsi="Times New Roman" w:cs="Times New Roman"/>
        </w:rPr>
        <w:t xml:space="preserve">nergy Information Administration data for </w:t>
      </w:r>
      <w:r w:rsidRPr="00103F8F">
        <w:rPr>
          <w:rFonts w:ascii="Times New Roman" w:hAnsi="Times New Roman" w:cs="Times New Roman"/>
        </w:rPr>
        <w:t xml:space="preserve">PADD 5 </w:t>
      </w:r>
      <w:r>
        <w:rPr>
          <w:rFonts w:ascii="Times New Roman" w:hAnsi="Times New Roman" w:cs="Times New Roman"/>
        </w:rPr>
        <w:t>refineries</w:t>
      </w:r>
      <w:r w:rsidRPr="00103F8F">
        <w:rPr>
          <w:rFonts w:ascii="Times New Roman" w:hAnsi="Times New Roman" w:cs="Times New Roman"/>
        </w:rPr>
        <w:t>,</w:t>
      </w:r>
      <w:r>
        <w:rPr>
          <w:rFonts w:ascii="Times New Roman" w:hAnsi="Times New Roman" w:cs="Times New Roman"/>
        </w:rPr>
        <w:t xml:space="preserve"> </w:t>
      </w:r>
      <w:r w:rsidRPr="00103F8F">
        <w:rPr>
          <w:rFonts w:ascii="Times New Roman" w:hAnsi="Times New Roman" w:cs="Times New Roman"/>
        </w:rPr>
        <w:t>2014</w:t>
      </w:r>
      <w:r>
        <w:rPr>
          <w:rFonts w:ascii="Times New Roman" w:hAnsi="Times New Roman" w:cs="Times New Roman"/>
        </w:rPr>
        <w:t>.</w:t>
      </w:r>
    </w:p>
  </w:footnote>
  <w:footnote w:id="16">
    <w:p w:rsidR="00C20B8A" w:rsidRDefault="00C20B8A" w:rsidP="00E2075B">
      <w:pPr>
        <w:pStyle w:val="FootnoteText"/>
        <w:rPr>
          <w:rFonts w:ascii="Times New Roman" w:hAnsi="Times New Roman" w:cs="Times New Roman"/>
        </w:rPr>
      </w:pPr>
      <w:r w:rsidRPr="00677C09">
        <w:rPr>
          <w:rStyle w:val="FootnoteReference"/>
          <w:rFonts w:ascii="Times New Roman" w:hAnsi="Times New Roman" w:cs="Times New Roman"/>
        </w:rPr>
        <w:footnoteRef/>
      </w:r>
      <w:r w:rsidRPr="00677C09">
        <w:rPr>
          <w:rFonts w:ascii="Times New Roman" w:hAnsi="Times New Roman" w:cs="Times New Roman"/>
        </w:rPr>
        <w:t xml:space="preserve"> </w:t>
      </w:r>
    </w:p>
    <w:p w:rsidR="00C20B8A" w:rsidRDefault="00C20B8A" w:rsidP="00E2075B">
      <w:pPr>
        <w:pStyle w:val="FootnoteText"/>
      </w:pPr>
      <w:r w:rsidRPr="00677C09">
        <w:rPr>
          <w:rFonts w:ascii="Times New Roman" w:hAnsi="Times New Roman" w:cs="Times New Roman"/>
        </w:rPr>
        <w:object w:dxaOrig="1551" w:dyaOrig="991">
          <v:shape id="_x0000_i1028" type="#_x0000_t75" style="width:77.4pt;height:49.8pt" o:ole="">
            <v:imagedata r:id="rId4" o:title=""/>
          </v:shape>
          <o:OLEObject Type="Embed" ProgID="Word.Document.8" ShapeID="_x0000_i1028" DrawAspect="Icon" ObjectID="_1541997377" r:id="rId5">
            <o:FieldCodes>\s</o:FieldCodes>
          </o:OLEObject>
        </w:object>
      </w:r>
      <w:r w:rsidRPr="00677C09">
        <w:rPr>
          <w:rFonts w:ascii="Times New Roman" w:hAnsi="Times New Roman" w:cs="Times New Roman"/>
        </w:rPr>
        <w:object w:dxaOrig="1551" w:dyaOrig="991">
          <v:shape id="_x0000_i1030" type="#_x0000_t75" style="width:77.4pt;height:49.8pt" o:ole="">
            <v:imagedata r:id="rId6" o:title=""/>
          </v:shape>
          <o:OLEObject Type="Embed" ProgID="Word.Document.12" ShapeID="_x0000_i1030" DrawAspect="Icon" ObjectID="_1541997378" r:id="rId7">
            <o:FieldCodes>\s</o:FieldCodes>
          </o:OLEObject>
        </w:object>
      </w:r>
    </w:p>
  </w:footnote>
  <w:footnote w:id="17">
    <w:p w:rsidR="00C20B8A" w:rsidRDefault="00C20B8A">
      <w:pPr>
        <w:pStyle w:val="FootnoteText"/>
      </w:pPr>
      <w:r>
        <w:rPr>
          <w:rStyle w:val="FootnoteReference"/>
        </w:rPr>
        <w:footnoteRef/>
      </w:r>
      <w:r>
        <w:t xml:space="preserve"> </w:t>
      </w:r>
      <w:r>
        <w:rPr>
          <w:rFonts w:ascii="Times New Roman" w:hAnsi="Times New Roman"/>
        </w:rPr>
        <w:t>NERA report, p</w:t>
      </w:r>
      <w:r>
        <w:rPr>
          <w:rFonts w:ascii="Times New Roman" w:hAnsi="Times New Roman"/>
          <w:lang w:val="en-GB" w:eastAsia="zh-CN"/>
        </w:rPr>
        <w:t>age 15.</w:t>
      </w:r>
    </w:p>
  </w:footnote>
  <w:footnote w:id="18">
    <w:p w:rsidR="00C20B8A" w:rsidRDefault="00C20B8A">
      <w:pPr>
        <w:pStyle w:val="FootnoteText"/>
      </w:pPr>
      <w:r>
        <w:rPr>
          <w:rStyle w:val="FootnoteReference"/>
        </w:rPr>
        <w:footnoteRef/>
      </w:r>
      <w:r>
        <w:t xml:space="preserve"> </w:t>
      </w:r>
      <w:r>
        <w:rPr>
          <w:rFonts w:ascii="Times New Roman" w:hAnsi="Times New Roman"/>
        </w:rPr>
        <w:t>NERA report, p</w:t>
      </w:r>
      <w:r>
        <w:rPr>
          <w:rFonts w:ascii="Times New Roman" w:hAnsi="Times New Roman"/>
          <w:lang w:val="en-GB" w:eastAsia="zh-CN"/>
        </w:rPr>
        <w:t>age 15.</w:t>
      </w:r>
    </w:p>
  </w:footnote>
  <w:footnote w:id="19">
    <w:p w:rsidR="00C20B8A" w:rsidRDefault="00C20B8A">
      <w:pPr>
        <w:pStyle w:val="FootnoteText"/>
      </w:pPr>
      <w:r>
        <w:rPr>
          <w:rStyle w:val="FootnoteReference"/>
        </w:rPr>
        <w:footnoteRef/>
      </w:r>
      <w:r>
        <w:t xml:space="preserve"> </w:t>
      </w:r>
      <w:r>
        <w:rPr>
          <w:rFonts w:ascii="Times New Roman" w:hAnsi="Times New Roman"/>
        </w:rPr>
        <w:t>NERA report, p</w:t>
      </w:r>
      <w:r>
        <w:rPr>
          <w:rFonts w:ascii="Times New Roman" w:hAnsi="Times New Roman"/>
          <w:lang w:val="en-GB" w:eastAsia="ja-JP"/>
        </w:rPr>
        <w:t>age 24.</w:t>
      </w:r>
    </w:p>
  </w:footnote>
  <w:footnote w:id="20">
    <w:p w:rsidR="00C20B8A" w:rsidRDefault="00C20B8A">
      <w:pPr>
        <w:pStyle w:val="FootnoteText"/>
      </w:pPr>
      <w:r>
        <w:rPr>
          <w:rStyle w:val="FootnoteReference"/>
        </w:rPr>
        <w:footnoteRef/>
      </w:r>
      <w:r>
        <w:t xml:space="preserve"> </w:t>
      </w:r>
      <w:r>
        <w:rPr>
          <w:rFonts w:ascii="Times New Roman" w:hAnsi="Times New Roman"/>
        </w:rPr>
        <w:t xml:space="preserve">NERA report, page </w:t>
      </w:r>
      <w:r>
        <w:rPr>
          <w:rFonts w:ascii="Times New Roman" w:hAnsi="Times New Roman"/>
          <w:lang w:val="en-GB" w:eastAsia="ja-JP"/>
        </w:rPr>
        <w:t>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B8A" w:rsidRDefault="00C20B8A" w:rsidP="00060B3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F80"/>
    <w:multiLevelType w:val="hybridMultilevel"/>
    <w:tmpl w:val="923A5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A6FF1"/>
    <w:multiLevelType w:val="hybridMultilevel"/>
    <w:tmpl w:val="7B2CBC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F4DAB"/>
    <w:multiLevelType w:val="hybridMultilevel"/>
    <w:tmpl w:val="A3CEAF44"/>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F459DD"/>
    <w:multiLevelType w:val="hybridMultilevel"/>
    <w:tmpl w:val="94086A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23640"/>
    <w:multiLevelType w:val="hybridMultilevel"/>
    <w:tmpl w:val="C960E9C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706983"/>
    <w:multiLevelType w:val="hybridMultilevel"/>
    <w:tmpl w:val="A1DE31F4"/>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53C1F"/>
    <w:multiLevelType w:val="hybridMultilevel"/>
    <w:tmpl w:val="8420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0D1B05"/>
    <w:multiLevelType w:val="hybridMultilevel"/>
    <w:tmpl w:val="899C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DA4CED"/>
    <w:multiLevelType w:val="hybridMultilevel"/>
    <w:tmpl w:val="EE80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BA6551"/>
    <w:multiLevelType w:val="hybridMultilevel"/>
    <w:tmpl w:val="47FAB6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8E24F1"/>
    <w:multiLevelType w:val="hybridMultilevel"/>
    <w:tmpl w:val="D4C2B2C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C31ED2"/>
    <w:multiLevelType w:val="hybridMultilevel"/>
    <w:tmpl w:val="4A9C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1C234A9"/>
    <w:multiLevelType w:val="hybridMultilevel"/>
    <w:tmpl w:val="058C41C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7CF2E48"/>
    <w:multiLevelType w:val="hybridMultilevel"/>
    <w:tmpl w:val="6FD8131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9B348C3"/>
    <w:multiLevelType w:val="hybridMultilevel"/>
    <w:tmpl w:val="3788D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B555AD3"/>
    <w:multiLevelType w:val="hybridMultilevel"/>
    <w:tmpl w:val="A0624CDE"/>
    <w:lvl w:ilvl="0" w:tplc="24B80C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BEB67D2"/>
    <w:multiLevelType w:val="hybridMultilevel"/>
    <w:tmpl w:val="71B47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C5B103B"/>
    <w:multiLevelType w:val="hybridMultilevel"/>
    <w:tmpl w:val="B8D4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1328BA"/>
    <w:multiLevelType w:val="hybridMultilevel"/>
    <w:tmpl w:val="55949D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549A7046"/>
    <w:multiLevelType w:val="hybridMultilevel"/>
    <w:tmpl w:val="1204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126749"/>
    <w:multiLevelType w:val="hybridMultilevel"/>
    <w:tmpl w:val="3E80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20083C"/>
    <w:multiLevelType w:val="hybridMultilevel"/>
    <w:tmpl w:val="0F769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795CE9"/>
    <w:multiLevelType w:val="hybridMultilevel"/>
    <w:tmpl w:val="61F8F0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F034EC0"/>
    <w:multiLevelType w:val="hybridMultilevel"/>
    <w:tmpl w:val="D0ACEB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09A315B"/>
    <w:multiLevelType w:val="hybridMultilevel"/>
    <w:tmpl w:val="6DDC2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3C0779"/>
    <w:multiLevelType w:val="hybridMultilevel"/>
    <w:tmpl w:val="D67A81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106645"/>
    <w:multiLevelType w:val="hybridMultilevel"/>
    <w:tmpl w:val="60CCE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FF72A6A"/>
    <w:multiLevelType w:val="hybridMultilevel"/>
    <w:tmpl w:val="B28E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1D6ACC"/>
    <w:multiLevelType w:val="hybridMultilevel"/>
    <w:tmpl w:val="AF30492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052827"/>
    <w:multiLevelType w:val="hybridMultilevel"/>
    <w:tmpl w:val="36302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8"/>
  </w:num>
  <w:num w:numId="4">
    <w:abstractNumId w:val="21"/>
  </w:num>
  <w:num w:numId="5">
    <w:abstractNumId w:val="23"/>
  </w:num>
  <w:num w:numId="6">
    <w:abstractNumId w:val="7"/>
  </w:num>
  <w:num w:numId="7">
    <w:abstractNumId w:val="24"/>
  </w:num>
  <w:num w:numId="8">
    <w:abstractNumId w:val="29"/>
  </w:num>
  <w:num w:numId="9">
    <w:abstractNumId w:val="1"/>
  </w:num>
  <w:num w:numId="10">
    <w:abstractNumId w:val="27"/>
  </w:num>
  <w:num w:numId="11">
    <w:abstractNumId w:val="19"/>
  </w:num>
  <w:num w:numId="12">
    <w:abstractNumId w:val="0"/>
  </w:num>
  <w:num w:numId="13">
    <w:abstractNumId w:val="22"/>
  </w:num>
  <w:num w:numId="14">
    <w:abstractNumId w:val="20"/>
  </w:num>
  <w:num w:numId="15">
    <w:abstractNumId w:val="15"/>
  </w:num>
  <w:num w:numId="16">
    <w:abstractNumId w:val="6"/>
  </w:num>
  <w:num w:numId="17">
    <w:abstractNumId w:val="1"/>
  </w:num>
  <w:num w:numId="18">
    <w:abstractNumId w:val="2"/>
  </w:num>
  <w:num w:numId="19">
    <w:abstractNumId w:val="13"/>
  </w:num>
  <w:num w:numId="20">
    <w:abstractNumId w:val="4"/>
  </w:num>
  <w:num w:numId="21">
    <w:abstractNumId w:val="5"/>
  </w:num>
  <w:num w:numId="22">
    <w:abstractNumId w:val="3"/>
  </w:num>
  <w:num w:numId="23">
    <w:abstractNumId w:val="17"/>
  </w:num>
  <w:num w:numId="24">
    <w:abstractNumId w:val="16"/>
  </w:num>
  <w:num w:numId="25">
    <w:abstractNumId w:val="11"/>
  </w:num>
  <w:num w:numId="26">
    <w:abstractNumId w:val="14"/>
  </w:num>
  <w:num w:numId="27">
    <w:abstractNumId w:val="9"/>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8"/>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26"/>
    <w:rsid w:val="00003EFD"/>
    <w:rsid w:val="00007A8D"/>
    <w:rsid w:val="00010857"/>
    <w:rsid w:val="000140CE"/>
    <w:rsid w:val="00030C40"/>
    <w:rsid w:val="00035416"/>
    <w:rsid w:val="000359B2"/>
    <w:rsid w:val="00047091"/>
    <w:rsid w:val="00053FDE"/>
    <w:rsid w:val="00060B3D"/>
    <w:rsid w:val="00074980"/>
    <w:rsid w:val="000752C0"/>
    <w:rsid w:val="000774B3"/>
    <w:rsid w:val="000833AF"/>
    <w:rsid w:val="00086309"/>
    <w:rsid w:val="00087B72"/>
    <w:rsid w:val="00092F53"/>
    <w:rsid w:val="00094B34"/>
    <w:rsid w:val="000A1DFC"/>
    <w:rsid w:val="000A3C31"/>
    <w:rsid w:val="000E729B"/>
    <w:rsid w:val="00100678"/>
    <w:rsid w:val="0010174D"/>
    <w:rsid w:val="00103F8F"/>
    <w:rsid w:val="00117CD4"/>
    <w:rsid w:val="00120339"/>
    <w:rsid w:val="00142DF1"/>
    <w:rsid w:val="0014424C"/>
    <w:rsid w:val="00184805"/>
    <w:rsid w:val="00192F10"/>
    <w:rsid w:val="00194EB0"/>
    <w:rsid w:val="001C10DC"/>
    <w:rsid w:val="001D4F6A"/>
    <w:rsid w:val="001F2B99"/>
    <w:rsid w:val="001F4C49"/>
    <w:rsid w:val="001F6CA0"/>
    <w:rsid w:val="002052D1"/>
    <w:rsid w:val="0021094F"/>
    <w:rsid w:val="0021275A"/>
    <w:rsid w:val="00217FB4"/>
    <w:rsid w:val="00227D47"/>
    <w:rsid w:val="00245361"/>
    <w:rsid w:val="00253914"/>
    <w:rsid w:val="00274FE5"/>
    <w:rsid w:val="00287F90"/>
    <w:rsid w:val="00290CC1"/>
    <w:rsid w:val="00294EAD"/>
    <w:rsid w:val="002C0B2D"/>
    <w:rsid w:val="002C1460"/>
    <w:rsid w:val="002E12EB"/>
    <w:rsid w:val="002E3F79"/>
    <w:rsid w:val="00301D17"/>
    <w:rsid w:val="00304ECB"/>
    <w:rsid w:val="003146A0"/>
    <w:rsid w:val="00320074"/>
    <w:rsid w:val="0032148F"/>
    <w:rsid w:val="00324ADA"/>
    <w:rsid w:val="003258C9"/>
    <w:rsid w:val="003263FE"/>
    <w:rsid w:val="003269D7"/>
    <w:rsid w:val="00330B59"/>
    <w:rsid w:val="00330D2B"/>
    <w:rsid w:val="00334D40"/>
    <w:rsid w:val="003513B0"/>
    <w:rsid w:val="00380B30"/>
    <w:rsid w:val="00397AE7"/>
    <w:rsid w:val="003A1197"/>
    <w:rsid w:val="003C2926"/>
    <w:rsid w:val="003C4F07"/>
    <w:rsid w:val="003C70B7"/>
    <w:rsid w:val="003E6E32"/>
    <w:rsid w:val="003F17F1"/>
    <w:rsid w:val="00403420"/>
    <w:rsid w:val="00410154"/>
    <w:rsid w:val="00442B27"/>
    <w:rsid w:val="00451678"/>
    <w:rsid w:val="00467D30"/>
    <w:rsid w:val="00470188"/>
    <w:rsid w:val="00470472"/>
    <w:rsid w:val="004904D3"/>
    <w:rsid w:val="004A1EAC"/>
    <w:rsid w:val="004A2EC7"/>
    <w:rsid w:val="004A7178"/>
    <w:rsid w:val="004B286F"/>
    <w:rsid w:val="004B47D6"/>
    <w:rsid w:val="004C0FB3"/>
    <w:rsid w:val="004C12F7"/>
    <w:rsid w:val="004D5A14"/>
    <w:rsid w:val="004E1DF6"/>
    <w:rsid w:val="004E258B"/>
    <w:rsid w:val="0050068E"/>
    <w:rsid w:val="00501036"/>
    <w:rsid w:val="00505BA5"/>
    <w:rsid w:val="00530262"/>
    <w:rsid w:val="00533970"/>
    <w:rsid w:val="005446E2"/>
    <w:rsid w:val="0055191A"/>
    <w:rsid w:val="00583153"/>
    <w:rsid w:val="00591C6A"/>
    <w:rsid w:val="005A6CF0"/>
    <w:rsid w:val="005B29C6"/>
    <w:rsid w:val="005B67A3"/>
    <w:rsid w:val="005C2109"/>
    <w:rsid w:val="005C73D6"/>
    <w:rsid w:val="005D1581"/>
    <w:rsid w:val="005F0BE1"/>
    <w:rsid w:val="006377B1"/>
    <w:rsid w:val="00645F8E"/>
    <w:rsid w:val="00665AA7"/>
    <w:rsid w:val="00670D90"/>
    <w:rsid w:val="00677C09"/>
    <w:rsid w:val="00684464"/>
    <w:rsid w:val="00691735"/>
    <w:rsid w:val="00693AF8"/>
    <w:rsid w:val="006A5EA4"/>
    <w:rsid w:val="006B09F3"/>
    <w:rsid w:val="006B3703"/>
    <w:rsid w:val="006B44A2"/>
    <w:rsid w:val="006D0881"/>
    <w:rsid w:val="006F29FE"/>
    <w:rsid w:val="007061A5"/>
    <w:rsid w:val="0072427A"/>
    <w:rsid w:val="00735C1B"/>
    <w:rsid w:val="00741061"/>
    <w:rsid w:val="007418F3"/>
    <w:rsid w:val="007465A2"/>
    <w:rsid w:val="007509FF"/>
    <w:rsid w:val="0076539B"/>
    <w:rsid w:val="00767D9C"/>
    <w:rsid w:val="007766C1"/>
    <w:rsid w:val="0078608B"/>
    <w:rsid w:val="007C1F40"/>
    <w:rsid w:val="007C5017"/>
    <w:rsid w:val="007D6D35"/>
    <w:rsid w:val="007E3925"/>
    <w:rsid w:val="007E7D52"/>
    <w:rsid w:val="00802758"/>
    <w:rsid w:val="00805D48"/>
    <w:rsid w:val="00810048"/>
    <w:rsid w:val="00832C91"/>
    <w:rsid w:val="008366F8"/>
    <w:rsid w:val="00836CC6"/>
    <w:rsid w:val="0084708F"/>
    <w:rsid w:val="00870F01"/>
    <w:rsid w:val="008909E8"/>
    <w:rsid w:val="00892229"/>
    <w:rsid w:val="008B7991"/>
    <w:rsid w:val="008C0025"/>
    <w:rsid w:val="008D2A91"/>
    <w:rsid w:val="008D2CB8"/>
    <w:rsid w:val="008E4AB3"/>
    <w:rsid w:val="009041C6"/>
    <w:rsid w:val="009059BE"/>
    <w:rsid w:val="0091377B"/>
    <w:rsid w:val="009307CC"/>
    <w:rsid w:val="00935213"/>
    <w:rsid w:val="009469ED"/>
    <w:rsid w:val="009520C7"/>
    <w:rsid w:val="00953814"/>
    <w:rsid w:val="009548E9"/>
    <w:rsid w:val="009568A0"/>
    <w:rsid w:val="00970ED4"/>
    <w:rsid w:val="0098550C"/>
    <w:rsid w:val="009A2C87"/>
    <w:rsid w:val="009B3612"/>
    <w:rsid w:val="009C782E"/>
    <w:rsid w:val="009D4E00"/>
    <w:rsid w:val="009D5A12"/>
    <w:rsid w:val="009E7F6B"/>
    <w:rsid w:val="00A20BD3"/>
    <w:rsid w:val="00A31F7A"/>
    <w:rsid w:val="00A34207"/>
    <w:rsid w:val="00A4151A"/>
    <w:rsid w:val="00A539CA"/>
    <w:rsid w:val="00A60584"/>
    <w:rsid w:val="00A8356F"/>
    <w:rsid w:val="00AA5625"/>
    <w:rsid w:val="00AB6EBB"/>
    <w:rsid w:val="00AD25BC"/>
    <w:rsid w:val="00AF523B"/>
    <w:rsid w:val="00AF58C7"/>
    <w:rsid w:val="00AF62FE"/>
    <w:rsid w:val="00AF7EB9"/>
    <w:rsid w:val="00B01A7C"/>
    <w:rsid w:val="00B0786C"/>
    <w:rsid w:val="00B11595"/>
    <w:rsid w:val="00B54377"/>
    <w:rsid w:val="00B6392F"/>
    <w:rsid w:val="00B6597C"/>
    <w:rsid w:val="00B76DED"/>
    <w:rsid w:val="00B81530"/>
    <w:rsid w:val="00B87635"/>
    <w:rsid w:val="00B90DA1"/>
    <w:rsid w:val="00B94F4E"/>
    <w:rsid w:val="00B95636"/>
    <w:rsid w:val="00B95A58"/>
    <w:rsid w:val="00BA3D06"/>
    <w:rsid w:val="00BB056C"/>
    <w:rsid w:val="00BE1069"/>
    <w:rsid w:val="00BE6174"/>
    <w:rsid w:val="00BE702A"/>
    <w:rsid w:val="00BE7177"/>
    <w:rsid w:val="00BF2A13"/>
    <w:rsid w:val="00C13072"/>
    <w:rsid w:val="00C158F9"/>
    <w:rsid w:val="00C20B8A"/>
    <w:rsid w:val="00C4370B"/>
    <w:rsid w:val="00C70F54"/>
    <w:rsid w:val="00C82BE9"/>
    <w:rsid w:val="00C92C03"/>
    <w:rsid w:val="00C93E86"/>
    <w:rsid w:val="00CA4191"/>
    <w:rsid w:val="00CB6504"/>
    <w:rsid w:val="00CC0DD7"/>
    <w:rsid w:val="00CC600B"/>
    <w:rsid w:val="00CD11E7"/>
    <w:rsid w:val="00CE1997"/>
    <w:rsid w:val="00CF6F3C"/>
    <w:rsid w:val="00D1110A"/>
    <w:rsid w:val="00D119A8"/>
    <w:rsid w:val="00D2351F"/>
    <w:rsid w:val="00D42AAC"/>
    <w:rsid w:val="00D44D7F"/>
    <w:rsid w:val="00D4742F"/>
    <w:rsid w:val="00D676C8"/>
    <w:rsid w:val="00D80769"/>
    <w:rsid w:val="00D80909"/>
    <w:rsid w:val="00D969FB"/>
    <w:rsid w:val="00DA751B"/>
    <w:rsid w:val="00DB07FD"/>
    <w:rsid w:val="00DC4C7A"/>
    <w:rsid w:val="00DD5212"/>
    <w:rsid w:val="00DF13DF"/>
    <w:rsid w:val="00DF2981"/>
    <w:rsid w:val="00DF3381"/>
    <w:rsid w:val="00E0323F"/>
    <w:rsid w:val="00E14784"/>
    <w:rsid w:val="00E15769"/>
    <w:rsid w:val="00E20114"/>
    <w:rsid w:val="00E20625"/>
    <w:rsid w:val="00E2075B"/>
    <w:rsid w:val="00E35FC3"/>
    <w:rsid w:val="00E4044C"/>
    <w:rsid w:val="00E52EC4"/>
    <w:rsid w:val="00E55D4A"/>
    <w:rsid w:val="00E603C1"/>
    <w:rsid w:val="00E721F4"/>
    <w:rsid w:val="00E7717B"/>
    <w:rsid w:val="00E80538"/>
    <w:rsid w:val="00E85AD0"/>
    <w:rsid w:val="00EB6D86"/>
    <w:rsid w:val="00EC02D8"/>
    <w:rsid w:val="00EC0CEE"/>
    <w:rsid w:val="00EC515E"/>
    <w:rsid w:val="00ED2ED1"/>
    <w:rsid w:val="00EE1BDF"/>
    <w:rsid w:val="00EE54A1"/>
    <w:rsid w:val="00EE6349"/>
    <w:rsid w:val="00EF5EA0"/>
    <w:rsid w:val="00EF7B36"/>
    <w:rsid w:val="00F0513A"/>
    <w:rsid w:val="00F32B56"/>
    <w:rsid w:val="00F335B5"/>
    <w:rsid w:val="00F35338"/>
    <w:rsid w:val="00F35F8C"/>
    <w:rsid w:val="00F43082"/>
    <w:rsid w:val="00F44002"/>
    <w:rsid w:val="00F454EC"/>
    <w:rsid w:val="00F56B2A"/>
    <w:rsid w:val="00F60749"/>
    <w:rsid w:val="00F75ED5"/>
    <w:rsid w:val="00F82EF7"/>
    <w:rsid w:val="00FA2D25"/>
    <w:rsid w:val="00FB3ADC"/>
    <w:rsid w:val="00FE0879"/>
    <w:rsid w:val="00FE3DA8"/>
    <w:rsid w:val="00FE5E85"/>
    <w:rsid w:val="00FE76A5"/>
    <w:rsid w:val="00FF4110"/>
    <w:rsid w:val="00FF6C15"/>
    <w:rsid w:val="00FF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926"/>
    <w:pPr>
      <w:ind w:left="720"/>
      <w:contextualSpacing/>
    </w:pPr>
  </w:style>
  <w:style w:type="paragraph" w:styleId="Header">
    <w:name w:val="header"/>
    <w:basedOn w:val="Normal"/>
    <w:link w:val="HeaderChar"/>
    <w:uiPriority w:val="99"/>
    <w:unhideWhenUsed/>
    <w:rsid w:val="008B7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991"/>
  </w:style>
  <w:style w:type="paragraph" w:styleId="Footer">
    <w:name w:val="footer"/>
    <w:basedOn w:val="Normal"/>
    <w:link w:val="FooterChar"/>
    <w:uiPriority w:val="99"/>
    <w:unhideWhenUsed/>
    <w:rsid w:val="008B7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991"/>
  </w:style>
  <w:style w:type="character" w:styleId="CommentReference">
    <w:name w:val="annotation reference"/>
    <w:basedOn w:val="DefaultParagraphFont"/>
    <w:uiPriority w:val="99"/>
    <w:semiHidden/>
    <w:unhideWhenUsed/>
    <w:rsid w:val="004B47D6"/>
    <w:rPr>
      <w:sz w:val="16"/>
      <w:szCs w:val="16"/>
    </w:rPr>
  </w:style>
  <w:style w:type="paragraph" w:styleId="CommentText">
    <w:name w:val="annotation text"/>
    <w:basedOn w:val="Normal"/>
    <w:link w:val="CommentTextChar"/>
    <w:uiPriority w:val="99"/>
    <w:unhideWhenUsed/>
    <w:rsid w:val="004B47D6"/>
    <w:pPr>
      <w:spacing w:line="240" w:lineRule="auto"/>
    </w:pPr>
    <w:rPr>
      <w:sz w:val="20"/>
      <w:szCs w:val="20"/>
    </w:rPr>
  </w:style>
  <w:style w:type="character" w:customStyle="1" w:styleId="CommentTextChar">
    <w:name w:val="Comment Text Char"/>
    <w:basedOn w:val="DefaultParagraphFont"/>
    <w:link w:val="CommentText"/>
    <w:uiPriority w:val="99"/>
    <w:rsid w:val="004B47D6"/>
    <w:rPr>
      <w:sz w:val="20"/>
      <w:szCs w:val="20"/>
    </w:rPr>
  </w:style>
  <w:style w:type="paragraph" w:styleId="CommentSubject">
    <w:name w:val="annotation subject"/>
    <w:basedOn w:val="CommentText"/>
    <w:next w:val="CommentText"/>
    <w:link w:val="CommentSubjectChar"/>
    <w:uiPriority w:val="99"/>
    <w:semiHidden/>
    <w:unhideWhenUsed/>
    <w:rsid w:val="004B47D6"/>
    <w:rPr>
      <w:b/>
      <w:bCs/>
    </w:rPr>
  </w:style>
  <w:style w:type="character" w:customStyle="1" w:styleId="CommentSubjectChar">
    <w:name w:val="Comment Subject Char"/>
    <w:basedOn w:val="CommentTextChar"/>
    <w:link w:val="CommentSubject"/>
    <w:uiPriority w:val="99"/>
    <w:semiHidden/>
    <w:rsid w:val="004B47D6"/>
    <w:rPr>
      <w:b/>
      <w:bCs/>
      <w:sz w:val="20"/>
      <w:szCs w:val="20"/>
    </w:rPr>
  </w:style>
  <w:style w:type="paragraph" w:styleId="BalloonText">
    <w:name w:val="Balloon Text"/>
    <w:basedOn w:val="Normal"/>
    <w:link w:val="BalloonTextChar"/>
    <w:uiPriority w:val="99"/>
    <w:semiHidden/>
    <w:unhideWhenUsed/>
    <w:rsid w:val="004B4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7D6"/>
    <w:rPr>
      <w:rFonts w:ascii="Tahoma" w:hAnsi="Tahoma" w:cs="Tahoma"/>
      <w:sz w:val="16"/>
      <w:szCs w:val="16"/>
    </w:rPr>
  </w:style>
  <w:style w:type="paragraph" w:styleId="FootnoteText">
    <w:name w:val="footnote text"/>
    <w:aliases w:val="ALTS FOOTNOTE,(NECG) Footnote Text,AR Footnote Text"/>
    <w:basedOn w:val="Normal"/>
    <w:link w:val="FootnoteTextChar"/>
    <w:semiHidden/>
    <w:unhideWhenUsed/>
    <w:rsid w:val="00E14784"/>
    <w:pPr>
      <w:spacing w:after="0" w:line="240" w:lineRule="auto"/>
    </w:pPr>
    <w:rPr>
      <w:sz w:val="20"/>
      <w:szCs w:val="20"/>
    </w:rPr>
  </w:style>
  <w:style w:type="character" w:customStyle="1" w:styleId="FootnoteTextChar">
    <w:name w:val="Footnote Text Char"/>
    <w:aliases w:val="ALTS FOOTNOTE Char,(NECG) Footnote Text Char,AR Footnote Text Char"/>
    <w:basedOn w:val="DefaultParagraphFont"/>
    <w:link w:val="FootnoteText"/>
    <w:semiHidden/>
    <w:rsid w:val="00E14784"/>
    <w:rPr>
      <w:sz w:val="20"/>
      <w:szCs w:val="20"/>
    </w:rPr>
  </w:style>
  <w:style w:type="character" w:styleId="FootnoteReference">
    <w:name w:val="footnote reference"/>
    <w:aliases w:val="(NECG) Footnote Reference"/>
    <w:basedOn w:val="DefaultParagraphFont"/>
    <w:uiPriority w:val="99"/>
    <w:semiHidden/>
    <w:unhideWhenUsed/>
    <w:rsid w:val="00E14784"/>
    <w:rPr>
      <w:vertAlign w:val="superscript"/>
    </w:rPr>
  </w:style>
  <w:style w:type="character" w:styleId="Hyperlink">
    <w:name w:val="Hyperlink"/>
    <w:basedOn w:val="DefaultParagraphFont"/>
    <w:uiPriority w:val="99"/>
    <w:unhideWhenUsed/>
    <w:rsid w:val="00BE1069"/>
    <w:rPr>
      <w:color w:val="0000FF" w:themeColor="hyperlink"/>
      <w:u w:val="single"/>
    </w:rPr>
  </w:style>
  <w:style w:type="paragraph" w:styleId="PlainText">
    <w:name w:val="Plain Text"/>
    <w:basedOn w:val="Normal"/>
    <w:link w:val="PlainTextChar"/>
    <w:uiPriority w:val="99"/>
    <w:unhideWhenUsed/>
    <w:rsid w:val="004B286F"/>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4B286F"/>
    <w:rPr>
      <w:rFonts w:ascii="Calibri" w:eastAsia="Times New Roman" w:hAnsi="Calibri" w:cs="Times New Roman"/>
      <w:szCs w:val="21"/>
    </w:rPr>
  </w:style>
  <w:style w:type="paragraph" w:styleId="BodyText">
    <w:name w:val="Body Text"/>
    <w:basedOn w:val="Normal"/>
    <w:link w:val="BodyTextChar"/>
    <w:uiPriority w:val="99"/>
    <w:semiHidden/>
    <w:unhideWhenUsed/>
    <w:rsid w:val="00086309"/>
    <w:pPr>
      <w:spacing w:after="0" w:line="240" w:lineRule="auto"/>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semiHidden/>
    <w:rsid w:val="00086309"/>
    <w:rPr>
      <w:rFonts w:ascii="Times New Roman" w:hAnsi="Times New Roman" w:cs="Times New Roman"/>
      <w:b/>
      <w:bCs/>
      <w:sz w:val="24"/>
      <w:szCs w:val="24"/>
    </w:rPr>
  </w:style>
  <w:style w:type="character" w:styleId="Emphasis">
    <w:name w:val="Emphasis"/>
    <w:basedOn w:val="DefaultParagraphFont"/>
    <w:uiPriority w:val="20"/>
    <w:qFormat/>
    <w:rsid w:val="00FF6C15"/>
    <w:rPr>
      <w:i/>
      <w:iCs/>
    </w:rPr>
  </w:style>
  <w:style w:type="character" w:customStyle="1" w:styleId="apple-converted-space">
    <w:name w:val="apple-converted-space"/>
    <w:basedOn w:val="DefaultParagraphFont"/>
    <w:rsid w:val="00FF6C15"/>
  </w:style>
  <w:style w:type="paragraph" w:customStyle="1" w:styleId="Default">
    <w:name w:val="Default"/>
    <w:rsid w:val="009A2C8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926"/>
    <w:pPr>
      <w:ind w:left="720"/>
      <w:contextualSpacing/>
    </w:pPr>
  </w:style>
  <w:style w:type="paragraph" w:styleId="Header">
    <w:name w:val="header"/>
    <w:basedOn w:val="Normal"/>
    <w:link w:val="HeaderChar"/>
    <w:uiPriority w:val="99"/>
    <w:unhideWhenUsed/>
    <w:rsid w:val="008B7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991"/>
  </w:style>
  <w:style w:type="paragraph" w:styleId="Footer">
    <w:name w:val="footer"/>
    <w:basedOn w:val="Normal"/>
    <w:link w:val="FooterChar"/>
    <w:uiPriority w:val="99"/>
    <w:unhideWhenUsed/>
    <w:rsid w:val="008B7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991"/>
  </w:style>
  <w:style w:type="character" w:styleId="CommentReference">
    <w:name w:val="annotation reference"/>
    <w:basedOn w:val="DefaultParagraphFont"/>
    <w:uiPriority w:val="99"/>
    <w:semiHidden/>
    <w:unhideWhenUsed/>
    <w:rsid w:val="004B47D6"/>
    <w:rPr>
      <w:sz w:val="16"/>
      <w:szCs w:val="16"/>
    </w:rPr>
  </w:style>
  <w:style w:type="paragraph" w:styleId="CommentText">
    <w:name w:val="annotation text"/>
    <w:basedOn w:val="Normal"/>
    <w:link w:val="CommentTextChar"/>
    <w:uiPriority w:val="99"/>
    <w:unhideWhenUsed/>
    <w:rsid w:val="004B47D6"/>
    <w:pPr>
      <w:spacing w:line="240" w:lineRule="auto"/>
    </w:pPr>
    <w:rPr>
      <w:sz w:val="20"/>
      <w:szCs w:val="20"/>
    </w:rPr>
  </w:style>
  <w:style w:type="character" w:customStyle="1" w:styleId="CommentTextChar">
    <w:name w:val="Comment Text Char"/>
    <w:basedOn w:val="DefaultParagraphFont"/>
    <w:link w:val="CommentText"/>
    <w:uiPriority w:val="99"/>
    <w:rsid w:val="004B47D6"/>
    <w:rPr>
      <w:sz w:val="20"/>
      <w:szCs w:val="20"/>
    </w:rPr>
  </w:style>
  <w:style w:type="paragraph" w:styleId="CommentSubject">
    <w:name w:val="annotation subject"/>
    <w:basedOn w:val="CommentText"/>
    <w:next w:val="CommentText"/>
    <w:link w:val="CommentSubjectChar"/>
    <w:uiPriority w:val="99"/>
    <w:semiHidden/>
    <w:unhideWhenUsed/>
    <w:rsid w:val="004B47D6"/>
    <w:rPr>
      <w:b/>
      <w:bCs/>
    </w:rPr>
  </w:style>
  <w:style w:type="character" w:customStyle="1" w:styleId="CommentSubjectChar">
    <w:name w:val="Comment Subject Char"/>
    <w:basedOn w:val="CommentTextChar"/>
    <w:link w:val="CommentSubject"/>
    <w:uiPriority w:val="99"/>
    <w:semiHidden/>
    <w:rsid w:val="004B47D6"/>
    <w:rPr>
      <w:b/>
      <w:bCs/>
      <w:sz w:val="20"/>
      <w:szCs w:val="20"/>
    </w:rPr>
  </w:style>
  <w:style w:type="paragraph" w:styleId="BalloonText">
    <w:name w:val="Balloon Text"/>
    <w:basedOn w:val="Normal"/>
    <w:link w:val="BalloonTextChar"/>
    <w:uiPriority w:val="99"/>
    <w:semiHidden/>
    <w:unhideWhenUsed/>
    <w:rsid w:val="004B4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7D6"/>
    <w:rPr>
      <w:rFonts w:ascii="Tahoma" w:hAnsi="Tahoma" w:cs="Tahoma"/>
      <w:sz w:val="16"/>
      <w:szCs w:val="16"/>
    </w:rPr>
  </w:style>
  <w:style w:type="paragraph" w:styleId="FootnoteText">
    <w:name w:val="footnote text"/>
    <w:aliases w:val="ALTS FOOTNOTE,(NECG) Footnote Text,AR Footnote Text"/>
    <w:basedOn w:val="Normal"/>
    <w:link w:val="FootnoteTextChar"/>
    <w:semiHidden/>
    <w:unhideWhenUsed/>
    <w:rsid w:val="00E14784"/>
    <w:pPr>
      <w:spacing w:after="0" w:line="240" w:lineRule="auto"/>
    </w:pPr>
    <w:rPr>
      <w:sz w:val="20"/>
      <w:szCs w:val="20"/>
    </w:rPr>
  </w:style>
  <w:style w:type="character" w:customStyle="1" w:styleId="FootnoteTextChar">
    <w:name w:val="Footnote Text Char"/>
    <w:aliases w:val="ALTS FOOTNOTE Char,(NECG) Footnote Text Char,AR Footnote Text Char"/>
    <w:basedOn w:val="DefaultParagraphFont"/>
    <w:link w:val="FootnoteText"/>
    <w:semiHidden/>
    <w:rsid w:val="00E14784"/>
    <w:rPr>
      <w:sz w:val="20"/>
      <w:szCs w:val="20"/>
    </w:rPr>
  </w:style>
  <w:style w:type="character" w:styleId="FootnoteReference">
    <w:name w:val="footnote reference"/>
    <w:aliases w:val="(NECG) Footnote Reference"/>
    <w:basedOn w:val="DefaultParagraphFont"/>
    <w:uiPriority w:val="99"/>
    <w:semiHidden/>
    <w:unhideWhenUsed/>
    <w:rsid w:val="00E14784"/>
    <w:rPr>
      <w:vertAlign w:val="superscript"/>
    </w:rPr>
  </w:style>
  <w:style w:type="character" w:styleId="Hyperlink">
    <w:name w:val="Hyperlink"/>
    <w:basedOn w:val="DefaultParagraphFont"/>
    <w:uiPriority w:val="99"/>
    <w:unhideWhenUsed/>
    <w:rsid w:val="00BE1069"/>
    <w:rPr>
      <w:color w:val="0000FF" w:themeColor="hyperlink"/>
      <w:u w:val="single"/>
    </w:rPr>
  </w:style>
  <w:style w:type="paragraph" w:styleId="PlainText">
    <w:name w:val="Plain Text"/>
    <w:basedOn w:val="Normal"/>
    <w:link w:val="PlainTextChar"/>
    <w:uiPriority w:val="99"/>
    <w:unhideWhenUsed/>
    <w:rsid w:val="004B286F"/>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4B286F"/>
    <w:rPr>
      <w:rFonts w:ascii="Calibri" w:eastAsia="Times New Roman" w:hAnsi="Calibri" w:cs="Times New Roman"/>
      <w:szCs w:val="21"/>
    </w:rPr>
  </w:style>
  <w:style w:type="paragraph" w:styleId="BodyText">
    <w:name w:val="Body Text"/>
    <w:basedOn w:val="Normal"/>
    <w:link w:val="BodyTextChar"/>
    <w:uiPriority w:val="99"/>
    <w:semiHidden/>
    <w:unhideWhenUsed/>
    <w:rsid w:val="00086309"/>
    <w:pPr>
      <w:spacing w:after="0" w:line="240" w:lineRule="auto"/>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semiHidden/>
    <w:rsid w:val="00086309"/>
    <w:rPr>
      <w:rFonts w:ascii="Times New Roman" w:hAnsi="Times New Roman" w:cs="Times New Roman"/>
      <w:b/>
      <w:bCs/>
      <w:sz w:val="24"/>
      <w:szCs w:val="24"/>
    </w:rPr>
  </w:style>
  <w:style w:type="character" w:styleId="Emphasis">
    <w:name w:val="Emphasis"/>
    <w:basedOn w:val="DefaultParagraphFont"/>
    <w:uiPriority w:val="20"/>
    <w:qFormat/>
    <w:rsid w:val="00FF6C15"/>
    <w:rPr>
      <w:i/>
      <w:iCs/>
    </w:rPr>
  </w:style>
  <w:style w:type="character" w:customStyle="1" w:styleId="apple-converted-space">
    <w:name w:val="apple-converted-space"/>
    <w:basedOn w:val="DefaultParagraphFont"/>
    <w:rsid w:val="00FF6C15"/>
  </w:style>
  <w:style w:type="paragraph" w:customStyle="1" w:styleId="Default">
    <w:name w:val="Default"/>
    <w:rsid w:val="009A2C8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6563">
      <w:bodyDiv w:val="1"/>
      <w:marLeft w:val="0"/>
      <w:marRight w:val="0"/>
      <w:marTop w:val="0"/>
      <w:marBottom w:val="0"/>
      <w:divBdr>
        <w:top w:val="none" w:sz="0" w:space="0" w:color="auto"/>
        <w:left w:val="none" w:sz="0" w:space="0" w:color="auto"/>
        <w:bottom w:val="none" w:sz="0" w:space="0" w:color="auto"/>
        <w:right w:val="none" w:sz="0" w:space="0" w:color="auto"/>
      </w:divBdr>
    </w:div>
    <w:div w:id="107817949">
      <w:bodyDiv w:val="1"/>
      <w:marLeft w:val="0"/>
      <w:marRight w:val="0"/>
      <w:marTop w:val="0"/>
      <w:marBottom w:val="0"/>
      <w:divBdr>
        <w:top w:val="none" w:sz="0" w:space="0" w:color="auto"/>
        <w:left w:val="none" w:sz="0" w:space="0" w:color="auto"/>
        <w:bottom w:val="none" w:sz="0" w:space="0" w:color="auto"/>
        <w:right w:val="none" w:sz="0" w:space="0" w:color="auto"/>
      </w:divBdr>
    </w:div>
    <w:div w:id="404648672">
      <w:bodyDiv w:val="1"/>
      <w:marLeft w:val="0"/>
      <w:marRight w:val="0"/>
      <w:marTop w:val="0"/>
      <w:marBottom w:val="0"/>
      <w:divBdr>
        <w:top w:val="none" w:sz="0" w:space="0" w:color="auto"/>
        <w:left w:val="none" w:sz="0" w:space="0" w:color="auto"/>
        <w:bottom w:val="none" w:sz="0" w:space="0" w:color="auto"/>
        <w:right w:val="none" w:sz="0" w:space="0" w:color="auto"/>
      </w:divBdr>
    </w:div>
    <w:div w:id="574583257">
      <w:bodyDiv w:val="1"/>
      <w:marLeft w:val="0"/>
      <w:marRight w:val="0"/>
      <w:marTop w:val="0"/>
      <w:marBottom w:val="0"/>
      <w:divBdr>
        <w:top w:val="none" w:sz="0" w:space="0" w:color="auto"/>
        <w:left w:val="none" w:sz="0" w:space="0" w:color="auto"/>
        <w:bottom w:val="none" w:sz="0" w:space="0" w:color="auto"/>
        <w:right w:val="none" w:sz="0" w:space="0" w:color="auto"/>
      </w:divBdr>
    </w:div>
    <w:div w:id="1199468573">
      <w:bodyDiv w:val="1"/>
      <w:marLeft w:val="0"/>
      <w:marRight w:val="0"/>
      <w:marTop w:val="0"/>
      <w:marBottom w:val="0"/>
      <w:divBdr>
        <w:top w:val="none" w:sz="0" w:space="0" w:color="auto"/>
        <w:left w:val="none" w:sz="0" w:space="0" w:color="auto"/>
        <w:bottom w:val="none" w:sz="0" w:space="0" w:color="auto"/>
        <w:right w:val="none" w:sz="0" w:space="0" w:color="auto"/>
      </w:divBdr>
    </w:div>
    <w:div w:id="1377966913">
      <w:bodyDiv w:val="1"/>
      <w:marLeft w:val="0"/>
      <w:marRight w:val="0"/>
      <w:marTop w:val="0"/>
      <w:marBottom w:val="0"/>
      <w:divBdr>
        <w:top w:val="none" w:sz="0" w:space="0" w:color="auto"/>
        <w:left w:val="none" w:sz="0" w:space="0" w:color="auto"/>
        <w:bottom w:val="none" w:sz="0" w:space="0" w:color="auto"/>
        <w:right w:val="none" w:sz="0" w:space="0" w:color="auto"/>
      </w:divBdr>
    </w:div>
    <w:div w:id="1388652976">
      <w:bodyDiv w:val="1"/>
      <w:marLeft w:val="0"/>
      <w:marRight w:val="0"/>
      <w:marTop w:val="0"/>
      <w:marBottom w:val="0"/>
      <w:divBdr>
        <w:top w:val="none" w:sz="0" w:space="0" w:color="auto"/>
        <w:left w:val="none" w:sz="0" w:space="0" w:color="auto"/>
        <w:bottom w:val="none" w:sz="0" w:space="0" w:color="auto"/>
        <w:right w:val="none" w:sz="0" w:space="0" w:color="auto"/>
      </w:divBdr>
    </w:div>
    <w:div w:id="1428423369">
      <w:bodyDiv w:val="1"/>
      <w:marLeft w:val="0"/>
      <w:marRight w:val="0"/>
      <w:marTop w:val="0"/>
      <w:marBottom w:val="0"/>
      <w:divBdr>
        <w:top w:val="none" w:sz="0" w:space="0" w:color="auto"/>
        <w:left w:val="none" w:sz="0" w:space="0" w:color="auto"/>
        <w:bottom w:val="none" w:sz="0" w:space="0" w:color="auto"/>
        <w:right w:val="none" w:sz="0" w:space="0" w:color="auto"/>
      </w:divBdr>
    </w:div>
    <w:div w:id="1443650818">
      <w:bodyDiv w:val="1"/>
      <w:marLeft w:val="0"/>
      <w:marRight w:val="0"/>
      <w:marTop w:val="0"/>
      <w:marBottom w:val="0"/>
      <w:divBdr>
        <w:top w:val="none" w:sz="0" w:space="0" w:color="auto"/>
        <w:left w:val="none" w:sz="0" w:space="0" w:color="auto"/>
        <w:bottom w:val="none" w:sz="0" w:space="0" w:color="auto"/>
        <w:right w:val="none" w:sz="0" w:space="0" w:color="auto"/>
      </w:divBdr>
    </w:div>
    <w:div w:id="1471245205">
      <w:bodyDiv w:val="1"/>
      <w:marLeft w:val="0"/>
      <w:marRight w:val="0"/>
      <w:marTop w:val="0"/>
      <w:marBottom w:val="0"/>
      <w:divBdr>
        <w:top w:val="none" w:sz="0" w:space="0" w:color="auto"/>
        <w:left w:val="none" w:sz="0" w:space="0" w:color="auto"/>
        <w:bottom w:val="none" w:sz="0" w:space="0" w:color="auto"/>
        <w:right w:val="none" w:sz="0" w:space="0" w:color="auto"/>
      </w:divBdr>
    </w:div>
    <w:div w:id="1659264068">
      <w:bodyDiv w:val="1"/>
      <w:marLeft w:val="0"/>
      <w:marRight w:val="0"/>
      <w:marTop w:val="0"/>
      <w:marBottom w:val="0"/>
      <w:divBdr>
        <w:top w:val="none" w:sz="0" w:space="0" w:color="auto"/>
        <w:left w:val="none" w:sz="0" w:space="0" w:color="auto"/>
        <w:bottom w:val="none" w:sz="0" w:space="0" w:color="auto"/>
        <w:right w:val="none" w:sz="0" w:space="0" w:color="auto"/>
      </w:divBdr>
    </w:div>
    <w:div w:id="204008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hyperlink" Target="mailto:tiffany@wspa.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rb.ca.gov/cc/energyaudits/eeareports/refinery.pdf" TargetMode="External"/><Relationship Id="rId7" Type="http://schemas.openxmlformats.org/officeDocument/2006/relationships/package" Target="embeddings/Microsoft_Word_Document1.docx"/><Relationship Id="rId2" Type="http://schemas.openxmlformats.org/officeDocument/2006/relationships/oleObject" Target="embeddings/oleObject1.bin"/><Relationship Id="rId1" Type="http://schemas.openxmlformats.org/officeDocument/2006/relationships/image" Target="media/image2.emf"/><Relationship Id="rId6" Type="http://schemas.openxmlformats.org/officeDocument/2006/relationships/image" Target="media/image4.emf"/><Relationship Id="rId5" Type="http://schemas.openxmlformats.org/officeDocument/2006/relationships/oleObject" Target="embeddings/Microsoft_Word_97_-_2003_Document1.doc"/><Relationship Id="rId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EDD02-88EE-4656-9CBE-2D1FC259F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5585</Words>
  <Characters>31838</Characters>
  <Application>Microsoft Office Word</Application>
  <DocSecurity>4</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Sickenger</dc:creator>
  <cp:lastModifiedBy>zaguiler</cp:lastModifiedBy>
  <cp:revision>2</cp:revision>
  <cp:lastPrinted>2016-11-22T00:14:00Z</cp:lastPrinted>
  <dcterms:created xsi:type="dcterms:W3CDTF">2016-11-30T15:50:00Z</dcterms:created>
  <dcterms:modified xsi:type="dcterms:W3CDTF">2016-11-30T15:50:00Z</dcterms:modified>
</cp:coreProperties>
</file>