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18A57" w14:textId="49D50020" w:rsidR="00765EF8" w:rsidRDefault="00765EF8"/>
    <w:p w14:paraId="6318CB8D" w14:textId="47939F65" w:rsidR="00765EF8" w:rsidRPr="004F61BE" w:rsidRDefault="00C15C8A" w:rsidP="004F61BE">
      <w:pPr>
        <w:pStyle w:val="Recipient"/>
        <w:ind w:left="6480" w:right="720"/>
        <w:jc w:val="right"/>
        <w:rPr>
          <w:rFonts w:asciiTheme="minorHAnsi" w:hAnsiTheme="minorHAnsi" w:cstheme="minorHAnsi"/>
          <w:color w:val="000000" w:themeColor="text1"/>
          <w:sz w:val="24"/>
          <w:szCs w:val="24"/>
        </w:rPr>
      </w:pPr>
      <w:r w:rsidRPr="004F61BE">
        <w:rPr>
          <w:rFonts w:asciiTheme="minorHAnsi" w:hAnsiTheme="minorHAnsi" w:cstheme="minorHAnsi"/>
          <w:color w:val="000000" w:themeColor="text1"/>
          <w:sz w:val="24"/>
          <w:szCs w:val="24"/>
        </w:rPr>
        <w:t>January</w:t>
      </w:r>
      <w:r w:rsidR="00765EF8" w:rsidRPr="004F61BE">
        <w:rPr>
          <w:rFonts w:asciiTheme="minorHAnsi" w:hAnsiTheme="minorHAnsi" w:cstheme="minorHAnsi"/>
          <w:color w:val="000000" w:themeColor="text1"/>
          <w:sz w:val="24"/>
          <w:szCs w:val="24"/>
        </w:rPr>
        <w:t xml:space="preserve"> </w:t>
      </w:r>
      <w:r w:rsidR="004F61BE">
        <w:rPr>
          <w:rFonts w:asciiTheme="minorHAnsi" w:hAnsiTheme="minorHAnsi" w:cstheme="minorHAnsi"/>
          <w:color w:val="000000" w:themeColor="text1"/>
          <w:sz w:val="24"/>
          <w:szCs w:val="24"/>
        </w:rPr>
        <w:t xml:space="preserve">7, </w:t>
      </w:r>
      <w:r w:rsidR="00765EF8" w:rsidRPr="004F61BE">
        <w:rPr>
          <w:rFonts w:asciiTheme="minorHAnsi" w:hAnsiTheme="minorHAnsi" w:cstheme="minorHAnsi"/>
          <w:color w:val="000000" w:themeColor="text1"/>
          <w:sz w:val="24"/>
          <w:szCs w:val="24"/>
        </w:rPr>
        <w:t>2022</w:t>
      </w:r>
    </w:p>
    <w:p w14:paraId="1566EDD0" w14:textId="77777777" w:rsidR="00765EF8" w:rsidRPr="00AA0A48" w:rsidRDefault="00765EF8" w:rsidP="00765EF8">
      <w:pPr>
        <w:pStyle w:val="Recipient"/>
        <w:ind w:right="720"/>
        <w:rPr>
          <w:rFonts w:ascii="IBM Plex Sans" w:hAnsi="IBM Plex Sans"/>
          <w:color w:val="000000" w:themeColor="text1"/>
          <w:sz w:val="24"/>
          <w:szCs w:val="24"/>
        </w:rPr>
      </w:pPr>
    </w:p>
    <w:p w14:paraId="38B12930" w14:textId="77777777" w:rsidR="00765EF8" w:rsidRPr="004F61BE" w:rsidRDefault="00765EF8" w:rsidP="00765EF8">
      <w:pPr>
        <w:pStyle w:val="Recipient"/>
        <w:ind w:right="720"/>
        <w:jc w:val="center"/>
        <w:rPr>
          <w:rFonts w:asciiTheme="minorHAnsi" w:hAnsiTheme="minorHAnsi" w:cstheme="minorHAnsi"/>
          <w:b/>
          <w:bCs/>
          <w:color w:val="000000" w:themeColor="text1"/>
          <w:sz w:val="24"/>
          <w:szCs w:val="24"/>
        </w:rPr>
      </w:pPr>
      <w:r w:rsidRPr="004F61BE">
        <w:rPr>
          <w:rFonts w:asciiTheme="minorHAnsi" w:hAnsiTheme="minorHAnsi" w:cstheme="minorHAnsi"/>
          <w:b/>
          <w:bCs/>
          <w:color w:val="000000" w:themeColor="text1"/>
          <w:sz w:val="24"/>
          <w:szCs w:val="24"/>
        </w:rPr>
        <w:t>Public Comment for CARB’s LCFS Program</w:t>
      </w:r>
    </w:p>
    <w:p w14:paraId="7F85E569" w14:textId="77777777" w:rsidR="00765EF8" w:rsidRPr="004F61BE" w:rsidRDefault="00765EF8" w:rsidP="00765EF8">
      <w:pPr>
        <w:pStyle w:val="Recipient"/>
        <w:ind w:right="720"/>
        <w:jc w:val="center"/>
        <w:rPr>
          <w:rFonts w:asciiTheme="minorHAnsi" w:hAnsiTheme="minorHAnsi" w:cstheme="minorHAnsi"/>
          <w:b/>
          <w:bCs/>
          <w:color w:val="000000" w:themeColor="text1"/>
          <w:sz w:val="32"/>
          <w:szCs w:val="32"/>
        </w:rPr>
      </w:pPr>
      <w:r w:rsidRPr="004F61BE">
        <w:rPr>
          <w:rFonts w:asciiTheme="minorHAnsi" w:hAnsiTheme="minorHAnsi" w:cstheme="minorHAnsi"/>
          <w:b/>
          <w:bCs/>
          <w:color w:val="000000" w:themeColor="text1"/>
          <w:sz w:val="32"/>
          <w:szCs w:val="32"/>
        </w:rPr>
        <w:t>Promoting Biochar to Advance California’s Climate Goals</w:t>
      </w:r>
    </w:p>
    <w:p w14:paraId="4EBED837" w14:textId="77777777" w:rsidR="00765EF8" w:rsidRPr="004F61BE" w:rsidRDefault="00765EF8" w:rsidP="00765EF8">
      <w:pPr>
        <w:pStyle w:val="Recipient"/>
        <w:ind w:right="720"/>
        <w:rPr>
          <w:rFonts w:asciiTheme="minorHAnsi" w:hAnsiTheme="minorHAnsi" w:cstheme="minorHAnsi"/>
          <w:color w:val="000000" w:themeColor="text1"/>
          <w:sz w:val="24"/>
          <w:szCs w:val="24"/>
        </w:rPr>
      </w:pPr>
    </w:p>
    <w:p w14:paraId="0A79A58D" w14:textId="77777777" w:rsidR="00765EF8" w:rsidRPr="004F61BE" w:rsidRDefault="00765EF8" w:rsidP="00765EF8">
      <w:pPr>
        <w:pStyle w:val="Recipient"/>
        <w:ind w:right="720"/>
        <w:rPr>
          <w:rFonts w:asciiTheme="minorHAnsi" w:hAnsiTheme="minorHAnsi" w:cstheme="minorHAnsi"/>
          <w:color w:val="000000" w:themeColor="text1"/>
          <w:sz w:val="24"/>
          <w:szCs w:val="24"/>
        </w:rPr>
      </w:pPr>
      <w:r w:rsidRPr="004F61BE">
        <w:rPr>
          <w:rFonts w:asciiTheme="minorHAnsi" w:hAnsiTheme="minorHAnsi" w:cstheme="minorHAnsi"/>
          <w:color w:val="000000" w:themeColor="text1"/>
          <w:sz w:val="24"/>
          <w:szCs w:val="24"/>
        </w:rPr>
        <w:t>Biochar is well known for its many contributions to soil health, including a variety of ecosystem services such water retention, supporting biodiversity, and increasing productivity of the state's essential agricultural sector. Less recognized is its potential to contribute to long-term carbon sequestration, particularly through stabilization of waste biomass that would otherwise be burnt or decompose into methane and other greenhouse gas emissions. It is essential for leading state agencies like CARB to recognize biochar’s mitigation potential for several reasons:</w:t>
      </w:r>
    </w:p>
    <w:p w14:paraId="77D0D774" w14:textId="77777777" w:rsidR="00765EF8" w:rsidRPr="004F61BE" w:rsidRDefault="00765EF8" w:rsidP="00765EF8">
      <w:pPr>
        <w:pStyle w:val="Recipient"/>
        <w:ind w:right="720"/>
        <w:rPr>
          <w:rFonts w:asciiTheme="minorHAnsi" w:hAnsiTheme="minorHAnsi" w:cstheme="minorHAnsi"/>
          <w:color w:val="000000" w:themeColor="text1"/>
          <w:sz w:val="24"/>
          <w:szCs w:val="24"/>
        </w:rPr>
      </w:pPr>
      <w:r w:rsidRPr="004F61BE">
        <w:rPr>
          <w:rFonts w:asciiTheme="minorHAnsi" w:hAnsiTheme="minorHAnsi" w:cstheme="minorHAnsi"/>
          <w:color w:val="000000" w:themeColor="text1"/>
          <w:sz w:val="24"/>
          <w:szCs w:val="24"/>
        </w:rPr>
        <w:t xml:space="preserve"> </w:t>
      </w:r>
    </w:p>
    <w:p w14:paraId="21E6770D" w14:textId="53579F6D" w:rsidR="00765EF8" w:rsidRPr="004F61BE" w:rsidRDefault="00765EF8" w:rsidP="00765EF8">
      <w:pPr>
        <w:pStyle w:val="Recipient"/>
        <w:numPr>
          <w:ilvl w:val="0"/>
          <w:numId w:val="3"/>
        </w:numPr>
        <w:ind w:right="720"/>
        <w:rPr>
          <w:rFonts w:asciiTheme="minorHAnsi" w:hAnsiTheme="minorHAnsi" w:cstheme="minorHAnsi"/>
          <w:color w:val="000000" w:themeColor="text1"/>
          <w:sz w:val="24"/>
          <w:szCs w:val="24"/>
        </w:rPr>
      </w:pPr>
      <w:r w:rsidRPr="004F61BE">
        <w:rPr>
          <w:rFonts w:asciiTheme="minorHAnsi" w:hAnsiTheme="minorHAnsi" w:cstheme="minorHAnsi"/>
          <w:color w:val="000000" w:themeColor="text1"/>
          <w:sz w:val="24"/>
          <w:szCs w:val="24"/>
        </w:rPr>
        <w:t xml:space="preserve">Biochar as a soil amendment has a long history, but conventional biochar production and recycling pathways are relatively inefficient and </w:t>
      </w:r>
      <w:proofErr w:type="gramStart"/>
      <w:r w:rsidRPr="004F61BE">
        <w:rPr>
          <w:rFonts w:asciiTheme="minorHAnsi" w:hAnsiTheme="minorHAnsi" w:cstheme="minorHAnsi"/>
          <w:color w:val="000000" w:themeColor="text1"/>
          <w:sz w:val="24"/>
          <w:szCs w:val="24"/>
        </w:rPr>
        <w:t>emission</w:t>
      </w:r>
      <w:r w:rsidR="004F61BE">
        <w:rPr>
          <w:rFonts w:asciiTheme="minorHAnsi" w:hAnsiTheme="minorHAnsi" w:cstheme="minorHAnsi"/>
          <w:color w:val="000000" w:themeColor="text1"/>
          <w:sz w:val="24"/>
          <w:szCs w:val="24"/>
        </w:rPr>
        <w:t>-</w:t>
      </w:r>
      <w:r w:rsidRPr="004F61BE">
        <w:rPr>
          <w:rFonts w:asciiTheme="minorHAnsi" w:hAnsiTheme="minorHAnsi" w:cstheme="minorHAnsi"/>
          <w:color w:val="000000" w:themeColor="text1"/>
          <w:sz w:val="24"/>
          <w:szCs w:val="24"/>
        </w:rPr>
        <w:t>intensive</w:t>
      </w:r>
      <w:proofErr w:type="gramEnd"/>
      <w:r w:rsidR="004F61BE" w:rsidRPr="004F61BE">
        <w:rPr>
          <w:rFonts w:asciiTheme="minorHAnsi" w:hAnsiTheme="minorHAnsi" w:cstheme="minorHAnsi"/>
          <w:color w:val="000000" w:themeColor="text1"/>
          <w:sz w:val="24"/>
          <w:szCs w:val="24"/>
        </w:rPr>
        <w:t>.</w:t>
      </w:r>
    </w:p>
    <w:p w14:paraId="2171F595" w14:textId="1C2D7B98" w:rsidR="00765EF8" w:rsidRPr="004F61BE" w:rsidRDefault="00C15C8A" w:rsidP="00765EF8">
      <w:pPr>
        <w:pStyle w:val="Recipient"/>
        <w:numPr>
          <w:ilvl w:val="0"/>
          <w:numId w:val="3"/>
        </w:numPr>
        <w:ind w:right="720"/>
        <w:rPr>
          <w:rFonts w:asciiTheme="minorHAnsi" w:hAnsiTheme="minorHAnsi" w:cstheme="minorHAnsi"/>
          <w:color w:val="000000" w:themeColor="text1"/>
          <w:sz w:val="24"/>
          <w:szCs w:val="24"/>
        </w:rPr>
      </w:pPr>
      <w:r w:rsidRPr="004F61BE">
        <w:rPr>
          <w:rFonts w:asciiTheme="minorHAnsi" w:hAnsiTheme="minorHAnsi" w:cstheme="minorHAnsi"/>
          <w:color w:val="000000" w:themeColor="text1"/>
          <w:sz w:val="24"/>
          <w:szCs w:val="24"/>
        </w:rPr>
        <w:t>M</w:t>
      </w:r>
      <w:r w:rsidR="00765EF8" w:rsidRPr="004F61BE">
        <w:rPr>
          <w:rFonts w:asciiTheme="minorHAnsi" w:hAnsiTheme="minorHAnsi" w:cstheme="minorHAnsi"/>
          <w:color w:val="000000" w:themeColor="text1"/>
          <w:sz w:val="24"/>
          <w:szCs w:val="24"/>
        </w:rPr>
        <w:t>any varieties of biochar can sequester carbon for centuries. Thus</w:t>
      </w:r>
      <w:r w:rsidR="00666B82">
        <w:rPr>
          <w:rFonts w:asciiTheme="minorHAnsi" w:hAnsiTheme="minorHAnsi" w:cstheme="minorHAnsi"/>
          <w:color w:val="000000" w:themeColor="text1"/>
          <w:sz w:val="24"/>
          <w:szCs w:val="24"/>
        </w:rPr>
        <w:t>,</w:t>
      </w:r>
      <w:r w:rsidR="00765EF8" w:rsidRPr="004F61BE">
        <w:rPr>
          <w:rFonts w:asciiTheme="minorHAnsi" w:hAnsiTheme="minorHAnsi" w:cstheme="minorHAnsi"/>
          <w:color w:val="000000" w:themeColor="text1"/>
          <w:sz w:val="24"/>
          <w:szCs w:val="24"/>
        </w:rPr>
        <w:t xml:space="preserve"> biochar can make essential contributions to California's short- and medium-term mitigation objectives, reducing the state's contribution to global warming risk until more permanent mitigation and sequestration strategies are developed and deployed.</w:t>
      </w:r>
    </w:p>
    <w:p w14:paraId="2BE71006" w14:textId="34D655E3" w:rsidR="00765EF8" w:rsidRPr="004F61BE" w:rsidRDefault="00765EF8" w:rsidP="00765EF8">
      <w:pPr>
        <w:pStyle w:val="Recipient"/>
        <w:numPr>
          <w:ilvl w:val="0"/>
          <w:numId w:val="3"/>
        </w:numPr>
        <w:ind w:right="720"/>
        <w:rPr>
          <w:rFonts w:asciiTheme="minorHAnsi" w:hAnsiTheme="minorHAnsi" w:cstheme="minorHAnsi"/>
          <w:color w:val="000000" w:themeColor="text1"/>
          <w:sz w:val="24"/>
          <w:szCs w:val="24"/>
        </w:rPr>
      </w:pPr>
      <w:r w:rsidRPr="004F61BE">
        <w:rPr>
          <w:rFonts w:asciiTheme="minorHAnsi" w:hAnsiTheme="minorHAnsi" w:cstheme="minorHAnsi"/>
          <w:color w:val="000000" w:themeColor="text1"/>
          <w:sz w:val="24"/>
          <w:szCs w:val="24"/>
        </w:rPr>
        <w:t>California currently produces more than 54MT of waste biomass per year, representing an "emissions overhang" of organic material that threatens more immediate release methane and other greenhouse gases through burning and/or decomposition.</w:t>
      </w:r>
      <w:r w:rsidRPr="004F61BE">
        <w:rPr>
          <w:rStyle w:val="FootnoteReference"/>
          <w:rFonts w:asciiTheme="minorHAnsi" w:hAnsiTheme="minorHAnsi" w:cstheme="minorHAnsi"/>
          <w:szCs w:val="24"/>
        </w:rPr>
        <w:footnoteReference w:id="1"/>
      </w:r>
      <w:r w:rsidRPr="004F61BE">
        <w:rPr>
          <w:rFonts w:asciiTheme="minorHAnsi" w:hAnsiTheme="minorHAnsi" w:cstheme="minorHAnsi"/>
          <w:color w:val="000000" w:themeColor="text1"/>
          <w:sz w:val="24"/>
          <w:szCs w:val="24"/>
        </w:rPr>
        <w:t xml:space="preserve"> Today, the volume of this waste is accelerating because of more determined public and private wildfire risk management strategies, while burning restrictions are increasing the biomass loads of state landfills.</w:t>
      </w:r>
    </w:p>
    <w:p w14:paraId="5A5E872D" w14:textId="77777777" w:rsidR="00765EF8" w:rsidRPr="004F61BE" w:rsidRDefault="00765EF8" w:rsidP="00765EF8">
      <w:pPr>
        <w:pStyle w:val="Recipient"/>
        <w:ind w:right="720"/>
        <w:rPr>
          <w:rFonts w:asciiTheme="minorHAnsi" w:hAnsiTheme="minorHAnsi" w:cstheme="minorHAnsi"/>
          <w:color w:val="000000" w:themeColor="text1"/>
          <w:sz w:val="24"/>
          <w:szCs w:val="24"/>
        </w:rPr>
      </w:pPr>
    </w:p>
    <w:p w14:paraId="7774B0BF" w14:textId="27377511" w:rsidR="00765EF8" w:rsidRPr="004F61BE" w:rsidRDefault="00765EF8" w:rsidP="00765EF8">
      <w:pPr>
        <w:spacing w:after="0"/>
        <w:ind w:right="720"/>
        <w:rPr>
          <w:rFonts w:cstheme="minorHAnsi"/>
          <w:color w:val="000000" w:themeColor="text1"/>
          <w:sz w:val="24"/>
          <w:szCs w:val="24"/>
        </w:rPr>
      </w:pPr>
      <w:r w:rsidRPr="004F61BE">
        <w:rPr>
          <w:rFonts w:cstheme="minorHAnsi"/>
          <w:color w:val="000000" w:themeColor="text1"/>
          <w:sz w:val="24"/>
          <w:szCs w:val="24"/>
        </w:rPr>
        <w:t>Biochar needs to be officially recognized and incentivized for its mitigation potential. This will increase incentives to reduce emissions from burning and biomass</w:t>
      </w:r>
      <w:r w:rsidR="00666B82">
        <w:rPr>
          <w:rFonts w:cstheme="minorHAnsi"/>
          <w:color w:val="000000" w:themeColor="text1"/>
          <w:sz w:val="24"/>
          <w:szCs w:val="24"/>
        </w:rPr>
        <w:t xml:space="preserve"> </w:t>
      </w:r>
      <w:r w:rsidRPr="004F61BE">
        <w:rPr>
          <w:rFonts w:cstheme="minorHAnsi"/>
          <w:color w:val="000000" w:themeColor="text1"/>
          <w:sz w:val="24"/>
          <w:szCs w:val="24"/>
        </w:rPr>
        <w:t>decomposition, advance biofuel production and carbon sequestration, and promote innovation to develop more stable and carbon-retentive biochar.</w:t>
      </w:r>
    </w:p>
    <w:p w14:paraId="130EB12B" w14:textId="77777777" w:rsidR="00666B82" w:rsidRDefault="00666B82" w:rsidP="00765EF8">
      <w:pPr>
        <w:spacing w:after="0"/>
        <w:ind w:right="720"/>
        <w:rPr>
          <w:rFonts w:cstheme="minorHAnsi"/>
          <w:color w:val="000000" w:themeColor="text1"/>
          <w:sz w:val="24"/>
          <w:szCs w:val="24"/>
        </w:rPr>
      </w:pPr>
    </w:p>
    <w:p w14:paraId="52AD82B3" w14:textId="1DA9B843" w:rsidR="00765EF8" w:rsidRPr="00666B82" w:rsidRDefault="00765EF8" w:rsidP="00765EF8">
      <w:pPr>
        <w:spacing w:after="0"/>
        <w:ind w:right="720"/>
        <w:rPr>
          <w:rFonts w:cstheme="minorHAnsi"/>
          <w:b/>
          <w:bCs/>
          <w:color w:val="000000" w:themeColor="text1"/>
          <w:sz w:val="24"/>
          <w:szCs w:val="24"/>
        </w:rPr>
      </w:pPr>
      <w:r w:rsidRPr="00666B82">
        <w:rPr>
          <w:rFonts w:cstheme="minorHAnsi"/>
          <w:b/>
          <w:bCs/>
          <w:color w:val="000000" w:themeColor="text1"/>
          <w:sz w:val="24"/>
          <w:szCs w:val="24"/>
        </w:rPr>
        <w:t>We recommend that CARB explicitly recognize biochar’s mitigation potential with LCFS accreditation, working with the state’s research community to develop a pathway certification program that grades and credits biochar for sequestration potential, rewarding innovation for its important contributions to climate, food, and economic security.</w:t>
      </w:r>
    </w:p>
    <w:p w14:paraId="09EF0F3A" w14:textId="3327D7FF" w:rsidR="004F61BE" w:rsidRDefault="004F61BE" w:rsidP="00765EF8">
      <w:pPr>
        <w:spacing w:after="0"/>
        <w:ind w:right="720"/>
        <w:rPr>
          <w:rFonts w:cstheme="minorHAnsi"/>
          <w:color w:val="000000" w:themeColor="text1"/>
          <w:sz w:val="24"/>
          <w:szCs w:val="24"/>
        </w:rPr>
      </w:pPr>
    </w:p>
    <w:p w14:paraId="1A9626C2" w14:textId="77777777" w:rsidR="004F61BE" w:rsidRPr="004F61BE" w:rsidRDefault="004F61BE" w:rsidP="00765EF8">
      <w:pPr>
        <w:spacing w:after="0"/>
        <w:ind w:right="720"/>
        <w:rPr>
          <w:rFonts w:cstheme="minorHAnsi"/>
          <w:color w:val="000000" w:themeColor="text1"/>
          <w:sz w:val="24"/>
          <w:szCs w:val="24"/>
        </w:rPr>
      </w:pPr>
    </w:p>
    <w:p w14:paraId="1EEF2CF9" w14:textId="31B106A7" w:rsidR="00765EF8" w:rsidRPr="004F61BE" w:rsidRDefault="00765EF8" w:rsidP="00765EF8">
      <w:pPr>
        <w:spacing w:after="0"/>
        <w:ind w:right="720"/>
        <w:rPr>
          <w:rFonts w:cstheme="minorHAnsi"/>
          <w:color w:val="000000" w:themeColor="text1"/>
          <w:sz w:val="24"/>
          <w:szCs w:val="24"/>
        </w:rPr>
      </w:pPr>
    </w:p>
    <w:p w14:paraId="6F58F9C0" w14:textId="245E58E8" w:rsidR="00765EF8" w:rsidRPr="004F61BE" w:rsidRDefault="00C15C8A" w:rsidP="00765EF8">
      <w:pPr>
        <w:spacing w:after="0"/>
        <w:ind w:right="720"/>
        <w:rPr>
          <w:rFonts w:cstheme="minorHAnsi"/>
          <w:color w:val="000000" w:themeColor="text1"/>
          <w:sz w:val="24"/>
          <w:szCs w:val="24"/>
        </w:rPr>
      </w:pPr>
      <w:r w:rsidRPr="004F61BE">
        <w:rPr>
          <w:rFonts w:cstheme="minorHAnsi"/>
          <w:color w:val="000000" w:themeColor="text1"/>
          <w:sz w:val="24"/>
          <w:szCs w:val="24"/>
        </w:rPr>
        <w:t>CARB should also consider the work of the International Biochar Initiative (IBI)</w:t>
      </w:r>
      <w:r w:rsidR="00666B82">
        <w:rPr>
          <w:rFonts w:cstheme="minorHAnsi"/>
          <w:color w:val="000000" w:themeColor="text1"/>
          <w:sz w:val="24"/>
          <w:szCs w:val="24"/>
        </w:rPr>
        <w:t xml:space="preserve">, which </w:t>
      </w:r>
      <w:r w:rsidRPr="004F61BE">
        <w:rPr>
          <w:rFonts w:cstheme="minorHAnsi"/>
          <w:color w:val="000000" w:themeColor="text1"/>
          <w:sz w:val="24"/>
          <w:szCs w:val="24"/>
        </w:rPr>
        <w:t xml:space="preserve">has extensive </w:t>
      </w:r>
      <w:r w:rsidR="004F61BE">
        <w:rPr>
          <w:rFonts w:cstheme="minorHAnsi"/>
          <w:color w:val="000000" w:themeColor="text1"/>
          <w:sz w:val="24"/>
          <w:szCs w:val="24"/>
        </w:rPr>
        <w:t>data to</w:t>
      </w:r>
      <w:r w:rsidRPr="004F61BE">
        <w:rPr>
          <w:rFonts w:cstheme="minorHAnsi"/>
          <w:color w:val="000000" w:themeColor="text1"/>
          <w:sz w:val="24"/>
          <w:szCs w:val="24"/>
        </w:rPr>
        <w:t xml:space="preserve"> support the scientific basis for the use of </w:t>
      </w:r>
      <w:r w:rsidR="004F61BE">
        <w:rPr>
          <w:rFonts w:cstheme="minorHAnsi"/>
          <w:color w:val="000000" w:themeColor="text1"/>
          <w:sz w:val="24"/>
          <w:szCs w:val="24"/>
        </w:rPr>
        <w:t>b</w:t>
      </w:r>
      <w:r w:rsidRPr="004F61BE">
        <w:rPr>
          <w:rFonts w:cstheme="minorHAnsi"/>
          <w:color w:val="000000" w:themeColor="text1"/>
          <w:sz w:val="24"/>
          <w:szCs w:val="24"/>
        </w:rPr>
        <w:t xml:space="preserve">iochar to sequester carbon.  </w:t>
      </w:r>
      <w:r w:rsidR="00666B82">
        <w:rPr>
          <w:rFonts w:cstheme="minorHAnsi"/>
          <w:color w:val="000000" w:themeColor="text1"/>
          <w:sz w:val="24"/>
          <w:szCs w:val="24"/>
        </w:rPr>
        <w:t>The</w:t>
      </w:r>
      <w:r w:rsidRPr="004F61BE">
        <w:rPr>
          <w:rFonts w:cstheme="minorHAnsi"/>
          <w:color w:val="000000" w:themeColor="text1"/>
          <w:sz w:val="24"/>
          <w:szCs w:val="24"/>
        </w:rPr>
        <w:t xml:space="preserve"> IBI </w:t>
      </w:r>
      <w:r w:rsidR="004F61BE">
        <w:rPr>
          <w:rFonts w:cstheme="minorHAnsi"/>
          <w:color w:val="000000" w:themeColor="text1"/>
          <w:sz w:val="24"/>
          <w:szCs w:val="24"/>
        </w:rPr>
        <w:t>h</w:t>
      </w:r>
      <w:r w:rsidRPr="004F61BE">
        <w:rPr>
          <w:rFonts w:cstheme="minorHAnsi"/>
          <w:color w:val="000000" w:themeColor="text1"/>
          <w:sz w:val="24"/>
          <w:szCs w:val="24"/>
        </w:rPr>
        <w:t xml:space="preserve">as developed a </w:t>
      </w:r>
      <w:r w:rsidR="004F61BE" w:rsidRPr="004F61BE">
        <w:rPr>
          <w:rFonts w:cstheme="minorHAnsi"/>
          <w:color w:val="000000" w:themeColor="text1"/>
          <w:sz w:val="24"/>
          <w:szCs w:val="24"/>
        </w:rPr>
        <w:t>scientifically</w:t>
      </w:r>
      <w:r w:rsidR="004F61BE">
        <w:rPr>
          <w:rFonts w:cstheme="minorHAnsi"/>
          <w:color w:val="000000" w:themeColor="text1"/>
          <w:sz w:val="24"/>
          <w:szCs w:val="24"/>
        </w:rPr>
        <w:t xml:space="preserve"> based</w:t>
      </w:r>
      <w:r w:rsidRPr="004F61BE">
        <w:rPr>
          <w:rFonts w:cstheme="minorHAnsi"/>
          <w:color w:val="000000" w:themeColor="text1"/>
          <w:sz w:val="24"/>
          <w:szCs w:val="24"/>
        </w:rPr>
        <w:t xml:space="preserve"> classification tool that could be used by CARB.</w:t>
      </w:r>
      <w:r w:rsidR="00D04F0B" w:rsidRPr="004F61BE">
        <w:rPr>
          <w:rFonts w:cstheme="minorHAnsi"/>
          <w:color w:val="000000" w:themeColor="text1"/>
          <w:sz w:val="24"/>
          <w:szCs w:val="24"/>
        </w:rPr>
        <w:t xml:space="preserve"> See example below.</w:t>
      </w:r>
    </w:p>
    <w:p w14:paraId="342F9C3C" w14:textId="2189818A" w:rsidR="00C15C8A" w:rsidRDefault="00C15C8A" w:rsidP="00765EF8">
      <w:pPr>
        <w:spacing w:after="0"/>
        <w:ind w:right="720"/>
        <w:rPr>
          <w:rFonts w:ascii="IBM Plex Sans" w:hAnsi="IBM Plex Sans"/>
          <w:color w:val="000000" w:themeColor="text1"/>
          <w:sz w:val="24"/>
          <w:szCs w:val="24"/>
        </w:rPr>
      </w:pPr>
    </w:p>
    <w:p w14:paraId="333B5982" w14:textId="6160C96E" w:rsidR="00C15C8A" w:rsidRDefault="00C15C8A" w:rsidP="00765EF8">
      <w:pPr>
        <w:spacing w:after="0"/>
        <w:ind w:right="720"/>
        <w:rPr>
          <w:rFonts w:ascii="IBM Plex Sans" w:hAnsi="IBM Plex Sans"/>
          <w:color w:val="000000" w:themeColor="text1"/>
          <w:sz w:val="24"/>
          <w:szCs w:val="24"/>
        </w:rPr>
      </w:pPr>
      <w:r>
        <w:rPr>
          <w:noProof/>
        </w:rPr>
        <w:drawing>
          <wp:inline distT="0" distB="0" distL="0" distR="0" wp14:anchorId="56F13587" wp14:editId="45FFDE1A">
            <wp:extent cx="5943600" cy="317309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a:stretch>
                      <a:fillRect/>
                    </a:stretch>
                  </pic:blipFill>
                  <pic:spPr>
                    <a:xfrm>
                      <a:off x="0" y="0"/>
                      <a:ext cx="5943600" cy="3173095"/>
                    </a:xfrm>
                    <a:prstGeom prst="rect">
                      <a:avLst/>
                    </a:prstGeom>
                  </pic:spPr>
                </pic:pic>
              </a:graphicData>
            </a:graphic>
          </wp:inline>
        </w:drawing>
      </w:r>
    </w:p>
    <w:p w14:paraId="591C6D15" w14:textId="478D9C4C" w:rsidR="004F61BE" w:rsidRPr="004F61BE" w:rsidRDefault="004F61BE" w:rsidP="00765EF8">
      <w:pPr>
        <w:spacing w:after="0"/>
        <w:ind w:right="720"/>
        <w:rPr>
          <w:rFonts w:cstheme="minorHAnsi"/>
          <w:color w:val="000000" w:themeColor="text1"/>
          <w:sz w:val="24"/>
          <w:szCs w:val="24"/>
        </w:rPr>
      </w:pPr>
      <w:hyperlink r:id="rId8" w:history="1">
        <w:r w:rsidRPr="004F61BE">
          <w:rPr>
            <w:rStyle w:val="Hyperlink"/>
            <w:rFonts w:cstheme="minorHAnsi"/>
            <w:sz w:val="24"/>
            <w:szCs w:val="24"/>
          </w:rPr>
          <w:t>https://biochar-international.org/biochar-classification-tool/</w:t>
        </w:r>
      </w:hyperlink>
      <w:r w:rsidRPr="004F61BE">
        <w:rPr>
          <w:rFonts w:cstheme="minorHAnsi"/>
          <w:color w:val="000000" w:themeColor="text1"/>
          <w:sz w:val="24"/>
          <w:szCs w:val="24"/>
        </w:rPr>
        <w:t xml:space="preserve"> </w:t>
      </w:r>
    </w:p>
    <w:p w14:paraId="33B4601B" w14:textId="7DCF4D21" w:rsidR="00C15C8A" w:rsidRDefault="00C15C8A" w:rsidP="00765EF8">
      <w:pPr>
        <w:spacing w:after="0"/>
        <w:ind w:right="720"/>
        <w:rPr>
          <w:rFonts w:ascii="IBM Plex Sans" w:hAnsi="IBM Plex Sans"/>
          <w:color w:val="000000" w:themeColor="text1"/>
          <w:sz w:val="24"/>
          <w:szCs w:val="24"/>
        </w:rPr>
      </w:pPr>
    </w:p>
    <w:p w14:paraId="14CEF4C9" w14:textId="5A44347F" w:rsidR="00D04F0B" w:rsidRPr="004F61BE" w:rsidRDefault="00D04F0B" w:rsidP="00765EF8">
      <w:pPr>
        <w:spacing w:after="0"/>
        <w:ind w:right="720"/>
        <w:rPr>
          <w:rFonts w:cstheme="minorHAnsi"/>
          <w:color w:val="000000" w:themeColor="text1"/>
          <w:sz w:val="24"/>
          <w:szCs w:val="24"/>
        </w:rPr>
      </w:pPr>
      <w:r w:rsidRPr="004F61BE">
        <w:rPr>
          <w:rFonts w:cstheme="minorHAnsi"/>
          <w:color w:val="000000" w:themeColor="text1"/>
          <w:sz w:val="24"/>
          <w:szCs w:val="24"/>
        </w:rPr>
        <w:t>Thank you for your consideration.</w:t>
      </w:r>
    </w:p>
    <w:p w14:paraId="01B5353A" w14:textId="77777777" w:rsidR="00D04F0B" w:rsidRPr="004F61BE" w:rsidRDefault="00D04F0B" w:rsidP="00765EF8">
      <w:pPr>
        <w:spacing w:after="0"/>
        <w:ind w:right="720"/>
        <w:rPr>
          <w:rFonts w:cstheme="minorHAnsi"/>
          <w:color w:val="000000" w:themeColor="text1"/>
          <w:sz w:val="24"/>
          <w:szCs w:val="24"/>
        </w:rPr>
      </w:pPr>
    </w:p>
    <w:p w14:paraId="0D44574F" w14:textId="059EDD5B" w:rsidR="00765EF8" w:rsidRPr="004F61BE" w:rsidRDefault="00D04F0B" w:rsidP="00765EF8">
      <w:pPr>
        <w:spacing w:after="0"/>
        <w:ind w:right="720"/>
        <w:rPr>
          <w:rFonts w:cstheme="minorHAnsi"/>
          <w:color w:val="000000" w:themeColor="text1"/>
          <w:sz w:val="24"/>
          <w:szCs w:val="24"/>
        </w:rPr>
      </w:pPr>
      <w:r w:rsidRPr="004F61BE">
        <w:rPr>
          <w:rFonts w:cstheme="minorHAnsi"/>
          <w:color w:val="000000" w:themeColor="text1"/>
          <w:sz w:val="24"/>
          <w:szCs w:val="24"/>
        </w:rPr>
        <w:t>Respectfully,</w:t>
      </w:r>
    </w:p>
    <w:p w14:paraId="67183F68" w14:textId="3FF94B4F" w:rsidR="00D04F0B" w:rsidRPr="004F61BE" w:rsidRDefault="00D04F0B" w:rsidP="00765EF8">
      <w:pPr>
        <w:spacing w:after="0"/>
        <w:ind w:right="720"/>
        <w:rPr>
          <w:rFonts w:cstheme="minorHAnsi"/>
          <w:color w:val="000000" w:themeColor="text1"/>
          <w:sz w:val="24"/>
          <w:szCs w:val="24"/>
        </w:rPr>
      </w:pPr>
      <w:r w:rsidRPr="004F61BE">
        <w:rPr>
          <w:rFonts w:cstheme="minorHAnsi"/>
          <w:noProof/>
        </w:rPr>
        <w:drawing>
          <wp:inline distT="0" distB="0" distL="0" distR="0" wp14:anchorId="59CAF156" wp14:editId="59994FB3">
            <wp:extent cx="1333500" cy="371475"/>
            <wp:effectExtent l="0" t="0" r="0" b="9525"/>
            <wp:docPr id="6" name="image1.png" title="Image">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title="Image">
                      <a:extLst>
                        <a:ext uri="{FF2B5EF4-FFF2-40B4-BE49-F238E27FC236}">
                          <a16:creationId xmlns:a16="http://schemas.microsoft.com/office/drawing/2014/main" id="{00000000-0008-0000-0100-000002000000}"/>
                        </a:ext>
                      </a:extLst>
                    </pic:cNvPr>
                    <pic:cNvPicPr preferRelativeResize="0"/>
                  </pic:nvPicPr>
                  <pic:blipFill>
                    <a:blip r:embed="rId9" cstate="print"/>
                    <a:stretch>
                      <a:fillRect/>
                    </a:stretch>
                  </pic:blipFill>
                  <pic:spPr>
                    <a:xfrm>
                      <a:off x="0" y="0"/>
                      <a:ext cx="1333500" cy="371475"/>
                    </a:xfrm>
                    <a:prstGeom prst="rect">
                      <a:avLst/>
                    </a:prstGeom>
                    <a:noFill/>
                  </pic:spPr>
                </pic:pic>
              </a:graphicData>
            </a:graphic>
          </wp:inline>
        </w:drawing>
      </w:r>
    </w:p>
    <w:p w14:paraId="670228BE" w14:textId="6EA60D60" w:rsidR="00D04F0B" w:rsidRPr="004F61BE" w:rsidRDefault="00D04F0B" w:rsidP="00765EF8">
      <w:pPr>
        <w:spacing w:after="0"/>
        <w:ind w:right="720"/>
        <w:rPr>
          <w:rFonts w:cstheme="minorHAnsi"/>
          <w:color w:val="000000" w:themeColor="text1"/>
          <w:sz w:val="24"/>
          <w:szCs w:val="24"/>
        </w:rPr>
      </w:pPr>
      <w:r w:rsidRPr="004F61BE">
        <w:rPr>
          <w:rFonts w:cstheme="minorHAnsi"/>
          <w:color w:val="000000" w:themeColor="text1"/>
          <w:sz w:val="24"/>
          <w:szCs w:val="24"/>
        </w:rPr>
        <w:t>Kieran Mitchell</w:t>
      </w:r>
    </w:p>
    <w:p w14:paraId="1FB0AF06" w14:textId="1EB1FB95" w:rsidR="00765EF8" w:rsidRPr="004F61BE" w:rsidRDefault="00D04F0B" w:rsidP="00765EF8">
      <w:pPr>
        <w:spacing w:after="0"/>
        <w:ind w:right="720"/>
        <w:rPr>
          <w:rFonts w:cstheme="minorHAnsi"/>
          <w:color w:val="000000" w:themeColor="text1"/>
          <w:sz w:val="24"/>
          <w:szCs w:val="24"/>
        </w:rPr>
      </w:pPr>
      <w:r w:rsidRPr="004F61BE">
        <w:rPr>
          <w:rFonts w:cstheme="minorHAnsi"/>
          <w:color w:val="000000" w:themeColor="text1"/>
          <w:sz w:val="24"/>
          <w:szCs w:val="24"/>
        </w:rPr>
        <w:t>CEO, Caribou Biofuels</w:t>
      </w:r>
    </w:p>
    <w:p w14:paraId="2D0D5327" w14:textId="46C35390" w:rsidR="004F61BE" w:rsidRPr="004F61BE" w:rsidRDefault="004F61BE" w:rsidP="00765EF8">
      <w:pPr>
        <w:spacing w:after="0"/>
        <w:ind w:right="720"/>
        <w:rPr>
          <w:rFonts w:cstheme="minorHAnsi"/>
          <w:color w:val="000000" w:themeColor="text1"/>
          <w:sz w:val="24"/>
          <w:szCs w:val="24"/>
        </w:rPr>
      </w:pPr>
      <w:hyperlink r:id="rId10" w:history="1">
        <w:r w:rsidRPr="004F61BE">
          <w:rPr>
            <w:rStyle w:val="Hyperlink"/>
            <w:rFonts w:cstheme="minorHAnsi"/>
            <w:sz w:val="24"/>
            <w:szCs w:val="24"/>
          </w:rPr>
          <w:t>kieran@cariboubiofuels.com</w:t>
        </w:r>
      </w:hyperlink>
    </w:p>
    <w:p w14:paraId="2EBAEE2C" w14:textId="67C357A9" w:rsidR="004F61BE" w:rsidRPr="004F61BE" w:rsidRDefault="004F61BE" w:rsidP="00765EF8">
      <w:pPr>
        <w:spacing w:after="0"/>
        <w:ind w:right="720"/>
        <w:rPr>
          <w:rFonts w:cstheme="minorHAnsi"/>
          <w:color w:val="000000" w:themeColor="text1"/>
          <w:sz w:val="24"/>
          <w:szCs w:val="24"/>
        </w:rPr>
      </w:pPr>
      <w:r w:rsidRPr="004F61BE">
        <w:rPr>
          <w:rFonts w:cstheme="minorHAnsi"/>
          <w:color w:val="000000" w:themeColor="text1"/>
          <w:sz w:val="24"/>
          <w:szCs w:val="24"/>
        </w:rPr>
        <w:t>510-421-0365</w:t>
      </w:r>
    </w:p>
    <w:p w14:paraId="59C4232A" w14:textId="46B0D004" w:rsidR="00765EF8" w:rsidRDefault="00765EF8" w:rsidP="00765EF8">
      <w:pPr>
        <w:spacing w:after="0"/>
        <w:ind w:right="720"/>
        <w:rPr>
          <w:rFonts w:ascii="IBM Plex Sans" w:hAnsi="IBM Plex Sans"/>
          <w:color w:val="000000" w:themeColor="text1"/>
          <w:sz w:val="24"/>
          <w:szCs w:val="24"/>
        </w:rPr>
      </w:pPr>
    </w:p>
    <w:p w14:paraId="657BFBD8" w14:textId="77777777" w:rsidR="00765EF8" w:rsidRDefault="00765EF8" w:rsidP="00765EF8">
      <w:pPr>
        <w:spacing w:after="0"/>
        <w:ind w:right="720"/>
        <w:rPr>
          <w:rFonts w:ascii="IBM Plex Sans" w:hAnsi="IBM Plex Sans"/>
          <w:color w:val="000000" w:themeColor="text1"/>
          <w:sz w:val="24"/>
          <w:szCs w:val="24"/>
        </w:rPr>
      </w:pPr>
    </w:p>
    <w:p w14:paraId="0B72A146" w14:textId="77777777" w:rsidR="00765EF8" w:rsidRDefault="00765EF8"/>
    <w:sectPr w:rsidR="00765EF8" w:rsidSect="0076147A">
      <w:headerReference w:type="default" r:id="rId11"/>
      <w:footerReference w:type="default" r:id="rId1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32B30" w14:textId="77777777" w:rsidR="003F13B5" w:rsidRDefault="003F13B5" w:rsidP="0076147A">
      <w:pPr>
        <w:spacing w:after="0" w:line="240" w:lineRule="auto"/>
      </w:pPr>
      <w:r>
        <w:separator/>
      </w:r>
    </w:p>
  </w:endnote>
  <w:endnote w:type="continuationSeparator" w:id="0">
    <w:p w14:paraId="367B670F" w14:textId="77777777" w:rsidR="003F13B5" w:rsidRDefault="003F13B5" w:rsidP="0076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IBM Plex Sans">
    <w:panose1 w:val="020B0503050203000203"/>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B126" w14:textId="7F321A89" w:rsidR="0076147A" w:rsidRDefault="0076147A">
    <w:pPr>
      <w:pStyle w:val="Footer"/>
    </w:pPr>
    <w:r>
      <w:rPr>
        <w:noProof/>
      </w:rPr>
      <w:drawing>
        <wp:anchor distT="0" distB="0" distL="114300" distR="114300" simplePos="0" relativeHeight="251659264" behindDoc="0" locked="0" layoutInCell="1" allowOverlap="0" wp14:anchorId="4030F241" wp14:editId="74E79CBF">
          <wp:simplePos x="0" y="0"/>
          <wp:positionH relativeFrom="margin">
            <wp:posOffset>-899160</wp:posOffset>
          </wp:positionH>
          <wp:positionV relativeFrom="page">
            <wp:posOffset>9505950</wp:posOffset>
          </wp:positionV>
          <wp:extent cx="7734300" cy="553720"/>
          <wp:effectExtent l="0" t="0" r="0" b="0"/>
          <wp:wrapThrough wrapText="bothSides">
            <wp:wrapPolygon edited="0">
              <wp:start x="0" y="0"/>
              <wp:lineTo x="0" y="20807"/>
              <wp:lineTo x="21547" y="20807"/>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34300" cy="553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1168" w14:textId="77777777" w:rsidR="003F13B5" w:rsidRDefault="003F13B5" w:rsidP="0076147A">
      <w:pPr>
        <w:spacing w:after="0" w:line="240" w:lineRule="auto"/>
      </w:pPr>
      <w:r>
        <w:separator/>
      </w:r>
    </w:p>
  </w:footnote>
  <w:footnote w:type="continuationSeparator" w:id="0">
    <w:p w14:paraId="66A5E06F" w14:textId="77777777" w:rsidR="003F13B5" w:rsidRDefault="003F13B5" w:rsidP="0076147A">
      <w:pPr>
        <w:spacing w:after="0" w:line="240" w:lineRule="auto"/>
      </w:pPr>
      <w:r>
        <w:continuationSeparator/>
      </w:r>
    </w:p>
  </w:footnote>
  <w:footnote w:id="1">
    <w:p w14:paraId="6079801B" w14:textId="77777777" w:rsidR="00765EF8" w:rsidRDefault="00765EF8" w:rsidP="00765EF8">
      <w:pPr>
        <w:pStyle w:val="FootnoteText"/>
      </w:pPr>
      <w:r>
        <w:rPr>
          <w:rStyle w:val="FootnoteReference"/>
        </w:rPr>
        <w:footnoteRef/>
      </w:r>
      <w:r>
        <w:t xml:space="preserve"> T</w:t>
      </w:r>
      <w:r w:rsidRPr="00537323">
        <w:t>he latent CO2 in this waste material equals about ¼ of California’s current emission cap.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949C" w14:textId="58CD510D" w:rsidR="0076147A" w:rsidRDefault="0076147A">
    <w:pPr>
      <w:pStyle w:val="Header"/>
    </w:pPr>
    <w:r>
      <w:rPr>
        <w:noProof/>
      </w:rPr>
      <w:drawing>
        <wp:anchor distT="0" distB="0" distL="114300" distR="114300" simplePos="0" relativeHeight="251661312" behindDoc="0" locked="0" layoutInCell="1" allowOverlap="1" wp14:anchorId="36F9AD4C" wp14:editId="7D3C6248">
          <wp:simplePos x="0" y="0"/>
          <wp:positionH relativeFrom="column">
            <wp:posOffset>1878330</wp:posOffset>
          </wp:positionH>
          <wp:positionV relativeFrom="paragraph">
            <wp:posOffset>-171450</wp:posOffset>
          </wp:positionV>
          <wp:extent cx="2600960" cy="321945"/>
          <wp:effectExtent l="0" t="0" r="889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00960" cy="321945"/>
                  </a:xfrm>
                  <a:prstGeom prst="rect">
                    <a:avLst/>
                  </a:prstGeom>
                </pic:spPr>
              </pic:pic>
            </a:graphicData>
          </a:graphic>
          <wp14:sizeRelH relativeFrom="page">
            <wp14:pctWidth>0</wp14:pctWidth>
          </wp14:sizeRelH>
          <wp14:sizeRelV relativeFrom="page">
            <wp14:pctHeight>0</wp14:pctHeight>
          </wp14:sizeRelV>
        </wp:anchor>
      </w:drawing>
    </w:r>
    <w:r w:rsidRPr="0076147A">
      <w:rPr>
        <w:noProof/>
      </w:rPr>
      <w:drawing>
        <wp:anchor distT="0" distB="0" distL="114300" distR="114300" simplePos="0" relativeHeight="251662336" behindDoc="1" locked="0" layoutInCell="1" allowOverlap="1" wp14:anchorId="636AE586" wp14:editId="219E92A9">
          <wp:simplePos x="0" y="0"/>
          <wp:positionH relativeFrom="column">
            <wp:posOffset>895350</wp:posOffset>
          </wp:positionH>
          <wp:positionV relativeFrom="paragraph">
            <wp:posOffset>-327660</wp:posOffset>
          </wp:positionV>
          <wp:extent cx="757555" cy="786130"/>
          <wp:effectExtent l="0" t="0" r="4445" b="0"/>
          <wp:wrapTight wrapText="bothSides">
            <wp:wrapPolygon edited="0">
              <wp:start x="0" y="0"/>
              <wp:lineTo x="0" y="20937"/>
              <wp:lineTo x="21184" y="20937"/>
              <wp:lineTo x="21184" y="0"/>
              <wp:lineTo x="0" y="0"/>
            </wp:wrapPolygon>
          </wp:wrapTight>
          <wp:docPr id="10" name="Picture 9">
            <a:extLst xmlns:a="http://schemas.openxmlformats.org/drawingml/2006/main">
              <a:ext uri="{FF2B5EF4-FFF2-40B4-BE49-F238E27FC236}">
                <a16:creationId xmlns:a16="http://schemas.microsoft.com/office/drawing/2014/main" id="{79D0F15F-E08A-455B-BBC7-567D39EF6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9D0F15F-E08A-455B-BBC7-567D39EF6A89}"/>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878" t="12612" r="24497"/>
                  <a:stretch/>
                </pic:blipFill>
                <pic:spPr>
                  <a:xfrm>
                    <a:off x="0" y="0"/>
                    <a:ext cx="757555" cy="786130"/>
                  </a:xfrm>
                  <a:prstGeom prst="rect">
                    <a:avLst/>
                  </a:prstGeom>
                </pic:spPr>
              </pic:pic>
            </a:graphicData>
          </a:graphic>
          <wp14:sizeRelH relativeFrom="margin">
            <wp14:pctWidth>0</wp14:pctWidth>
          </wp14:sizeRelH>
          <wp14:sizeRelV relativeFrom="margin">
            <wp14:pctHeight>0</wp14:pctHeight>
          </wp14:sizeRelV>
        </wp:anchor>
      </w:drawing>
    </w:r>
  </w:p>
  <w:p w14:paraId="1E782B97" w14:textId="77777777" w:rsidR="0076147A" w:rsidRDefault="00761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E399E"/>
    <w:multiLevelType w:val="hybridMultilevel"/>
    <w:tmpl w:val="254E9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91346D"/>
    <w:multiLevelType w:val="hybridMultilevel"/>
    <w:tmpl w:val="CAD0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4421B"/>
    <w:multiLevelType w:val="hybridMultilevel"/>
    <w:tmpl w:val="724E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7A"/>
    <w:rsid w:val="000010EE"/>
    <w:rsid w:val="00010E7C"/>
    <w:rsid w:val="00033F4E"/>
    <w:rsid w:val="0014279D"/>
    <w:rsid w:val="00165DD6"/>
    <w:rsid w:val="0029450D"/>
    <w:rsid w:val="002B2129"/>
    <w:rsid w:val="00364B34"/>
    <w:rsid w:val="003F13B5"/>
    <w:rsid w:val="004870AF"/>
    <w:rsid w:val="004F61BE"/>
    <w:rsid w:val="0054445F"/>
    <w:rsid w:val="00666B82"/>
    <w:rsid w:val="006A3778"/>
    <w:rsid w:val="006E30AE"/>
    <w:rsid w:val="006F5398"/>
    <w:rsid w:val="0076147A"/>
    <w:rsid w:val="00765EF8"/>
    <w:rsid w:val="00786BBA"/>
    <w:rsid w:val="00AA3D7E"/>
    <w:rsid w:val="00C15C8A"/>
    <w:rsid w:val="00D04F0B"/>
    <w:rsid w:val="00D6513B"/>
    <w:rsid w:val="00DA3E1E"/>
    <w:rsid w:val="00E4062B"/>
    <w:rsid w:val="00EB5A7C"/>
    <w:rsid w:val="00EC41B9"/>
    <w:rsid w:val="00ED1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586AE"/>
  <w15:docId w15:val="{3BEA4599-0748-4EC9-B350-2927616A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47A"/>
  </w:style>
  <w:style w:type="paragraph" w:styleId="Footer">
    <w:name w:val="footer"/>
    <w:basedOn w:val="Normal"/>
    <w:link w:val="FooterChar"/>
    <w:uiPriority w:val="99"/>
    <w:unhideWhenUsed/>
    <w:rsid w:val="00761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47A"/>
  </w:style>
  <w:style w:type="paragraph" w:styleId="ListParagraph">
    <w:name w:val="List Paragraph"/>
    <w:basedOn w:val="Normal"/>
    <w:uiPriority w:val="34"/>
    <w:qFormat/>
    <w:rsid w:val="00165DD6"/>
    <w:pPr>
      <w:ind w:left="720"/>
      <w:contextualSpacing/>
    </w:pPr>
  </w:style>
  <w:style w:type="paragraph" w:styleId="FootnoteText">
    <w:name w:val="footnote text"/>
    <w:basedOn w:val="Normal"/>
    <w:link w:val="FootnoteTextChar"/>
    <w:uiPriority w:val="99"/>
    <w:rsid w:val="00765EF8"/>
    <w:pPr>
      <w:spacing w:after="0" w:line="240" w:lineRule="auto"/>
    </w:pPr>
    <w:rPr>
      <w:rFonts w:ascii="Helvetica" w:eastAsiaTheme="minorEastAsia" w:hAnsi="Helvetica"/>
      <w:color w:val="7F7F7F" w:themeColor="text1" w:themeTint="80"/>
      <w:sz w:val="18"/>
      <w:szCs w:val="20"/>
    </w:rPr>
  </w:style>
  <w:style w:type="character" w:customStyle="1" w:styleId="FootnoteTextChar">
    <w:name w:val="Footnote Text Char"/>
    <w:basedOn w:val="DefaultParagraphFont"/>
    <w:link w:val="FootnoteText"/>
    <w:uiPriority w:val="99"/>
    <w:rsid w:val="00765EF8"/>
    <w:rPr>
      <w:rFonts w:ascii="Helvetica" w:eastAsiaTheme="minorEastAsia" w:hAnsi="Helvetica"/>
      <w:color w:val="7F7F7F" w:themeColor="text1" w:themeTint="80"/>
      <w:sz w:val="18"/>
      <w:szCs w:val="20"/>
    </w:rPr>
  </w:style>
  <w:style w:type="character" w:styleId="FootnoteReference">
    <w:name w:val="footnote reference"/>
    <w:basedOn w:val="DefaultParagraphFont"/>
    <w:uiPriority w:val="99"/>
    <w:rsid w:val="00765EF8"/>
    <w:rPr>
      <w:color w:val="70AD47" w:themeColor="accent6"/>
      <w:sz w:val="20"/>
      <w:vertAlign w:val="superscript"/>
    </w:rPr>
  </w:style>
  <w:style w:type="paragraph" w:customStyle="1" w:styleId="Recipient">
    <w:name w:val="Recipient"/>
    <w:basedOn w:val="Normal"/>
    <w:uiPriority w:val="1"/>
    <w:qFormat/>
    <w:rsid w:val="00765EF8"/>
    <w:pPr>
      <w:spacing w:after="0" w:line="240" w:lineRule="auto"/>
    </w:pPr>
    <w:rPr>
      <w:rFonts w:ascii="Helvetica" w:eastAsiaTheme="minorEastAsia" w:hAnsi="Helvetica"/>
      <w:color w:val="7F7F7F" w:themeColor="text1" w:themeTint="80"/>
      <w:sz w:val="20"/>
      <w:szCs w:val="20"/>
    </w:rPr>
  </w:style>
  <w:style w:type="character" w:styleId="Hyperlink">
    <w:name w:val="Hyperlink"/>
    <w:basedOn w:val="DefaultParagraphFont"/>
    <w:uiPriority w:val="99"/>
    <w:unhideWhenUsed/>
    <w:rsid w:val="004F61BE"/>
    <w:rPr>
      <w:color w:val="0563C1" w:themeColor="hyperlink"/>
      <w:u w:val="single"/>
    </w:rPr>
  </w:style>
  <w:style w:type="character" w:styleId="UnresolvedMention">
    <w:name w:val="Unresolved Mention"/>
    <w:basedOn w:val="DefaultParagraphFont"/>
    <w:uiPriority w:val="99"/>
    <w:semiHidden/>
    <w:unhideWhenUsed/>
    <w:rsid w:val="004F6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iochar-international.org/biochar-classification-too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kieran@cariboubiofuel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Mitchell</dc:creator>
  <cp:keywords/>
  <dc:description/>
  <cp:lastModifiedBy>Sophiana Leto</cp:lastModifiedBy>
  <cp:revision>2</cp:revision>
  <cp:lastPrinted>2021-12-06T18:57:00Z</cp:lastPrinted>
  <dcterms:created xsi:type="dcterms:W3CDTF">2022-01-07T20:21:00Z</dcterms:created>
  <dcterms:modified xsi:type="dcterms:W3CDTF">2022-01-07T20:21:00Z</dcterms:modified>
</cp:coreProperties>
</file>