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CAF9F" w14:textId="66FD5372" w:rsidR="00536DA8" w:rsidRPr="007A6F21" w:rsidRDefault="00536DA8" w:rsidP="00B00367">
      <w:pPr>
        <w:ind w:left="6480" w:firstLine="720"/>
        <w:rPr>
          <w:rFonts w:ascii="Gotham Light" w:eastAsia="Times New Roman" w:hAnsi="Gotham Light" w:cs="Segoe UI"/>
          <w:sz w:val="22"/>
          <w:szCs w:val="22"/>
        </w:rPr>
      </w:pPr>
      <w:bookmarkStart w:id="0" w:name="_Hlk11058879"/>
      <w:bookmarkStart w:id="1" w:name="_Hlk5870866"/>
      <w:r w:rsidRPr="007A6F21">
        <w:rPr>
          <w:rFonts w:ascii="Gotham Light" w:eastAsia="Times New Roman" w:hAnsi="Gotham Light" w:cs="Segoe UI"/>
          <w:sz w:val="22"/>
          <w:szCs w:val="22"/>
        </w:rPr>
        <w:t>February 20, 2024</w:t>
      </w:r>
    </w:p>
    <w:p w14:paraId="5A4A0F5F" w14:textId="77777777"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Chair Lianne Randolph</w:t>
      </w:r>
      <w:r w:rsidRPr="007A6F21">
        <w:rPr>
          <w:rFonts w:ascii="Gotham Light" w:eastAsia="Times New Roman" w:hAnsi="Gotham Light" w:cs="Segoe UI"/>
          <w:sz w:val="22"/>
          <w:szCs w:val="22"/>
        </w:rPr>
        <w:tab/>
      </w:r>
      <w:r w:rsidRPr="007A6F21">
        <w:rPr>
          <w:rFonts w:ascii="Gotham Light" w:eastAsia="Times New Roman" w:hAnsi="Gotham Light" w:cs="Segoe UI"/>
          <w:sz w:val="22"/>
          <w:szCs w:val="22"/>
        </w:rPr>
        <w:tab/>
      </w:r>
      <w:r w:rsidRPr="007A6F21">
        <w:rPr>
          <w:rFonts w:ascii="Gotham Light" w:eastAsia="Times New Roman" w:hAnsi="Gotham Light" w:cs="Segoe UI"/>
          <w:sz w:val="22"/>
          <w:szCs w:val="22"/>
        </w:rPr>
        <w:tab/>
      </w:r>
      <w:r w:rsidRPr="007A6F21">
        <w:rPr>
          <w:rFonts w:ascii="Gotham Light" w:eastAsia="Times New Roman" w:hAnsi="Gotham Light" w:cs="Segoe UI"/>
          <w:sz w:val="22"/>
          <w:szCs w:val="22"/>
        </w:rPr>
        <w:tab/>
      </w:r>
      <w:r w:rsidRPr="007A6F21">
        <w:rPr>
          <w:rFonts w:ascii="Gotham Light" w:eastAsia="Times New Roman" w:hAnsi="Gotham Light" w:cs="Segoe UI"/>
          <w:sz w:val="22"/>
          <w:szCs w:val="22"/>
        </w:rPr>
        <w:tab/>
      </w:r>
      <w:r w:rsidRPr="007A6F21">
        <w:rPr>
          <w:rFonts w:ascii="Gotham Light" w:eastAsia="Times New Roman" w:hAnsi="Gotham Light" w:cs="Segoe UI"/>
          <w:sz w:val="22"/>
          <w:szCs w:val="22"/>
        </w:rPr>
        <w:tab/>
      </w:r>
      <w:r w:rsidRPr="007A6F21">
        <w:rPr>
          <w:rFonts w:ascii="Gotham Light" w:eastAsia="Times New Roman" w:hAnsi="Gotham Light" w:cs="Segoe UI"/>
          <w:sz w:val="22"/>
          <w:szCs w:val="22"/>
        </w:rPr>
        <w:tab/>
      </w:r>
      <w:r w:rsidRPr="007A6F21">
        <w:rPr>
          <w:rFonts w:ascii="Gotham Light" w:eastAsia="Times New Roman" w:hAnsi="Gotham Light" w:cs="Segoe UI"/>
          <w:sz w:val="22"/>
          <w:szCs w:val="22"/>
        </w:rPr>
        <w:tab/>
      </w:r>
      <w:r w:rsidRPr="007A6F21">
        <w:rPr>
          <w:rFonts w:ascii="Gotham Light" w:eastAsia="Times New Roman" w:hAnsi="Gotham Light" w:cs="Segoe UI"/>
          <w:sz w:val="22"/>
          <w:szCs w:val="22"/>
        </w:rPr>
        <w:tab/>
      </w:r>
    </w:p>
    <w:p w14:paraId="663C9A95" w14:textId="77777777"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California Air Resources Board</w:t>
      </w:r>
    </w:p>
    <w:p w14:paraId="3E03359F" w14:textId="77777777"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1001 "I" Street</w:t>
      </w:r>
    </w:p>
    <w:p w14:paraId="1C2CF965" w14:textId="77777777"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Sacramento, CA 95812</w:t>
      </w:r>
    </w:p>
    <w:p w14:paraId="2FC5260B" w14:textId="77777777" w:rsidR="00536DA8" w:rsidRPr="007A6F21" w:rsidRDefault="00536DA8" w:rsidP="00536DA8">
      <w:pPr>
        <w:rPr>
          <w:rFonts w:ascii="Gotham Light" w:eastAsia="Times New Roman" w:hAnsi="Gotham Light" w:cs="Segoe UI"/>
          <w:sz w:val="22"/>
          <w:szCs w:val="22"/>
        </w:rPr>
      </w:pPr>
    </w:p>
    <w:p w14:paraId="395151CF" w14:textId="41B68BF1" w:rsidR="00536DA8" w:rsidRPr="007A6F21" w:rsidRDefault="00536DA8" w:rsidP="00536DA8">
      <w:pPr>
        <w:rPr>
          <w:rFonts w:ascii="Gotham Light" w:eastAsia="Times New Roman" w:hAnsi="Gotham Light" w:cs="Segoe UI"/>
          <w:b/>
          <w:bCs/>
          <w:sz w:val="22"/>
          <w:szCs w:val="22"/>
        </w:rPr>
      </w:pPr>
      <w:r w:rsidRPr="007A6F21">
        <w:rPr>
          <w:rFonts w:ascii="Gotham Light" w:eastAsia="Times New Roman" w:hAnsi="Gotham Light" w:cs="Segoe UI"/>
          <w:b/>
          <w:bCs/>
          <w:sz w:val="22"/>
          <w:szCs w:val="22"/>
        </w:rPr>
        <w:t xml:space="preserve">Re: Use of LCFS Holdback funds in the Proposed </w:t>
      </w:r>
      <w:r w:rsidR="00B00367" w:rsidRPr="007A6F21">
        <w:rPr>
          <w:rFonts w:ascii="Gotham Light" w:eastAsia="Times New Roman" w:hAnsi="Gotham Light" w:cs="Segoe UI"/>
          <w:b/>
          <w:bCs/>
          <w:sz w:val="22"/>
          <w:szCs w:val="22"/>
        </w:rPr>
        <w:t xml:space="preserve">2024 </w:t>
      </w:r>
      <w:r w:rsidRPr="007A6F21">
        <w:rPr>
          <w:rFonts w:ascii="Gotham Light" w:eastAsia="Times New Roman" w:hAnsi="Gotham Light" w:cs="Segoe UI"/>
          <w:b/>
          <w:bCs/>
          <w:sz w:val="22"/>
          <w:szCs w:val="22"/>
        </w:rPr>
        <w:t>Low Carbon Fuel Standard Amendments</w:t>
      </w:r>
    </w:p>
    <w:p w14:paraId="3E831402" w14:textId="77777777" w:rsidR="00B00367" w:rsidRPr="007A6F21" w:rsidRDefault="00B00367" w:rsidP="00536DA8">
      <w:pPr>
        <w:rPr>
          <w:rFonts w:ascii="Gotham Light" w:eastAsia="Times New Roman" w:hAnsi="Gotham Light" w:cs="Segoe UI"/>
          <w:sz w:val="22"/>
          <w:szCs w:val="22"/>
        </w:rPr>
      </w:pPr>
    </w:p>
    <w:p w14:paraId="725F941A" w14:textId="77777777"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Dear Chair Randolph and Members of the Air Resources Board:</w:t>
      </w:r>
    </w:p>
    <w:p w14:paraId="57C18B86" w14:textId="77777777" w:rsidR="00536DA8" w:rsidRPr="007A6F21" w:rsidRDefault="00536DA8" w:rsidP="00536DA8">
      <w:pPr>
        <w:rPr>
          <w:rFonts w:ascii="Gotham Light" w:eastAsia="Times New Roman" w:hAnsi="Gotham Light" w:cs="Segoe UI"/>
          <w:sz w:val="22"/>
          <w:szCs w:val="22"/>
        </w:rPr>
      </w:pPr>
    </w:p>
    <w:p w14:paraId="37128B0B" w14:textId="3203232B"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 xml:space="preserve">Ecology Action is a 501(c)3 nonprofit based in Santa Cruz, California focused on reducing emissions at scale and has done extensive work with energy efficiency retrofits and EV infrastructure across California. Ecology Action specializes in developing equitable EV infrastructure deployment and EV demand generation approaches in hard-to-reach markets such as </w:t>
      </w:r>
      <w:r w:rsidR="001C1775" w:rsidRPr="007A6F21">
        <w:rPr>
          <w:rFonts w:ascii="Gotham Light" w:eastAsia="Times New Roman" w:hAnsi="Gotham Light" w:cs="Segoe UI"/>
          <w:sz w:val="22"/>
          <w:szCs w:val="22"/>
        </w:rPr>
        <w:t xml:space="preserve">affordable </w:t>
      </w:r>
      <w:r w:rsidRPr="007A6F21">
        <w:rPr>
          <w:rFonts w:ascii="Gotham Light" w:eastAsia="Times New Roman" w:hAnsi="Gotham Light" w:cs="Segoe UI"/>
          <w:sz w:val="22"/>
          <w:szCs w:val="22"/>
        </w:rPr>
        <w:t xml:space="preserve">multifamily and small business. Our most recent projects are “direct installation” of EV charging in affordable multifamily properties via the CEC REACH 1.0 and 2.0 grant programs and with PG&amp;E on their Multi-Family Housing and Small Business Direct Install Pilot (MSDI) using LCFS holdback funds. Ecology Action is unique as we act as both a </w:t>
      </w:r>
      <w:r w:rsidR="00EF23C2" w:rsidRPr="007A6F21">
        <w:rPr>
          <w:rFonts w:ascii="Gotham Light" w:eastAsia="Times New Roman" w:hAnsi="Gotham Light" w:cs="Segoe UI"/>
          <w:sz w:val="22"/>
          <w:szCs w:val="22"/>
        </w:rPr>
        <w:t>community-based</w:t>
      </w:r>
      <w:r w:rsidRPr="007A6F21">
        <w:rPr>
          <w:rFonts w:ascii="Gotham Light" w:eastAsia="Times New Roman" w:hAnsi="Gotham Light" w:cs="Segoe UI"/>
          <w:sz w:val="22"/>
          <w:szCs w:val="22"/>
        </w:rPr>
        <w:t xml:space="preserve"> </w:t>
      </w:r>
      <w:r w:rsidR="00311EB2" w:rsidRPr="007A6F21">
        <w:rPr>
          <w:rFonts w:ascii="Gotham Light" w:eastAsia="Times New Roman" w:hAnsi="Gotham Light" w:cs="Segoe UI"/>
          <w:sz w:val="22"/>
          <w:szCs w:val="22"/>
        </w:rPr>
        <w:t>o</w:t>
      </w:r>
      <w:r w:rsidRPr="007A6F21">
        <w:rPr>
          <w:rFonts w:ascii="Gotham Light" w:eastAsia="Times New Roman" w:hAnsi="Gotham Light" w:cs="Segoe UI"/>
          <w:sz w:val="22"/>
          <w:szCs w:val="22"/>
        </w:rPr>
        <w:t>rganization (CBO) and a pro</w:t>
      </w:r>
      <w:r w:rsidR="00927B83" w:rsidRPr="007A6F21">
        <w:rPr>
          <w:rFonts w:ascii="Gotham Light" w:eastAsia="Times New Roman" w:hAnsi="Gotham Light" w:cs="Segoe UI"/>
          <w:sz w:val="22"/>
          <w:szCs w:val="22"/>
        </w:rPr>
        <w:t>gram</w:t>
      </w:r>
      <w:r w:rsidRPr="007A6F21">
        <w:rPr>
          <w:rFonts w:ascii="Gotham Light" w:eastAsia="Times New Roman" w:hAnsi="Gotham Light" w:cs="Segoe UI"/>
          <w:sz w:val="22"/>
          <w:szCs w:val="22"/>
        </w:rPr>
        <w:t xml:space="preserve"> implementer.</w:t>
      </w:r>
    </w:p>
    <w:p w14:paraId="5D6CE608" w14:textId="77777777"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 xml:space="preserve"> </w:t>
      </w:r>
    </w:p>
    <w:p w14:paraId="35C1B439" w14:textId="789353D6"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 xml:space="preserve">We strongly support the ARB </w:t>
      </w:r>
      <w:r w:rsidR="00E30BAA" w:rsidRPr="007A6F21">
        <w:rPr>
          <w:rFonts w:ascii="Gotham Light" w:eastAsia="Times New Roman" w:hAnsi="Gotham Light" w:cs="Segoe UI"/>
          <w:sz w:val="22"/>
          <w:szCs w:val="22"/>
        </w:rPr>
        <w:t>s</w:t>
      </w:r>
      <w:r w:rsidRPr="007A6F21">
        <w:rPr>
          <w:rFonts w:ascii="Gotham Light" w:eastAsia="Times New Roman" w:hAnsi="Gotham Light" w:cs="Segoe UI"/>
          <w:sz w:val="22"/>
          <w:szCs w:val="22"/>
        </w:rPr>
        <w:t>taff</w:t>
      </w:r>
      <w:r w:rsidR="0045459E" w:rsidRPr="007A6F21">
        <w:rPr>
          <w:rFonts w:ascii="Gotham Light" w:eastAsia="Times New Roman" w:hAnsi="Gotham Light" w:cs="Segoe UI"/>
          <w:sz w:val="22"/>
          <w:szCs w:val="22"/>
        </w:rPr>
        <w:t>’s</w:t>
      </w:r>
      <w:r w:rsidRPr="007A6F21">
        <w:rPr>
          <w:rFonts w:ascii="Gotham Light" w:eastAsia="Times New Roman" w:hAnsi="Gotham Light" w:cs="Segoe UI"/>
          <w:sz w:val="22"/>
          <w:szCs w:val="22"/>
        </w:rPr>
        <w:t xml:space="preserve"> </w:t>
      </w:r>
      <w:r w:rsidR="00F50A75" w:rsidRPr="007A6F21">
        <w:rPr>
          <w:rFonts w:ascii="Gotham Light" w:eastAsia="Times New Roman" w:hAnsi="Gotham Light" w:cs="Segoe UI"/>
          <w:sz w:val="22"/>
          <w:szCs w:val="22"/>
        </w:rPr>
        <w:t xml:space="preserve">proposal </w:t>
      </w:r>
      <w:r w:rsidR="00485583" w:rsidRPr="007A6F21">
        <w:rPr>
          <w:rFonts w:ascii="Gotham Light" w:eastAsia="Times New Roman" w:hAnsi="Gotham Light" w:cs="Segoe UI"/>
          <w:sz w:val="22"/>
          <w:szCs w:val="22"/>
        </w:rPr>
        <w:t>to increase</w:t>
      </w:r>
      <w:r w:rsidR="0068281E" w:rsidRPr="007A6F21">
        <w:rPr>
          <w:rFonts w:ascii="Gotham Light" w:eastAsia="Times New Roman" w:hAnsi="Gotham Light" w:cs="Segoe UI"/>
          <w:sz w:val="22"/>
          <w:szCs w:val="22"/>
        </w:rPr>
        <w:t xml:space="preserve"> </w:t>
      </w:r>
      <w:r w:rsidR="00485583" w:rsidRPr="007A6F21">
        <w:rPr>
          <w:rFonts w:ascii="Gotham Light" w:eastAsia="Times New Roman" w:hAnsi="Gotham Light" w:cs="Segoe UI"/>
          <w:sz w:val="22"/>
          <w:szCs w:val="22"/>
        </w:rPr>
        <w:t>the amo</w:t>
      </w:r>
      <w:r w:rsidR="0018651E" w:rsidRPr="007A6F21">
        <w:rPr>
          <w:rFonts w:ascii="Gotham Light" w:eastAsia="Times New Roman" w:hAnsi="Gotham Light" w:cs="Segoe UI"/>
          <w:sz w:val="22"/>
          <w:szCs w:val="22"/>
        </w:rPr>
        <w:t>unt</w:t>
      </w:r>
      <w:r w:rsidR="00485583" w:rsidRPr="007A6F21">
        <w:rPr>
          <w:rFonts w:ascii="Gotham Light" w:eastAsia="Times New Roman" w:hAnsi="Gotham Light" w:cs="Segoe UI"/>
          <w:sz w:val="22"/>
          <w:szCs w:val="22"/>
        </w:rPr>
        <w:t xml:space="preserve"> of hold back proceeds </w:t>
      </w:r>
      <w:r w:rsidR="00352B8F" w:rsidRPr="007A6F21">
        <w:rPr>
          <w:rFonts w:ascii="Gotham Light" w:eastAsia="Times New Roman" w:hAnsi="Gotham Light" w:cs="Segoe UI"/>
          <w:sz w:val="22"/>
          <w:szCs w:val="22"/>
        </w:rPr>
        <w:t>benefiting</w:t>
      </w:r>
      <w:r w:rsidR="00485583" w:rsidRPr="007A6F21">
        <w:rPr>
          <w:rFonts w:ascii="Gotham Light" w:eastAsia="Times New Roman" w:hAnsi="Gotham Light" w:cs="Segoe UI"/>
          <w:sz w:val="22"/>
          <w:szCs w:val="22"/>
        </w:rPr>
        <w:t xml:space="preserve"> priority </w:t>
      </w:r>
      <w:r w:rsidR="00352B8F" w:rsidRPr="007A6F21">
        <w:rPr>
          <w:rFonts w:ascii="Gotham Light" w:eastAsia="Times New Roman" w:hAnsi="Gotham Light" w:cs="Segoe UI"/>
          <w:sz w:val="22"/>
          <w:szCs w:val="22"/>
        </w:rPr>
        <w:t>communities</w:t>
      </w:r>
      <w:r w:rsidR="00485583" w:rsidRPr="007A6F21">
        <w:rPr>
          <w:rFonts w:ascii="Gotham Light" w:eastAsia="Times New Roman" w:hAnsi="Gotham Light" w:cs="Segoe UI"/>
          <w:sz w:val="22"/>
          <w:szCs w:val="22"/>
        </w:rPr>
        <w:t xml:space="preserve"> </w:t>
      </w:r>
      <w:r w:rsidR="0018651E" w:rsidRPr="007A6F21">
        <w:rPr>
          <w:rFonts w:ascii="Gotham Light" w:eastAsia="Times New Roman" w:hAnsi="Gotham Light" w:cs="Segoe UI"/>
          <w:sz w:val="22"/>
          <w:szCs w:val="22"/>
        </w:rPr>
        <w:t xml:space="preserve">to 75% </w:t>
      </w:r>
      <w:r w:rsidR="00485583" w:rsidRPr="007A6F21">
        <w:rPr>
          <w:rFonts w:ascii="Gotham Light" w:eastAsia="Times New Roman" w:hAnsi="Gotham Light" w:cs="Segoe UI"/>
          <w:sz w:val="22"/>
          <w:szCs w:val="22"/>
        </w:rPr>
        <w:t>by January 2025</w:t>
      </w:r>
      <w:r w:rsidR="009D0788" w:rsidRPr="007A6F21">
        <w:rPr>
          <w:rFonts w:ascii="Gotham Light" w:eastAsia="Times New Roman" w:hAnsi="Gotham Light" w:cs="Segoe UI"/>
          <w:sz w:val="22"/>
          <w:szCs w:val="22"/>
        </w:rPr>
        <w:t xml:space="preserve">. We </w:t>
      </w:r>
      <w:r w:rsidR="00BB5B72" w:rsidRPr="007A6F21">
        <w:rPr>
          <w:rFonts w:ascii="Gotham Light" w:eastAsia="Times New Roman" w:hAnsi="Gotham Light" w:cs="Segoe UI"/>
          <w:sz w:val="22"/>
          <w:szCs w:val="22"/>
        </w:rPr>
        <w:t xml:space="preserve">support </w:t>
      </w:r>
      <w:r w:rsidR="00352B8F" w:rsidRPr="007A6F21">
        <w:rPr>
          <w:rFonts w:ascii="Gotham Light" w:eastAsia="Times New Roman" w:hAnsi="Gotham Light" w:cs="Segoe UI"/>
          <w:sz w:val="22"/>
          <w:szCs w:val="22"/>
        </w:rPr>
        <w:t>staff</w:t>
      </w:r>
      <w:r w:rsidR="00E30BAA" w:rsidRPr="007A6F21">
        <w:rPr>
          <w:rFonts w:ascii="Gotham Light" w:eastAsia="Times New Roman" w:hAnsi="Gotham Light" w:cs="Segoe UI"/>
          <w:sz w:val="22"/>
          <w:szCs w:val="22"/>
        </w:rPr>
        <w:t>’</w:t>
      </w:r>
      <w:r w:rsidR="00352B8F" w:rsidRPr="007A6F21">
        <w:rPr>
          <w:rFonts w:ascii="Gotham Light" w:eastAsia="Times New Roman" w:hAnsi="Gotham Light" w:cs="Segoe UI"/>
          <w:sz w:val="22"/>
          <w:szCs w:val="22"/>
        </w:rPr>
        <w:t xml:space="preserve">s </w:t>
      </w:r>
      <w:r w:rsidRPr="007A6F21">
        <w:rPr>
          <w:rFonts w:ascii="Gotham Light" w:eastAsia="Times New Roman" w:hAnsi="Gotham Light" w:cs="Segoe UI"/>
          <w:sz w:val="22"/>
          <w:szCs w:val="22"/>
        </w:rPr>
        <w:t xml:space="preserve">efforts to expand the scope of how LCFS holdback </w:t>
      </w:r>
      <w:r w:rsidR="00352B8F" w:rsidRPr="007A6F21">
        <w:rPr>
          <w:rFonts w:ascii="Gotham Light" w:eastAsia="Times New Roman" w:hAnsi="Gotham Light" w:cs="Segoe UI"/>
          <w:sz w:val="22"/>
          <w:szCs w:val="22"/>
        </w:rPr>
        <w:t>proceeds</w:t>
      </w:r>
      <w:r w:rsidRPr="007A6F21">
        <w:rPr>
          <w:rFonts w:ascii="Gotham Light" w:eastAsia="Times New Roman" w:hAnsi="Gotham Light" w:cs="Segoe UI"/>
          <w:sz w:val="22"/>
          <w:szCs w:val="22"/>
        </w:rPr>
        <w:t xml:space="preserve"> </w:t>
      </w:r>
      <w:r w:rsidR="000F4DD7" w:rsidRPr="007A6F21">
        <w:rPr>
          <w:rFonts w:ascii="Gotham Light" w:eastAsia="Times New Roman" w:hAnsi="Gotham Light" w:cs="Segoe UI"/>
          <w:sz w:val="22"/>
          <w:szCs w:val="22"/>
        </w:rPr>
        <w:t xml:space="preserve">can </w:t>
      </w:r>
      <w:r w:rsidR="007600BA" w:rsidRPr="007A6F21">
        <w:rPr>
          <w:rFonts w:ascii="Gotham Light" w:eastAsia="Times New Roman" w:hAnsi="Gotham Light" w:cs="Segoe UI"/>
          <w:sz w:val="22"/>
          <w:szCs w:val="22"/>
        </w:rPr>
        <w:t>address the unique barriers faced by disadvantage communities</w:t>
      </w:r>
      <w:r w:rsidR="00BB5B72" w:rsidRPr="007A6F21">
        <w:rPr>
          <w:rFonts w:ascii="Gotham Light" w:eastAsia="Times New Roman" w:hAnsi="Gotham Light" w:cs="Segoe UI"/>
          <w:sz w:val="22"/>
          <w:szCs w:val="22"/>
        </w:rPr>
        <w:t xml:space="preserve"> such </w:t>
      </w:r>
      <w:r w:rsidR="00A74C0E" w:rsidRPr="007A6F21">
        <w:rPr>
          <w:rFonts w:ascii="Gotham Light" w:eastAsia="Times New Roman" w:hAnsi="Gotham Light" w:cs="Segoe UI"/>
          <w:sz w:val="22"/>
          <w:szCs w:val="22"/>
        </w:rPr>
        <w:t xml:space="preserve">as </w:t>
      </w:r>
      <w:r w:rsidR="000F4DD7" w:rsidRPr="007A6F21">
        <w:rPr>
          <w:rFonts w:ascii="Gotham Light" w:eastAsia="Times New Roman" w:hAnsi="Gotham Light" w:cs="Segoe UI"/>
          <w:sz w:val="22"/>
          <w:szCs w:val="22"/>
        </w:rPr>
        <w:t>using</w:t>
      </w:r>
      <w:r w:rsidR="00CD6418" w:rsidRPr="007A6F21">
        <w:rPr>
          <w:rFonts w:ascii="Gotham Light" w:eastAsia="Times New Roman" w:hAnsi="Gotham Light" w:cs="Segoe UI"/>
          <w:sz w:val="22"/>
          <w:szCs w:val="22"/>
        </w:rPr>
        <w:t xml:space="preserve"> </w:t>
      </w:r>
      <w:r w:rsidR="0001018C" w:rsidRPr="007A6F21">
        <w:rPr>
          <w:rFonts w:ascii="Gotham Light" w:eastAsia="Times New Roman" w:hAnsi="Gotham Light" w:cs="Segoe UI"/>
          <w:sz w:val="22"/>
          <w:szCs w:val="22"/>
        </w:rPr>
        <w:t>holdback proceeds</w:t>
      </w:r>
      <w:r w:rsidR="00CD6418" w:rsidRPr="007A6F21">
        <w:rPr>
          <w:rFonts w:ascii="Gotham Light" w:eastAsia="Times New Roman" w:hAnsi="Gotham Light" w:cs="Segoe UI"/>
          <w:sz w:val="22"/>
          <w:szCs w:val="22"/>
        </w:rPr>
        <w:t xml:space="preserve"> </w:t>
      </w:r>
      <w:r w:rsidR="001E3620" w:rsidRPr="007A6F21">
        <w:rPr>
          <w:rFonts w:ascii="Gotham Light" w:eastAsia="Times New Roman" w:hAnsi="Gotham Light" w:cs="Segoe UI"/>
          <w:sz w:val="22"/>
          <w:szCs w:val="22"/>
        </w:rPr>
        <w:t>to fund</w:t>
      </w:r>
      <w:r w:rsidR="00CD6418" w:rsidRPr="007A6F21">
        <w:rPr>
          <w:rFonts w:ascii="Gotham Light" w:eastAsia="Times New Roman" w:hAnsi="Gotham Light" w:cs="Segoe UI"/>
          <w:sz w:val="22"/>
          <w:szCs w:val="22"/>
        </w:rPr>
        <w:t xml:space="preserve"> managed charging and V2X applications</w:t>
      </w:r>
      <w:r w:rsidR="00A94E01" w:rsidRPr="007A6F21">
        <w:rPr>
          <w:rFonts w:ascii="Gotham Light" w:eastAsia="Times New Roman" w:hAnsi="Gotham Light" w:cs="Segoe UI"/>
          <w:sz w:val="22"/>
          <w:szCs w:val="22"/>
        </w:rPr>
        <w:t>. This will open new pathways</w:t>
      </w:r>
      <w:r w:rsidR="00844D68" w:rsidRPr="007A6F21">
        <w:rPr>
          <w:rFonts w:ascii="Gotham Light" w:eastAsia="Times New Roman" w:hAnsi="Gotham Light" w:cs="Segoe UI"/>
          <w:sz w:val="22"/>
          <w:szCs w:val="22"/>
        </w:rPr>
        <w:t xml:space="preserve"> </w:t>
      </w:r>
      <w:r w:rsidR="00A94E01" w:rsidRPr="007A6F21">
        <w:rPr>
          <w:rFonts w:ascii="Gotham Light" w:eastAsia="Times New Roman" w:hAnsi="Gotham Light" w:cs="Segoe UI"/>
          <w:sz w:val="22"/>
          <w:szCs w:val="22"/>
        </w:rPr>
        <w:t>for equity</w:t>
      </w:r>
      <w:r w:rsidR="00844D68" w:rsidRPr="007A6F21">
        <w:rPr>
          <w:rFonts w:ascii="Gotham Light" w:eastAsia="Times New Roman" w:hAnsi="Gotham Light" w:cs="Segoe UI"/>
          <w:sz w:val="22"/>
          <w:szCs w:val="22"/>
        </w:rPr>
        <w:t xml:space="preserve"> customers</w:t>
      </w:r>
      <w:r w:rsidR="0079080E" w:rsidRPr="007A6F21">
        <w:rPr>
          <w:rFonts w:ascii="Gotham Light" w:eastAsia="Times New Roman" w:hAnsi="Gotham Light" w:cs="Segoe UI"/>
          <w:sz w:val="22"/>
          <w:szCs w:val="22"/>
        </w:rPr>
        <w:t xml:space="preserve"> </w:t>
      </w:r>
      <w:r w:rsidR="000F4DD7" w:rsidRPr="007A6F21">
        <w:rPr>
          <w:rFonts w:ascii="Gotham Light" w:eastAsia="Times New Roman" w:hAnsi="Gotham Light" w:cs="Segoe UI"/>
          <w:sz w:val="22"/>
          <w:szCs w:val="22"/>
        </w:rPr>
        <w:t xml:space="preserve">to </w:t>
      </w:r>
      <w:r w:rsidR="0079080E" w:rsidRPr="007A6F21">
        <w:rPr>
          <w:rFonts w:ascii="Gotham Light" w:eastAsia="Times New Roman" w:hAnsi="Gotham Light" w:cs="Segoe UI"/>
          <w:sz w:val="22"/>
          <w:szCs w:val="22"/>
        </w:rPr>
        <w:t>tap into th</w:t>
      </w:r>
      <w:r w:rsidR="000A4467" w:rsidRPr="007A6F21">
        <w:rPr>
          <w:rFonts w:ascii="Gotham Light" w:eastAsia="Times New Roman" w:hAnsi="Gotham Light" w:cs="Segoe UI"/>
          <w:sz w:val="22"/>
          <w:szCs w:val="22"/>
        </w:rPr>
        <w:t>e</w:t>
      </w:r>
      <w:r w:rsidR="00973984" w:rsidRPr="007A6F21">
        <w:rPr>
          <w:rFonts w:ascii="Gotham Light" w:eastAsia="Times New Roman" w:hAnsi="Gotham Light" w:cs="Segoe UI"/>
          <w:sz w:val="22"/>
          <w:szCs w:val="22"/>
        </w:rPr>
        <w:t xml:space="preserve"> emerging value st</w:t>
      </w:r>
      <w:r w:rsidR="006F6384" w:rsidRPr="007A6F21">
        <w:rPr>
          <w:rFonts w:ascii="Gotham Light" w:eastAsia="Times New Roman" w:hAnsi="Gotham Light" w:cs="Segoe UI"/>
          <w:sz w:val="22"/>
          <w:szCs w:val="22"/>
        </w:rPr>
        <w:t>r</w:t>
      </w:r>
      <w:r w:rsidR="00973984" w:rsidRPr="007A6F21">
        <w:rPr>
          <w:rFonts w:ascii="Gotham Light" w:eastAsia="Times New Roman" w:hAnsi="Gotham Light" w:cs="Segoe UI"/>
          <w:sz w:val="22"/>
          <w:szCs w:val="22"/>
        </w:rPr>
        <w:t>eam</w:t>
      </w:r>
      <w:r w:rsidR="0079080E" w:rsidRPr="007A6F21">
        <w:rPr>
          <w:rFonts w:ascii="Gotham Light" w:eastAsia="Times New Roman" w:hAnsi="Gotham Light" w:cs="Segoe UI"/>
          <w:sz w:val="22"/>
          <w:szCs w:val="22"/>
        </w:rPr>
        <w:t xml:space="preserve"> </w:t>
      </w:r>
      <w:r w:rsidR="006F6384" w:rsidRPr="007A6F21">
        <w:rPr>
          <w:rFonts w:ascii="Gotham Light" w:eastAsia="Times New Roman" w:hAnsi="Gotham Light" w:cs="Segoe UI"/>
          <w:sz w:val="22"/>
          <w:szCs w:val="22"/>
        </w:rPr>
        <w:t>from</w:t>
      </w:r>
      <w:r w:rsidR="0079080E" w:rsidRPr="007A6F21">
        <w:rPr>
          <w:rFonts w:ascii="Gotham Light" w:eastAsia="Times New Roman" w:hAnsi="Gotham Light" w:cs="Segoe UI"/>
          <w:sz w:val="22"/>
          <w:szCs w:val="22"/>
        </w:rPr>
        <w:t xml:space="preserve"> managed and bi-directional charging as a grid support service. </w:t>
      </w:r>
    </w:p>
    <w:p w14:paraId="632BB716" w14:textId="77777777" w:rsidR="00536DA8" w:rsidRPr="007A6F21" w:rsidRDefault="00536DA8" w:rsidP="00536DA8">
      <w:pPr>
        <w:rPr>
          <w:rFonts w:ascii="Gotham Light" w:eastAsia="Times New Roman" w:hAnsi="Gotham Light" w:cs="Segoe UI"/>
          <w:sz w:val="22"/>
          <w:szCs w:val="22"/>
        </w:rPr>
      </w:pPr>
    </w:p>
    <w:p w14:paraId="1F1BB2AB" w14:textId="1598D141"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 xml:space="preserve">LCFS </w:t>
      </w:r>
      <w:r w:rsidR="00F80094" w:rsidRPr="007A6F21">
        <w:rPr>
          <w:rFonts w:ascii="Gotham Light" w:eastAsia="Times New Roman" w:hAnsi="Gotham Light" w:cs="Segoe UI"/>
          <w:sz w:val="22"/>
          <w:szCs w:val="22"/>
        </w:rPr>
        <w:t>h</w:t>
      </w:r>
      <w:r w:rsidRPr="007A6F21">
        <w:rPr>
          <w:rFonts w:ascii="Gotham Light" w:eastAsia="Times New Roman" w:hAnsi="Gotham Light" w:cs="Segoe UI"/>
          <w:sz w:val="22"/>
          <w:szCs w:val="22"/>
        </w:rPr>
        <w:t xml:space="preserve">oldback funds create unique opportunities </w:t>
      </w:r>
      <w:r w:rsidR="0027334D" w:rsidRPr="007A6F21">
        <w:rPr>
          <w:rFonts w:ascii="Gotham Light" w:eastAsia="Times New Roman" w:hAnsi="Gotham Light" w:cs="Segoe UI"/>
          <w:sz w:val="22"/>
          <w:szCs w:val="22"/>
        </w:rPr>
        <w:t>to</w:t>
      </w:r>
      <w:r w:rsidRPr="007A6F21">
        <w:rPr>
          <w:rFonts w:ascii="Gotham Light" w:eastAsia="Times New Roman" w:hAnsi="Gotham Light" w:cs="Segoe UI"/>
          <w:sz w:val="22"/>
          <w:szCs w:val="22"/>
        </w:rPr>
        <w:t xml:space="preserve"> design program</w:t>
      </w:r>
      <w:r w:rsidR="00DD03EC" w:rsidRPr="007A6F21">
        <w:rPr>
          <w:rFonts w:ascii="Gotham Light" w:eastAsia="Times New Roman" w:hAnsi="Gotham Light" w:cs="Segoe UI"/>
          <w:sz w:val="22"/>
          <w:szCs w:val="22"/>
        </w:rPr>
        <w:t>s</w:t>
      </w:r>
      <w:r w:rsidRPr="007A6F21">
        <w:rPr>
          <w:rFonts w:ascii="Gotham Light" w:eastAsia="Times New Roman" w:hAnsi="Gotham Light" w:cs="Segoe UI"/>
          <w:sz w:val="22"/>
          <w:szCs w:val="22"/>
        </w:rPr>
        <w:t xml:space="preserve"> </w:t>
      </w:r>
      <w:r w:rsidR="0027334D" w:rsidRPr="007A6F21">
        <w:rPr>
          <w:rFonts w:ascii="Gotham Light" w:eastAsia="Times New Roman" w:hAnsi="Gotham Light" w:cs="Segoe UI"/>
          <w:sz w:val="22"/>
          <w:szCs w:val="22"/>
        </w:rPr>
        <w:t>that</w:t>
      </w:r>
      <w:r w:rsidRPr="007A6F21">
        <w:rPr>
          <w:rFonts w:ascii="Gotham Light" w:eastAsia="Times New Roman" w:hAnsi="Gotham Light" w:cs="Segoe UI"/>
          <w:sz w:val="22"/>
          <w:szCs w:val="22"/>
        </w:rPr>
        <w:t xml:space="preserve"> better serve the</w:t>
      </w:r>
      <w:r w:rsidR="0027334D" w:rsidRPr="007A6F21">
        <w:rPr>
          <w:rFonts w:ascii="Gotham Light" w:eastAsia="Times New Roman" w:hAnsi="Gotham Light" w:cs="Segoe UI"/>
          <w:sz w:val="22"/>
          <w:szCs w:val="22"/>
        </w:rPr>
        <w:t xml:space="preserve"> equity</w:t>
      </w:r>
      <w:r w:rsidRPr="007A6F21">
        <w:rPr>
          <w:rFonts w:ascii="Gotham Light" w:eastAsia="Times New Roman" w:hAnsi="Gotham Light" w:cs="Segoe UI"/>
          <w:sz w:val="22"/>
          <w:szCs w:val="22"/>
        </w:rPr>
        <w:t xml:space="preserve"> market</w:t>
      </w:r>
      <w:r w:rsidR="00DD03EC" w:rsidRPr="007A6F21">
        <w:rPr>
          <w:rFonts w:ascii="Gotham Light" w:eastAsia="Times New Roman" w:hAnsi="Gotham Light" w:cs="Segoe UI"/>
          <w:sz w:val="22"/>
          <w:szCs w:val="22"/>
        </w:rPr>
        <w:t>. This is</w:t>
      </w:r>
      <w:r w:rsidRPr="007A6F21">
        <w:rPr>
          <w:rFonts w:ascii="Gotham Light" w:eastAsia="Times New Roman" w:hAnsi="Gotham Light" w:cs="Segoe UI"/>
          <w:sz w:val="22"/>
          <w:szCs w:val="22"/>
        </w:rPr>
        <w:t xml:space="preserve"> </w:t>
      </w:r>
      <w:r w:rsidR="00CE1120" w:rsidRPr="007A6F21">
        <w:rPr>
          <w:rFonts w:ascii="Gotham Light" w:eastAsia="Times New Roman" w:hAnsi="Gotham Light" w:cs="Segoe UI"/>
          <w:sz w:val="22"/>
          <w:szCs w:val="22"/>
        </w:rPr>
        <w:t>in cont</w:t>
      </w:r>
      <w:r w:rsidR="0027334D" w:rsidRPr="007A6F21">
        <w:rPr>
          <w:rFonts w:ascii="Gotham Light" w:eastAsia="Times New Roman" w:hAnsi="Gotham Light" w:cs="Segoe UI"/>
          <w:sz w:val="22"/>
          <w:szCs w:val="22"/>
        </w:rPr>
        <w:t>rast</w:t>
      </w:r>
      <w:r w:rsidR="00CE1120" w:rsidRPr="007A6F21">
        <w:rPr>
          <w:rFonts w:ascii="Gotham Light" w:eastAsia="Times New Roman" w:hAnsi="Gotham Light" w:cs="Segoe UI"/>
          <w:sz w:val="22"/>
          <w:szCs w:val="22"/>
        </w:rPr>
        <w:t xml:space="preserve"> to</w:t>
      </w:r>
      <w:r w:rsidRPr="007A6F21">
        <w:rPr>
          <w:rFonts w:ascii="Gotham Light" w:eastAsia="Times New Roman" w:hAnsi="Gotham Light" w:cs="Segoe UI"/>
          <w:sz w:val="22"/>
          <w:szCs w:val="22"/>
        </w:rPr>
        <w:t xml:space="preserve"> </w:t>
      </w:r>
      <w:r w:rsidR="0073319A" w:rsidRPr="007A6F21">
        <w:rPr>
          <w:rFonts w:ascii="Gotham Light" w:eastAsia="Times New Roman" w:hAnsi="Gotham Light" w:cs="Segoe UI"/>
          <w:sz w:val="22"/>
          <w:szCs w:val="22"/>
        </w:rPr>
        <w:t xml:space="preserve">some </w:t>
      </w:r>
      <w:r w:rsidR="0027334D" w:rsidRPr="007A6F21">
        <w:rPr>
          <w:rFonts w:ascii="Gotham Light" w:eastAsia="Times New Roman" w:hAnsi="Gotham Light" w:cs="Segoe UI"/>
          <w:sz w:val="22"/>
          <w:szCs w:val="22"/>
        </w:rPr>
        <w:t>other</w:t>
      </w:r>
      <w:r w:rsidRPr="007A6F21">
        <w:rPr>
          <w:rFonts w:ascii="Gotham Light" w:eastAsia="Times New Roman" w:hAnsi="Gotham Light" w:cs="Segoe UI"/>
          <w:sz w:val="22"/>
          <w:szCs w:val="22"/>
        </w:rPr>
        <w:t xml:space="preserve"> highly constrained and historically regulated </w:t>
      </w:r>
      <w:r w:rsidR="00C67FD6" w:rsidRPr="007A6F21">
        <w:rPr>
          <w:rFonts w:ascii="Gotham Light" w:eastAsia="Times New Roman" w:hAnsi="Gotham Light" w:cs="Segoe UI"/>
          <w:sz w:val="22"/>
          <w:szCs w:val="22"/>
        </w:rPr>
        <w:t xml:space="preserve">EV </w:t>
      </w:r>
      <w:r w:rsidR="0027334D" w:rsidRPr="007A6F21">
        <w:rPr>
          <w:rFonts w:ascii="Gotham Light" w:eastAsia="Times New Roman" w:hAnsi="Gotham Light" w:cs="Segoe UI"/>
          <w:sz w:val="22"/>
          <w:szCs w:val="22"/>
        </w:rPr>
        <w:t>funding sources</w:t>
      </w:r>
      <w:r w:rsidRPr="007A6F21">
        <w:rPr>
          <w:rFonts w:ascii="Gotham Light" w:eastAsia="Times New Roman" w:hAnsi="Gotham Light" w:cs="Segoe UI"/>
          <w:sz w:val="22"/>
          <w:szCs w:val="22"/>
        </w:rPr>
        <w:t xml:space="preserve">. One example is the ability to create programs which pair vehicle incentives along with EV infrastructure delivering a complete solution. </w:t>
      </w:r>
      <w:r w:rsidR="00B261DE" w:rsidRPr="007A6F21">
        <w:rPr>
          <w:rFonts w:ascii="Gotham Light" w:eastAsia="Times New Roman" w:hAnsi="Gotham Light" w:cs="Segoe UI"/>
          <w:sz w:val="22"/>
          <w:szCs w:val="22"/>
        </w:rPr>
        <w:t xml:space="preserve">Another is </w:t>
      </w:r>
      <w:r w:rsidR="00426D8D" w:rsidRPr="007A6F21">
        <w:rPr>
          <w:rFonts w:ascii="Gotham Light" w:eastAsia="Times New Roman" w:hAnsi="Gotham Light" w:cs="Segoe UI"/>
          <w:sz w:val="22"/>
          <w:szCs w:val="22"/>
        </w:rPr>
        <w:t>providing</w:t>
      </w:r>
      <w:r w:rsidR="00B261DE" w:rsidRPr="007A6F21">
        <w:rPr>
          <w:rFonts w:ascii="Gotham Light" w:eastAsia="Times New Roman" w:hAnsi="Gotham Light" w:cs="Segoe UI"/>
          <w:sz w:val="22"/>
          <w:szCs w:val="22"/>
        </w:rPr>
        <w:t xml:space="preserve"> of end-to-end technical assistance support for </w:t>
      </w:r>
      <w:r w:rsidR="00426D8D" w:rsidRPr="007A6F21">
        <w:rPr>
          <w:rFonts w:ascii="Gotham Light" w:eastAsia="Times New Roman" w:hAnsi="Gotham Light" w:cs="Segoe UI"/>
          <w:sz w:val="22"/>
          <w:szCs w:val="22"/>
        </w:rPr>
        <w:t>site hosts in priority communities.</w:t>
      </w:r>
      <w:r w:rsidR="002C6C1E" w:rsidRPr="007A6F21">
        <w:rPr>
          <w:rFonts w:ascii="Gotham Light" w:eastAsia="Times New Roman" w:hAnsi="Gotham Light" w:cs="Segoe UI"/>
          <w:sz w:val="22"/>
          <w:szCs w:val="22"/>
        </w:rPr>
        <w:t xml:space="preserve"> </w:t>
      </w:r>
      <w:r w:rsidRPr="007A6F21">
        <w:rPr>
          <w:rFonts w:ascii="Gotham Light" w:eastAsia="Times New Roman" w:hAnsi="Gotham Light" w:cs="Segoe UI"/>
          <w:sz w:val="22"/>
          <w:szCs w:val="22"/>
        </w:rPr>
        <w:t xml:space="preserve">Ecology Action </w:t>
      </w:r>
      <w:r w:rsidR="001A79F6" w:rsidRPr="007A6F21">
        <w:rPr>
          <w:rFonts w:ascii="Gotham Light" w:eastAsia="Times New Roman" w:hAnsi="Gotham Light" w:cs="Segoe UI"/>
          <w:sz w:val="22"/>
          <w:szCs w:val="22"/>
        </w:rPr>
        <w:t>has</w:t>
      </w:r>
      <w:r w:rsidRPr="007A6F21">
        <w:rPr>
          <w:rFonts w:ascii="Gotham Light" w:eastAsia="Times New Roman" w:hAnsi="Gotham Light" w:cs="Segoe UI"/>
          <w:sz w:val="22"/>
          <w:szCs w:val="22"/>
        </w:rPr>
        <w:t xml:space="preserve"> learned from </w:t>
      </w:r>
      <w:r w:rsidR="0073319A" w:rsidRPr="007A6F21">
        <w:rPr>
          <w:rFonts w:ascii="Gotham Light" w:eastAsia="Times New Roman" w:hAnsi="Gotham Light" w:cs="Segoe UI"/>
          <w:sz w:val="22"/>
          <w:szCs w:val="22"/>
        </w:rPr>
        <w:t xml:space="preserve">its more than 20,000 </w:t>
      </w:r>
      <w:r w:rsidRPr="007A6F21">
        <w:rPr>
          <w:rFonts w:ascii="Gotham Light" w:eastAsia="Times New Roman" w:hAnsi="Gotham Light" w:cs="Segoe UI"/>
          <w:sz w:val="22"/>
          <w:szCs w:val="22"/>
        </w:rPr>
        <w:t xml:space="preserve">energy efficiency “direct installation” </w:t>
      </w:r>
      <w:r w:rsidR="00035DC0" w:rsidRPr="007A6F21">
        <w:rPr>
          <w:rFonts w:ascii="Gotham Light" w:eastAsia="Times New Roman" w:hAnsi="Gotham Light" w:cs="Segoe UI"/>
          <w:sz w:val="22"/>
          <w:szCs w:val="22"/>
        </w:rPr>
        <w:t xml:space="preserve">projects </w:t>
      </w:r>
      <w:r w:rsidR="001A79F6" w:rsidRPr="007A6F21">
        <w:rPr>
          <w:rFonts w:ascii="Gotham Light" w:eastAsia="Times New Roman" w:hAnsi="Gotham Light" w:cs="Segoe UI"/>
          <w:sz w:val="22"/>
          <w:szCs w:val="22"/>
        </w:rPr>
        <w:t>completed</w:t>
      </w:r>
      <w:r w:rsidR="00035DC0" w:rsidRPr="007A6F21">
        <w:rPr>
          <w:rFonts w:ascii="Gotham Light" w:eastAsia="Times New Roman" w:hAnsi="Gotham Light" w:cs="Segoe UI"/>
          <w:sz w:val="22"/>
          <w:szCs w:val="22"/>
        </w:rPr>
        <w:t xml:space="preserve"> </w:t>
      </w:r>
      <w:r w:rsidR="00BC522A" w:rsidRPr="007A6F21">
        <w:rPr>
          <w:rFonts w:ascii="Gotham Light" w:eastAsia="Times New Roman" w:hAnsi="Gotham Light" w:cs="Segoe UI"/>
          <w:sz w:val="22"/>
          <w:szCs w:val="22"/>
        </w:rPr>
        <w:t xml:space="preserve">that even if 100% of the cost of an intervention </w:t>
      </w:r>
      <w:r w:rsidR="00035DC0" w:rsidRPr="007A6F21">
        <w:rPr>
          <w:rFonts w:ascii="Gotham Light" w:eastAsia="Times New Roman" w:hAnsi="Gotham Light" w:cs="Segoe UI"/>
          <w:sz w:val="22"/>
          <w:szCs w:val="22"/>
        </w:rPr>
        <w:t>is</w:t>
      </w:r>
      <w:r w:rsidR="00BC522A" w:rsidRPr="007A6F21">
        <w:rPr>
          <w:rFonts w:ascii="Gotham Light" w:eastAsia="Times New Roman" w:hAnsi="Gotham Light" w:cs="Segoe UI"/>
          <w:sz w:val="22"/>
          <w:szCs w:val="22"/>
        </w:rPr>
        <w:t xml:space="preserve"> covered by incentives, </w:t>
      </w:r>
      <w:r w:rsidR="00F945AE" w:rsidRPr="007A6F21">
        <w:rPr>
          <w:rFonts w:ascii="Gotham Light" w:eastAsia="Times New Roman" w:hAnsi="Gotham Light" w:cs="Segoe UI"/>
          <w:sz w:val="22"/>
          <w:szCs w:val="22"/>
        </w:rPr>
        <w:t>hosts</w:t>
      </w:r>
      <w:r w:rsidR="00BC522A" w:rsidRPr="007A6F21">
        <w:rPr>
          <w:rFonts w:ascii="Gotham Light" w:eastAsia="Times New Roman" w:hAnsi="Gotham Light" w:cs="Segoe UI"/>
          <w:sz w:val="22"/>
          <w:szCs w:val="22"/>
        </w:rPr>
        <w:t xml:space="preserve"> would not be able to realize the adoption </w:t>
      </w:r>
      <w:r w:rsidR="00D23A2E" w:rsidRPr="007A6F21">
        <w:rPr>
          <w:rFonts w:ascii="Gotham Light" w:eastAsia="Times New Roman" w:hAnsi="Gotham Light" w:cs="Segoe UI"/>
          <w:sz w:val="22"/>
          <w:szCs w:val="22"/>
        </w:rPr>
        <w:t xml:space="preserve">without </w:t>
      </w:r>
      <w:r w:rsidR="00C67FD6" w:rsidRPr="007A6F21">
        <w:rPr>
          <w:rFonts w:ascii="Gotham Light" w:eastAsia="Times New Roman" w:hAnsi="Gotham Light" w:cs="Segoe UI"/>
          <w:sz w:val="22"/>
          <w:szCs w:val="22"/>
        </w:rPr>
        <w:t>in-depth</w:t>
      </w:r>
      <w:r w:rsidR="00D23A2E" w:rsidRPr="007A6F21">
        <w:rPr>
          <w:rFonts w:ascii="Gotham Light" w:eastAsia="Times New Roman" w:hAnsi="Gotham Light" w:cs="Segoe UI"/>
          <w:sz w:val="22"/>
          <w:szCs w:val="22"/>
        </w:rPr>
        <w:t xml:space="preserve"> technical assistance</w:t>
      </w:r>
      <w:r w:rsidR="00C67FD6" w:rsidRPr="007A6F21">
        <w:rPr>
          <w:rFonts w:ascii="Gotham Light" w:eastAsia="Times New Roman" w:hAnsi="Gotham Light" w:cs="Segoe UI"/>
          <w:sz w:val="22"/>
          <w:szCs w:val="22"/>
        </w:rPr>
        <w:t xml:space="preserve"> to</w:t>
      </w:r>
      <w:r w:rsidR="00D23A2E" w:rsidRPr="007A6F21">
        <w:rPr>
          <w:rFonts w:ascii="Gotham Light" w:eastAsia="Times New Roman" w:hAnsi="Gotham Light" w:cs="Segoe UI"/>
          <w:sz w:val="22"/>
          <w:szCs w:val="22"/>
        </w:rPr>
        <w:t xml:space="preserve"> overcome other</w:t>
      </w:r>
      <w:r w:rsidR="00BC522A" w:rsidRPr="007A6F21">
        <w:rPr>
          <w:rFonts w:ascii="Gotham Light" w:eastAsia="Times New Roman" w:hAnsi="Gotham Light" w:cs="Segoe UI"/>
          <w:sz w:val="22"/>
          <w:szCs w:val="22"/>
        </w:rPr>
        <w:t xml:space="preserve"> </w:t>
      </w:r>
      <w:r w:rsidR="00D23A2E" w:rsidRPr="007A6F21">
        <w:rPr>
          <w:rFonts w:ascii="Gotham Light" w:eastAsia="Times New Roman" w:hAnsi="Gotham Light" w:cs="Segoe UI"/>
          <w:sz w:val="22"/>
          <w:szCs w:val="22"/>
        </w:rPr>
        <w:t xml:space="preserve">persistent barriers they face </w:t>
      </w:r>
      <w:r w:rsidR="00BC522A" w:rsidRPr="007A6F21">
        <w:rPr>
          <w:rFonts w:ascii="Gotham Light" w:eastAsia="Times New Roman" w:hAnsi="Gotham Light" w:cs="Segoe UI"/>
          <w:sz w:val="22"/>
          <w:szCs w:val="22"/>
        </w:rPr>
        <w:t>(</w:t>
      </w:r>
      <w:r w:rsidR="00FE2375" w:rsidRPr="007A6F21">
        <w:rPr>
          <w:rFonts w:ascii="Gotham Light" w:eastAsia="Times New Roman" w:hAnsi="Gotham Light" w:cs="Segoe UI"/>
          <w:sz w:val="22"/>
          <w:szCs w:val="22"/>
        </w:rPr>
        <w:t>e.g.</w:t>
      </w:r>
      <w:r w:rsidR="00BC522A" w:rsidRPr="007A6F21">
        <w:rPr>
          <w:rFonts w:ascii="Gotham Light" w:eastAsia="Times New Roman" w:hAnsi="Gotham Light" w:cs="Segoe UI"/>
          <w:sz w:val="22"/>
          <w:szCs w:val="22"/>
        </w:rPr>
        <w:t xml:space="preserve"> lack of EVSE expertise, necessity for the property staff to not be distracted from their primary business imperatives).</w:t>
      </w:r>
      <w:r w:rsidR="00E7561D" w:rsidRPr="007A6F21">
        <w:rPr>
          <w:rFonts w:ascii="Gotham Light" w:eastAsia="Times New Roman" w:hAnsi="Gotham Light" w:cs="Segoe UI"/>
          <w:sz w:val="22"/>
          <w:szCs w:val="22"/>
        </w:rPr>
        <w:t xml:space="preserve"> </w:t>
      </w:r>
      <w:r w:rsidRPr="007A6F21">
        <w:rPr>
          <w:rFonts w:ascii="Gotham Light" w:eastAsia="Times New Roman" w:hAnsi="Gotham Light" w:cs="Segoe UI"/>
          <w:sz w:val="22"/>
          <w:szCs w:val="22"/>
        </w:rPr>
        <w:t>Direct installation</w:t>
      </w:r>
      <w:r w:rsidR="00D23A2E" w:rsidRPr="007A6F21">
        <w:rPr>
          <w:rFonts w:ascii="Gotham Light" w:eastAsia="Times New Roman" w:hAnsi="Gotham Light" w:cs="Segoe UI"/>
          <w:sz w:val="22"/>
          <w:szCs w:val="22"/>
        </w:rPr>
        <w:t xml:space="preserve"> is one example of a solution</w:t>
      </w:r>
      <w:r w:rsidRPr="007A6F21">
        <w:rPr>
          <w:rFonts w:ascii="Gotham Light" w:eastAsia="Times New Roman" w:hAnsi="Gotham Light" w:cs="Segoe UI"/>
          <w:sz w:val="22"/>
          <w:szCs w:val="22"/>
        </w:rPr>
        <w:t xml:space="preserve"> </w:t>
      </w:r>
      <w:r w:rsidR="00261FB5" w:rsidRPr="007A6F21">
        <w:rPr>
          <w:rFonts w:ascii="Gotham Light" w:eastAsia="Times New Roman" w:hAnsi="Gotham Light" w:cs="Segoe UI"/>
          <w:sz w:val="22"/>
          <w:szCs w:val="22"/>
        </w:rPr>
        <w:t xml:space="preserve">that </w:t>
      </w:r>
      <w:r w:rsidRPr="007A6F21">
        <w:rPr>
          <w:rFonts w:ascii="Gotham Light" w:eastAsia="Times New Roman" w:hAnsi="Gotham Light" w:cs="Segoe UI"/>
          <w:sz w:val="22"/>
          <w:szCs w:val="22"/>
        </w:rPr>
        <w:t>provides additional support</w:t>
      </w:r>
      <w:r w:rsidR="00261FB5" w:rsidRPr="007A6F21">
        <w:rPr>
          <w:rFonts w:ascii="Gotham Light" w:eastAsia="Times New Roman" w:hAnsi="Gotham Light" w:cs="Segoe UI"/>
          <w:sz w:val="22"/>
          <w:szCs w:val="22"/>
        </w:rPr>
        <w:t>. It is</w:t>
      </w:r>
      <w:r w:rsidRPr="007A6F21">
        <w:rPr>
          <w:rFonts w:ascii="Gotham Light" w:eastAsia="Times New Roman" w:hAnsi="Gotham Light" w:cs="Segoe UI"/>
          <w:sz w:val="22"/>
          <w:szCs w:val="22"/>
        </w:rPr>
        <w:t xml:space="preserve"> </w:t>
      </w:r>
      <w:r w:rsidR="00261FB5" w:rsidRPr="007A6F21">
        <w:rPr>
          <w:rFonts w:ascii="Gotham Light" w:eastAsia="Times New Roman" w:hAnsi="Gotham Light" w:cs="Segoe UI"/>
          <w:sz w:val="22"/>
          <w:szCs w:val="22"/>
        </w:rPr>
        <w:t>a ‘</w:t>
      </w:r>
      <w:r w:rsidRPr="007A6F21">
        <w:rPr>
          <w:rFonts w:ascii="Gotham Light" w:eastAsia="Times New Roman" w:hAnsi="Gotham Light" w:cs="Segoe UI"/>
          <w:sz w:val="22"/>
          <w:szCs w:val="22"/>
        </w:rPr>
        <w:t>one-stop shop</w:t>
      </w:r>
      <w:r w:rsidR="00261FB5" w:rsidRPr="007A6F21">
        <w:rPr>
          <w:rFonts w:ascii="Gotham Light" w:eastAsia="Times New Roman" w:hAnsi="Gotham Light" w:cs="Segoe UI"/>
          <w:sz w:val="22"/>
          <w:szCs w:val="22"/>
        </w:rPr>
        <w:t>’</w:t>
      </w:r>
      <w:r w:rsidRPr="007A6F21">
        <w:rPr>
          <w:rFonts w:ascii="Gotham Light" w:eastAsia="Times New Roman" w:hAnsi="Gotham Light" w:cs="Segoe UI"/>
          <w:sz w:val="22"/>
          <w:szCs w:val="22"/>
        </w:rPr>
        <w:t xml:space="preserve"> approach </w:t>
      </w:r>
      <w:r w:rsidR="00261FB5" w:rsidRPr="007A6F21">
        <w:rPr>
          <w:rFonts w:ascii="Gotham Light" w:eastAsia="Times New Roman" w:hAnsi="Gotham Light" w:cs="Segoe UI"/>
          <w:sz w:val="22"/>
          <w:szCs w:val="22"/>
        </w:rPr>
        <w:t xml:space="preserve">much like that which </w:t>
      </w:r>
      <w:r w:rsidRPr="007A6F21">
        <w:rPr>
          <w:rFonts w:ascii="Gotham Light" w:eastAsia="Times New Roman" w:hAnsi="Gotham Light" w:cs="Segoe UI"/>
          <w:sz w:val="22"/>
          <w:szCs w:val="22"/>
        </w:rPr>
        <w:t xml:space="preserve">CARB has used, </w:t>
      </w:r>
      <w:r w:rsidR="00A64FEA" w:rsidRPr="007A6F21">
        <w:rPr>
          <w:rFonts w:ascii="Gotham Light" w:eastAsia="Times New Roman" w:hAnsi="Gotham Light" w:cs="Segoe UI"/>
          <w:sz w:val="22"/>
          <w:szCs w:val="22"/>
        </w:rPr>
        <w:t xml:space="preserve">but with </w:t>
      </w:r>
      <w:r w:rsidR="00BF4FA4" w:rsidRPr="007A6F21">
        <w:rPr>
          <w:rFonts w:ascii="Gotham Light" w:eastAsia="Times New Roman" w:hAnsi="Gotham Light" w:cs="Segoe UI"/>
          <w:sz w:val="22"/>
          <w:szCs w:val="22"/>
        </w:rPr>
        <w:t xml:space="preserve">the </w:t>
      </w:r>
      <w:r w:rsidRPr="007A6F21">
        <w:rPr>
          <w:rFonts w:ascii="Gotham Light" w:eastAsia="Times New Roman" w:hAnsi="Gotham Light" w:cs="Segoe UI"/>
          <w:sz w:val="22"/>
          <w:szCs w:val="22"/>
        </w:rPr>
        <w:t>additio</w:t>
      </w:r>
      <w:r w:rsidR="00BF4FA4" w:rsidRPr="007A6F21">
        <w:rPr>
          <w:rFonts w:ascii="Gotham Light" w:eastAsia="Times New Roman" w:hAnsi="Gotham Light" w:cs="Segoe UI"/>
          <w:sz w:val="22"/>
          <w:szCs w:val="22"/>
        </w:rPr>
        <w:t>n of</w:t>
      </w:r>
      <w:r w:rsidRPr="007A6F21">
        <w:rPr>
          <w:rFonts w:ascii="Gotham Light" w:eastAsia="Times New Roman" w:hAnsi="Gotham Light" w:cs="Segoe UI"/>
          <w:sz w:val="22"/>
          <w:szCs w:val="22"/>
        </w:rPr>
        <w:t xml:space="preserve"> technical assistance </w:t>
      </w:r>
      <w:r w:rsidR="00AF5E13" w:rsidRPr="007A6F21">
        <w:rPr>
          <w:rFonts w:ascii="Gotham Light" w:eastAsia="Times New Roman" w:hAnsi="Gotham Light" w:cs="Segoe UI"/>
          <w:sz w:val="22"/>
          <w:szCs w:val="22"/>
        </w:rPr>
        <w:t>providing</w:t>
      </w:r>
      <w:r w:rsidR="00BF4FA4" w:rsidRPr="007A6F21">
        <w:rPr>
          <w:rFonts w:ascii="Gotham Light" w:eastAsia="Times New Roman" w:hAnsi="Gotham Light" w:cs="Segoe UI"/>
          <w:sz w:val="22"/>
          <w:szCs w:val="22"/>
        </w:rPr>
        <w:t xml:space="preserve"> </w:t>
      </w:r>
      <w:r w:rsidR="00A64FEA" w:rsidRPr="007A6F21">
        <w:rPr>
          <w:rFonts w:ascii="Gotham Light" w:eastAsia="Times New Roman" w:hAnsi="Gotham Light" w:cs="Segoe UI"/>
          <w:sz w:val="22"/>
          <w:szCs w:val="22"/>
        </w:rPr>
        <w:t>construction</w:t>
      </w:r>
      <w:r w:rsidRPr="007A6F21">
        <w:rPr>
          <w:rFonts w:ascii="Gotham Light" w:eastAsia="Times New Roman" w:hAnsi="Gotham Light" w:cs="Segoe UI"/>
          <w:sz w:val="22"/>
          <w:szCs w:val="22"/>
        </w:rPr>
        <w:t xml:space="preserve"> project management</w:t>
      </w:r>
      <w:r w:rsidR="00493009" w:rsidRPr="007A6F21">
        <w:rPr>
          <w:rFonts w:ascii="Gotham Light" w:eastAsia="Times New Roman" w:hAnsi="Gotham Light" w:cs="Segoe UI"/>
          <w:sz w:val="22"/>
          <w:szCs w:val="22"/>
        </w:rPr>
        <w:t xml:space="preserve"> </w:t>
      </w:r>
      <w:r w:rsidR="00BF4FA4" w:rsidRPr="007A6F21">
        <w:rPr>
          <w:rFonts w:ascii="Gotham Light" w:eastAsia="Times New Roman" w:hAnsi="Gotham Light" w:cs="Segoe UI"/>
          <w:sz w:val="22"/>
          <w:szCs w:val="22"/>
        </w:rPr>
        <w:t xml:space="preserve">to assure </w:t>
      </w:r>
      <w:r w:rsidR="00493009" w:rsidRPr="007A6F21">
        <w:rPr>
          <w:rFonts w:ascii="Gotham Light" w:eastAsia="Times New Roman" w:hAnsi="Gotham Light" w:cs="Segoe UI"/>
          <w:sz w:val="22"/>
          <w:szCs w:val="22"/>
        </w:rPr>
        <w:t>project completion</w:t>
      </w:r>
      <w:r w:rsidRPr="007A6F21">
        <w:rPr>
          <w:rFonts w:ascii="Gotham Light" w:eastAsia="Times New Roman" w:hAnsi="Gotham Light" w:cs="Segoe UI"/>
          <w:sz w:val="22"/>
          <w:szCs w:val="22"/>
        </w:rPr>
        <w:t>.</w:t>
      </w:r>
      <w:r w:rsidR="00986D55" w:rsidRPr="007A6F21">
        <w:rPr>
          <w:rFonts w:ascii="Gotham Light" w:eastAsia="Times New Roman" w:hAnsi="Gotham Light" w:cs="Segoe UI"/>
          <w:sz w:val="22"/>
          <w:szCs w:val="22"/>
        </w:rPr>
        <w:t xml:space="preserve"> </w:t>
      </w:r>
    </w:p>
    <w:p w14:paraId="032A0C55" w14:textId="77777777" w:rsidR="00175391" w:rsidRPr="007A6F21" w:rsidRDefault="00175391" w:rsidP="00536DA8">
      <w:pPr>
        <w:rPr>
          <w:rFonts w:ascii="Gotham Light" w:eastAsia="Times New Roman" w:hAnsi="Gotham Light" w:cs="Segoe UI"/>
          <w:sz w:val="22"/>
          <w:szCs w:val="22"/>
        </w:rPr>
      </w:pPr>
    </w:p>
    <w:p w14:paraId="340B558B" w14:textId="0A9F758A" w:rsidR="00FC709A" w:rsidRPr="007A6F21" w:rsidRDefault="00536DA8" w:rsidP="00480C0A">
      <w:pPr>
        <w:rPr>
          <w:rFonts w:ascii="Gotham Light" w:eastAsia="Times New Roman" w:hAnsi="Gotham Light" w:cs="Segoe UI"/>
          <w:sz w:val="22"/>
          <w:szCs w:val="22"/>
        </w:rPr>
      </w:pPr>
      <w:r w:rsidRPr="007A6F21">
        <w:rPr>
          <w:rFonts w:ascii="Gotham Light" w:eastAsia="Times New Roman" w:hAnsi="Gotham Light" w:cs="Segoe UI"/>
          <w:sz w:val="22"/>
          <w:szCs w:val="22"/>
        </w:rPr>
        <w:t xml:space="preserve">One of the key </w:t>
      </w:r>
      <w:r w:rsidR="00FF3308" w:rsidRPr="007A6F21">
        <w:rPr>
          <w:rFonts w:ascii="Gotham Light" w:eastAsia="Times New Roman" w:hAnsi="Gotham Light" w:cs="Segoe UI"/>
          <w:sz w:val="22"/>
          <w:szCs w:val="22"/>
        </w:rPr>
        <w:t>impediments to</w:t>
      </w:r>
      <w:r w:rsidRPr="007A6F21">
        <w:rPr>
          <w:rFonts w:ascii="Gotham Light" w:eastAsia="Times New Roman" w:hAnsi="Gotham Light" w:cs="Segoe UI"/>
          <w:sz w:val="22"/>
          <w:szCs w:val="22"/>
        </w:rPr>
        <w:t xml:space="preserve"> </w:t>
      </w:r>
      <w:r w:rsidR="00E7561D" w:rsidRPr="007A6F21">
        <w:rPr>
          <w:rFonts w:ascii="Gotham Light" w:eastAsia="Times New Roman" w:hAnsi="Gotham Light" w:cs="Segoe UI"/>
          <w:sz w:val="22"/>
          <w:szCs w:val="22"/>
        </w:rPr>
        <w:t xml:space="preserve">equitable </w:t>
      </w:r>
      <w:r w:rsidRPr="007A6F21">
        <w:rPr>
          <w:rFonts w:ascii="Gotham Light" w:eastAsia="Times New Roman" w:hAnsi="Gotham Light" w:cs="Segoe UI"/>
          <w:sz w:val="22"/>
          <w:szCs w:val="22"/>
        </w:rPr>
        <w:t>deployment of EV infrastructure</w:t>
      </w:r>
      <w:r w:rsidR="00FF3308" w:rsidRPr="007A6F21">
        <w:rPr>
          <w:rFonts w:ascii="Gotham Light" w:eastAsia="Times New Roman" w:hAnsi="Gotham Light" w:cs="Segoe UI"/>
          <w:sz w:val="22"/>
          <w:szCs w:val="22"/>
        </w:rPr>
        <w:t xml:space="preserve"> </w:t>
      </w:r>
      <w:r w:rsidR="00AF5E13" w:rsidRPr="007A6F21">
        <w:rPr>
          <w:rFonts w:ascii="Gotham Light" w:eastAsia="Times New Roman" w:hAnsi="Gotham Light" w:cs="Segoe UI"/>
          <w:sz w:val="22"/>
          <w:szCs w:val="22"/>
        </w:rPr>
        <w:t>faced</w:t>
      </w:r>
      <w:r w:rsidRPr="007A6F21">
        <w:rPr>
          <w:rFonts w:ascii="Gotham Light" w:eastAsia="Times New Roman" w:hAnsi="Gotham Light" w:cs="Segoe UI"/>
          <w:sz w:val="22"/>
          <w:szCs w:val="22"/>
        </w:rPr>
        <w:t xml:space="preserve"> by the utilities is that current allocations </w:t>
      </w:r>
      <w:r w:rsidR="0073319A" w:rsidRPr="007A6F21">
        <w:rPr>
          <w:rFonts w:ascii="Gotham Light" w:eastAsia="Times New Roman" w:hAnsi="Gotham Light" w:cs="Segoe UI"/>
          <w:sz w:val="22"/>
          <w:szCs w:val="22"/>
        </w:rPr>
        <w:t xml:space="preserve">for technical assistance </w:t>
      </w:r>
      <w:r w:rsidRPr="007A6F21">
        <w:rPr>
          <w:rFonts w:ascii="Gotham Light" w:eastAsia="Times New Roman" w:hAnsi="Gotham Light" w:cs="Segoe UI"/>
          <w:sz w:val="22"/>
          <w:szCs w:val="22"/>
        </w:rPr>
        <w:t xml:space="preserve">under the Transportation Electrification Framework </w:t>
      </w:r>
      <w:r w:rsidR="0073319A" w:rsidRPr="007A6F21">
        <w:rPr>
          <w:rFonts w:ascii="Gotham Light" w:eastAsia="Times New Roman" w:hAnsi="Gotham Light" w:cs="Segoe UI"/>
          <w:sz w:val="22"/>
          <w:szCs w:val="22"/>
        </w:rPr>
        <w:t xml:space="preserve">(TEF) </w:t>
      </w:r>
      <w:r w:rsidRPr="007A6F21">
        <w:rPr>
          <w:rFonts w:ascii="Gotham Light" w:eastAsia="Times New Roman" w:hAnsi="Gotham Light" w:cs="Segoe UI"/>
          <w:sz w:val="22"/>
          <w:szCs w:val="22"/>
        </w:rPr>
        <w:t xml:space="preserve">appear to be extremely underweighted. </w:t>
      </w:r>
      <w:r w:rsidR="000B2619" w:rsidRPr="007A6F21">
        <w:rPr>
          <w:rFonts w:ascii="Gotham Light" w:eastAsia="Times New Roman" w:hAnsi="Gotham Light" w:cs="Segoe UI"/>
          <w:sz w:val="22"/>
          <w:szCs w:val="22"/>
        </w:rPr>
        <w:t>While c</w:t>
      </w:r>
      <w:r w:rsidR="006022A0" w:rsidRPr="007A6F21">
        <w:rPr>
          <w:rFonts w:ascii="Gotham Light" w:eastAsia="Times New Roman" w:hAnsi="Gotham Light" w:cs="Segoe UI"/>
          <w:sz w:val="22"/>
          <w:szCs w:val="22"/>
        </w:rPr>
        <w:t xml:space="preserve">onsumer incentives </w:t>
      </w:r>
      <w:r w:rsidR="00A13921" w:rsidRPr="007A6F21">
        <w:rPr>
          <w:rFonts w:ascii="Gotham Light" w:eastAsia="Times New Roman" w:hAnsi="Gotham Light" w:cs="Segoe UI"/>
          <w:sz w:val="22"/>
          <w:szCs w:val="22"/>
        </w:rPr>
        <w:t>are</w:t>
      </w:r>
      <w:r w:rsidR="006022A0" w:rsidRPr="007A6F21">
        <w:rPr>
          <w:rFonts w:ascii="Gotham Light" w:eastAsia="Times New Roman" w:hAnsi="Gotham Light" w:cs="Segoe UI"/>
          <w:sz w:val="22"/>
          <w:szCs w:val="22"/>
        </w:rPr>
        <w:t xml:space="preserve"> extremely important in creating and expand</w:t>
      </w:r>
      <w:r w:rsidR="00E87851" w:rsidRPr="007A6F21">
        <w:rPr>
          <w:rFonts w:ascii="Gotham Light" w:eastAsia="Times New Roman" w:hAnsi="Gotham Light" w:cs="Segoe UI"/>
          <w:sz w:val="22"/>
          <w:szCs w:val="22"/>
        </w:rPr>
        <w:t>ing</w:t>
      </w:r>
      <w:r w:rsidR="006022A0" w:rsidRPr="007A6F21">
        <w:rPr>
          <w:rFonts w:ascii="Gotham Light" w:eastAsia="Times New Roman" w:hAnsi="Gotham Light" w:cs="Segoe UI"/>
          <w:sz w:val="22"/>
          <w:szCs w:val="22"/>
        </w:rPr>
        <w:t xml:space="preserve"> markets</w:t>
      </w:r>
      <w:r w:rsidR="000B2619" w:rsidRPr="007A6F21">
        <w:rPr>
          <w:rFonts w:ascii="Gotham Light" w:eastAsia="Times New Roman" w:hAnsi="Gotham Light" w:cs="Segoe UI"/>
          <w:sz w:val="22"/>
          <w:szCs w:val="22"/>
        </w:rPr>
        <w:t>,</w:t>
      </w:r>
      <w:r w:rsidR="006022A0" w:rsidRPr="007A6F21">
        <w:rPr>
          <w:rFonts w:ascii="Gotham Light" w:eastAsia="Times New Roman" w:hAnsi="Gotham Light" w:cs="Segoe UI"/>
          <w:sz w:val="22"/>
          <w:szCs w:val="22"/>
        </w:rPr>
        <w:t xml:space="preserve"> </w:t>
      </w:r>
      <w:r w:rsidR="00C0203F" w:rsidRPr="007A6F21">
        <w:rPr>
          <w:rFonts w:ascii="Gotham Light" w:eastAsia="Times New Roman" w:hAnsi="Gotham Light" w:cs="Segoe UI"/>
          <w:sz w:val="22"/>
          <w:szCs w:val="22"/>
        </w:rPr>
        <w:t>right-sized</w:t>
      </w:r>
      <w:r w:rsidR="006022A0" w:rsidRPr="007A6F21">
        <w:rPr>
          <w:rFonts w:ascii="Gotham Light" w:eastAsia="Times New Roman" w:hAnsi="Gotham Light" w:cs="Segoe UI"/>
          <w:sz w:val="22"/>
          <w:szCs w:val="22"/>
        </w:rPr>
        <w:t xml:space="preserve"> </w:t>
      </w:r>
      <w:r w:rsidR="00CD7C76" w:rsidRPr="007A6F21">
        <w:rPr>
          <w:rFonts w:ascii="Gotham Light" w:eastAsia="Times New Roman" w:hAnsi="Gotham Light" w:cs="Segoe UI"/>
          <w:sz w:val="22"/>
          <w:szCs w:val="22"/>
        </w:rPr>
        <w:t>technical</w:t>
      </w:r>
      <w:r w:rsidR="006022A0" w:rsidRPr="007A6F21">
        <w:rPr>
          <w:rFonts w:ascii="Gotham Light" w:eastAsia="Times New Roman" w:hAnsi="Gotham Light" w:cs="Segoe UI"/>
          <w:sz w:val="22"/>
          <w:szCs w:val="22"/>
        </w:rPr>
        <w:t xml:space="preserve"> assistance </w:t>
      </w:r>
      <w:r w:rsidR="00C0203F" w:rsidRPr="007A6F21">
        <w:rPr>
          <w:rFonts w:ascii="Gotham Light" w:eastAsia="Times New Roman" w:hAnsi="Gotham Light" w:cs="Segoe UI"/>
          <w:sz w:val="22"/>
          <w:szCs w:val="22"/>
        </w:rPr>
        <w:t>is</w:t>
      </w:r>
      <w:r w:rsidR="006022A0" w:rsidRPr="007A6F21">
        <w:rPr>
          <w:rFonts w:ascii="Gotham Light" w:eastAsia="Times New Roman" w:hAnsi="Gotham Light" w:cs="Segoe UI"/>
          <w:sz w:val="22"/>
          <w:szCs w:val="22"/>
        </w:rPr>
        <w:t xml:space="preserve"> critical to meet the</w:t>
      </w:r>
      <w:r w:rsidR="00D2142E" w:rsidRPr="007A6F21">
        <w:rPr>
          <w:rFonts w:ascii="Gotham Light" w:eastAsia="Times New Roman" w:hAnsi="Gotham Light" w:cs="Segoe UI"/>
          <w:sz w:val="22"/>
          <w:szCs w:val="22"/>
        </w:rPr>
        <w:t xml:space="preserve"> staff’s</w:t>
      </w:r>
      <w:r w:rsidR="006022A0" w:rsidRPr="007A6F21">
        <w:rPr>
          <w:rFonts w:ascii="Gotham Light" w:eastAsia="Times New Roman" w:hAnsi="Gotham Light" w:cs="Segoe UI"/>
          <w:sz w:val="22"/>
          <w:szCs w:val="22"/>
        </w:rPr>
        <w:t xml:space="preserve"> proposed 75% equity</w:t>
      </w:r>
      <w:r w:rsidR="00C009A9" w:rsidRPr="007A6F21">
        <w:rPr>
          <w:rFonts w:ascii="Gotham Light" w:eastAsia="Times New Roman" w:hAnsi="Gotham Light" w:cs="Segoe UI"/>
          <w:sz w:val="22"/>
          <w:szCs w:val="22"/>
        </w:rPr>
        <w:t xml:space="preserve"> benefit</w:t>
      </w:r>
      <w:r w:rsidR="006022A0" w:rsidRPr="007A6F21">
        <w:rPr>
          <w:rFonts w:ascii="Gotham Light" w:eastAsia="Times New Roman" w:hAnsi="Gotham Light" w:cs="Segoe UI"/>
          <w:sz w:val="22"/>
          <w:szCs w:val="22"/>
        </w:rPr>
        <w:t xml:space="preserve"> goal. </w:t>
      </w:r>
      <w:r w:rsidR="00E1010B" w:rsidRPr="007A6F21">
        <w:rPr>
          <w:rFonts w:ascii="Gotham Light" w:eastAsia="Times New Roman" w:hAnsi="Gotham Light" w:cs="Segoe UI"/>
          <w:sz w:val="22"/>
          <w:szCs w:val="22"/>
        </w:rPr>
        <w:t>To help cover this gap</w:t>
      </w:r>
      <w:r w:rsidR="00C009A9" w:rsidRPr="007A6F21">
        <w:rPr>
          <w:rFonts w:ascii="Gotham Light" w:eastAsia="Times New Roman" w:hAnsi="Gotham Light" w:cs="Segoe UI"/>
          <w:sz w:val="22"/>
          <w:szCs w:val="22"/>
        </w:rPr>
        <w:t xml:space="preserve"> left by the TEF,</w:t>
      </w:r>
      <w:r w:rsidR="00E1010B" w:rsidRPr="007A6F21">
        <w:rPr>
          <w:rFonts w:ascii="Gotham Light" w:eastAsia="Times New Roman" w:hAnsi="Gotham Light" w:cs="Segoe UI"/>
          <w:sz w:val="22"/>
          <w:szCs w:val="22"/>
        </w:rPr>
        <w:t xml:space="preserve"> we </w:t>
      </w:r>
      <w:r w:rsidR="009E0650" w:rsidRPr="007A6F21">
        <w:rPr>
          <w:rFonts w:ascii="Gotham Light" w:eastAsia="Times New Roman" w:hAnsi="Gotham Light" w:cs="Segoe UI"/>
          <w:sz w:val="22"/>
          <w:szCs w:val="22"/>
        </w:rPr>
        <w:t xml:space="preserve">encourage </w:t>
      </w:r>
      <w:r w:rsidR="002C6D72" w:rsidRPr="007A6F21">
        <w:rPr>
          <w:rFonts w:ascii="Gotham Light" w:eastAsia="Times New Roman" w:hAnsi="Gotham Light" w:cs="Segoe UI"/>
          <w:sz w:val="22"/>
          <w:szCs w:val="22"/>
        </w:rPr>
        <w:t xml:space="preserve">CARB to assure that </w:t>
      </w:r>
      <w:r w:rsidR="00794301" w:rsidRPr="007A6F21">
        <w:rPr>
          <w:rFonts w:ascii="Gotham Light" w:eastAsia="Times New Roman" w:hAnsi="Gotham Light" w:cs="Segoe UI"/>
          <w:sz w:val="22"/>
          <w:szCs w:val="22"/>
        </w:rPr>
        <w:t xml:space="preserve">the </w:t>
      </w:r>
      <w:r w:rsidR="001117CC" w:rsidRPr="007A6F21">
        <w:rPr>
          <w:rFonts w:ascii="Gotham Light" w:eastAsia="Times New Roman" w:hAnsi="Gotham Light" w:cs="Segoe UI"/>
          <w:sz w:val="22"/>
          <w:szCs w:val="22"/>
        </w:rPr>
        <w:t xml:space="preserve">Amendment </w:t>
      </w:r>
      <w:r w:rsidR="00794301" w:rsidRPr="007A6F21">
        <w:rPr>
          <w:rFonts w:ascii="Gotham Light" w:eastAsia="Times New Roman" w:hAnsi="Gotham Light" w:cs="Segoe UI"/>
          <w:sz w:val="22"/>
          <w:szCs w:val="22"/>
        </w:rPr>
        <w:t>language</w:t>
      </w:r>
      <w:r w:rsidR="00414735" w:rsidRPr="007A6F21">
        <w:rPr>
          <w:rFonts w:ascii="Gotham Light" w:eastAsia="Times New Roman" w:hAnsi="Gotham Light" w:cs="Segoe UI"/>
          <w:sz w:val="22"/>
          <w:szCs w:val="22"/>
        </w:rPr>
        <w:t xml:space="preserve"> being</w:t>
      </w:r>
      <w:r w:rsidR="00794301" w:rsidRPr="007A6F21">
        <w:rPr>
          <w:rFonts w:ascii="Gotham Light" w:eastAsia="Times New Roman" w:hAnsi="Gotham Light" w:cs="Segoe UI"/>
          <w:sz w:val="22"/>
          <w:szCs w:val="22"/>
        </w:rPr>
        <w:t xml:space="preserve"> </w:t>
      </w:r>
      <w:r w:rsidR="001117CC" w:rsidRPr="007A6F21">
        <w:rPr>
          <w:rFonts w:ascii="Gotham Light" w:eastAsia="Times New Roman" w:hAnsi="Gotham Light" w:cs="Segoe UI"/>
          <w:sz w:val="22"/>
          <w:szCs w:val="22"/>
        </w:rPr>
        <w:t xml:space="preserve">considered </w:t>
      </w:r>
      <w:r w:rsidR="00414735" w:rsidRPr="007A6F21">
        <w:rPr>
          <w:rFonts w:ascii="Gotham Light" w:eastAsia="Times New Roman" w:hAnsi="Gotham Light" w:cs="Segoe UI"/>
          <w:sz w:val="22"/>
          <w:szCs w:val="22"/>
        </w:rPr>
        <w:t>now</w:t>
      </w:r>
      <w:r w:rsidR="001117CC" w:rsidRPr="007A6F21">
        <w:rPr>
          <w:rFonts w:ascii="Gotham Light" w:eastAsia="Times New Roman" w:hAnsi="Gotham Light" w:cs="Segoe UI"/>
          <w:sz w:val="22"/>
          <w:szCs w:val="22"/>
        </w:rPr>
        <w:t xml:space="preserve"> </w:t>
      </w:r>
      <w:r w:rsidR="001D4225" w:rsidRPr="007A6F21">
        <w:rPr>
          <w:rFonts w:ascii="Gotham Light" w:eastAsia="Times New Roman" w:hAnsi="Gotham Light" w:cs="Segoe UI"/>
          <w:sz w:val="22"/>
          <w:szCs w:val="22"/>
        </w:rPr>
        <w:t>be crafted to</w:t>
      </w:r>
      <w:r w:rsidR="00794301" w:rsidRPr="007A6F21">
        <w:rPr>
          <w:rFonts w:ascii="Gotham Light" w:eastAsia="Times New Roman" w:hAnsi="Gotham Light" w:cs="Segoe UI"/>
          <w:sz w:val="22"/>
          <w:szCs w:val="22"/>
        </w:rPr>
        <w:t xml:space="preserve"> </w:t>
      </w:r>
      <w:r w:rsidR="001D4225" w:rsidRPr="007A6F21">
        <w:rPr>
          <w:rFonts w:ascii="Gotham Light" w:eastAsia="Times New Roman" w:hAnsi="Gotham Light" w:cs="Segoe UI"/>
          <w:sz w:val="22"/>
          <w:szCs w:val="22"/>
        </w:rPr>
        <w:t xml:space="preserve">assure that </w:t>
      </w:r>
      <w:r w:rsidR="00794301" w:rsidRPr="007A6F21">
        <w:rPr>
          <w:rFonts w:ascii="Gotham Light" w:eastAsia="Times New Roman" w:hAnsi="Gotham Light" w:cs="Segoe UI"/>
          <w:sz w:val="22"/>
          <w:szCs w:val="22"/>
        </w:rPr>
        <w:t xml:space="preserve">the following recommendations </w:t>
      </w:r>
      <w:r w:rsidR="001D4225" w:rsidRPr="007A6F21">
        <w:rPr>
          <w:rFonts w:ascii="Gotham Light" w:eastAsia="Times New Roman" w:hAnsi="Gotham Light" w:cs="Segoe UI"/>
          <w:sz w:val="22"/>
          <w:szCs w:val="22"/>
        </w:rPr>
        <w:t>can be adopted</w:t>
      </w:r>
      <w:r w:rsidR="00FC709A" w:rsidRPr="007A6F21">
        <w:rPr>
          <w:rFonts w:ascii="Gotham Light" w:eastAsia="Times New Roman" w:hAnsi="Gotham Light" w:cs="Segoe UI"/>
          <w:sz w:val="22"/>
          <w:szCs w:val="22"/>
        </w:rPr>
        <w:t xml:space="preserve">. </w:t>
      </w:r>
    </w:p>
    <w:p w14:paraId="566D103C" w14:textId="4764EE04" w:rsidR="003B0E32" w:rsidRPr="007A6F21" w:rsidRDefault="003B0E32" w:rsidP="00C77B68">
      <w:pPr>
        <w:ind w:firstLine="220"/>
        <w:rPr>
          <w:rFonts w:ascii="Gotham Light" w:eastAsia="Times New Roman" w:hAnsi="Gotham Light" w:cs="Segoe UI"/>
          <w:sz w:val="22"/>
          <w:szCs w:val="22"/>
        </w:rPr>
      </w:pPr>
    </w:p>
    <w:p w14:paraId="25E77901" w14:textId="486534F9" w:rsidR="002B1A6F" w:rsidRPr="007A6F21" w:rsidRDefault="00B64008" w:rsidP="00C77B68">
      <w:pPr>
        <w:pStyle w:val="ListParagraph"/>
        <w:numPr>
          <w:ilvl w:val="0"/>
          <w:numId w:val="5"/>
        </w:numPr>
        <w:rPr>
          <w:rFonts w:ascii="Gotham Light" w:eastAsia="Times New Roman" w:hAnsi="Gotham Light" w:cs="Segoe UI"/>
          <w:sz w:val="22"/>
          <w:szCs w:val="22"/>
        </w:rPr>
      </w:pPr>
      <w:r w:rsidRPr="007A6F21">
        <w:rPr>
          <w:rFonts w:ascii="Gotham Light" w:eastAsia="Times New Roman" w:hAnsi="Gotham Light" w:cs="Segoe UI"/>
          <w:sz w:val="22"/>
          <w:szCs w:val="22"/>
        </w:rPr>
        <w:lastRenderedPageBreak/>
        <w:t>Allow</w:t>
      </w:r>
      <w:r w:rsidR="002B1A6F" w:rsidRPr="007A6F21">
        <w:rPr>
          <w:rFonts w:ascii="Gotham Light" w:eastAsia="Times New Roman" w:hAnsi="Gotham Light" w:cs="Segoe UI"/>
          <w:sz w:val="22"/>
          <w:szCs w:val="22"/>
        </w:rPr>
        <w:t xml:space="preserve"> LCFS holdback proceeds to fund technical assistance</w:t>
      </w:r>
      <w:r w:rsidR="00A37849" w:rsidRPr="007A6F21">
        <w:rPr>
          <w:rFonts w:ascii="Gotham Light" w:eastAsia="Times New Roman" w:hAnsi="Gotham Light" w:cs="Segoe UI"/>
          <w:sz w:val="22"/>
          <w:szCs w:val="22"/>
        </w:rPr>
        <w:t xml:space="preserve"> </w:t>
      </w:r>
      <w:r w:rsidR="00513C37" w:rsidRPr="007A6F21">
        <w:rPr>
          <w:rFonts w:ascii="Gotham Light" w:eastAsia="Times New Roman" w:hAnsi="Gotham Light" w:cs="Segoe UI"/>
          <w:sz w:val="22"/>
          <w:szCs w:val="22"/>
        </w:rPr>
        <w:t xml:space="preserve">that is </w:t>
      </w:r>
      <w:r w:rsidR="00A37849" w:rsidRPr="007A6F21">
        <w:rPr>
          <w:rFonts w:ascii="Gotham Light" w:eastAsia="Times New Roman" w:hAnsi="Gotham Light" w:cs="Segoe UI"/>
          <w:sz w:val="22"/>
          <w:szCs w:val="22"/>
        </w:rPr>
        <w:t xml:space="preserve">directly </w:t>
      </w:r>
      <w:r w:rsidR="002B1A6F" w:rsidRPr="007A6F21">
        <w:rPr>
          <w:rFonts w:ascii="Gotham Light" w:eastAsia="Times New Roman" w:hAnsi="Gotham Light" w:cs="Segoe UI"/>
          <w:sz w:val="22"/>
          <w:szCs w:val="22"/>
        </w:rPr>
        <w:t>paired with the TEF statewide incentive program dollars so that underserved participants can receive the end-to-end, vendor neutral technical assistance they need to electrify. This includes system design, business model and payment settlement selection, permitting, contractor selection, construction management services, activation and staff/driver training.</w:t>
      </w:r>
    </w:p>
    <w:p w14:paraId="078A7D87" w14:textId="060BEE64" w:rsidR="002B1A6F" w:rsidRPr="007A6F21" w:rsidRDefault="002B1A6F" w:rsidP="00C77B68">
      <w:pPr>
        <w:ind w:firstLine="60"/>
        <w:rPr>
          <w:rFonts w:ascii="Gotham Light" w:eastAsia="Times New Roman" w:hAnsi="Gotham Light" w:cs="Segoe UI"/>
          <w:sz w:val="22"/>
          <w:szCs w:val="22"/>
        </w:rPr>
      </w:pPr>
    </w:p>
    <w:p w14:paraId="36E8F030" w14:textId="623BE77A" w:rsidR="00917F51" w:rsidRPr="007A6F21" w:rsidRDefault="00B64008" w:rsidP="00C77B68">
      <w:pPr>
        <w:pStyle w:val="ListParagraph"/>
        <w:numPr>
          <w:ilvl w:val="0"/>
          <w:numId w:val="5"/>
        </w:numPr>
        <w:rPr>
          <w:rFonts w:ascii="Gotham Light" w:eastAsia="Times New Roman" w:hAnsi="Gotham Light" w:cs="Segoe UI"/>
          <w:sz w:val="22"/>
          <w:szCs w:val="22"/>
        </w:rPr>
      </w:pPr>
      <w:r w:rsidRPr="007A6F21">
        <w:rPr>
          <w:rFonts w:ascii="Gotham Light" w:eastAsia="Times New Roman" w:hAnsi="Gotham Light" w:cs="Segoe UI"/>
          <w:sz w:val="22"/>
          <w:szCs w:val="22"/>
        </w:rPr>
        <w:t>Allow</w:t>
      </w:r>
      <w:r w:rsidR="003B0E32" w:rsidRPr="007A6F21">
        <w:rPr>
          <w:rFonts w:ascii="Gotham Light" w:eastAsia="Times New Roman" w:hAnsi="Gotham Light" w:cs="Segoe UI"/>
          <w:sz w:val="22"/>
          <w:szCs w:val="22"/>
        </w:rPr>
        <w:t xml:space="preserve"> </w:t>
      </w:r>
      <w:r w:rsidR="004577CD" w:rsidRPr="007A6F21">
        <w:rPr>
          <w:rFonts w:ascii="Gotham Light" w:eastAsia="Times New Roman" w:hAnsi="Gotham Light" w:cs="Segoe UI"/>
          <w:sz w:val="22"/>
          <w:szCs w:val="22"/>
        </w:rPr>
        <w:t xml:space="preserve">the </w:t>
      </w:r>
      <w:r w:rsidR="0028084C" w:rsidRPr="007A6F21">
        <w:rPr>
          <w:rFonts w:ascii="Gotham Light" w:eastAsia="Times New Roman" w:hAnsi="Gotham Light" w:cs="Segoe UI"/>
          <w:sz w:val="22"/>
          <w:szCs w:val="22"/>
        </w:rPr>
        <w:t>continued</w:t>
      </w:r>
      <w:r w:rsidR="00492D02" w:rsidRPr="007A6F21">
        <w:rPr>
          <w:rFonts w:ascii="Gotham Light" w:eastAsia="Times New Roman" w:hAnsi="Gotham Light" w:cs="Segoe UI"/>
          <w:sz w:val="22"/>
          <w:szCs w:val="22"/>
        </w:rPr>
        <w:t>,</w:t>
      </w:r>
      <w:r w:rsidR="0028084C" w:rsidRPr="007A6F21">
        <w:rPr>
          <w:rFonts w:ascii="Gotham Light" w:eastAsia="Times New Roman" w:hAnsi="Gotham Light" w:cs="Segoe UI"/>
          <w:sz w:val="22"/>
          <w:szCs w:val="22"/>
        </w:rPr>
        <w:t xml:space="preserve"> and </w:t>
      </w:r>
      <w:r w:rsidRPr="007A6F21">
        <w:rPr>
          <w:rFonts w:ascii="Gotham Light" w:eastAsia="Times New Roman" w:hAnsi="Gotham Light" w:cs="Segoe UI"/>
          <w:sz w:val="22"/>
          <w:szCs w:val="22"/>
        </w:rPr>
        <w:t xml:space="preserve">encourage the </w:t>
      </w:r>
      <w:r w:rsidR="0028084C" w:rsidRPr="007A6F21">
        <w:rPr>
          <w:rFonts w:ascii="Gotham Light" w:eastAsia="Times New Roman" w:hAnsi="Gotham Light" w:cs="Segoe UI"/>
          <w:sz w:val="22"/>
          <w:szCs w:val="22"/>
        </w:rPr>
        <w:t>expanded</w:t>
      </w:r>
      <w:r w:rsidR="00E50736" w:rsidRPr="007A6F21">
        <w:rPr>
          <w:rFonts w:ascii="Gotham Light" w:eastAsia="Times New Roman" w:hAnsi="Gotham Light" w:cs="Segoe UI"/>
          <w:sz w:val="22"/>
          <w:szCs w:val="22"/>
        </w:rPr>
        <w:t>,</w:t>
      </w:r>
      <w:r w:rsidR="0028084C" w:rsidRPr="007A6F21">
        <w:rPr>
          <w:rFonts w:ascii="Gotham Light" w:eastAsia="Times New Roman" w:hAnsi="Gotham Light" w:cs="Segoe UI"/>
          <w:sz w:val="22"/>
          <w:szCs w:val="22"/>
        </w:rPr>
        <w:t xml:space="preserve"> </w:t>
      </w:r>
      <w:r w:rsidR="004577CD" w:rsidRPr="007A6F21">
        <w:rPr>
          <w:rFonts w:ascii="Gotham Light" w:eastAsia="Times New Roman" w:hAnsi="Gotham Light" w:cs="Segoe UI"/>
          <w:sz w:val="22"/>
          <w:szCs w:val="22"/>
        </w:rPr>
        <w:t xml:space="preserve">use </w:t>
      </w:r>
      <w:r w:rsidR="00CB05B3" w:rsidRPr="007A6F21">
        <w:rPr>
          <w:rFonts w:ascii="Gotham Light" w:eastAsia="Times New Roman" w:hAnsi="Gotham Light" w:cs="Segoe UI"/>
          <w:sz w:val="22"/>
          <w:szCs w:val="22"/>
        </w:rPr>
        <w:t xml:space="preserve">of nonprofit and </w:t>
      </w:r>
      <w:r w:rsidR="00C4422C" w:rsidRPr="007A6F21">
        <w:rPr>
          <w:rFonts w:ascii="Gotham Light" w:eastAsia="Times New Roman" w:hAnsi="Gotham Light" w:cs="Segoe UI"/>
          <w:sz w:val="22"/>
          <w:szCs w:val="22"/>
        </w:rPr>
        <w:t>for-profit</w:t>
      </w:r>
      <w:r w:rsidR="00CB05B3" w:rsidRPr="007A6F21">
        <w:rPr>
          <w:rFonts w:ascii="Gotham Light" w:eastAsia="Times New Roman" w:hAnsi="Gotham Light" w:cs="Segoe UI"/>
          <w:sz w:val="22"/>
          <w:szCs w:val="22"/>
        </w:rPr>
        <w:t xml:space="preserve"> </w:t>
      </w:r>
      <w:r w:rsidR="00612B03" w:rsidRPr="007A6F21">
        <w:rPr>
          <w:rFonts w:ascii="Gotham Light" w:eastAsia="Times New Roman" w:hAnsi="Gotham Light" w:cs="Segoe UI"/>
          <w:sz w:val="22"/>
          <w:szCs w:val="22"/>
        </w:rPr>
        <w:t xml:space="preserve">third-party </w:t>
      </w:r>
      <w:r w:rsidR="00CB05B3" w:rsidRPr="007A6F21">
        <w:rPr>
          <w:rFonts w:ascii="Gotham Light" w:eastAsia="Times New Roman" w:hAnsi="Gotham Light" w:cs="Segoe UI"/>
          <w:sz w:val="22"/>
          <w:szCs w:val="22"/>
        </w:rPr>
        <w:t>implementers</w:t>
      </w:r>
      <w:r w:rsidR="0081712C" w:rsidRPr="007A6F21">
        <w:rPr>
          <w:rFonts w:ascii="Gotham Light" w:eastAsia="Times New Roman" w:hAnsi="Gotham Light" w:cs="Segoe UI"/>
          <w:sz w:val="22"/>
          <w:szCs w:val="22"/>
        </w:rPr>
        <w:t xml:space="preserve"> </w:t>
      </w:r>
      <w:r w:rsidR="00276856" w:rsidRPr="007A6F21">
        <w:rPr>
          <w:rFonts w:ascii="Gotham Light" w:eastAsia="Times New Roman" w:hAnsi="Gotham Light" w:cs="Segoe UI"/>
          <w:sz w:val="22"/>
          <w:szCs w:val="22"/>
        </w:rPr>
        <w:t>for</w:t>
      </w:r>
      <w:r w:rsidR="00E50736" w:rsidRPr="007A6F21">
        <w:rPr>
          <w:rFonts w:ascii="Gotham Light" w:eastAsia="Times New Roman" w:hAnsi="Gotham Light" w:cs="Segoe UI"/>
          <w:sz w:val="22"/>
          <w:szCs w:val="22"/>
        </w:rPr>
        <w:t xml:space="preserve"> deployment of</w:t>
      </w:r>
      <w:r w:rsidR="00276856" w:rsidRPr="007A6F21">
        <w:rPr>
          <w:rFonts w:ascii="Gotham Light" w:eastAsia="Times New Roman" w:hAnsi="Gotham Light" w:cs="Segoe UI"/>
          <w:sz w:val="22"/>
          <w:szCs w:val="22"/>
        </w:rPr>
        <w:t xml:space="preserve"> holdback-funded initiatives. This </w:t>
      </w:r>
      <w:r w:rsidR="003537B7" w:rsidRPr="007A6F21">
        <w:rPr>
          <w:rFonts w:ascii="Gotham Light" w:eastAsia="Times New Roman" w:hAnsi="Gotham Light" w:cs="Segoe UI"/>
          <w:sz w:val="22"/>
          <w:szCs w:val="22"/>
        </w:rPr>
        <w:t>is</w:t>
      </w:r>
      <w:r w:rsidR="00CB05B3" w:rsidRPr="007A6F21">
        <w:rPr>
          <w:rFonts w:ascii="Gotham Light" w:eastAsia="Times New Roman" w:hAnsi="Gotham Light" w:cs="Segoe UI"/>
          <w:sz w:val="22"/>
          <w:szCs w:val="22"/>
        </w:rPr>
        <w:t xml:space="preserve"> in compliment to the utili</w:t>
      </w:r>
      <w:r w:rsidR="003537B7" w:rsidRPr="007A6F21">
        <w:rPr>
          <w:rFonts w:ascii="Gotham Light" w:eastAsia="Times New Roman" w:hAnsi="Gotham Light" w:cs="Segoe UI"/>
          <w:sz w:val="22"/>
          <w:szCs w:val="22"/>
        </w:rPr>
        <w:t>ties</w:t>
      </w:r>
      <w:r w:rsidR="00704BAB" w:rsidRPr="007A6F21">
        <w:rPr>
          <w:rFonts w:ascii="Gotham Light" w:eastAsia="Times New Roman" w:hAnsi="Gotham Light" w:cs="Segoe UI"/>
          <w:sz w:val="22"/>
          <w:szCs w:val="22"/>
        </w:rPr>
        <w:t xml:space="preserve"> own</w:t>
      </w:r>
      <w:r w:rsidR="00CB05B3" w:rsidRPr="007A6F21">
        <w:rPr>
          <w:rFonts w:ascii="Gotham Light" w:eastAsia="Times New Roman" w:hAnsi="Gotham Light" w:cs="Segoe UI"/>
          <w:sz w:val="22"/>
          <w:szCs w:val="22"/>
        </w:rPr>
        <w:t xml:space="preserve"> teams that </w:t>
      </w:r>
      <w:r w:rsidR="00E8475D" w:rsidRPr="007A6F21">
        <w:rPr>
          <w:rFonts w:ascii="Gotham Light" w:eastAsia="Times New Roman" w:hAnsi="Gotham Light" w:cs="Segoe UI"/>
          <w:sz w:val="22"/>
          <w:szCs w:val="22"/>
        </w:rPr>
        <w:t xml:space="preserve">are implementing a portfolio of </w:t>
      </w:r>
      <w:r w:rsidR="00704BAB" w:rsidRPr="007A6F21">
        <w:rPr>
          <w:rFonts w:ascii="Gotham Light" w:eastAsia="Times New Roman" w:hAnsi="Gotham Light" w:cs="Segoe UI"/>
          <w:sz w:val="22"/>
          <w:szCs w:val="22"/>
        </w:rPr>
        <w:t xml:space="preserve">very </w:t>
      </w:r>
      <w:r w:rsidR="00E8475D" w:rsidRPr="007A6F21">
        <w:rPr>
          <w:rFonts w:ascii="Gotham Light" w:eastAsia="Times New Roman" w:hAnsi="Gotham Light" w:cs="Segoe UI"/>
          <w:sz w:val="22"/>
          <w:szCs w:val="22"/>
        </w:rPr>
        <w:t xml:space="preserve">effective programs. </w:t>
      </w:r>
      <w:r w:rsidR="006A610D" w:rsidRPr="007A6F21">
        <w:rPr>
          <w:rFonts w:ascii="Gotham Light" w:eastAsia="Times New Roman" w:hAnsi="Gotham Light" w:cs="Segoe UI"/>
          <w:sz w:val="22"/>
          <w:szCs w:val="22"/>
        </w:rPr>
        <w:t>Third party implementers have been used extensively for utility-funded energy efficiency and demand response program implementation for more than two decades and often bring essential nimbleness and innovation at costs that are often less than traditional approaches. The CPUC’s energy efficiency and other DER programs implemented by IOUs and CCAs can be used as real-world benchmarks for setting the appropriate balance between technical assistance and incentive dollars required to reach the State’s equity and scaling objectives.</w:t>
      </w:r>
    </w:p>
    <w:p w14:paraId="6C018439" w14:textId="77777777" w:rsidR="00024859" w:rsidRPr="007A6F21" w:rsidRDefault="00024859" w:rsidP="00024859">
      <w:pPr>
        <w:rPr>
          <w:rFonts w:ascii="Gotham Light" w:eastAsia="Times New Roman" w:hAnsi="Gotham Light" w:cs="Segoe UI"/>
          <w:sz w:val="22"/>
          <w:szCs w:val="22"/>
        </w:rPr>
      </w:pPr>
    </w:p>
    <w:p w14:paraId="52A67932" w14:textId="7E836D5F" w:rsidR="0065151C" w:rsidRPr="007A6F21" w:rsidRDefault="00612B03" w:rsidP="00C77B68">
      <w:pPr>
        <w:pStyle w:val="ListParagraph"/>
        <w:numPr>
          <w:ilvl w:val="0"/>
          <w:numId w:val="5"/>
        </w:numPr>
        <w:spacing w:after="200"/>
        <w:rPr>
          <w:rFonts w:ascii="Gotham Light" w:eastAsia="Times New Roman" w:hAnsi="Gotham Light" w:cs="Segoe UI"/>
          <w:sz w:val="22"/>
          <w:szCs w:val="22"/>
        </w:rPr>
      </w:pPr>
      <w:r w:rsidRPr="007A6F21">
        <w:rPr>
          <w:rFonts w:ascii="Gotham Light" w:eastAsia="Times New Roman" w:hAnsi="Gotham Light" w:cs="Segoe UI"/>
          <w:sz w:val="22"/>
          <w:szCs w:val="22"/>
        </w:rPr>
        <w:t>Focus</w:t>
      </w:r>
      <w:r w:rsidR="00810AD3" w:rsidRPr="007A6F21">
        <w:rPr>
          <w:rFonts w:ascii="Gotham Light" w:eastAsia="Times New Roman" w:hAnsi="Gotham Light" w:cs="Segoe UI"/>
          <w:sz w:val="22"/>
          <w:szCs w:val="22"/>
        </w:rPr>
        <w:t xml:space="preserve"> </w:t>
      </w:r>
      <w:r w:rsidR="00DB7DFD" w:rsidRPr="007A6F21">
        <w:rPr>
          <w:rFonts w:ascii="Gotham Light" w:eastAsia="Times New Roman" w:hAnsi="Gotham Light" w:cs="Segoe UI"/>
          <w:sz w:val="22"/>
          <w:szCs w:val="22"/>
        </w:rPr>
        <w:t>LCFS fund</w:t>
      </w:r>
      <w:r w:rsidRPr="007A6F21">
        <w:rPr>
          <w:rFonts w:ascii="Gotham Light" w:eastAsia="Times New Roman" w:hAnsi="Gotham Light" w:cs="Segoe UI"/>
          <w:sz w:val="22"/>
          <w:szCs w:val="22"/>
        </w:rPr>
        <w:t>s</w:t>
      </w:r>
      <w:r w:rsidR="00DB7DFD" w:rsidRPr="007A6F21">
        <w:rPr>
          <w:rFonts w:ascii="Gotham Light" w:eastAsia="Times New Roman" w:hAnsi="Gotham Light" w:cs="Segoe UI"/>
          <w:sz w:val="22"/>
          <w:szCs w:val="22"/>
        </w:rPr>
        <w:t xml:space="preserve"> </w:t>
      </w:r>
      <w:r w:rsidR="008E32C5" w:rsidRPr="007A6F21">
        <w:rPr>
          <w:rFonts w:ascii="Gotham Light" w:eastAsia="Times New Roman" w:hAnsi="Gotham Light" w:cs="Segoe UI"/>
          <w:sz w:val="22"/>
          <w:szCs w:val="22"/>
        </w:rPr>
        <w:t>on</w:t>
      </w:r>
      <w:r w:rsidR="0065151C" w:rsidRPr="007A6F21">
        <w:rPr>
          <w:rFonts w:ascii="Gotham Light" w:eastAsia="Times New Roman" w:hAnsi="Gotham Light" w:cs="Segoe UI"/>
          <w:sz w:val="22"/>
          <w:szCs w:val="22"/>
        </w:rPr>
        <w:t xml:space="preserve"> </w:t>
      </w:r>
      <w:r w:rsidR="008E32C5" w:rsidRPr="007A6F21">
        <w:rPr>
          <w:rFonts w:ascii="Gotham Light" w:eastAsia="Times New Roman" w:hAnsi="Gotham Light" w:cs="Segoe UI"/>
          <w:sz w:val="22"/>
          <w:szCs w:val="22"/>
        </w:rPr>
        <w:t>electrification</w:t>
      </w:r>
      <w:r w:rsidR="0065151C" w:rsidRPr="007A6F21">
        <w:rPr>
          <w:rFonts w:ascii="Gotham Light" w:eastAsia="Times New Roman" w:hAnsi="Gotham Light" w:cs="Segoe UI"/>
          <w:sz w:val="22"/>
          <w:szCs w:val="22"/>
        </w:rPr>
        <w:t xml:space="preserve"> of small</w:t>
      </w:r>
      <w:r w:rsidR="004E5049" w:rsidRPr="007A6F21">
        <w:rPr>
          <w:rFonts w:ascii="Gotham Light" w:eastAsia="Times New Roman" w:hAnsi="Gotham Light" w:cs="Segoe UI"/>
          <w:sz w:val="22"/>
          <w:szCs w:val="22"/>
        </w:rPr>
        <w:t>, essential</w:t>
      </w:r>
      <w:r w:rsidR="0065151C" w:rsidRPr="007A6F21">
        <w:rPr>
          <w:rFonts w:ascii="Gotham Light" w:eastAsia="Times New Roman" w:hAnsi="Gotham Light" w:cs="Segoe UI"/>
          <w:sz w:val="22"/>
          <w:szCs w:val="22"/>
        </w:rPr>
        <w:t xml:space="preserve"> EV fleets</w:t>
      </w:r>
      <w:r w:rsidR="008E32C5" w:rsidRPr="007A6F21">
        <w:rPr>
          <w:rFonts w:ascii="Gotham Light" w:eastAsia="Times New Roman" w:hAnsi="Gotham Light" w:cs="Segoe UI"/>
          <w:sz w:val="22"/>
          <w:szCs w:val="22"/>
        </w:rPr>
        <w:t xml:space="preserve"> </w:t>
      </w:r>
      <w:r w:rsidR="004E5049" w:rsidRPr="007A6F21">
        <w:rPr>
          <w:rFonts w:ascii="Gotham Light" w:eastAsia="Times New Roman" w:hAnsi="Gotham Light" w:cs="Segoe UI"/>
          <w:sz w:val="22"/>
          <w:szCs w:val="22"/>
        </w:rPr>
        <w:t xml:space="preserve">that </w:t>
      </w:r>
      <w:r w:rsidR="008E32C5" w:rsidRPr="007A6F21">
        <w:rPr>
          <w:rFonts w:ascii="Gotham Light" w:eastAsia="Times New Roman" w:hAnsi="Gotham Light" w:cs="Segoe UI"/>
          <w:sz w:val="22"/>
          <w:szCs w:val="22"/>
        </w:rPr>
        <w:t>serv</w:t>
      </w:r>
      <w:r w:rsidR="004E5049" w:rsidRPr="007A6F21">
        <w:rPr>
          <w:rFonts w:ascii="Gotham Light" w:eastAsia="Times New Roman" w:hAnsi="Gotham Light" w:cs="Segoe UI"/>
          <w:sz w:val="22"/>
          <w:szCs w:val="22"/>
        </w:rPr>
        <w:t>e</w:t>
      </w:r>
      <w:r w:rsidR="008E32C5" w:rsidRPr="007A6F21">
        <w:rPr>
          <w:rFonts w:ascii="Gotham Light" w:eastAsia="Times New Roman" w:hAnsi="Gotham Light" w:cs="Segoe UI"/>
          <w:sz w:val="22"/>
          <w:szCs w:val="22"/>
        </w:rPr>
        <w:t xml:space="preserve"> priority </w:t>
      </w:r>
      <w:r w:rsidR="0065151C" w:rsidRPr="007A6F21">
        <w:rPr>
          <w:rFonts w:ascii="Gotham Light" w:eastAsia="Times New Roman" w:hAnsi="Gotham Light" w:cs="Segoe UI"/>
          <w:sz w:val="22"/>
          <w:szCs w:val="22"/>
        </w:rPr>
        <w:t>communities</w:t>
      </w:r>
      <w:r w:rsidR="00E53ED9" w:rsidRPr="007A6F21">
        <w:rPr>
          <w:rFonts w:ascii="Gotham Light" w:eastAsia="Times New Roman" w:hAnsi="Gotham Light" w:cs="Segoe UI"/>
          <w:sz w:val="22"/>
          <w:szCs w:val="22"/>
        </w:rPr>
        <w:t xml:space="preserve">. </w:t>
      </w:r>
      <w:r w:rsidR="00661C42" w:rsidRPr="007A6F21">
        <w:rPr>
          <w:rFonts w:ascii="Gotham Light" w:eastAsia="Times New Roman" w:hAnsi="Gotham Light" w:cs="Segoe UI"/>
          <w:sz w:val="22"/>
          <w:szCs w:val="22"/>
        </w:rPr>
        <w:t xml:space="preserve">(e.g. foodbanks, paratransit, elder meal delivery, small business fleets in underserved communities). </w:t>
      </w:r>
      <w:r w:rsidR="007561CF" w:rsidRPr="007A6F21">
        <w:rPr>
          <w:rFonts w:ascii="Gotham Light" w:eastAsia="Times New Roman" w:hAnsi="Gotham Light" w:cs="Segoe UI"/>
          <w:sz w:val="22"/>
          <w:szCs w:val="22"/>
        </w:rPr>
        <w:t>Holdback p</w:t>
      </w:r>
      <w:r w:rsidR="00084CB9" w:rsidRPr="007A6F21">
        <w:rPr>
          <w:rFonts w:ascii="Gotham Light" w:eastAsia="Times New Roman" w:hAnsi="Gotham Light" w:cs="Segoe UI"/>
          <w:sz w:val="22"/>
          <w:szCs w:val="22"/>
        </w:rPr>
        <w:t>roceeds should fund</w:t>
      </w:r>
      <w:r w:rsidR="007561CF" w:rsidRPr="007A6F21">
        <w:rPr>
          <w:rFonts w:ascii="Gotham Light" w:eastAsia="Times New Roman" w:hAnsi="Gotham Light" w:cs="Segoe UI"/>
          <w:sz w:val="22"/>
          <w:szCs w:val="22"/>
        </w:rPr>
        <w:t>,</w:t>
      </w:r>
      <w:r w:rsidR="002C72F5" w:rsidRPr="007A6F21">
        <w:rPr>
          <w:rFonts w:ascii="Gotham Light" w:eastAsia="Times New Roman" w:hAnsi="Gotham Light" w:cs="Segoe UI"/>
          <w:sz w:val="22"/>
          <w:szCs w:val="22"/>
        </w:rPr>
        <w:t xml:space="preserve"> in a single</w:t>
      </w:r>
      <w:r w:rsidR="00F87DDB" w:rsidRPr="007A6F21">
        <w:rPr>
          <w:rFonts w:ascii="Gotham Light" w:eastAsia="Times New Roman" w:hAnsi="Gotham Light" w:cs="Segoe UI"/>
          <w:sz w:val="22"/>
          <w:szCs w:val="22"/>
        </w:rPr>
        <w:t xml:space="preserve"> </w:t>
      </w:r>
      <w:r w:rsidR="002C72F5" w:rsidRPr="007A6F21">
        <w:rPr>
          <w:rFonts w:ascii="Gotham Light" w:eastAsia="Times New Roman" w:hAnsi="Gotham Light" w:cs="Segoe UI"/>
          <w:sz w:val="22"/>
          <w:szCs w:val="22"/>
        </w:rPr>
        <w:t>offering,</w:t>
      </w:r>
      <w:r w:rsidR="000A0DC3" w:rsidRPr="007A6F21">
        <w:rPr>
          <w:rFonts w:ascii="Gotham Light" w:eastAsia="Times New Roman" w:hAnsi="Gotham Light" w:cs="Segoe UI"/>
          <w:sz w:val="22"/>
          <w:szCs w:val="22"/>
        </w:rPr>
        <w:t xml:space="preserve"> the triad</w:t>
      </w:r>
      <w:r w:rsidR="00797EF9" w:rsidRPr="007A6F21">
        <w:rPr>
          <w:rFonts w:ascii="Gotham Light" w:eastAsia="Times New Roman" w:hAnsi="Gotham Light" w:cs="Segoe UI"/>
          <w:sz w:val="22"/>
          <w:szCs w:val="22"/>
        </w:rPr>
        <w:t xml:space="preserve"> of</w:t>
      </w:r>
      <w:r w:rsidR="000A0DC3" w:rsidRPr="007A6F21">
        <w:rPr>
          <w:rFonts w:ascii="Gotham Light" w:eastAsia="Times New Roman" w:hAnsi="Gotham Light" w:cs="Segoe UI"/>
          <w:sz w:val="22"/>
          <w:szCs w:val="22"/>
        </w:rPr>
        <w:t xml:space="preserve"> </w:t>
      </w:r>
      <w:r w:rsidR="00A47FEA" w:rsidRPr="007A6F21">
        <w:rPr>
          <w:rFonts w:ascii="Gotham Light" w:eastAsia="Times New Roman" w:hAnsi="Gotham Light" w:cs="Segoe UI"/>
          <w:sz w:val="22"/>
          <w:szCs w:val="22"/>
        </w:rPr>
        <w:t>1.</w:t>
      </w:r>
      <w:r w:rsidR="00797EF9" w:rsidRPr="007A6F21">
        <w:rPr>
          <w:rFonts w:ascii="Gotham Light" w:eastAsia="Times New Roman" w:hAnsi="Gotham Light" w:cs="Segoe UI"/>
          <w:sz w:val="22"/>
          <w:szCs w:val="22"/>
        </w:rPr>
        <w:t>)</w:t>
      </w:r>
      <w:r w:rsidR="00A47FEA" w:rsidRPr="007A6F21">
        <w:rPr>
          <w:rFonts w:ascii="Gotham Light" w:eastAsia="Times New Roman" w:hAnsi="Gotham Light" w:cs="Segoe UI"/>
          <w:sz w:val="22"/>
          <w:szCs w:val="22"/>
        </w:rPr>
        <w:t xml:space="preserve"> </w:t>
      </w:r>
      <w:r w:rsidR="00AC0688" w:rsidRPr="007A6F21">
        <w:rPr>
          <w:rFonts w:ascii="Gotham Light" w:eastAsia="Times New Roman" w:hAnsi="Gotham Light" w:cs="Segoe UI"/>
          <w:sz w:val="22"/>
          <w:szCs w:val="22"/>
        </w:rPr>
        <w:t xml:space="preserve">end-to-end vendor neutral </w:t>
      </w:r>
      <w:r w:rsidR="002C72F5" w:rsidRPr="007A6F21">
        <w:rPr>
          <w:rFonts w:ascii="Gotham Light" w:eastAsia="Times New Roman" w:hAnsi="Gotham Light" w:cs="Segoe UI"/>
          <w:sz w:val="22"/>
          <w:szCs w:val="22"/>
        </w:rPr>
        <w:t>technical assistance 2.</w:t>
      </w:r>
      <w:r w:rsidR="00797EF9" w:rsidRPr="007A6F21">
        <w:rPr>
          <w:rFonts w:ascii="Gotham Light" w:eastAsia="Times New Roman" w:hAnsi="Gotham Light" w:cs="Segoe UI"/>
          <w:sz w:val="22"/>
          <w:szCs w:val="22"/>
        </w:rPr>
        <w:t>)</w:t>
      </w:r>
      <w:r w:rsidR="002C72F5" w:rsidRPr="007A6F21">
        <w:rPr>
          <w:rFonts w:ascii="Gotham Light" w:eastAsia="Times New Roman" w:hAnsi="Gotham Light" w:cs="Segoe UI"/>
          <w:sz w:val="22"/>
          <w:szCs w:val="22"/>
        </w:rPr>
        <w:t xml:space="preserve"> v</w:t>
      </w:r>
      <w:r w:rsidR="002E1274" w:rsidRPr="007A6F21">
        <w:rPr>
          <w:rFonts w:ascii="Gotham Light" w:eastAsia="Times New Roman" w:hAnsi="Gotham Light" w:cs="Segoe UI"/>
          <w:sz w:val="22"/>
          <w:szCs w:val="22"/>
        </w:rPr>
        <w:t>ehicle</w:t>
      </w:r>
      <w:r w:rsidR="002C72F5" w:rsidRPr="007A6F21">
        <w:rPr>
          <w:rFonts w:ascii="Gotham Light" w:eastAsia="Times New Roman" w:hAnsi="Gotham Light" w:cs="Segoe UI"/>
          <w:sz w:val="22"/>
          <w:szCs w:val="22"/>
        </w:rPr>
        <w:t xml:space="preserve"> incentives</w:t>
      </w:r>
      <w:r w:rsidR="002E1274" w:rsidRPr="007A6F21">
        <w:rPr>
          <w:rFonts w:ascii="Gotham Light" w:eastAsia="Times New Roman" w:hAnsi="Gotham Light" w:cs="Segoe UI"/>
          <w:sz w:val="22"/>
          <w:szCs w:val="22"/>
        </w:rPr>
        <w:t xml:space="preserve"> and </w:t>
      </w:r>
      <w:r w:rsidR="002C72F5" w:rsidRPr="007A6F21">
        <w:rPr>
          <w:rFonts w:ascii="Gotham Light" w:eastAsia="Times New Roman" w:hAnsi="Gotham Light" w:cs="Segoe UI"/>
          <w:sz w:val="22"/>
          <w:szCs w:val="22"/>
        </w:rPr>
        <w:t>3.</w:t>
      </w:r>
      <w:r w:rsidR="00797EF9" w:rsidRPr="007A6F21">
        <w:rPr>
          <w:rFonts w:ascii="Gotham Light" w:eastAsia="Times New Roman" w:hAnsi="Gotham Light" w:cs="Segoe UI"/>
          <w:sz w:val="22"/>
          <w:szCs w:val="22"/>
        </w:rPr>
        <w:t>)</w:t>
      </w:r>
      <w:r w:rsidR="002C72F5" w:rsidRPr="007A6F21">
        <w:rPr>
          <w:rFonts w:ascii="Gotham Light" w:eastAsia="Times New Roman" w:hAnsi="Gotham Light" w:cs="Segoe UI"/>
          <w:sz w:val="22"/>
          <w:szCs w:val="22"/>
        </w:rPr>
        <w:t xml:space="preserve"> </w:t>
      </w:r>
      <w:r w:rsidR="000921B5" w:rsidRPr="007A6F21">
        <w:rPr>
          <w:rFonts w:ascii="Gotham Light" w:eastAsia="Times New Roman" w:hAnsi="Gotham Light" w:cs="Segoe UI"/>
          <w:sz w:val="22"/>
          <w:szCs w:val="22"/>
        </w:rPr>
        <w:t>i</w:t>
      </w:r>
      <w:r w:rsidR="000C69D1" w:rsidRPr="007A6F21">
        <w:rPr>
          <w:rFonts w:ascii="Gotham Light" w:eastAsia="Times New Roman" w:hAnsi="Gotham Light" w:cs="Segoe UI"/>
          <w:sz w:val="22"/>
          <w:szCs w:val="22"/>
        </w:rPr>
        <w:t>nfrastructure</w:t>
      </w:r>
      <w:r w:rsidR="002C72F5" w:rsidRPr="007A6F21">
        <w:rPr>
          <w:rFonts w:ascii="Gotham Light" w:eastAsia="Times New Roman" w:hAnsi="Gotham Light" w:cs="Segoe UI"/>
          <w:sz w:val="22"/>
          <w:szCs w:val="22"/>
        </w:rPr>
        <w:t xml:space="preserve"> incentives</w:t>
      </w:r>
      <w:r w:rsidR="002E1274" w:rsidRPr="007A6F21">
        <w:rPr>
          <w:rFonts w:ascii="Gotham Light" w:eastAsia="Times New Roman" w:hAnsi="Gotham Light" w:cs="Segoe UI"/>
          <w:sz w:val="22"/>
          <w:szCs w:val="22"/>
        </w:rPr>
        <w:t>.</w:t>
      </w:r>
      <w:r w:rsidR="002E4ED5" w:rsidRPr="007A6F21">
        <w:rPr>
          <w:rFonts w:ascii="Gotham Light" w:eastAsia="Times New Roman" w:hAnsi="Gotham Light" w:cs="Segoe UI"/>
          <w:sz w:val="22"/>
          <w:szCs w:val="22"/>
        </w:rPr>
        <w:t xml:space="preserve"> This bundled offering is essential for scaling </w:t>
      </w:r>
      <w:r w:rsidR="00F87DDB" w:rsidRPr="007A6F21">
        <w:rPr>
          <w:rFonts w:ascii="Gotham Light" w:eastAsia="Times New Roman" w:hAnsi="Gotham Light" w:cs="Segoe UI"/>
          <w:sz w:val="22"/>
          <w:szCs w:val="22"/>
        </w:rPr>
        <w:t xml:space="preserve">small </w:t>
      </w:r>
      <w:r w:rsidR="00140260" w:rsidRPr="007A6F21">
        <w:rPr>
          <w:rFonts w:ascii="Gotham Light" w:eastAsia="Times New Roman" w:hAnsi="Gotham Light" w:cs="Segoe UI"/>
          <w:sz w:val="22"/>
          <w:szCs w:val="22"/>
        </w:rPr>
        <w:t>equity fleets</w:t>
      </w:r>
      <w:r w:rsidR="002E4ED5" w:rsidRPr="007A6F21">
        <w:rPr>
          <w:rFonts w:ascii="Gotham Light" w:eastAsia="Times New Roman" w:hAnsi="Gotham Light" w:cs="Segoe UI"/>
          <w:sz w:val="22"/>
          <w:szCs w:val="22"/>
        </w:rPr>
        <w:t xml:space="preserve">. </w:t>
      </w:r>
      <w:r w:rsidR="00912156" w:rsidRPr="007A6F21">
        <w:rPr>
          <w:rFonts w:ascii="Gotham Light" w:eastAsia="Times New Roman" w:hAnsi="Gotham Light" w:cs="Segoe UI"/>
          <w:sz w:val="22"/>
          <w:szCs w:val="22"/>
        </w:rPr>
        <w:t>Likewise, i</w:t>
      </w:r>
      <w:r w:rsidR="0065151C" w:rsidRPr="007A6F21">
        <w:rPr>
          <w:rFonts w:ascii="Gotham Light" w:eastAsia="Times New Roman" w:hAnsi="Gotham Light" w:cs="Segoe UI"/>
          <w:sz w:val="22"/>
          <w:szCs w:val="22"/>
        </w:rPr>
        <w:t xml:space="preserve">t is important </w:t>
      </w:r>
      <w:r w:rsidR="008B4CB4" w:rsidRPr="007A6F21">
        <w:rPr>
          <w:rFonts w:ascii="Gotham Light" w:eastAsia="Times New Roman" w:hAnsi="Gotham Light" w:cs="Segoe UI"/>
          <w:sz w:val="22"/>
          <w:szCs w:val="22"/>
        </w:rPr>
        <w:t xml:space="preserve">that </w:t>
      </w:r>
      <w:r w:rsidR="004D66E9" w:rsidRPr="007A6F21">
        <w:rPr>
          <w:rFonts w:ascii="Gotham Light" w:eastAsia="Times New Roman" w:hAnsi="Gotham Light" w:cs="Segoe UI"/>
          <w:sz w:val="22"/>
          <w:szCs w:val="22"/>
        </w:rPr>
        <w:t xml:space="preserve">incentives for </w:t>
      </w:r>
      <w:r w:rsidR="0065151C" w:rsidRPr="007A6F21">
        <w:rPr>
          <w:rFonts w:ascii="Gotham Light" w:eastAsia="Times New Roman" w:hAnsi="Gotham Light" w:cs="Segoe UI"/>
          <w:sz w:val="22"/>
          <w:szCs w:val="22"/>
        </w:rPr>
        <w:t>Class 1 &amp; Class 2</w:t>
      </w:r>
      <w:r w:rsidR="008B4CB4" w:rsidRPr="007A6F21">
        <w:rPr>
          <w:rFonts w:ascii="Gotham Light" w:eastAsia="Times New Roman" w:hAnsi="Gotham Light" w:cs="Segoe UI"/>
          <w:sz w:val="22"/>
          <w:szCs w:val="22"/>
        </w:rPr>
        <w:t xml:space="preserve"> vehicles are eligible for </w:t>
      </w:r>
      <w:r w:rsidR="004D66E9" w:rsidRPr="007A6F21">
        <w:rPr>
          <w:rFonts w:ascii="Gotham Light" w:eastAsia="Times New Roman" w:hAnsi="Gotham Light" w:cs="Segoe UI"/>
          <w:sz w:val="22"/>
          <w:szCs w:val="22"/>
        </w:rPr>
        <w:t>holdback proceeds</w:t>
      </w:r>
      <w:r w:rsidR="0065151C" w:rsidRPr="007A6F21">
        <w:rPr>
          <w:rFonts w:ascii="Gotham Light" w:eastAsia="Times New Roman" w:hAnsi="Gotham Light" w:cs="Segoe UI"/>
          <w:sz w:val="22"/>
          <w:szCs w:val="22"/>
        </w:rPr>
        <w:t>, beyond the current Class 3-8 vehicles covered by CARB’s ISEF program.</w:t>
      </w:r>
    </w:p>
    <w:p w14:paraId="4D42F9CA" w14:textId="77777777" w:rsidR="00480C0A" w:rsidRPr="007A6F21" w:rsidRDefault="00480C0A" w:rsidP="00480C0A">
      <w:pPr>
        <w:pStyle w:val="ListParagraph"/>
        <w:rPr>
          <w:rFonts w:ascii="Gotham Light" w:eastAsia="Times New Roman" w:hAnsi="Gotham Light" w:cs="Segoe UI"/>
          <w:sz w:val="22"/>
          <w:szCs w:val="22"/>
        </w:rPr>
      </w:pPr>
    </w:p>
    <w:p w14:paraId="4D8A49ED" w14:textId="49BC9D3A" w:rsidR="00480C0A" w:rsidRPr="007A6F21" w:rsidRDefault="00480C0A" w:rsidP="00C77B68">
      <w:pPr>
        <w:pStyle w:val="ListParagraph"/>
        <w:numPr>
          <w:ilvl w:val="0"/>
          <w:numId w:val="5"/>
        </w:numPr>
        <w:spacing w:after="200"/>
        <w:rPr>
          <w:rFonts w:ascii="Gotham Light" w:eastAsia="Times New Roman" w:hAnsi="Gotham Light" w:cs="Segoe UI"/>
          <w:sz w:val="22"/>
          <w:szCs w:val="22"/>
        </w:rPr>
      </w:pPr>
      <w:r w:rsidRPr="007A6F21">
        <w:rPr>
          <w:rFonts w:ascii="Gotham Light" w:eastAsia="Times New Roman" w:hAnsi="Gotham Light" w:cs="Segoe UI"/>
          <w:sz w:val="22"/>
          <w:szCs w:val="22"/>
        </w:rPr>
        <w:t xml:space="preserve">We encourage </w:t>
      </w:r>
      <w:r w:rsidR="00776AA5" w:rsidRPr="007A6F21">
        <w:rPr>
          <w:rFonts w:ascii="Gotham Light" w:eastAsia="Times New Roman" w:hAnsi="Gotham Light" w:cs="Segoe UI"/>
          <w:sz w:val="22"/>
          <w:szCs w:val="22"/>
        </w:rPr>
        <w:t xml:space="preserve">the Amendment to expressly state that a key purpose of </w:t>
      </w:r>
      <w:r w:rsidRPr="007A6F21">
        <w:rPr>
          <w:rFonts w:ascii="Gotham Light" w:eastAsia="Times New Roman" w:hAnsi="Gotham Light" w:cs="Segoe UI"/>
          <w:sz w:val="22"/>
          <w:szCs w:val="22"/>
        </w:rPr>
        <w:t xml:space="preserve">LCFS proceeds </w:t>
      </w:r>
      <w:r w:rsidR="00776AA5" w:rsidRPr="007A6F21">
        <w:rPr>
          <w:rFonts w:ascii="Gotham Light" w:eastAsia="Times New Roman" w:hAnsi="Gotham Light" w:cs="Segoe UI"/>
          <w:sz w:val="22"/>
          <w:szCs w:val="22"/>
        </w:rPr>
        <w:t xml:space="preserve">is </w:t>
      </w:r>
      <w:r w:rsidRPr="007A6F21">
        <w:rPr>
          <w:rFonts w:ascii="Gotham Light" w:eastAsia="Times New Roman" w:hAnsi="Gotham Light" w:cs="Segoe UI"/>
          <w:sz w:val="22"/>
          <w:szCs w:val="22"/>
        </w:rPr>
        <w:t>to demonstrate</w:t>
      </w:r>
      <w:r w:rsidR="00776AA5" w:rsidRPr="007A6F21">
        <w:rPr>
          <w:rFonts w:ascii="Gotham Light" w:eastAsia="Times New Roman" w:hAnsi="Gotham Light" w:cs="Segoe UI"/>
          <w:sz w:val="22"/>
          <w:szCs w:val="22"/>
        </w:rPr>
        <w:t xml:space="preserve"> and pilot</w:t>
      </w:r>
      <w:r w:rsidRPr="007A6F21">
        <w:rPr>
          <w:rFonts w:ascii="Gotham Light" w:eastAsia="Times New Roman" w:hAnsi="Gotham Light" w:cs="Segoe UI"/>
          <w:sz w:val="22"/>
          <w:szCs w:val="22"/>
        </w:rPr>
        <w:t xml:space="preserve"> deployment innovations as a way to inform and shape future iterations of TEF funding</w:t>
      </w:r>
      <w:r w:rsidR="00776AA5" w:rsidRPr="007A6F21">
        <w:rPr>
          <w:rFonts w:ascii="Gotham Light" w:eastAsia="Times New Roman" w:hAnsi="Gotham Light" w:cs="Segoe UI"/>
          <w:sz w:val="22"/>
          <w:szCs w:val="22"/>
        </w:rPr>
        <w:t>.</w:t>
      </w:r>
    </w:p>
    <w:p w14:paraId="5972AAA5" w14:textId="6197EB48"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The State of California has ambitious goals for</w:t>
      </w:r>
      <w:r w:rsidR="00111EC9" w:rsidRPr="007A6F21">
        <w:rPr>
          <w:rFonts w:ascii="Gotham Light" w:eastAsia="Times New Roman" w:hAnsi="Gotham Light" w:cs="Segoe UI"/>
          <w:sz w:val="22"/>
          <w:szCs w:val="22"/>
        </w:rPr>
        <w:t xml:space="preserve"> equity,</w:t>
      </w:r>
      <w:r w:rsidRPr="007A6F21">
        <w:rPr>
          <w:rFonts w:ascii="Gotham Light" w:eastAsia="Times New Roman" w:hAnsi="Gotham Light" w:cs="Segoe UI"/>
          <w:sz w:val="22"/>
          <w:szCs w:val="22"/>
        </w:rPr>
        <w:t xml:space="preserve"> air quality improvement and GHG reduction. Ecology Action truly believes </w:t>
      </w:r>
      <w:r w:rsidR="00111EC9" w:rsidRPr="007A6F21">
        <w:rPr>
          <w:rFonts w:ascii="Gotham Light" w:eastAsia="Times New Roman" w:hAnsi="Gotham Light" w:cs="Segoe UI"/>
          <w:sz w:val="22"/>
          <w:szCs w:val="22"/>
        </w:rPr>
        <w:t>the State</w:t>
      </w:r>
      <w:r w:rsidRPr="007A6F21">
        <w:rPr>
          <w:rFonts w:ascii="Gotham Light" w:eastAsia="Times New Roman" w:hAnsi="Gotham Light" w:cs="Segoe UI"/>
          <w:sz w:val="22"/>
          <w:szCs w:val="22"/>
        </w:rPr>
        <w:t xml:space="preserve"> can make a meaningful contribution </w:t>
      </w:r>
      <w:r w:rsidR="00111EC9" w:rsidRPr="007A6F21">
        <w:rPr>
          <w:rFonts w:ascii="Gotham Light" w:eastAsia="Times New Roman" w:hAnsi="Gotham Light" w:cs="Segoe UI"/>
          <w:sz w:val="22"/>
          <w:szCs w:val="22"/>
        </w:rPr>
        <w:t xml:space="preserve">to all three </w:t>
      </w:r>
      <w:r w:rsidRPr="007A6F21">
        <w:rPr>
          <w:rFonts w:ascii="Gotham Light" w:eastAsia="Times New Roman" w:hAnsi="Gotham Light" w:cs="Segoe UI"/>
          <w:sz w:val="22"/>
          <w:szCs w:val="22"/>
        </w:rPr>
        <w:t>with the thoughtful deployment of the LCFS holdback funds</w:t>
      </w:r>
      <w:r w:rsidR="004D7BF9" w:rsidRPr="007A6F21">
        <w:rPr>
          <w:rFonts w:ascii="Gotham Light" w:eastAsia="Times New Roman" w:hAnsi="Gotham Light" w:cs="Segoe UI"/>
          <w:sz w:val="22"/>
          <w:szCs w:val="22"/>
        </w:rPr>
        <w:t xml:space="preserve"> as outlined here</w:t>
      </w:r>
      <w:r w:rsidRPr="007A6F21">
        <w:rPr>
          <w:rFonts w:ascii="Gotham Light" w:eastAsia="Times New Roman" w:hAnsi="Gotham Light" w:cs="Segoe UI"/>
          <w:sz w:val="22"/>
          <w:szCs w:val="22"/>
        </w:rPr>
        <w:t xml:space="preserve">. </w:t>
      </w:r>
    </w:p>
    <w:p w14:paraId="1F096152" w14:textId="77777777" w:rsidR="00536DA8" w:rsidRPr="007A6F21" w:rsidRDefault="00536DA8" w:rsidP="00536DA8">
      <w:pPr>
        <w:rPr>
          <w:sz w:val="22"/>
          <w:szCs w:val="22"/>
        </w:rPr>
      </w:pPr>
    </w:p>
    <w:p w14:paraId="45E75769" w14:textId="5627A847"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 xml:space="preserve">If you have any questions </w:t>
      </w:r>
      <w:r w:rsidR="00AA433E" w:rsidRPr="007A6F21">
        <w:rPr>
          <w:rFonts w:ascii="Gotham Light" w:eastAsia="Times New Roman" w:hAnsi="Gotham Light" w:cs="Segoe UI"/>
          <w:sz w:val="22"/>
          <w:szCs w:val="22"/>
        </w:rPr>
        <w:t>regarding our comments</w:t>
      </w:r>
      <w:r w:rsidRPr="007A6F21">
        <w:rPr>
          <w:rFonts w:ascii="Gotham Light" w:eastAsia="Times New Roman" w:hAnsi="Gotham Light" w:cs="Segoe UI"/>
          <w:sz w:val="22"/>
          <w:szCs w:val="22"/>
        </w:rPr>
        <w:t>, please don’t hesitate to contact me</w:t>
      </w:r>
      <w:r w:rsidR="004F3822" w:rsidRPr="007A6F21">
        <w:rPr>
          <w:rFonts w:ascii="Gotham Light" w:eastAsia="Times New Roman" w:hAnsi="Gotham Light" w:cs="Segoe UI"/>
          <w:sz w:val="22"/>
          <w:szCs w:val="22"/>
        </w:rPr>
        <w:t>.</w:t>
      </w:r>
      <w:r w:rsidRPr="007A6F21">
        <w:rPr>
          <w:rFonts w:ascii="Gotham Light" w:eastAsia="Times New Roman" w:hAnsi="Gotham Light" w:cs="Segoe UI"/>
          <w:sz w:val="22"/>
          <w:szCs w:val="22"/>
        </w:rPr>
        <w:t xml:space="preserve"> </w:t>
      </w:r>
    </w:p>
    <w:p w14:paraId="57114211" w14:textId="77777777" w:rsidR="00536DA8" w:rsidRPr="007A6F21" w:rsidRDefault="00536DA8" w:rsidP="00536DA8">
      <w:pPr>
        <w:rPr>
          <w:rFonts w:ascii="Gotham Light" w:eastAsia="Times New Roman" w:hAnsi="Gotham Light" w:cs="Segoe UI"/>
          <w:sz w:val="22"/>
          <w:szCs w:val="22"/>
        </w:rPr>
      </w:pPr>
    </w:p>
    <w:p w14:paraId="17737EC1" w14:textId="3AED5BA0"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Sincerely,</w:t>
      </w:r>
    </w:p>
    <w:p w14:paraId="7B6E3FE7" w14:textId="0D41CEB3" w:rsidR="00B00367" w:rsidRPr="007A6F21" w:rsidRDefault="002441C3" w:rsidP="00536DA8">
      <w:pPr>
        <w:rPr>
          <w:rFonts w:ascii="Gotham Light" w:eastAsia="Times New Roman" w:hAnsi="Gotham Light" w:cs="Segoe UI"/>
          <w:sz w:val="22"/>
          <w:szCs w:val="22"/>
        </w:rPr>
      </w:pPr>
      <w:r w:rsidRPr="007A6F21">
        <w:rPr>
          <w:rFonts w:ascii="Gotham Light" w:eastAsia="Times New Roman" w:hAnsi="Gotham Light" w:cs="Segoe UI"/>
          <w:noProof/>
          <w:sz w:val="22"/>
          <w:szCs w:val="22"/>
        </w:rPr>
        <w:drawing>
          <wp:inline distT="0" distB="0" distL="0" distR="0" wp14:anchorId="30A36472" wp14:editId="2017DE61">
            <wp:extent cx="2882900" cy="683152"/>
            <wp:effectExtent l="0" t="0" r="0" b="3175"/>
            <wp:docPr id="2120008213" name="Picture 1" descr="A black line drawing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08213" name="Picture 1" descr="A black line drawing of a fish&#10;&#10;Description automatically generated"/>
                    <pic:cNvPicPr/>
                  </pic:nvPicPr>
                  <pic:blipFill>
                    <a:blip r:embed="rId9"/>
                    <a:stretch>
                      <a:fillRect/>
                    </a:stretch>
                  </pic:blipFill>
                  <pic:spPr>
                    <a:xfrm>
                      <a:off x="0" y="0"/>
                      <a:ext cx="2903531" cy="688041"/>
                    </a:xfrm>
                    <a:prstGeom prst="rect">
                      <a:avLst/>
                    </a:prstGeom>
                  </pic:spPr>
                </pic:pic>
              </a:graphicData>
            </a:graphic>
          </wp:inline>
        </w:drawing>
      </w:r>
    </w:p>
    <w:p w14:paraId="32DC6FBB" w14:textId="77777777" w:rsidR="004F3822" w:rsidRPr="007A6F21" w:rsidRDefault="004F3822" w:rsidP="00536DA8">
      <w:pPr>
        <w:rPr>
          <w:rFonts w:ascii="Gotham Light" w:eastAsia="Times New Roman" w:hAnsi="Gotham Light" w:cs="Segoe UI"/>
          <w:sz w:val="22"/>
          <w:szCs w:val="22"/>
        </w:rPr>
      </w:pPr>
    </w:p>
    <w:p w14:paraId="44D28090" w14:textId="77777777" w:rsidR="00536DA8" w:rsidRPr="007A6F21" w:rsidRDefault="00536DA8" w:rsidP="00536DA8">
      <w:pPr>
        <w:rPr>
          <w:rFonts w:ascii="Gotham Light" w:eastAsia="Times New Roman" w:hAnsi="Gotham Light" w:cs="Segoe UI"/>
          <w:sz w:val="22"/>
          <w:szCs w:val="22"/>
        </w:rPr>
      </w:pPr>
      <w:r w:rsidRPr="007A6F21">
        <w:rPr>
          <w:rFonts w:ascii="Gotham Light" w:eastAsia="Times New Roman" w:hAnsi="Gotham Light" w:cs="Segoe UI"/>
          <w:sz w:val="22"/>
          <w:szCs w:val="22"/>
        </w:rPr>
        <w:t>Mahlon Aldridge</w:t>
      </w:r>
    </w:p>
    <w:p w14:paraId="4CD16258" w14:textId="7181C935" w:rsidR="000F03C8" w:rsidRPr="007A6F21" w:rsidRDefault="00536DA8">
      <w:pPr>
        <w:rPr>
          <w:rFonts w:ascii="Gotham Light" w:eastAsia="Times New Roman" w:hAnsi="Gotham Light" w:cs="Segoe UI"/>
          <w:sz w:val="22"/>
          <w:szCs w:val="22"/>
        </w:rPr>
      </w:pPr>
      <w:r w:rsidRPr="007A6F21">
        <w:rPr>
          <w:rFonts w:ascii="Gotham Light" w:eastAsia="Times New Roman" w:hAnsi="Gotham Light" w:cs="Segoe UI"/>
          <w:sz w:val="22"/>
          <w:szCs w:val="22"/>
        </w:rPr>
        <w:t>V</w:t>
      </w:r>
      <w:r w:rsidR="00024859" w:rsidRPr="007A6F21">
        <w:rPr>
          <w:rFonts w:ascii="Gotham Light" w:eastAsia="Times New Roman" w:hAnsi="Gotham Light" w:cs="Segoe UI"/>
          <w:sz w:val="22"/>
          <w:szCs w:val="22"/>
        </w:rPr>
        <w:t>ice President</w:t>
      </w:r>
      <w:bookmarkEnd w:id="0"/>
      <w:bookmarkEnd w:id="1"/>
      <w:r w:rsidR="00024859" w:rsidRPr="007A6F21">
        <w:rPr>
          <w:rFonts w:ascii="Gotham Light" w:eastAsia="Times New Roman" w:hAnsi="Gotham Light" w:cs="Segoe UI"/>
          <w:sz w:val="22"/>
          <w:szCs w:val="22"/>
        </w:rPr>
        <w:t xml:space="preserve"> </w:t>
      </w:r>
    </w:p>
    <w:p w14:paraId="7358E8DB" w14:textId="7C1AC39F" w:rsidR="00024859" w:rsidRPr="007A6F21" w:rsidRDefault="00024859">
      <w:pPr>
        <w:rPr>
          <w:rFonts w:ascii="Gotham Light" w:eastAsia="Times New Roman" w:hAnsi="Gotham Light" w:cs="Segoe UI"/>
          <w:sz w:val="22"/>
          <w:szCs w:val="22"/>
        </w:rPr>
      </w:pPr>
      <w:r w:rsidRPr="007A6F21">
        <w:rPr>
          <w:rFonts w:ascii="Gotham Light" w:eastAsia="Times New Roman" w:hAnsi="Gotham Light" w:cs="Segoe UI"/>
          <w:sz w:val="22"/>
          <w:szCs w:val="22"/>
        </w:rPr>
        <w:t>Ecology Action</w:t>
      </w:r>
    </w:p>
    <w:p w14:paraId="747D1873" w14:textId="564CAA21" w:rsidR="004F3822" w:rsidRPr="007A6F21" w:rsidRDefault="004F3822" w:rsidP="004F3822">
      <w:pPr>
        <w:rPr>
          <w:rFonts w:ascii="Gotham Light" w:eastAsia="Times New Roman" w:hAnsi="Gotham Light" w:cs="Segoe UI"/>
          <w:sz w:val="22"/>
          <w:szCs w:val="22"/>
        </w:rPr>
      </w:pPr>
      <w:r w:rsidRPr="007A6F21">
        <w:rPr>
          <w:rFonts w:ascii="Gotham Light" w:eastAsia="Times New Roman" w:hAnsi="Gotham Light" w:cs="Segoe UI"/>
          <w:sz w:val="22"/>
          <w:szCs w:val="22"/>
        </w:rPr>
        <w:t>c. 831-4265-9257</w:t>
      </w:r>
    </w:p>
    <w:p w14:paraId="3B443593" w14:textId="36DDC28B" w:rsidR="004F3822" w:rsidRPr="007A6F21" w:rsidRDefault="004F3822" w:rsidP="004F3822">
      <w:pPr>
        <w:rPr>
          <w:rFonts w:ascii="Gotham Light" w:eastAsia="Times New Roman" w:hAnsi="Gotham Light" w:cs="Segoe UI"/>
          <w:sz w:val="22"/>
          <w:szCs w:val="22"/>
        </w:rPr>
      </w:pPr>
      <w:r w:rsidRPr="007A6F21">
        <w:rPr>
          <w:rFonts w:ascii="Gotham Light" w:eastAsia="Times New Roman" w:hAnsi="Gotham Light" w:cs="Segoe UI"/>
          <w:sz w:val="22"/>
          <w:szCs w:val="22"/>
        </w:rPr>
        <w:t>mahlon.aldridge@ecoact.org.</w:t>
      </w:r>
    </w:p>
    <w:p w14:paraId="3BFEDBD4" w14:textId="77777777" w:rsidR="004F3822" w:rsidRPr="007A6F21" w:rsidRDefault="004F3822">
      <w:pPr>
        <w:rPr>
          <w:rFonts w:ascii="Gotham Light" w:eastAsia="Times New Roman" w:hAnsi="Gotham Light" w:cs="Segoe UI"/>
          <w:sz w:val="22"/>
          <w:szCs w:val="22"/>
        </w:rPr>
      </w:pPr>
    </w:p>
    <w:sectPr w:rsidR="004F3822" w:rsidRPr="007A6F21" w:rsidSect="00E25244">
      <w:footerReference w:type="default" r:id="rId10"/>
      <w:headerReference w:type="first" r:id="rId11"/>
      <w:footerReference w:type="first" r:id="rId12"/>
      <w:pgSz w:w="12240" w:h="15840" w:code="1"/>
      <w:pgMar w:top="1440" w:right="1152" w:bottom="129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77320" w14:textId="77777777" w:rsidR="00E25244" w:rsidRDefault="00E25244">
      <w:r>
        <w:separator/>
      </w:r>
    </w:p>
  </w:endnote>
  <w:endnote w:type="continuationSeparator" w:id="0">
    <w:p w14:paraId="38E9815E" w14:textId="77777777" w:rsidR="00E25244" w:rsidRDefault="00E25244">
      <w:r>
        <w:continuationSeparator/>
      </w:r>
    </w:p>
  </w:endnote>
  <w:endnote w:type="continuationNotice" w:id="1">
    <w:p w14:paraId="47592873" w14:textId="77777777" w:rsidR="00E25244" w:rsidRDefault="00E25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otham Light">
    <w:altName w:val="Calibri"/>
    <w:panose1 w:val="020B0604020202020204"/>
    <w:charset w:val="00"/>
    <w:family w:val="auto"/>
    <w:notTrueType/>
    <w:pitch w:val="variable"/>
    <w:sig w:usb0="A100007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B413" w14:textId="77777777" w:rsidR="0012084D" w:rsidRDefault="00000000">
    <w:pPr>
      <w:pStyle w:val="Footer"/>
    </w:pPr>
    <w:r>
      <w:rPr>
        <w:noProof/>
      </w:rPr>
      <w:drawing>
        <wp:anchor distT="0" distB="0" distL="114300" distR="114300" simplePos="0" relativeHeight="251658242" behindDoc="1" locked="0" layoutInCell="1" allowOverlap="1" wp14:anchorId="644E0905" wp14:editId="20BCEB19">
          <wp:simplePos x="0" y="0"/>
          <wp:positionH relativeFrom="column">
            <wp:posOffset>-457200</wp:posOffset>
          </wp:positionH>
          <wp:positionV relativeFrom="page">
            <wp:posOffset>9610090</wp:posOffset>
          </wp:positionV>
          <wp:extent cx="7772400" cy="43891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Letterhead4wordbottom.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389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2ABF" w14:textId="77777777" w:rsidR="0012084D" w:rsidRDefault="00000000">
    <w:pPr>
      <w:pStyle w:val="Footer"/>
    </w:pPr>
    <w:r>
      <w:rPr>
        <w:noProof/>
      </w:rPr>
      <w:drawing>
        <wp:anchor distT="0" distB="0" distL="114300" distR="114300" simplePos="0" relativeHeight="251658241" behindDoc="1" locked="0" layoutInCell="1" allowOverlap="1" wp14:anchorId="0FC4D68B" wp14:editId="0D67551C">
          <wp:simplePos x="0" y="0"/>
          <wp:positionH relativeFrom="column">
            <wp:align>center</wp:align>
          </wp:positionH>
          <wp:positionV relativeFrom="page">
            <wp:posOffset>9610090</wp:posOffset>
          </wp:positionV>
          <wp:extent cx="7772400" cy="43891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Letterhead4wordbottom.jpg"/>
                  <pic:cNvPicPr/>
                </pic:nvPicPr>
                <pic:blipFill>
                  <a:blip r:embed="rId1">
                    <a:extLst>
                      <a:ext uri="{28A0092B-C50C-407E-A947-70E740481C1C}">
                        <a14:useLocalDpi xmlns:a14="http://schemas.microsoft.com/office/drawing/2010/main" val="0"/>
                      </a:ext>
                    </a:extLst>
                  </a:blip>
                  <a:stretch>
                    <a:fillRect/>
                  </a:stretch>
                </pic:blipFill>
                <pic:spPr>
                  <a:xfrm>
                    <a:off x="0" y="0"/>
                    <a:ext cx="7772400" cy="438912"/>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4140" w14:textId="77777777" w:rsidR="00E25244" w:rsidRDefault="00E25244">
      <w:r>
        <w:separator/>
      </w:r>
    </w:p>
  </w:footnote>
  <w:footnote w:type="continuationSeparator" w:id="0">
    <w:p w14:paraId="1F90879C" w14:textId="77777777" w:rsidR="00E25244" w:rsidRDefault="00E25244">
      <w:r>
        <w:continuationSeparator/>
      </w:r>
    </w:p>
  </w:footnote>
  <w:footnote w:type="continuationNotice" w:id="1">
    <w:p w14:paraId="08D494C3" w14:textId="77777777" w:rsidR="00E25244" w:rsidRDefault="00E25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DCD0" w14:textId="77777777" w:rsidR="0012084D" w:rsidRDefault="0012084D">
    <w:pPr>
      <w:pStyle w:val="Header"/>
    </w:pPr>
  </w:p>
  <w:p w14:paraId="4A2EFC1E" w14:textId="77777777" w:rsidR="0012084D" w:rsidRDefault="0012084D">
    <w:pPr>
      <w:pStyle w:val="Header"/>
    </w:pPr>
  </w:p>
  <w:p w14:paraId="078AE724" w14:textId="77777777" w:rsidR="0012084D" w:rsidRDefault="0012084D">
    <w:pPr>
      <w:pStyle w:val="Header"/>
    </w:pPr>
  </w:p>
  <w:p w14:paraId="76D1F431" w14:textId="77777777" w:rsidR="0012084D" w:rsidRDefault="0012084D">
    <w:pPr>
      <w:pStyle w:val="Header"/>
    </w:pPr>
  </w:p>
  <w:p w14:paraId="6F91EAC4" w14:textId="77777777" w:rsidR="0012084D" w:rsidRDefault="0012084D">
    <w:pPr>
      <w:pStyle w:val="Header"/>
    </w:pPr>
  </w:p>
  <w:p w14:paraId="4BE861DB" w14:textId="77777777" w:rsidR="0012084D" w:rsidRDefault="00000000">
    <w:pPr>
      <w:pStyle w:val="Header"/>
    </w:pPr>
    <w:r>
      <w:rPr>
        <w:noProof/>
      </w:rPr>
      <w:drawing>
        <wp:anchor distT="0" distB="0" distL="114300" distR="114300" simplePos="0" relativeHeight="251658240" behindDoc="1" locked="1" layoutInCell="1" allowOverlap="1" wp14:anchorId="0A93CF3D" wp14:editId="638210A1">
          <wp:simplePos x="0" y="0"/>
          <wp:positionH relativeFrom="column">
            <wp:align>center</wp:align>
          </wp:positionH>
          <wp:positionV relativeFrom="page">
            <wp:posOffset>0</wp:posOffset>
          </wp:positionV>
          <wp:extent cx="7772400" cy="1267968"/>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withMarginTop.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26796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9427D"/>
    <w:multiLevelType w:val="hybridMultilevel"/>
    <w:tmpl w:val="D0109F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EE72020"/>
    <w:multiLevelType w:val="hybridMultilevel"/>
    <w:tmpl w:val="48A2C02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0B58E0"/>
    <w:multiLevelType w:val="hybridMultilevel"/>
    <w:tmpl w:val="45A6529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2AF2FAB"/>
    <w:multiLevelType w:val="hybridMultilevel"/>
    <w:tmpl w:val="D5F6FC2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EB3347"/>
    <w:multiLevelType w:val="hybridMultilevel"/>
    <w:tmpl w:val="D0109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770034">
    <w:abstractNumId w:val="2"/>
  </w:num>
  <w:num w:numId="2" w16cid:durableId="820778628">
    <w:abstractNumId w:val="4"/>
  </w:num>
  <w:num w:numId="3" w16cid:durableId="2013951750">
    <w:abstractNumId w:val="0"/>
  </w:num>
  <w:num w:numId="4" w16cid:durableId="1255288059">
    <w:abstractNumId w:val="3"/>
  </w:num>
  <w:num w:numId="5" w16cid:durableId="437260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A8"/>
    <w:rsid w:val="0001018C"/>
    <w:rsid w:val="00012488"/>
    <w:rsid w:val="000156E2"/>
    <w:rsid w:val="00015BCE"/>
    <w:rsid w:val="00024859"/>
    <w:rsid w:val="00035DC0"/>
    <w:rsid w:val="000461A7"/>
    <w:rsid w:val="000505CC"/>
    <w:rsid w:val="00084CB9"/>
    <w:rsid w:val="0008746A"/>
    <w:rsid w:val="000912C2"/>
    <w:rsid w:val="000921B5"/>
    <w:rsid w:val="000A0DC3"/>
    <w:rsid w:val="000A4467"/>
    <w:rsid w:val="000B2619"/>
    <w:rsid w:val="000C69D1"/>
    <w:rsid w:val="000F03C8"/>
    <w:rsid w:val="000F4DD7"/>
    <w:rsid w:val="000F798A"/>
    <w:rsid w:val="001117CC"/>
    <w:rsid w:val="00111EC9"/>
    <w:rsid w:val="0012084D"/>
    <w:rsid w:val="00140260"/>
    <w:rsid w:val="00175391"/>
    <w:rsid w:val="0018651E"/>
    <w:rsid w:val="00195F87"/>
    <w:rsid w:val="001A332D"/>
    <w:rsid w:val="001A4F5F"/>
    <w:rsid w:val="001A79F6"/>
    <w:rsid w:val="001C1775"/>
    <w:rsid w:val="001D4225"/>
    <w:rsid w:val="001E3620"/>
    <w:rsid w:val="001F012E"/>
    <w:rsid w:val="00215EC6"/>
    <w:rsid w:val="0024126A"/>
    <w:rsid w:val="002441C3"/>
    <w:rsid w:val="00261FB5"/>
    <w:rsid w:val="0027334D"/>
    <w:rsid w:val="00276856"/>
    <w:rsid w:val="00277121"/>
    <w:rsid w:val="0028084C"/>
    <w:rsid w:val="002B1A6F"/>
    <w:rsid w:val="002C6C1E"/>
    <w:rsid w:val="002C6D72"/>
    <w:rsid w:val="002C72F5"/>
    <w:rsid w:val="002D1972"/>
    <w:rsid w:val="002D53B9"/>
    <w:rsid w:val="002E1274"/>
    <w:rsid w:val="002E3BC8"/>
    <w:rsid w:val="002E4ED5"/>
    <w:rsid w:val="00311EB2"/>
    <w:rsid w:val="00321020"/>
    <w:rsid w:val="00321BFA"/>
    <w:rsid w:val="003500C3"/>
    <w:rsid w:val="00352B8F"/>
    <w:rsid w:val="003537B7"/>
    <w:rsid w:val="0036436A"/>
    <w:rsid w:val="003B0E32"/>
    <w:rsid w:val="003D03B1"/>
    <w:rsid w:val="003D1B2F"/>
    <w:rsid w:val="003D7F90"/>
    <w:rsid w:val="003F734C"/>
    <w:rsid w:val="00414735"/>
    <w:rsid w:val="00422EB0"/>
    <w:rsid w:val="00426D8D"/>
    <w:rsid w:val="00430661"/>
    <w:rsid w:val="00431F2B"/>
    <w:rsid w:val="0045459E"/>
    <w:rsid w:val="004577CD"/>
    <w:rsid w:val="00464559"/>
    <w:rsid w:val="00480C0A"/>
    <w:rsid w:val="00485583"/>
    <w:rsid w:val="00492D02"/>
    <w:rsid w:val="00493009"/>
    <w:rsid w:val="004B1967"/>
    <w:rsid w:val="004D66E9"/>
    <w:rsid w:val="004D7BF9"/>
    <w:rsid w:val="004E5049"/>
    <w:rsid w:val="004F3822"/>
    <w:rsid w:val="004F43E8"/>
    <w:rsid w:val="00513C37"/>
    <w:rsid w:val="00536DA8"/>
    <w:rsid w:val="00540CA5"/>
    <w:rsid w:val="00581987"/>
    <w:rsid w:val="00584FDB"/>
    <w:rsid w:val="005A7D1A"/>
    <w:rsid w:val="005C17C9"/>
    <w:rsid w:val="005E0B46"/>
    <w:rsid w:val="005F4F98"/>
    <w:rsid w:val="006022A0"/>
    <w:rsid w:val="00612B03"/>
    <w:rsid w:val="006245EE"/>
    <w:rsid w:val="0065151C"/>
    <w:rsid w:val="0065192C"/>
    <w:rsid w:val="00661C42"/>
    <w:rsid w:val="0068281E"/>
    <w:rsid w:val="006A35B3"/>
    <w:rsid w:val="006A610D"/>
    <w:rsid w:val="006B40C9"/>
    <w:rsid w:val="006F6384"/>
    <w:rsid w:val="00704BAB"/>
    <w:rsid w:val="007212BD"/>
    <w:rsid w:val="00731F57"/>
    <w:rsid w:val="0073319A"/>
    <w:rsid w:val="007561CF"/>
    <w:rsid w:val="007600BA"/>
    <w:rsid w:val="00760459"/>
    <w:rsid w:val="00776AA5"/>
    <w:rsid w:val="0079080E"/>
    <w:rsid w:val="00794301"/>
    <w:rsid w:val="00797EF9"/>
    <w:rsid w:val="007A3588"/>
    <w:rsid w:val="007A6F21"/>
    <w:rsid w:val="007F22E0"/>
    <w:rsid w:val="00810AD3"/>
    <w:rsid w:val="0081712C"/>
    <w:rsid w:val="00833320"/>
    <w:rsid w:val="00844D68"/>
    <w:rsid w:val="00867BB2"/>
    <w:rsid w:val="00877967"/>
    <w:rsid w:val="00890824"/>
    <w:rsid w:val="008B2C86"/>
    <w:rsid w:val="008B4CB4"/>
    <w:rsid w:val="008C32BC"/>
    <w:rsid w:val="008E1F07"/>
    <w:rsid w:val="008E32C5"/>
    <w:rsid w:val="008E69BB"/>
    <w:rsid w:val="00912156"/>
    <w:rsid w:val="00917F51"/>
    <w:rsid w:val="00927B83"/>
    <w:rsid w:val="00960241"/>
    <w:rsid w:val="00963618"/>
    <w:rsid w:val="00965BC1"/>
    <w:rsid w:val="00973984"/>
    <w:rsid w:val="00986D55"/>
    <w:rsid w:val="009C2C15"/>
    <w:rsid w:val="009D0788"/>
    <w:rsid w:val="009E0650"/>
    <w:rsid w:val="009F6484"/>
    <w:rsid w:val="00A13635"/>
    <w:rsid w:val="00A13921"/>
    <w:rsid w:val="00A22B66"/>
    <w:rsid w:val="00A37849"/>
    <w:rsid w:val="00A47FEA"/>
    <w:rsid w:val="00A54CB5"/>
    <w:rsid w:val="00A64FEA"/>
    <w:rsid w:val="00A74C0E"/>
    <w:rsid w:val="00A94E01"/>
    <w:rsid w:val="00AA2EBC"/>
    <w:rsid w:val="00AA433E"/>
    <w:rsid w:val="00AB0345"/>
    <w:rsid w:val="00AC0688"/>
    <w:rsid w:val="00AE77B2"/>
    <w:rsid w:val="00AF08E2"/>
    <w:rsid w:val="00AF5E13"/>
    <w:rsid w:val="00AF6CBA"/>
    <w:rsid w:val="00B00367"/>
    <w:rsid w:val="00B261DE"/>
    <w:rsid w:val="00B27112"/>
    <w:rsid w:val="00B32A08"/>
    <w:rsid w:val="00B64008"/>
    <w:rsid w:val="00B9134E"/>
    <w:rsid w:val="00BB5B72"/>
    <w:rsid w:val="00BC3234"/>
    <w:rsid w:val="00BC522A"/>
    <w:rsid w:val="00BF1DBD"/>
    <w:rsid w:val="00BF4FA4"/>
    <w:rsid w:val="00C009A9"/>
    <w:rsid w:val="00C0203F"/>
    <w:rsid w:val="00C4422C"/>
    <w:rsid w:val="00C562D3"/>
    <w:rsid w:val="00C67FD6"/>
    <w:rsid w:val="00C7141A"/>
    <w:rsid w:val="00C77B68"/>
    <w:rsid w:val="00CA2055"/>
    <w:rsid w:val="00CA7FAF"/>
    <w:rsid w:val="00CB05B3"/>
    <w:rsid w:val="00CC32BE"/>
    <w:rsid w:val="00CD6418"/>
    <w:rsid w:val="00CD7C76"/>
    <w:rsid w:val="00CE1120"/>
    <w:rsid w:val="00CE3430"/>
    <w:rsid w:val="00CF1396"/>
    <w:rsid w:val="00D17423"/>
    <w:rsid w:val="00D2142E"/>
    <w:rsid w:val="00D23A2E"/>
    <w:rsid w:val="00D4608F"/>
    <w:rsid w:val="00D555DF"/>
    <w:rsid w:val="00DB7DFD"/>
    <w:rsid w:val="00DD03EC"/>
    <w:rsid w:val="00DD3A30"/>
    <w:rsid w:val="00DD777A"/>
    <w:rsid w:val="00E07D73"/>
    <w:rsid w:val="00E1010B"/>
    <w:rsid w:val="00E10628"/>
    <w:rsid w:val="00E25244"/>
    <w:rsid w:val="00E30BAA"/>
    <w:rsid w:val="00E50736"/>
    <w:rsid w:val="00E53ED9"/>
    <w:rsid w:val="00E620D9"/>
    <w:rsid w:val="00E7561D"/>
    <w:rsid w:val="00E8475D"/>
    <w:rsid w:val="00E87851"/>
    <w:rsid w:val="00E949C8"/>
    <w:rsid w:val="00EA72B1"/>
    <w:rsid w:val="00EB71AA"/>
    <w:rsid w:val="00EC333F"/>
    <w:rsid w:val="00EC3405"/>
    <w:rsid w:val="00ED0C22"/>
    <w:rsid w:val="00EE0FEF"/>
    <w:rsid w:val="00EE1D06"/>
    <w:rsid w:val="00EF23C2"/>
    <w:rsid w:val="00F20D04"/>
    <w:rsid w:val="00F50A75"/>
    <w:rsid w:val="00F62FAF"/>
    <w:rsid w:val="00F76495"/>
    <w:rsid w:val="00F80094"/>
    <w:rsid w:val="00F80163"/>
    <w:rsid w:val="00F87DDB"/>
    <w:rsid w:val="00F93B46"/>
    <w:rsid w:val="00F945AE"/>
    <w:rsid w:val="00FA0E9C"/>
    <w:rsid w:val="00FC4D05"/>
    <w:rsid w:val="00FC709A"/>
    <w:rsid w:val="00FD3674"/>
    <w:rsid w:val="00FD7DFC"/>
    <w:rsid w:val="00FE17DA"/>
    <w:rsid w:val="00FE2375"/>
    <w:rsid w:val="00FF33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1E639F6"/>
  <w15:chartTrackingRefBased/>
  <w15:docId w15:val="{32575423-6AE3-B64A-9F40-807EFBBF3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DA8"/>
    <w:rPr>
      <w:rFonts w:eastAsiaTheme="minorEastAsia"/>
      <w:kern w:val="0"/>
      <w14:ligatures w14:val="none"/>
    </w:rPr>
  </w:style>
  <w:style w:type="paragraph" w:styleId="Heading1">
    <w:name w:val="heading 1"/>
    <w:basedOn w:val="Normal"/>
    <w:next w:val="Normal"/>
    <w:link w:val="Heading1Char"/>
    <w:uiPriority w:val="9"/>
    <w:qFormat/>
    <w:rsid w:val="00536D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6D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6D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6D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6D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6DA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6DA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6DA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6DA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6D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6D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6D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6D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6D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6D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6D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6D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6DA8"/>
    <w:rPr>
      <w:rFonts w:eastAsiaTheme="majorEastAsia" w:cstheme="majorBidi"/>
      <w:color w:val="272727" w:themeColor="text1" w:themeTint="D8"/>
    </w:rPr>
  </w:style>
  <w:style w:type="paragraph" w:styleId="Title">
    <w:name w:val="Title"/>
    <w:basedOn w:val="Normal"/>
    <w:next w:val="Normal"/>
    <w:link w:val="TitleChar"/>
    <w:uiPriority w:val="10"/>
    <w:qFormat/>
    <w:rsid w:val="00536DA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6D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6DA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6D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6DA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6DA8"/>
    <w:rPr>
      <w:i/>
      <w:iCs/>
      <w:color w:val="404040" w:themeColor="text1" w:themeTint="BF"/>
    </w:rPr>
  </w:style>
  <w:style w:type="paragraph" w:styleId="ListParagraph">
    <w:name w:val="List Paragraph"/>
    <w:basedOn w:val="Normal"/>
    <w:uiPriority w:val="34"/>
    <w:qFormat/>
    <w:rsid w:val="00536DA8"/>
    <w:pPr>
      <w:ind w:left="720"/>
      <w:contextualSpacing/>
    </w:pPr>
  </w:style>
  <w:style w:type="character" w:styleId="IntenseEmphasis">
    <w:name w:val="Intense Emphasis"/>
    <w:basedOn w:val="DefaultParagraphFont"/>
    <w:uiPriority w:val="21"/>
    <w:qFormat/>
    <w:rsid w:val="00536DA8"/>
    <w:rPr>
      <w:i/>
      <w:iCs/>
      <w:color w:val="0F4761" w:themeColor="accent1" w:themeShade="BF"/>
    </w:rPr>
  </w:style>
  <w:style w:type="paragraph" w:styleId="IntenseQuote">
    <w:name w:val="Intense Quote"/>
    <w:basedOn w:val="Normal"/>
    <w:next w:val="Normal"/>
    <w:link w:val="IntenseQuoteChar"/>
    <w:uiPriority w:val="30"/>
    <w:qFormat/>
    <w:rsid w:val="00536D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6DA8"/>
    <w:rPr>
      <w:i/>
      <w:iCs/>
      <w:color w:val="0F4761" w:themeColor="accent1" w:themeShade="BF"/>
    </w:rPr>
  </w:style>
  <w:style w:type="character" w:styleId="IntenseReference">
    <w:name w:val="Intense Reference"/>
    <w:basedOn w:val="DefaultParagraphFont"/>
    <w:uiPriority w:val="32"/>
    <w:qFormat/>
    <w:rsid w:val="00536DA8"/>
    <w:rPr>
      <w:b/>
      <w:bCs/>
      <w:smallCaps/>
      <w:color w:val="0F4761" w:themeColor="accent1" w:themeShade="BF"/>
      <w:spacing w:val="5"/>
    </w:rPr>
  </w:style>
  <w:style w:type="paragraph" w:styleId="Header">
    <w:name w:val="header"/>
    <w:basedOn w:val="Normal"/>
    <w:link w:val="HeaderChar"/>
    <w:uiPriority w:val="99"/>
    <w:unhideWhenUsed/>
    <w:rsid w:val="00536DA8"/>
    <w:pPr>
      <w:tabs>
        <w:tab w:val="center" w:pos="4320"/>
        <w:tab w:val="right" w:pos="8640"/>
      </w:tabs>
    </w:pPr>
  </w:style>
  <w:style w:type="character" w:customStyle="1" w:styleId="HeaderChar">
    <w:name w:val="Header Char"/>
    <w:basedOn w:val="DefaultParagraphFont"/>
    <w:link w:val="Header"/>
    <w:uiPriority w:val="99"/>
    <w:rsid w:val="00536DA8"/>
    <w:rPr>
      <w:rFonts w:eastAsiaTheme="minorEastAsia"/>
      <w:kern w:val="0"/>
      <w14:ligatures w14:val="none"/>
    </w:rPr>
  </w:style>
  <w:style w:type="paragraph" w:styleId="Footer">
    <w:name w:val="footer"/>
    <w:basedOn w:val="Normal"/>
    <w:link w:val="FooterChar"/>
    <w:uiPriority w:val="99"/>
    <w:unhideWhenUsed/>
    <w:rsid w:val="00536DA8"/>
    <w:pPr>
      <w:tabs>
        <w:tab w:val="center" w:pos="4320"/>
        <w:tab w:val="right" w:pos="8640"/>
      </w:tabs>
    </w:pPr>
  </w:style>
  <w:style w:type="character" w:customStyle="1" w:styleId="FooterChar">
    <w:name w:val="Footer Char"/>
    <w:basedOn w:val="DefaultParagraphFont"/>
    <w:link w:val="Footer"/>
    <w:uiPriority w:val="99"/>
    <w:rsid w:val="00536DA8"/>
    <w:rPr>
      <w:rFonts w:eastAsiaTheme="minorEastAsia"/>
      <w:kern w:val="0"/>
      <w14:ligatures w14:val="none"/>
    </w:rPr>
  </w:style>
  <w:style w:type="character" w:styleId="Hyperlink">
    <w:name w:val="Hyperlink"/>
    <w:basedOn w:val="DefaultParagraphFont"/>
    <w:uiPriority w:val="99"/>
    <w:unhideWhenUsed/>
    <w:rsid w:val="00B00367"/>
    <w:rPr>
      <w:color w:val="467886" w:themeColor="hyperlink"/>
      <w:u w:val="single"/>
    </w:rPr>
  </w:style>
  <w:style w:type="character" w:styleId="UnresolvedMention">
    <w:name w:val="Unresolved Mention"/>
    <w:basedOn w:val="DefaultParagraphFont"/>
    <w:uiPriority w:val="99"/>
    <w:semiHidden/>
    <w:unhideWhenUsed/>
    <w:rsid w:val="00B00367"/>
    <w:rPr>
      <w:color w:val="605E5C"/>
      <w:shd w:val="clear" w:color="auto" w:fill="E1DFDD"/>
    </w:rPr>
  </w:style>
  <w:style w:type="character" w:styleId="FollowedHyperlink">
    <w:name w:val="FollowedHyperlink"/>
    <w:basedOn w:val="DefaultParagraphFont"/>
    <w:uiPriority w:val="99"/>
    <w:semiHidden/>
    <w:unhideWhenUsed/>
    <w:rsid w:val="002441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D437165A30CC44B2816FF94E10D19E" ma:contentTypeVersion="20" ma:contentTypeDescription="Create a new document." ma:contentTypeScope="" ma:versionID="b45ffb89839222e2e4d38329e704d4a0">
  <xsd:schema xmlns:xsd="http://www.w3.org/2001/XMLSchema" xmlns:xs="http://www.w3.org/2001/XMLSchema" xmlns:p="http://schemas.microsoft.com/office/2006/metadata/properties" xmlns:ns1="http://schemas.microsoft.com/sharepoint/v3" xmlns:ns2="f7352c24-3e05-407e-ac28-c29f77428c13" xmlns:ns3="9a249171-3d74-4b66-ae01-c818472ac984" targetNamespace="http://schemas.microsoft.com/office/2006/metadata/properties" ma:root="true" ma:fieldsID="a5f8964417be461b7dc684665650c6e0" ns1:_="" ns2:_="" ns3:_="">
    <xsd:import namespace="http://schemas.microsoft.com/sharepoint/v3"/>
    <xsd:import namespace="f7352c24-3e05-407e-ac28-c29f77428c13"/>
    <xsd:import namespace="9a249171-3d74-4b66-ae01-c818472ac984"/>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52c24-3e05-407e-ac28-c29f77428c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67af2e4-7259-459e-ba4c-3f6f37f674b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249171-3d74-4b66-ae01-c818472ac9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6c54cdc-659a-4508-ac10-d2050a97cfcb}" ma:internalName="TaxCatchAll" ma:showField="CatchAllData" ma:web="9a249171-3d74-4b66-ae01-c818472ac9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13F9E-6A6E-4532-911E-FA2D963A5B94}">
  <ds:schemaRefs>
    <ds:schemaRef ds:uri="http://schemas.microsoft.com/sharepoint/v3/contenttype/forms"/>
  </ds:schemaRefs>
</ds:datastoreItem>
</file>

<file path=customXml/itemProps2.xml><?xml version="1.0" encoding="utf-8"?>
<ds:datastoreItem xmlns:ds="http://schemas.openxmlformats.org/officeDocument/2006/customXml" ds:itemID="{F79D1656-DA30-47B6-8E45-E5C604F52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352c24-3e05-407e-ac28-c29f77428c13"/>
    <ds:schemaRef ds:uri="9a249171-3d74-4b66-ae01-c818472ac9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876</Words>
  <Characters>4994</Characters>
  <Application>Microsoft Office Word</Application>
  <DocSecurity>0</DocSecurity>
  <Lines>41</Lines>
  <Paragraphs>11</Paragraphs>
  <ScaleCrop>false</ScaleCrop>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Friedland</dc:creator>
  <cp:keywords/>
  <dc:description/>
  <cp:lastModifiedBy>Mahlon Aldridge</cp:lastModifiedBy>
  <cp:revision>216</cp:revision>
  <dcterms:created xsi:type="dcterms:W3CDTF">2024-02-20T20:01:00Z</dcterms:created>
  <dcterms:modified xsi:type="dcterms:W3CDTF">2024-02-21T01:09:00Z</dcterms:modified>
</cp:coreProperties>
</file>