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F41F" w14:textId="77777777" w:rsidR="004F5273" w:rsidRDefault="00C800D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DRAFT COMMENT</w:t>
      </w:r>
    </w:p>
    <w:p w14:paraId="112B17B7" w14:textId="77777777" w:rsidR="004F5273" w:rsidRDefault="00C800D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Due no later than 3/16-18</w:t>
      </w:r>
    </w:p>
    <w:p w14:paraId="3D3981C6" w14:textId="77777777" w:rsidR="004F5273" w:rsidRDefault="004F527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346EE8" w14:textId="77777777" w:rsidR="004F5273" w:rsidRDefault="004F527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8F9C4A" w14:textId="548F41B3" w:rsidR="004F5273" w:rsidRDefault="00C800D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March </w:t>
      </w:r>
      <w:r w:rsidR="00C4674A">
        <w:rPr>
          <w:rFonts w:ascii="Times New Roman" w:hAnsi="Times New Roman"/>
          <w:b/>
          <w:bCs/>
          <w:sz w:val="24"/>
          <w:szCs w:val="24"/>
        </w:rPr>
        <w:t>14,</w:t>
      </w:r>
      <w:r>
        <w:rPr>
          <w:rFonts w:ascii="Times New Roman" w:hAnsi="Times New Roman"/>
          <w:b/>
          <w:bCs/>
          <w:sz w:val="24"/>
          <w:szCs w:val="24"/>
        </w:rPr>
        <w:t xml:space="preserve"> 2018</w:t>
      </w:r>
    </w:p>
    <w:p w14:paraId="706B8CD6" w14:textId="77777777" w:rsidR="004F5273" w:rsidRDefault="00C800D7">
      <w:pPr>
        <w:ind w:left="720" w:hanging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To:</w:t>
      </w:r>
      <w:r>
        <w:rPr>
          <w:rFonts w:ascii="Times New Roman" w:hAnsi="Times New Roman"/>
          <w:b/>
          <w:bCs/>
          <w:sz w:val="24"/>
          <w:szCs w:val="24"/>
        </w:rPr>
        <w:tab/>
        <w:t>Clerk of the Board</w:t>
      </w:r>
      <w:r>
        <w:rPr>
          <w:rFonts w:ascii="Times New Roman" w:hAnsi="Times New Roman"/>
          <w:b/>
          <w:bCs/>
          <w:sz w:val="24"/>
          <w:szCs w:val="24"/>
        </w:rPr>
        <w:br/>
        <w:t>Air Resources Board</w:t>
      </w:r>
      <w:r>
        <w:rPr>
          <w:rFonts w:ascii="Times New Roman" w:hAnsi="Times New Roman"/>
          <w:b/>
          <w:bCs/>
          <w:sz w:val="24"/>
          <w:szCs w:val="24"/>
        </w:rPr>
        <w:br/>
        <w:t>1001 I Street</w:t>
      </w:r>
      <w:r>
        <w:rPr>
          <w:rFonts w:ascii="Times New Roman" w:hAnsi="Times New Roman"/>
          <w:b/>
          <w:bCs/>
          <w:sz w:val="24"/>
          <w:szCs w:val="24"/>
        </w:rPr>
        <w:br/>
        <w:t>Sacramento, California 95814</w:t>
      </w:r>
    </w:p>
    <w:p w14:paraId="6906D24B" w14:textId="77777777" w:rsidR="004F5273" w:rsidRDefault="004F5273">
      <w:pPr>
        <w:ind w:left="720" w:hanging="720"/>
        <w:rPr>
          <w:rFonts w:ascii="Times New Roman" w:hAnsi="Times New Roman"/>
          <w:b/>
          <w:bCs/>
          <w:sz w:val="24"/>
          <w:szCs w:val="24"/>
        </w:rPr>
      </w:pPr>
    </w:p>
    <w:p w14:paraId="45BE7E75" w14:textId="43C6D68C" w:rsidR="004F5273" w:rsidRDefault="00C800D7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Online Submission:</w:t>
      </w:r>
      <w:r w:rsidR="005B793C">
        <w:rPr>
          <w:rFonts w:ascii="Times New Roman" w:hAnsi="Times New Roman"/>
          <w:b/>
          <w:bCs/>
          <w:sz w:val="18"/>
          <w:szCs w:val="18"/>
        </w:rPr>
        <w:br/>
      </w:r>
      <w:hyperlink r:id="rId7" w:history="1">
        <w:r w:rsidR="005B793C" w:rsidRPr="007953E8">
          <w:rPr>
            <w:rStyle w:val="Hyperlink"/>
            <w:rFonts w:ascii="Times New Roman" w:hAnsi="Times New Roman"/>
            <w:sz w:val="18"/>
            <w:szCs w:val="18"/>
          </w:rPr>
          <w:t>https://www.arb.ca.gov/lispub/comm2/bcsubform.php?listname=ct-3-2-18-wkshp-ws&amp;comm_period=1</w:t>
        </w:r>
      </w:hyperlink>
    </w:p>
    <w:p w14:paraId="5F382A49" w14:textId="77777777" w:rsidR="004F5273" w:rsidRDefault="004F5273"/>
    <w:p w14:paraId="08BB2085" w14:textId="71423347" w:rsidR="004F5273" w:rsidRDefault="00C4674A">
      <w:r>
        <w:t>I</w:t>
      </w:r>
      <w:r w:rsidR="00C800D7">
        <w:t xml:space="preserve"> understand that an offset methodology </w:t>
      </w:r>
      <w:r>
        <w:t xml:space="preserve">adopted </w:t>
      </w:r>
      <w:r w:rsidR="00C800D7">
        <w:t>by the American Carbon Registry (ACR) has been recommended to be added to the list of approved methodologies for the creation of Air Resources Board Offset Credits. </w:t>
      </w:r>
      <w:r>
        <w:t xml:space="preserve">I </w:t>
      </w:r>
      <w:r w:rsidR="00C800D7">
        <w:t xml:space="preserve">recommend </w:t>
      </w:r>
      <w:r w:rsidR="00AC4EFE">
        <w:t xml:space="preserve">that </w:t>
      </w:r>
      <w:r w:rsidR="00C800D7">
        <w:t xml:space="preserve">ARB </w:t>
      </w:r>
      <w:r w:rsidR="00AC4EFE">
        <w:t xml:space="preserve">members </w:t>
      </w:r>
      <w:r w:rsidR="00C800D7">
        <w:t>consider and approve th</w:t>
      </w:r>
      <w:r w:rsidR="00AC4EFE">
        <w:t>e</w:t>
      </w:r>
      <w:r w:rsidR="00C800D7">
        <w:t xml:space="preserve"> methodology in </w:t>
      </w:r>
      <w:r>
        <w:t>the</w:t>
      </w:r>
      <w:r w:rsidR="00AC4EFE">
        <w:t>ir</w:t>
      </w:r>
      <w:r>
        <w:t xml:space="preserve"> upcoming </w:t>
      </w:r>
      <w:r w:rsidR="00C800D7">
        <w:t>rulemaking proceeding</w:t>
      </w:r>
      <w:r>
        <w:t>s</w:t>
      </w:r>
      <w:r w:rsidR="00C800D7">
        <w:t>.</w:t>
      </w:r>
    </w:p>
    <w:p w14:paraId="0DDB344F" w14:textId="77777777" w:rsidR="004F5273" w:rsidRDefault="004F5273"/>
    <w:p w14:paraId="5384B811" w14:textId="0025082B" w:rsidR="004F5273" w:rsidRDefault="00C800D7">
      <w:r>
        <w:t>The methodology is listed on the ACR</w:t>
      </w:r>
      <w:r w:rsidR="00C4674A">
        <w:t xml:space="preserve"> </w:t>
      </w:r>
      <w:r>
        <w:t>site as “</w:t>
      </w:r>
      <w:r>
        <w:rPr>
          <w:b/>
          <w:bCs/>
        </w:rPr>
        <w:t>Methodology for the Quantification, Monitoring, Reporting and Verification of Greenhouse Gas Emissions Reductions from the Transition to Advanced Formulation Blowing Agents in Foam Manufacturing Use, Version 2.0</w:t>
      </w:r>
      <w:r w:rsidR="00C4674A">
        <w:rPr>
          <w:b/>
          <w:bCs/>
        </w:rPr>
        <w:t>.</w:t>
      </w:r>
      <w:r>
        <w:rPr>
          <w:b/>
          <w:bCs/>
        </w:rPr>
        <w:t>” </w:t>
      </w:r>
      <w:r w:rsidR="00C4674A">
        <w:t xml:space="preserve">This methodology would </w:t>
      </w:r>
      <w:r>
        <w:t>appl</w:t>
      </w:r>
      <w:r w:rsidR="00C4674A">
        <w:t>y</w:t>
      </w:r>
      <w:r>
        <w:t xml:space="preserve"> to several</w:t>
      </w:r>
      <w:r w:rsidR="00C4674A">
        <w:t xml:space="preserve"> </w:t>
      </w:r>
      <w:r>
        <w:t>end</w:t>
      </w:r>
      <w:r w:rsidR="00C4674A">
        <w:t>-</w:t>
      </w:r>
      <w:r>
        <w:t>uses</w:t>
      </w:r>
      <w:r>
        <w:rPr>
          <w:rStyle w:val="FootnoteReference"/>
        </w:rPr>
        <w:footnoteReference w:id="1"/>
      </w:r>
      <w:r>
        <w:t xml:space="preserve"> </w:t>
      </w:r>
      <w:r w:rsidR="00C4674A">
        <w:t xml:space="preserve">where </w:t>
      </w:r>
      <w:r>
        <w:t xml:space="preserve">low-GWP blowing agents </w:t>
      </w:r>
      <w:r w:rsidR="00C4674A">
        <w:t>can be employed</w:t>
      </w:r>
      <w:r>
        <w:t>. </w:t>
      </w:r>
      <w:r w:rsidR="00C4674A">
        <w:t xml:space="preserve">Owens Corning is </w:t>
      </w:r>
      <w:r>
        <w:t xml:space="preserve">interested in using </w:t>
      </w:r>
      <w:r w:rsidR="00C4674A">
        <w:t xml:space="preserve">this carbon </w:t>
      </w:r>
      <w:r>
        <w:t xml:space="preserve">offset </w:t>
      </w:r>
      <w:r w:rsidR="00C4674A">
        <w:t xml:space="preserve">credit </w:t>
      </w:r>
      <w:r>
        <w:t>metho</w:t>
      </w:r>
      <w:r w:rsidR="00C4674A">
        <w:t>do</w:t>
      </w:r>
      <w:r>
        <w:t xml:space="preserve">logy as an incentive to undertake </w:t>
      </w:r>
      <w:r w:rsidR="00C4674A">
        <w:t xml:space="preserve">such </w:t>
      </w:r>
      <w:r>
        <w:t>change</w:t>
      </w:r>
      <w:r w:rsidR="00C4674A">
        <w:t>s</w:t>
      </w:r>
      <w:r>
        <w:t xml:space="preserve"> </w:t>
      </w:r>
      <w:r w:rsidR="00C4674A">
        <w:t xml:space="preserve">in </w:t>
      </w:r>
      <w:r>
        <w:t xml:space="preserve">our manufacturing process </w:t>
      </w:r>
      <w:r w:rsidR="00C4674A">
        <w:t>for extruded PS insulation</w:t>
      </w:r>
      <w:r>
        <w:t>. The benefits from credits arising from the use of low-GWP blowing agents in these end uses will have a direct environmental benefit on California.</w:t>
      </w:r>
      <w:bookmarkStart w:id="0" w:name="_GoBack"/>
      <w:bookmarkEnd w:id="0"/>
    </w:p>
    <w:p w14:paraId="25964403" w14:textId="77777777" w:rsidR="004F5273" w:rsidRDefault="004F5273"/>
    <w:p w14:paraId="10BBE6C8" w14:textId="32A937EF" w:rsidR="004F5273" w:rsidRDefault="00C4674A">
      <w:r>
        <w:t>Y</w:t>
      </w:r>
      <w:r w:rsidR="00C800D7">
        <w:t>ours</w:t>
      </w:r>
      <w:r>
        <w:t xml:space="preserve"> truly</w:t>
      </w:r>
      <w:r w:rsidR="00C800D7">
        <w:t>,</w:t>
      </w:r>
    </w:p>
    <w:p w14:paraId="13914945" w14:textId="39C8FA55" w:rsidR="004F5273" w:rsidRDefault="004F5273"/>
    <w:p w14:paraId="6E3874A1" w14:textId="0B27B74F" w:rsidR="00C4674A" w:rsidRDefault="00C4674A"/>
    <w:p w14:paraId="60ACBAB7" w14:textId="77777777" w:rsidR="00C4674A" w:rsidRDefault="00C4674A" w:rsidP="00C4674A">
      <w:pPr>
        <w:rPr>
          <w:rFonts w:asciiTheme="minorHAnsi" w:hAnsiTheme="minorHAnsi"/>
          <w:noProof/>
        </w:rPr>
      </w:pPr>
      <w:r>
        <w:rPr>
          <w:noProof/>
        </w:rPr>
        <w:t>Nigel W. Ravenscroft</w:t>
      </w:r>
    </w:p>
    <w:p w14:paraId="5D83E581" w14:textId="77777777" w:rsidR="00C4674A" w:rsidRDefault="00C4674A" w:rsidP="00C4674A">
      <w:pPr>
        <w:rPr>
          <w:noProof/>
        </w:rPr>
      </w:pPr>
      <w:r>
        <w:rPr>
          <w:noProof/>
        </w:rPr>
        <w:t>R&amp;D Director, Engineered Foam &amp; FG Insulation Systems</w:t>
      </w:r>
    </w:p>
    <w:p w14:paraId="28087CB4" w14:textId="77777777" w:rsidR="00C4674A" w:rsidRDefault="00C4674A" w:rsidP="00C4674A">
      <w:pPr>
        <w:rPr>
          <w:noProof/>
        </w:rPr>
      </w:pPr>
      <w:r>
        <w:rPr>
          <w:noProof/>
        </w:rPr>
        <w:t>Owens Corning, FoamulaR Technology Center</w:t>
      </w:r>
    </w:p>
    <w:p w14:paraId="68A4BC03" w14:textId="2CB9B49C" w:rsidR="00C4674A" w:rsidRDefault="00C4674A" w:rsidP="00C4674A">
      <w:pPr>
        <w:rPr>
          <w:noProof/>
        </w:rPr>
      </w:pPr>
      <w:r>
        <w:rPr>
          <w:noProof/>
        </w:rPr>
        <w:t>275 Southwest Avenue, Tallmadge, OH 44278</w:t>
      </w:r>
    </w:p>
    <w:p w14:paraId="0DB0027B" w14:textId="0AC15F88" w:rsidR="00C4674A" w:rsidRDefault="00C4674A"/>
    <w:sectPr w:rsidR="00C46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B3178" w14:textId="77777777" w:rsidR="003C5BB0" w:rsidRDefault="003C5BB0">
      <w:r>
        <w:separator/>
      </w:r>
    </w:p>
  </w:endnote>
  <w:endnote w:type="continuationSeparator" w:id="0">
    <w:p w14:paraId="7785227C" w14:textId="77777777" w:rsidR="003C5BB0" w:rsidRDefault="003C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B8328" w14:textId="77777777" w:rsidR="003C5BB0" w:rsidRDefault="003C5BB0">
      <w:r>
        <w:separator/>
      </w:r>
    </w:p>
  </w:footnote>
  <w:footnote w:type="continuationSeparator" w:id="0">
    <w:p w14:paraId="2282C08A" w14:textId="77777777" w:rsidR="003C5BB0" w:rsidRDefault="003C5BB0">
      <w:r>
        <w:continuationSeparator/>
      </w:r>
    </w:p>
  </w:footnote>
  <w:footnote w:id="1">
    <w:p w14:paraId="3BB0F1B7" w14:textId="77777777" w:rsidR="004F5273" w:rsidRDefault="00C800D7">
      <w:pPr>
        <w:pStyle w:val="FootnoteText"/>
      </w:pPr>
      <w:r>
        <w:rPr>
          <w:rStyle w:val="FootnoteReference"/>
        </w:rPr>
        <w:footnoteRef/>
      </w:r>
      <w:r>
        <w:t xml:space="preserve"> : Eligible End Uses under this methodology include two-component Rigid PU Spray Foam, XPS </w:t>
      </w:r>
      <w:proofErr w:type="spellStart"/>
      <w:r>
        <w:t>Boardstock</w:t>
      </w:r>
      <w:proofErr w:type="spellEnd"/>
      <w:r>
        <w:t xml:space="preserve">, Rigid PUF Residential Refrigerators and Freezers, Rigid PUF Injected Foam for Retail Food Refrigeration, Industrial Refrigeration </w:t>
      </w:r>
      <w:proofErr w:type="gramStart"/>
      <w:r>
        <w:t>Systems ,</w:t>
      </w:r>
      <w:proofErr w:type="gramEnd"/>
      <w:r>
        <w:t xml:space="preserve"> Refrigerated Transport, Heating, Air Conditioning and Air handling Systems and Marine flotation and buoyancy.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LastTrailerInserted" w:val="^`~#mp!@\⌑T#3┕┬88:yśmU⌑Ã8⌗‧Ç¨pµ⌡-W¹ï³0⌈⌚¶!⌃ÚRn,⌠ÿ⌆uyâ@/×çlÈI⌠f'wÃT8․QÍŚ⌜⌞*Ê1⌒Ɨ&gt;5D&gt;6⌙⌑K~ùeäµœ j6ƚ⌑Ù8ÇY'ªù3//ŢÇÑ„ý÷⌒Ã©SŚíS\æîK/[öyó⌅V½®º®`3ÿá®]8Ûìº@g·X‡?ò⌄¾2⌚hśg:²ûsGOµÁ¸Yï_Â)_ªã1B#ÞS⌖u|Î•¾ÏÚ8nbø⌈ÚîNúKCVV011"/>
    <w:docVar w:name="zzmp10LastTrailerInserted_1079" w:val="^`~#mp!@\⌑T#3┕┬88:yśmU⌑Ã8⌗‧Ç¨pµ⌡-W¹ï³0⌈⌚¶!⌃ÚRn,⌠ÿ⌆uyâ@/×çlÈI⌠f'wÃT8․QÍŚ⌜⌞*Ê1⌒Ɨ&gt;5D&gt;6⌙⌑K~ùeäµœ j6ƚ⌑Ù8ÇY'ªù3//ŢÇÑ„ý÷⌒Ã©SŚíS\æîK/[öyó⌅V½®º®`3ÿá®]8Ûìº@g·X‡?ò⌄¾2⌚hśg:²ûsGOµÁ¸Yï_Â)_ªã1B#ÞS⌖u|Î•¾ÏÚ8nbø⌈ÚîNúKCVV011"/>
    <w:docVar w:name="zzmp10mSEGsValidated" w:val="1"/>
  </w:docVars>
  <w:rsids>
    <w:rsidRoot w:val="004F5273"/>
    <w:rsid w:val="003C5BB0"/>
    <w:rsid w:val="004F5273"/>
    <w:rsid w:val="00554140"/>
    <w:rsid w:val="005B793C"/>
    <w:rsid w:val="00844547"/>
    <w:rsid w:val="009C4CCB"/>
    <w:rsid w:val="00A0157A"/>
    <w:rsid w:val="00A16A22"/>
    <w:rsid w:val="00AC4EFE"/>
    <w:rsid w:val="00C4674A"/>
    <w:rsid w:val="00C800D7"/>
    <w:rsid w:val="00C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84658"/>
  <w15:docId w15:val="{EC45D321-1BC4-47F3-958F-9AA51090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Times New Roman"/>
    </w:rPr>
  </w:style>
  <w:style w:type="paragraph" w:customStyle="1" w:styleId="MacPacTrailer">
    <w:name w:val="MacPac Trailer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4674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b.ca.gov/lispub/comm2/bcsubform.php?listname=ct-3-2-18-wkshp-ws&amp;comm_period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24AA-66F8-4E5D-9CDD-1364D010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Comment to ARB</vt:lpstr>
    </vt:vector>
  </TitlesOfParts>
  <Company>Dentons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Comment to ARB</dc:title>
  <dc:subject/>
  <dc:creator>Dentons;Nigel.Ravenscroft@owenscorning.com</dc:creator>
  <cp:keywords>California ACR carbon offset credit 2018</cp:keywords>
  <dc:description/>
  <cp:lastModifiedBy>Ravenscroft, Nigel</cp:lastModifiedBy>
  <cp:revision>2</cp:revision>
  <dcterms:created xsi:type="dcterms:W3CDTF">2018-03-14T19:08:00Z</dcterms:created>
  <dcterms:modified xsi:type="dcterms:W3CDTF">2018-03-14T19:08:00Z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905131cc-a462-4728-b571-8fc22c01c966</vt:lpwstr>
  </property>
  <property fmtid="{D5CDD505-2E9C-101B-9397-08002B2CF9AE}" pid="3" name="TitusCorpClassification">
    <vt:lpwstr>Not Applicable</vt:lpwstr>
  </property>
</Properties>
</file>